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798C8" w14:textId="0DBA3474" w:rsidR="002F7917" w:rsidRPr="00502373" w:rsidRDefault="002F7917" w:rsidP="002F7917">
      <w:pPr>
        <w:jc w:val="center"/>
        <w:rPr>
          <w:rFonts w:cstheme="minorHAnsi"/>
          <w:b/>
          <w:bCs/>
        </w:rPr>
      </w:pPr>
      <w:commentRangeStart w:id="0"/>
      <w:r w:rsidRPr="00502373">
        <w:rPr>
          <w:rFonts w:cstheme="minorHAnsi"/>
          <w:b/>
          <w:bCs/>
        </w:rPr>
        <w:t xml:space="preserve">Caloosahatchee BMAP </w:t>
      </w:r>
      <w:proofErr w:type="spellStart"/>
      <w:r w:rsidRPr="00502373">
        <w:rPr>
          <w:rFonts w:cstheme="minorHAnsi"/>
          <w:b/>
          <w:bCs/>
        </w:rPr>
        <w:t>StoryMap</w:t>
      </w:r>
      <w:commentRangeEnd w:id="0"/>
      <w:proofErr w:type="spellEnd"/>
      <w:r w:rsidR="00452856">
        <w:rPr>
          <w:rStyle w:val="CommentReference"/>
        </w:rPr>
        <w:commentReference w:id="0"/>
      </w:r>
    </w:p>
    <w:p w14:paraId="43B1DE23" w14:textId="77777777" w:rsidR="002F7917" w:rsidRPr="00D06558" w:rsidRDefault="00F61F3C" w:rsidP="00D06558">
      <w:pPr>
        <w:jc w:val="center"/>
        <w:rPr>
          <w:rFonts w:cstheme="minorHAnsi"/>
          <w:b/>
          <w:bCs/>
          <w:sz w:val="20"/>
          <w:szCs w:val="20"/>
        </w:rPr>
      </w:pPr>
      <w:hyperlink r:id="rId7" w:history="1">
        <w:r w:rsidR="002F7917" w:rsidRPr="00D06558">
          <w:rPr>
            <w:rStyle w:val="Hyperlink"/>
            <w:rFonts w:cstheme="minorHAnsi"/>
            <w:b/>
            <w:bCs/>
            <w:sz w:val="20"/>
            <w:szCs w:val="20"/>
          </w:rPr>
          <w:t>https://fdep.maps.arcgis.com/apps/MapSeries/index.html?appid=627a7ebb8e1d4ab6ba5115dc545a0835</w:t>
        </w:r>
      </w:hyperlink>
    </w:p>
    <w:p w14:paraId="08B75DB2" w14:textId="54CC7BAF" w:rsidR="002F7917" w:rsidRPr="00502373" w:rsidRDefault="002F7917" w:rsidP="002F7917">
      <w:pPr>
        <w:rPr>
          <w:rFonts w:cstheme="minorHAnsi"/>
          <w:b/>
          <w:bCs/>
          <w:u w:val="single"/>
        </w:rPr>
      </w:pPr>
      <w:r w:rsidRPr="00502373">
        <w:rPr>
          <w:rFonts w:cstheme="minorHAnsi"/>
          <w:b/>
          <w:bCs/>
          <w:u w:val="single"/>
        </w:rPr>
        <w:t>Introduction</w:t>
      </w:r>
    </w:p>
    <w:p w14:paraId="6C0492F4" w14:textId="1A253922" w:rsidR="002F7917" w:rsidRPr="00971BF4" w:rsidRDefault="002F7917" w:rsidP="002F7917">
      <w:pPr>
        <w:rPr>
          <w:rFonts w:cstheme="minorHAnsi"/>
        </w:rPr>
      </w:pPr>
      <w:r w:rsidRPr="00452738">
        <w:rPr>
          <w:rFonts w:cstheme="minorHAnsi"/>
        </w:rPr>
        <w:t>Welcome to the Caloosahatchee Basin Management Action Plan (BMAP) Story Map</w:t>
      </w:r>
    </w:p>
    <w:p w14:paraId="06868EDC" w14:textId="63092A72" w:rsidR="002F7917" w:rsidRPr="00971BF4" w:rsidRDefault="002F7917" w:rsidP="002F7917">
      <w:pPr>
        <w:rPr>
          <w:rFonts w:cstheme="minorHAnsi"/>
        </w:rPr>
      </w:pPr>
      <w:r w:rsidRPr="00971BF4">
        <w:rPr>
          <w:rFonts w:cstheme="minorHAnsi"/>
        </w:rPr>
        <w:t xml:space="preserve">A Basin Management Action Plan (BMAP) is a framework for water quality restoration, containing local and state commitments to reduce pollutant loading through current and future projects and strategies. BMAPs contain a comprehensive set of solutions, such as permit limits on wastewater facilities, urban and agricultural best management practices, and conservation programs designed to achieve pollutant reductions established by a Total Maximum Daily Load (TMDL). </w:t>
      </w:r>
    </w:p>
    <w:p w14:paraId="732336E8" w14:textId="7298A4B9" w:rsidR="002F7917" w:rsidRPr="00D06558" w:rsidRDefault="002F7917" w:rsidP="00D06558">
      <w:pPr>
        <w:pStyle w:val="CommentText"/>
        <w:rPr>
          <w:rFonts w:cstheme="minorHAnsi"/>
          <w:sz w:val="22"/>
          <w:szCs w:val="22"/>
        </w:rPr>
      </w:pPr>
      <w:r w:rsidRPr="00971BF4">
        <w:rPr>
          <w:rFonts w:cstheme="minorHAnsi"/>
          <w:sz w:val="22"/>
          <w:szCs w:val="22"/>
        </w:rPr>
        <w:t>These broad-based plans are developed with local stakeholders and rely on local input and commitment for development and successful implementation.</w:t>
      </w:r>
      <w:r w:rsidR="00D06558">
        <w:rPr>
          <w:rFonts w:cstheme="minorHAnsi"/>
          <w:sz w:val="22"/>
          <w:szCs w:val="22"/>
        </w:rPr>
        <w:t xml:space="preserve"> </w:t>
      </w:r>
      <w:r w:rsidRPr="00971BF4">
        <w:rPr>
          <w:rFonts w:cstheme="minorHAnsi"/>
        </w:rPr>
        <w:t>BMAPs are adopted by DEP Secretarial Order and are legally enforceable.</w:t>
      </w:r>
    </w:p>
    <w:p w14:paraId="28FE49D5" w14:textId="7851AC84" w:rsidR="002F7917" w:rsidRPr="00971BF4" w:rsidRDefault="002F7917" w:rsidP="002F7917">
      <w:pPr>
        <w:rPr>
          <w:rFonts w:cstheme="minorHAnsi"/>
        </w:rPr>
      </w:pPr>
      <w:r w:rsidRPr="00971BF4">
        <w:rPr>
          <w:rFonts w:cstheme="minorHAnsi"/>
        </w:rPr>
        <w:t xml:space="preserve">Please use the tabs above to navigate through this Story Map and learn more about the </w:t>
      </w:r>
      <w:r w:rsidR="008376B1" w:rsidRPr="00971BF4">
        <w:rPr>
          <w:rFonts w:cstheme="minorHAnsi"/>
        </w:rPr>
        <w:t>Caloosahatchee</w:t>
      </w:r>
      <w:r w:rsidRPr="00971BF4">
        <w:rPr>
          <w:rFonts w:cstheme="minorHAnsi"/>
        </w:rPr>
        <w:t xml:space="preserve"> BMAP.</w:t>
      </w:r>
    </w:p>
    <w:p w14:paraId="3E634B6B" w14:textId="77777777" w:rsidR="002F7917" w:rsidRPr="00971BF4" w:rsidRDefault="002F7917" w:rsidP="002F7917">
      <w:pPr>
        <w:rPr>
          <w:rFonts w:cstheme="minorHAnsi"/>
        </w:rPr>
      </w:pPr>
      <w:r w:rsidRPr="00971BF4">
        <w:rPr>
          <w:rFonts w:cstheme="minorHAnsi"/>
        </w:rPr>
        <w:t>* The story map will display differently depending on the screen size and resolution being used. Story map best viewed in Chrome or Firefox.</w:t>
      </w:r>
    </w:p>
    <w:p w14:paraId="7BC3C917" w14:textId="77777777" w:rsidR="002F7917" w:rsidRPr="00971BF4" w:rsidRDefault="002F7917" w:rsidP="002F7917">
      <w:pPr>
        <w:rPr>
          <w:rFonts w:cstheme="minorHAnsi"/>
          <w:b/>
          <w:bCs/>
          <w:u w:val="single"/>
        </w:rPr>
      </w:pPr>
      <w:r w:rsidRPr="00971BF4">
        <w:rPr>
          <w:rFonts w:cstheme="minorHAnsi"/>
          <w:b/>
          <w:bCs/>
          <w:u w:val="single"/>
        </w:rPr>
        <w:t>Overview</w:t>
      </w:r>
    </w:p>
    <w:p w14:paraId="5A48A25D" w14:textId="390E5D6E" w:rsidR="00DF7A4A" w:rsidRPr="00DF7A4A" w:rsidRDefault="00DF7A4A" w:rsidP="002F7917">
      <w:pPr>
        <w:rPr>
          <w:rFonts w:cstheme="minorHAnsi"/>
          <w:color w:val="333333"/>
          <w:shd w:val="clear" w:color="auto" w:fill="FFFFFF"/>
        </w:rPr>
      </w:pPr>
      <w:r w:rsidRPr="00DF7A4A">
        <w:rPr>
          <w:rFonts w:cstheme="minorHAnsi"/>
          <w:color w:val="333333"/>
          <w:shd w:val="clear" w:color="auto" w:fill="FFFFFF"/>
        </w:rPr>
        <w:t xml:space="preserve">The Caloosahatchee Estuary BMAP was first adopted in November 2012 to implement the total nitrogen (TN) TMDL in the watershed. Executive Order 19-12 required an update to this BMAP in 2020. The updated Caloosahatchee River and Estuary BMAP, adopted in February 2020, replaced the original BMAP, incorporated new TMDLs for tributaries to the Caloosahatchee River, and included components that were recommended in the 5-Year Review. The BMAP includes management strategies or projects to be implemented by the responsible stakeholders that aim to reduce elevated levels of nitrogen and phosphorus in the watershed and </w:t>
      </w:r>
      <w:r w:rsidR="00BA7FC7" w:rsidRPr="00DF7A4A">
        <w:rPr>
          <w:rFonts w:cstheme="minorHAnsi"/>
          <w:color w:val="333333"/>
          <w:shd w:val="clear" w:color="auto" w:fill="FFFFFF"/>
        </w:rPr>
        <w:t>estuary. ​</w:t>
      </w:r>
    </w:p>
    <w:p w14:paraId="3DB25185" w14:textId="558494AD" w:rsidR="002F7917" w:rsidRPr="00971BF4" w:rsidRDefault="002F7917" w:rsidP="002F7917">
      <w:pPr>
        <w:rPr>
          <w:rFonts w:cstheme="minorHAnsi"/>
        </w:rPr>
      </w:pPr>
      <w:r w:rsidRPr="00D06558">
        <w:rPr>
          <w:rFonts w:cstheme="minorHAnsi"/>
        </w:rPr>
        <w:t>Quick Facts</w:t>
      </w:r>
      <w:r w:rsidRPr="00971BF4">
        <w:rPr>
          <w:rFonts w:cstheme="minorHAnsi"/>
        </w:rPr>
        <w:t>:</w:t>
      </w:r>
    </w:p>
    <w:p w14:paraId="7CEE3082" w14:textId="013479E5" w:rsidR="002F7917" w:rsidRPr="00D06558" w:rsidRDefault="00F61F3C" w:rsidP="002F7917">
      <w:pPr>
        <w:spacing w:after="0"/>
        <w:rPr>
          <w:rFonts w:cstheme="minorHAnsi"/>
        </w:rPr>
      </w:pPr>
      <w:hyperlink r:id="rId8" w:history="1">
        <w:r w:rsidR="002F7917" w:rsidRPr="00D06558">
          <w:rPr>
            <w:rStyle w:val="Hyperlink"/>
            <w:rFonts w:cstheme="minorHAnsi"/>
          </w:rPr>
          <w:t>Basin Management Action Plan (BMAP)</w:t>
        </w:r>
      </w:hyperlink>
      <w:r w:rsidR="002F7917" w:rsidRPr="00D06558">
        <w:rPr>
          <w:rFonts w:cstheme="minorHAnsi"/>
        </w:rPr>
        <w:t xml:space="preserve"> adopted: February 2020</w:t>
      </w:r>
    </w:p>
    <w:p w14:paraId="58C7D938" w14:textId="0D6483B6" w:rsidR="002F7917" w:rsidRPr="00D06558" w:rsidRDefault="00F61F3C" w:rsidP="002F7917">
      <w:pPr>
        <w:spacing w:after="0"/>
        <w:rPr>
          <w:rFonts w:cstheme="minorHAnsi"/>
        </w:rPr>
      </w:pPr>
      <w:hyperlink r:id="rId9" w:history="1">
        <w:r w:rsidR="002F7917" w:rsidRPr="00DF7A4A">
          <w:rPr>
            <w:rStyle w:val="Hyperlink"/>
            <w:rFonts w:cstheme="minorHAnsi"/>
          </w:rPr>
          <w:t>Total Maximum Daily Load (TMDL)</w:t>
        </w:r>
      </w:hyperlink>
      <w:r w:rsidR="002F7917" w:rsidRPr="00D06558">
        <w:rPr>
          <w:rFonts w:cstheme="minorHAnsi"/>
        </w:rPr>
        <w:t xml:space="preserve"> Restoration Targets adopted: </w:t>
      </w:r>
      <w:hyperlink r:id="rId10" w:history="1">
        <w:r w:rsidR="002F7917" w:rsidRPr="00D06558">
          <w:rPr>
            <w:rStyle w:val="Hyperlink"/>
            <w:rFonts w:cstheme="minorHAnsi"/>
          </w:rPr>
          <w:t>August 200</w:t>
        </w:r>
        <w:r w:rsidR="00273E97" w:rsidRPr="00D06558">
          <w:rPr>
            <w:rStyle w:val="Hyperlink"/>
            <w:rFonts w:cstheme="minorHAnsi"/>
          </w:rPr>
          <w:t>9</w:t>
        </w:r>
      </w:hyperlink>
      <w:r w:rsidR="00502373" w:rsidRPr="00D06558">
        <w:rPr>
          <w:rFonts w:cstheme="minorHAnsi"/>
        </w:rPr>
        <w:t xml:space="preserve"> and </w:t>
      </w:r>
      <w:hyperlink r:id="rId11" w:history="1">
        <w:r w:rsidR="00502373" w:rsidRPr="00D06558">
          <w:rPr>
            <w:rStyle w:val="Hyperlink"/>
            <w:rFonts w:cstheme="minorHAnsi"/>
          </w:rPr>
          <w:t>July 2019</w:t>
        </w:r>
      </w:hyperlink>
    </w:p>
    <w:p w14:paraId="05E52C10" w14:textId="6AA5FA73" w:rsidR="002F7917" w:rsidRPr="00D06558" w:rsidRDefault="002F7917" w:rsidP="002F7917">
      <w:pPr>
        <w:spacing w:after="0"/>
        <w:rPr>
          <w:rFonts w:cstheme="minorHAnsi"/>
        </w:rPr>
      </w:pPr>
      <w:r w:rsidRPr="00D06558">
        <w:rPr>
          <w:rFonts w:cstheme="minorHAnsi"/>
        </w:rPr>
        <w:t xml:space="preserve">BMAP Restoration Area: </w:t>
      </w:r>
      <w:r w:rsidR="00DF7A4A" w:rsidRPr="00857E43">
        <w:rPr>
          <w:rStyle w:val="Strong"/>
          <w:rFonts w:ascii="open_sanssemibold" w:hAnsi="open_sanssemibold"/>
          <w:color w:val="FF0000"/>
          <w:sz w:val="21"/>
          <w:szCs w:val="21"/>
          <w:shd w:val="clear" w:color="auto" w:fill="FFFFFF"/>
        </w:rPr>
        <w:t>893,940</w:t>
      </w:r>
      <w:r w:rsidR="00C52DE3" w:rsidRPr="00857E43">
        <w:rPr>
          <w:rStyle w:val="Strong"/>
          <w:rFonts w:ascii="open_sanssemibold" w:hAnsi="open_sanssemibold"/>
          <w:color w:val="FF0000"/>
          <w:sz w:val="21"/>
          <w:szCs w:val="21"/>
          <w:shd w:val="clear" w:color="auto" w:fill="FFFFFF"/>
        </w:rPr>
        <w:t xml:space="preserve"> </w:t>
      </w:r>
      <w:r w:rsidR="002B07D1" w:rsidRPr="00D06558">
        <w:rPr>
          <w:rFonts w:ascii="open_sansregular" w:hAnsi="open_sansregular"/>
          <w:color w:val="333333"/>
          <w:sz w:val="21"/>
          <w:szCs w:val="21"/>
          <w:shd w:val="clear" w:color="auto" w:fill="FFFFFF"/>
        </w:rPr>
        <w:t>acres</w:t>
      </w:r>
    </w:p>
    <w:p w14:paraId="43D818CF" w14:textId="3B9CE155" w:rsidR="002F7917" w:rsidRPr="00D06558" w:rsidRDefault="002F7917" w:rsidP="002F7917">
      <w:pPr>
        <w:spacing w:after="0"/>
        <w:rPr>
          <w:rFonts w:cstheme="minorHAnsi"/>
        </w:rPr>
      </w:pPr>
      <w:r w:rsidRPr="00D06558">
        <w:rPr>
          <w:rFonts w:cstheme="minorHAnsi"/>
        </w:rPr>
        <w:t xml:space="preserve">Water Quality Impairment: Total </w:t>
      </w:r>
      <w:r w:rsidR="00502373" w:rsidRPr="00D06558">
        <w:rPr>
          <w:rFonts w:cstheme="minorHAnsi"/>
        </w:rPr>
        <w:t xml:space="preserve">Nitrogen </w:t>
      </w:r>
      <w:r w:rsidRPr="00D06558">
        <w:rPr>
          <w:rFonts w:cstheme="minorHAnsi"/>
        </w:rPr>
        <w:t>(T</w:t>
      </w:r>
      <w:r w:rsidR="00502373" w:rsidRPr="00D06558">
        <w:rPr>
          <w:rFonts w:cstheme="minorHAnsi"/>
        </w:rPr>
        <w:t>N</w:t>
      </w:r>
      <w:r w:rsidRPr="00D06558">
        <w:rPr>
          <w:rFonts w:cstheme="minorHAnsi"/>
        </w:rPr>
        <w:t>)</w:t>
      </w:r>
      <w:r w:rsidR="00DF7A4A">
        <w:rPr>
          <w:rFonts w:cstheme="minorHAnsi"/>
        </w:rPr>
        <w:t xml:space="preserve">, Total Phosphorus (TP) </w:t>
      </w:r>
      <w:r w:rsidR="00502373" w:rsidRPr="00D06558">
        <w:rPr>
          <w:rFonts w:cstheme="minorHAnsi"/>
        </w:rPr>
        <w:t xml:space="preserve">and </w:t>
      </w:r>
      <w:r w:rsidR="00DF7A4A">
        <w:rPr>
          <w:rFonts w:cstheme="minorHAnsi"/>
        </w:rPr>
        <w:t>Biochemical Oxygen Demand (BOD)</w:t>
      </w:r>
    </w:p>
    <w:p w14:paraId="543CA37A" w14:textId="77777777" w:rsidR="002F7917" w:rsidRPr="00D06558" w:rsidRDefault="002F7917" w:rsidP="002F7917">
      <w:pPr>
        <w:spacing w:after="0"/>
        <w:rPr>
          <w:rFonts w:cstheme="minorHAnsi"/>
        </w:rPr>
      </w:pPr>
    </w:p>
    <w:p w14:paraId="355856D6" w14:textId="5DBA5B6E" w:rsidR="002F7917" w:rsidRPr="00D06558" w:rsidRDefault="002F7917" w:rsidP="002F7917">
      <w:pPr>
        <w:rPr>
          <w:rFonts w:cstheme="minorHAnsi"/>
        </w:rPr>
      </w:pPr>
      <w:r w:rsidRPr="00D06558">
        <w:rPr>
          <w:rFonts w:cstheme="minorHAnsi"/>
        </w:rPr>
        <w:t xml:space="preserve">Principal Sources of Nutrients: </w:t>
      </w:r>
    </w:p>
    <w:p w14:paraId="19082F94" w14:textId="77777777" w:rsidR="002F7917" w:rsidRPr="00D06558" w:rsidRDefault="002F7917" w:rsidP="002F7917">
      <w:pPr>
        <w:spacing w:after="0"/>
        <w:rPr>
          <w:rFonts w:cstheme="minorHAnsi"/>
        </w:rPr>
      </w:pPr>
      <w:r w:rsidRPr="00D06558">
        <w:rPr>
          <w:rFonts w:cstheme="minorHAnsi"/>
        </w:rPr>
        <w:t xml:space="preserve">Agriculture </w:t>
      </w:r>
    </w:p>
    <w:p w14:paraId="6A160074" w14:textId="77777777" w:rsidR="002F7917" w:rsidRPr="00D06558" w:rsidRDefault="002F7917" w:rsidP="002F7917">
      <w:pPr>
        <w:spacing w:after="0"/>
        <w:rPr>
          <w:rFonts w:cstheme="minorHAnsi"/>
        </w:rPr>
      </w:pPr>
      <w:r w:rsidRPr="00D06558">
        <w:rPr>
          <w:rFonts w:cstheme="minorHAnsi"/>
        </w:rPr>
        <w:t>Municipal separate storm sewer systems</w:t>
      </w:r>
    </w:p>
    <w:p w14:paraId="691C4B1D" w14:textId="77777777" w:rsidR="002F7917" w:rsidRPr="00D06558" w:rsidRDefault="002F7917" w:rsidP="002F7917">
      <w:pPr>
        <w:spacing w:after="0"/>
        <w:rPr>
          <w:rFonts w:cstheme="minorHAnsi"/>
        </w:rPr>
      </w:pPr>
      <w:r w:rsidRPr="00D06558">
        <w:rPr>
          <w:rFonts w:cstheme="minorHAnsi"/>
        </w:rPr>
        <w:t xml:space="preserve">Point source facilities (like domestic and industrial wastewater facilities) </w:t>
      </w:r>
    </w:p>
    <w:p w14:paraId="7D7A83BA" w14:textId="77777777" w:rsidR="002F7917" w:rsidRPr="00971BF4" w:rsidRDefault="002F7917" w:rsidP="002F7917">
      <w:pPr>
        <w:spacing w:after="0"/>
        <w:rPr>
          <w:rFonts w:cstheme="minorHAnsi"/>
        </w:rPr>
      </w:pPr>
      <w:r w:rsidRPr="00971BF4">
        <w:rPr>
          <w:rFonts w:cstheme="minorHAnsi"/>
        </w:rPr>
        <w:t>Stormwater sources (like cities, towns, and water control districts)</w:t>
      </w:r>
    </w:p>
    <w:p w14:paraId="601C81DC" w14:textId="77777777" w:rsidR="002F7917" w:rsidRPr="00971BF4" w:rsidRDefault="002F7917" w:rsidP="002F7917">
      <w:pPr>
        <w:spacing w:after="0"/>
        <w:rPr>
          <w:rFonts w:cstheme="minorHAnsi"/>
        </w:rPr>
      </w:pPr>
    </w:p>
    <w:p w14:paraId="5BAE7AFF" w14:textId="77777777" w:rsidR="00DF7A4A" w:rsidRDefault="00DF7A4A" w:rsidP="002F7917">
      <w:pPr>
        <w:rPr>
          <w:rFonts w:cstheme="minorHAnsi"/>
          <w:b/>
          <w:bCs/>
          <w:u w:val="single"/>
        </w:rPr>
      </w:pPr>
    </w:p>
    <w:p w14:paraId="6343F22E" w14:textId="77777777" w:rsidR="00DF7A4A" w:rsidRDefault="00DF7A4A" w:rsidP="002F7917">
      <w:pPr>
        <w:rPr>
          <w:rFonts w:cstheme="minorHAnsi"/>
          <w:b/>
          <w:bCs/>
          <w:u w:val="single"/>
        </w:rPr>
      </w:pPr>
    </w:p>
    <w:p w14:paraId="40AEC889" w14:textId="4FB16386" w:rsidR="002F7917" w:rsidRPr="00971BF4" w:rsidRDefault="002F7917" w:rsidP="002F7917">
      <w:pPr>
        <w:rPr>
          <w:rFonts w:cstheme="minorHAnsi"/>
          <w:b/>
          <w:bCs/>
          <w:u w:val="single"/>
        </w:rPr>
      </w:pPr>
      <w:commentRangeStart w:id="1"/>
      <w:r w:rsidRPr="00971BF4">
        <w:rPr>
          <w:rFonts w:cstheme="minorHAnsi"/>
          <w:b/>
          <w:bCs/>
          <w:u w:val="single"/>
        </w:rPr>
        <w:t>Location</w:t>
      </w:r>
      <w:commentRangeEnd w:id="1"/>
      <w:r w:rsidR="007F3BCF">
        <w:rPr>
          <w:rStyle w:val="CommentReference"/>
        </w:rPr>
        <w:commentReference w:id="1"/>
      </w:r>
    </w:p>
    <w:p w14:paraId="2142D7D5" w14:textId="6677765D" w:rsidR="002F7917" w:rsidRPr="00DF7A4A" w:rsidRDefault="00502373" w:rsidP="00DF7A4A">
      <w:pPr>
        <w:rPr>
          <w:rFonts w:eastAsia="Times New Roman" w:cstheme="minorHAnsi"/>
          <w:color w:val="333333"/>
        </w:rPr>
      </w:pPr>
      <w:r w:rsidRPr="00971BF4">
        <w:rPr>
          <w:rFonts w:eastAsia="Times New Roman" w:cstheme="minorHAnsi"/>
          <w:color w:val="333333"/>
        </w:rPr>
        <w:t>The Caloosahatchee River runs from Lake Okeechobee through a series of locks to San Carlos Bay. It has both fresh and marine segments. The freshwater segment extends for over 40 miles from Lake Okeechobee to the Franklin Lock and Dam (Control Structure S-79). The marine segment, which is referred to as the Caloosahatchee Estuary or Tidal Caloosahatchee, extends for about 25 miles from S-79 to Shell Point, adjacent to San Carlos Bay, with Pine Island Sound to the northwest and Estero Bay to the southeast. The Caloosahatchee Estuary receives freshwater input from S-79 and from various tributaries and canal systems that discharge directly to the estuary downstream of S-79.</w:t>
      </w:r>
      <w:r w:rsidR="00DF7A4A" w:rsidRPr="00DF7A4A">
        <w:t xml:space="preserve"> </w:t>
      </w:r>
      <w:r w:rsidR="00DF7A4A" w:rsidRPr="00DF7A4A">
        <w:rPr>
          <w:rFonts w:eastAsia="Times New Roman" w:cstheme="minorHAnsi"/>
          <w:color w:val="333333"/>
        </w:rPr>
        <w:t xml:space="preserve">The Caloosahatchee watershed primarily covers Charlotte, Glades, Hendry, and Lee counties and is divided into three </w:t>
      </w:r>
      <w:proofErr w:type="spellStart"/>
      <w:r w:rsidR="00DF7A4A" w:rsidRPr="00DF7A4A">
        <w:rPr>
          <w:rFonts w:eastAsia="Times New Roman" w:cstheme="minorHAnsi"/>
          <w:color w:val="333333"/>
        </w:rPr>
        <w:t>subwatersheds</w:t>
      </w:r>
      <w:proofErr w:type="spellEnd"/>
      <w:r w:rsidR="00DF7A4A" w:rsidRPr="00DF7A4A">
        <w:rPr>
          <w:rFonts w:eastAsia="Times New Roman" w:cstheme="minorHAnsi"/>
          <w:color w:val="333333"/>
        </w:rPr>
        <w:t>: East, West and Tidal</w:t>
      </w:r>
      <w:r w:rsidR="00DF7A4A">
        <w:rPr>
          <w:rFonts w:eastAsia="Times New Roman" w:cstheme="minorHAnsi"/>
          <w:color w:val="333333"/>
        </w:rPr>
        <w:t>.</w:t>
      </w:r>
      <w:r w:rsidR="002F7917" w:rsidRPr="00971BF4">
        <w:rPr>
          <w:rFonts w:eastAsia="Times New Roman" w:cstheme="minorHAnsi"/>
          <w:b/>
          <w:bCs/>
          <w:vanish/>
          <w:color w:val="333333"/>
        </w:rPr>
        <w:t xml:space="preserve">LOCATION </w:t>
      </w:r>
    </w:p>
    <w:p w14:paraId="1C5EDB5A" w14:textId="77777777" w:rsidR="002F7917" w:rsidRPr="00971BF4" w:rsidRDefault="002F7917" w:rsidP="002F7917">
      <w:pPr>
        <w:spacing w:after="0" w:line="240" w:lineRule="auto"/>
        <w:jc w:val="both"/>
        <w:rPr>
          <w:rFonts w:eastAsia="Times New Roman" w:cstheme="minorHAnsi"/>
          <w:vanish/>
          <w:color w:val="333333"/>
        </w:rPr>
      </w:pPr>
      <w:r w:rsidRPr="00971BF4">
        <w:rPr>
          <w:rFonts w:eastAsia="Times New Roman" w:cstheme="minorHAnsi"/>
          <w:vanish/>
          <w:color w:val="333333"/>
        </w:rPr>
        <w:t>Lake Okeechobee is a large, shallow eutrophic lake located in subtropical south central Florida. It is a major component of the United States Army Corps of Engineers (USACE) regional flood control project, and it provides water supply to the Okeechobee Utility Authority, as well as backup water supply for many south Florida residents. Lake Okeechobee releases also influence salinity in the Caloosahatchee and St. Lucie Estuaries. It supports multimillion-dollar sport and commercial fisheries and recreational opportunities. Lake Okeechobee also provides habitat for various wildlife species, such as the Everglades snail kite, migratory waterfowl, alligators, and wading birds.</w:t>
      </w:r>
    </w:p>
    <w:p w14:paraId="7E11BE6B" w14:textId="77777777" w:rsidR="002F7917" w:rsidRPr="00971BF4" w:rsidRDefault="002F7917" w:rsidP="002F7917">
      <w:pPr>
        <w:spacing w:after="0" w:line="240" w:lineRule="auto"/>
        <w:jc w:val="both"/>
        <w:rPr>
          <w:rFonts w:eastAsia="Times New Roman" w:cstheme="minorHAnsi"/>
          <w:vanish/>
          <w:color w:val="333333"/>
        </w:rPr>
      </w:pPr>
      <w:r w:rsidRPr="00971BF4">
        <w:rPr>
          <w:rFonts w:eastAsia="Times New Roman" w:cstheme="minorHAnsi"/>
          <w:vanish/>
          <w:color w:val="333333"/>
        </w:rPr>
        <w:t> </w:t>
      </w:r>
    </w:p>
    <w:p w14:paraId="09C30DF4" w14:textId="77777777" w:rsidR="002F7917" w:rsidRPr="00971BF4" w:rsidRDefault="002F7917" w:rsidP="002F7917">
      <w:pPr>
        <w:spacing w:after="0" w:line="240" w:lineRule="auto"/>
        <w:jc w:val="both"/>
        <w:rPr>
          <w:rFonts w:eastAsia="Times New Roman" w:cstheme="minorHAnsi"/>
          <w:vanish/>
          <w:color w:val="333333"/>
        </w:rPr>
      </w:pPr>
      <w:r w:rsidRPr="00971BF4">
        <w:rPr>
          <w:rFonts w:eastAsia="Times New Roman" w:cstheme="minorHAnsi"/>
          <w:vanish/>
          <w:color w:val="333333"/>
        </w:rPr>
        <w:t>The Lake Okeechobee Watershed (LOW) primarily covers Glades, Hendry, Highlands, Martin, Okeechobee, Orange, Osceola, Palm Beach, and Polk Counties. The LOW spans from the Orlando area north of the lake to Belle Glade to the south. The LOW is divided into nine sub-watersheds: Upper Kissimmee, Lower Kissimmee, Taylor Creek/Nubbin Slough, Lake Istokpoga, Indian Prairie, Fisheating Creek, East Lake Okeechobee, West Lake Okeechobee, and South Lake Okeechobee.</w:t>
      </w:r>
    </w:p>
    <w:p w14:paraId="1AFAFF84" w14:textId="77777777" w:rsidR="002F7917" w:rsidRPr="00971BF4" w:rsidRDefault="002F7917" w:rsidP="002F7917">
      <w:pPr>
        <w:spacing w:after="0" w:line="240" w:lineRule="auto"/>
        <w:jc w:val="both"/>
        <w:rPr>
          <w:rFonts w:eastAsia="Times New Roman" w:cstheme="minorHAnsi"/>
          <w:vanish/>
          <w:color w:val="333333"/>
        </w:rPr>
      </w:pPr>
      <w:r w:rsidRPr="00971BF4">
        <w:rPr>
          <w:rFonts w:eastAsia="Times New Roman" w:cstheme="minorHAnsi"/>
          <w:vanish/>
          <w:color w:val="333333"/>
        </w:rPr>
        <w:t> </w:t>
      </w:r>
    </w:p>
    <w:p w14:paraId="2A29356F" w14:textId="77777777" w:rsidR="002F7917" w:rsidRPr="00971BF4" w:rsidRDefault="002F7917" w:rsidP="002F7917">
      <w:pPr>
        <w:spacing w:after="0" w:line="240" w:lineRule="auto"/>
        <w:jc w:val="both"/>
        <w:rPr>
          <w:rFonts w:eastAsia="Times New Roman" w:cstheme="minorHAnsi"/>
          <w:vanish/>
          <w:color w:val="333333"/>
        </w:rPr>
      </w:pPr>
      <w:r w:rsidRPr="00971BF4">
        <w:rPr>
          <w:rFonts w:eastAsia="Times New Roman" w:cstheme="minorHAnsi"/>
          <w:vanish/>
          <w:color w:val="333333"/>
        </w:rPr>
        <w:t> </w:t>
      </w:r>
    </w:p>
    <w:p w14:paraId="6417A3AC" w14:textId="1004B617" w:rsidR="002F7917" w:rsidRPr="00BA223E" w:rsidRDefault="002F7917" w:rsidP="002F7917">
      <w:pPr>
        <w:rPr>
          <w:rFonts w:cstheme="minorHAnsi"/>
        </w:rPr>
      </w:pPr>
      <w:r w:rsidRPr="00971BF4">
        <w:rPr>
          <w:rFonts w:eastAsia="Times New Roman" w:cstheme="minorHAnsi"/>
          <w:b/>
          <w:bCs/>
          <w:vanish/>
          <w:color w:val="333333"/>
        </w:rPr>
        <w:t>Please use the tabs above to navigate through this Story Map and learn more about the Lake Okeechobee BMAP.</w:t>
      </w:r>
    </w:p>
    <w:p w14:paraId="79EEF1FF" w14:textId="77777777" w:rsidR="002F7917" w:rsidRPr="00452738" w:rsidRDefault="002F7917" w:rsidP="002F7917">
      <w:pPr>
        <w:rPr>
          <w:rFonts w:cstheme="minorHAnsi"/>
          <w:b/>
          <w:bCs/>
          <w:u w:val="single"/>
        </w:rPr>
      </w:pPr>
      <w:r w:rsidRPr="00452738">
        <w:rPr>
          <w:rFonts w:cstheme="minorHAnsi"/>
          <w:b/>
          <w:bCs/>
          <w:u w:val="single"/>
        </w:rPr>
        <w:t>Projects</w:t>
      </w:r>
    </w:p>
    <w:p w14:paraId="72A621A7" w14:textId="77777777" w:rsidR="00DF7A4A" w:rsidRPr="00DF7A4A" w:rsidRDefault="00DF7A4A" w:rsidP="00DF7A4A">
      <w:pPr>
        <w:rPr>
          <w:rFonts w:cstheme="minorHAnsi"/>
        </w:rPr>
      </w:pPr>
      <w:r w:rsidRPr="00DF7A4A">
        <w:rPr>
          <w:rFonts w:cstheme="minorHAnsi"/>
        </w:rPr>
        <w:t>Actions to Achieve Nutrient Load Reductions</w:t>
      </w:r>
    </w:p>
    <w:p w14:paraId="66FA1065" w14:textId="77777777" w:rsidR="00DF7A4A" w:rsidRPr="00DF7A4A" w:rsidRDefault="00DF7A4A" w:rsidP="00DF7A4A">
      <w:pPr>
        <w:rPr>
          <w:rFonts w:cstheme="minorHAnsi"/>
        </w:rPr>
      </w:pPr>
      <w:r w:rsidRPr="00DF7A4A">
        <w:rPr>
          <w:rFonts w:cstheme="minorHAnsi"/>
        </w:rPr>
        <w:t xml:space="preserve">The Caloosahatchee BMAP is designed to be implemented in a phased approach to allow for adaptive management. The phased BMAP approach allows for the implementation of projects designed to achieve incremental reductions, while simultaneously monitoring and conducting studies to better understand the water quality dynamics (sources and response variables) in the watershed. For the first BMAP phase, DEP focused on project implementation in the tidal subwatershed. Under the 2020 BMAP, projects and strategies are tracked in the East, West and Tidal </w:t>
      </w:r>
      <w:proofErr w:type="spellStart"/>
      <w:r w:rsidRPr="00DF7A4A">
        <w:rPr>
          <w:rFonts w:cstheme="minorHAnsi"/>
        </w:rPr>
        <w:t>subwatersheds</w:t>
      </w:r>
      <w:proofErr w:type="spellEnd"/>
      <w:r w:rsidRPr="00DF7A4A">
        <w:rPr>
          <w:rFonts w:cstheme="minorHAnsi"/>
        </w:rPr>
        <w:t>.</w:t>
      </w:r>
    </w:p>
    <w:p w14:paraId="179AA863" w14:textId="1952B15A" w:rsidR="00DF7A4A" w:rsidRPr="00DF7A4A" w:rsidRDefault="00DF7A4A" w:rsidP="00DF7A4A">
      <w:pPr>
        <w:rPr>
          <w:rFonts w:cstheme="minorHAnsi"/>
        </w:rPr>
      </w:pPr>
      <w:r w:rsidRPr="00DF7A4A">
        <w:rPr>
          <w:rFonts w:cstheme="minorHAnsi"/>
        </w:rPr>
        <w:t>All agricultural nonpoint sources in the BMAP area are statutorily required either to implement appropriate best management practices or to conduct water quality monitoring that demonstrates compliance with state water quality standards. The Florida Department of Agriculture and Consumer Services’ Office of Agricultural Water Policy, Florida Forest Service, and Division of Aquaculture develop and adopt best management practices in coordination with DEP, the University of Florida-Institute of Food and Agricultural Sciences, and applicable producer groups. Producers that choose to implement best management practices must file a signed Notice of Intent and best management practice checklist with the Florida Department of Agriculture and Consumer Services and</w:t>
      </w:r>
      <w:r w:rsidR="00A736E2">
        <w:rPr>
          <w:rFonts w:cstheme="minorHAnsi"/>
        </w:rPr>
        <w:t xml:space="preserve"> </w:t>
      </w:r>
      <w:r w:rsidR="00A736E2">
        <w:rPr>
          <w:rFonts w:cstheme="minorHAnsi"/>
          <w:color w:val="FF0000"/>
        </w:rPr>
        <w:t>properly</w:t>
      </w:r>
      <w:r w:rsidRPr="00DF7A4A">
        <w:rPr>
          <w:rFonts w:cstheme="minorHAnsi"/>
        </w:rPr>
        <w:t xml:space="preserve"> implement the applicable best management practices.</w:t>
      </w:r>
    </w:p>
    <w:p w14:paraId="5ED9B040" w14:textId="3D3AF35D" w:rsidR="00DF7A4A" w:rsidRPr="00DF7A4A" w:rsidRDefault="00DF7A4A" w:rsidP="00DF7A4A">
      <w:pPr>
        <w:rPr>
          <w:rFonts w:cstheme="minorHAnsi"/>
        </w:rPr>
      </w:pPr>
      <w:r w:rsidRPr="00DF7A4A">
        <w:rPr>
          <w:rFonts w:cstheme="minorHAnsi"/>
        </w:rPr>
        <w:t xml:space="preserve">Urban stormwater projects include best management practices such as stormwater ponds, swales, baffle boxes that remove debris, and street sweeping, as well as projects that reduce nutrient sources such as local ordinances (e.g., fertilizer and pet waste ordinances), public education, and Florida-friendly landscaping practices. These projects can occur at a variety of scales including county-wide, city-wide, and within the boundaries of special districts. Additionally, some areas may be covered by multiple programs or ordinances. </w:t>
      </w:r>
      <w:commentRangeStart w:id="2"/>
      <w:r w:rsidRPr="00DF7A4A">
        <w:rPr>
          <w:rFonts w:cstheme="minorHAnsi"/>
        </w:rPr>
        <w:t>Due to these varying scales, some projects may not be shown on this map.</w:t>
      </w:r>
      <w:commentRangeEnd w:id="2"/>
      <w:r w:rsidR="00A736E2">
        <w:rPr>
          <w:rStyle w:val="CommentReference"/>
        </w:rPr>
        <w:commentReference w:id="2"/>
      </w:r>
    </w:p>
    <w:p w14:paraId="4A8476BD" w14:textId="77777777" w:rsidR="00DF7A4A" w:rsidRPr="00DF7A4A" w:rsidRDefault="00DF7A4A" w:rsidP="00DF7A4A">
      <w:pPr>
        <w:rPr>
          <w:rFonts w:cstheme="minorHAnsi"/>
        </w:rPr>
      </w:pPr>
      <w:r w:rsidRPr="00DF7A4A">
        <w:rPr>
          <w:rFonts w:cstheme="minorHAnsi"/>
        </w:rPr>
        <w:t>Wastewater projects include reducing the nutrients discharged to the watershed and estuary by revising permits, upgrading wastewater treatment facilities, and redirecting wastewater discharges to reuse for irrigation and other water needs.</w:t>
      </w:r>
    </w:p>
    <w:p w14:paraId="56CC052E" w14:textId="77777777" w:rsidR="00DF7A4A" w:rsidRPr="00DF7A4A" w:rsidRDefault="00DF7A4A" w:rsidP="00DF7A4A">
      <w:pPr>
        <w:rPr>
          <w:rFonts w:cstheme="minorHAnsi"/>
        </w:rPr>
      </w:pPr>
    </w:p>
    <w:p w14:paraId="761372A6" w14:textId="1732837E" w:rsidR="002F7917" w:rsidRPr="00452738" w:rsidRDefault="00DF7A4A" w:rsidP="00DF7A4A">
      <w:pPr>
        <w:rPr>
          <w:rFonts w:cstheme="minorHAnsi"/>
        </w:rPr>
      </w:pPr>
      <w:r w:rsidRPr="00DF7A4A">
        <w:rPr>
          <w:rFonts w:cstheme="minorHAnsi"/>
        </w:rPr>
        <w:lastRenderedPageBreak/>
        <w:t xml:space="preserve">For more information on projects in the Caloosahatchee River and Estuary Watershed, see the 2020 </w:t>
      </w:r>
      <w:hyperlink r:id="rId12" w:history="1">
        <w:r w:rsidRPr="00DF7A4A">
          <w:rPr>
            <w:rStyle w:val="Hyperlink"/>
            <w:rFonts w:cstheme="minorHAnsi"/>
          </w:rPr>
          <w:t>BMAP</w:t>
        </w:r>
      </w:hyperlink>
      <w:r w:rsidRPr="00DF7A4A">
        <w:rPr>
          <w:rFonts w:cstheme="minorHAnsi"/>
        </w:rPr>
        <w:t>.</w:t>
      </w:r>
    </w:p>
    <w:p w14:paraId="632247F5" w14:textId="77777777" w:rsidR="002F7917" w:rsidRPr="00971BF4" w:rsidRDefault="002F7917" w:rsidP="002F7917">
      <w:pPr>
        <w:rPr>
          <w:rFonts w:cstheme="minorHAnsi"/>
          <w:b/>
          <w:bCs/>
          <w:u w:val="single"/>
        </w:rPr>
      </w:pPr>
      <w:r w:rsidRPr="00971BF4">
        <w:rPr>
          <w:rFonts w:cstheme="minorHAnsi"/>
          <w:b/>
          <w:bCs/>
          <w:u w:val="single"/>
        </w:rPr>
        <w:t>Progress</w:t>
      </w:r>
    </w:p>
    <w:p w14:paraId="352F735F" w14:textId="5A4356E4" w:rsidR="002F7917" w:rsidRPr="00BA223E" w:rsidRDefault="002F7917" w:rsidP="002F7917">
      <w:pPr>
        <w:rPr>
          <w:rFonts w:cstheme="minorHAnsi"/>
        </w:rPr>
      </w:pPr>
      <w:r w:rsidRPr="00971BF4">
        <w:rPr>
          <w:rFonts w:cstheme="minorHAnsi"/>
        </w:rPr>
        <w:t xml:space="preserve">Information on progress in the </w:t>
      </w:r>
      <w:r w:rsidR="001C6A0F">
        <w:rPr>
          <w:rFonts w:cstheme="minorHAnsi"/>
        </w:rPr>
        <w:t>Caloosahatchee</w:t>
      </w:r>
      <w:r w:rsidRPr="00971BF4">
        <w:rPr>
          <w:rFonts w:cstheme="minorHAnsi"/>
        </w:rPr>
        <w:t xml:space="preserve"> BMAP can be found in the latest </w:t>
      </w:r>
      <w:commentRangeStart w:id="3"/>
      <w:r w:rsidR="00B27ADE">
        <w:rPr>
          <w:rFonts w:cstheme="minorHAnsi"/>
        </w:rPr>
        <w:fldChar w:fldCharType="begin"/>
      </w:r>
      <w:r w:rsidR="00B27ADE">
        <w:rPr>
          <w:rFonts w:cstheme="minorHAnsi"/>
        </w:rPr>
        <w:instrText xml:space="preserve"> HYPERLINK "https://floridadep.gov/dear/water-quality-restoration/content/statewide-annual-report" </w:instrText>
      </w:r>
      <w:r w:rsidR="00B27ADE">
        <w:rPr>
          <w:rFonts w:cstheme="minorHAnsi"/>
        </w:rPr>
        <w:fldChar w:fldCharType="separate"/>
      </w:r>
      <w:r w:rsidRPr="00B27ADE">
        <w:rPr>
          <w:rStyle w:val="Hyperlink"/>
          <w:rFonts w:cstheme="minorHAnsi"/>
        </w:rPr>
        <w:t>Statewide Annual Report</w:t>
      </w:r>
      <w:r w:rsidR="00B27ADE">
        <w:rPr>
          <w:rFonts w:cstheme="minorHAnsi"/>
        </w:rPr>
        <w:fldChar w:fldCharType="end"/>
      </w:r>
      <w:commentRangeEnd w:id="3"/>
      <w:r w:rsidR="00DF7A4A">
        <w:rPr>
          <w:rStyle w:val="CommentReference"/>
        </w:rPr>
        <w:commentReference w:id="3"/>
      </w:r>
      <w:r w:rsidRPr="00BA223E">
        <w:rPr>
          <w:rFonts w:cstheme="minorHAnsi"/>
        </w:rPr>
        <w:t xml:space="preserve"> and in the </w:t>
      </w:r>
      <w:hyperlink r:id="rId13" w:history="1">
        <w:r w:rsidRPr="00E95255">
          <w:rPr>
            <w:rStyle w:val="Hyperlink"/>
            <w:rFonts w:cstheme="minorHAnsi"/>
          </w:rPr>
          <w:t>2020 BMAP Report</w:t>
        </w:r>
      </w:hyperlink>
      <w:r w:rsidRPr="00BA223E">
        <w:rPr>
          <w:rFonts w:cstheme="minorHAnsi"/>
        </w:rPr>
        <w:t>.</w:t>
      </w:r>
    </w:p>
    <w:p w14:paraId="6BFD13AD" w14:textId="77777777" w:rsidR="00DF7A4A" w:rsidRPr="00DF7A4A" w:rsidRDefault="00DF7A4A" w:rsidP="00DF7A4A">
      <w:pPr>
        <w:rPr>
          <w:rFonts w:cstheme="minorHAnsi"/>
        </w:rPr>
      </w:pPr>
      <w:r w:rsidRPr="00DF7A4A">
        <w:rPr>
          <w:rFonts w:cstheme="minorHAnsi"/>
        </w:rPr>
        <w:t>The Caloosahatchee Estuary TMDL adopted in 2009 is a 23% reduction in loads to the estuary. The TMDL adopted in 2019 for the 5 tributaries requires load reductions in TN and TP in the tributary watersheds.</w:t>
      </w:r>
    </w:p>
    <w:p w14:paraId="2A0A810B" w14:textId="3AF6DFE1" w:rsidR="002F7917" w:rsidRDefault="00DF7A4A" w:rsidP="00DF7A4A">
      <w:pPr>
        <w:rPr>
          <w:rFonts w:cstheme="minorHAnsi"/>
        </w:rPr>
      </w:pPr>
      <w:r w:rsidRPr="00DF7A4A">
        <w:rPr>
          <w:rFonts w:cstheme="minorHAnsi"/>
        </w:rPr>
        <w:t>The 5-Year Review of the Caloosahatchee Estuary BMAP, completed in December 2017, included reporting on progress to date and recommendations that were incorporated into the 2020 BMAP. New projects will continue to be developed and identified in conjunction with local stakeholders, and several Coordinating Agency initiatives are underway to plan for projects and gather additional data. Through December 31, 20</w:t>
      </w:r>
      <w:r>
        <w:rPr>
          <w:rFonts w:cstheme="minorHAnsi"/>
        </w:rPr>
        <w:t>20</w:t>
      </w:r>
      <w:r w:rsidRPr="00DF7A4A">
        <w:rPr>
          <w:rFonts w:cstheme="minorHAnsi"/>
        </w:rPr>
        <w:t xml:space="preserve">, </w:t>
      </w:r>
      <w:r w:rsidRPr="00C94D84">
        <w:rPr>
          <w:rFonts w:cstheme="minorHAnsi"/>
          <w:color w:val="FF0000"/>
          <w:highlight w:val="yellow"/>
        </w:rPr>
        <w:t>117</w:t>
      </w:r>
      <w:r w:rsidRPr="00C94D84">
        <w:rPr>
          <w:rFonts w:cstheme="minorHAnsi"/>
          <w:highlight w:val="yellow"/>
        </w:rPr>
        <w:t xml:space="preserve"> projects were completed</w:t>
      </w:r>
      <w:r w:rsidR="00C94D84" w:rsidRPr="00C94D84">
        <w:rPr>
          <w:rFonts w:cstheme="minorHAnsi"/>
          <w:highlight w:val="yellow"/>
        </w:rPr>
        <w:t xml:space="preserve"> and </w:t>
      </w:r>
      <w:commentRangeStart w:id="4"/>
      <w:r w:rsidR="00A11C29">
        <w:rPr>
          <w:rFonts w:cstheme="minorHAnsi"/>
          <w:color w:val="FF0000"/>
          <w:highlight w:val="yellow"/>
        </w:rPr>
        <w:t>37</w:t>
      </w:r>
      <w:r w:rsidR="007F40DC">
        <w:rPr>
          <w:rFonts w:cstheme="minorHAnsi"/>
          <w:color w:val="FF0000"/>
          <w:highlight w:val="yellow"/>
        </w:rPr>
        <w:t xml:space="preserve"> </w:t>
      </w:r>
      <w:r w:rsidR="00C94D84" w:rsidRPr="00C94D84">
        <w:rPr>
          <w:rFonts w:cstheme="minorHAnsi"/>
          <w:color w:val="FF0000"/>
          <w:highlight w:val="yellow"/>
        </w:rPr>
        <w:t>were ongoing</w:t>
      </w:r>
      <w:commentRangeEnd w:id="4"/>
      <w:r w:rsidR="00C94D84" w:rsidRPr="00C94D84">
        <w:rPr>
          <w:rStyle w:val="CommentReference"/>
          <w:highlight w:val="yellow"/>
        </w:rPr>
        <w:commentReference w:id="4"/>
      </w:r>
      <w:r w:rsidRPr="00C94D84">
        <w:rPr>
          <w:rFonts w:cstheme="minorHAnsi"/>
          <w:highlight w:val="yellow"/>
        </w:rPr>
        <w:t xml:space="preserve">. An additional </w:t>
      </w:r>
      <w:r w:rsidR="00A11C29">
        <w:rPr>
          <w:rFonts w:cstheme="minorHAnsi"/>
          <w:color w:val="FF0000"/>
          <w:highlight w:val="yellow"/>
        </w:rPr>
        <w:t>77</w:t>
      </w:r>
      <w:r w:rsidRPr="00C94D84">
        <w:rPr>
          <w:rFonts w:cstheme="minorHAnsi"/>
          <w:highlight w:val="yellow"/>
        </w:rPr>
        <w:t xml:space="preserve"> projects were identified as</w:t>
      </w:r>
      <w:r w:rsidRPr="00C94D84">
        <w:rPr>
          <w:rFonts w:cstheme="minorHAnsi"/>
          <w:color w:val="FF0000"/>
          <w:highlight w:val="yellow"/>
        </w:rPr>
        <w:t xml:space="preserve"> </w:t>
      </w:r>
      <w:r w:rsidRPr="00C94D84">
        <w:rPr>
          <w:rFonts w:cstheme="minorHAnsi"/>
          <w:highlight w:val="yellow"/>
        </w:rPr>
        <w:t>underway or planned.</w:t>
      </w:r>
    </w:p>
    <w:p w14:paraId="4EECFBF6" w14:textId="77777777" w:rsidR="00C94D84" w:rsidRDefault="00C94D84" w:rsidP="00DF7A4A">
      <w:pPr>
        <w:rPr>
          <w:rFonts w:cstheme="minorHAnsi"/>
        </w:rPr>
      </w:pPr>
    </w:p>
    <w:p w14:paraId="7DC675A4" w14:textId="77777777" w:rsidR="00357BA7" w:rsidRPr="00971BF4" w:rsidRDefault="00357BA7" w:rsidP="00DF7A4A">
      <w:pPr>
        <w:rPr>
          <w:rFonts w:cstheme="minorHAnsi"/>
          <w:b/>
          <w:bCs/>
          <w:u w:val="single"/>
        </w:rPr>
      </w:pPr>
    </w:p>
    <w:p w14:paraId="70054F58" w14:textId="77777777" w:rsidR="002F7917" w:rsidRPr="00971BF4" w:rsidRDefault="002F7917" w:rsidP="002F7917">
      <w:pPr>
        <w:rPr>
          <w:rFonts w:cstheme="minorHAnsi"/>
          <w:b/>
          <w:bCs/>
          <w:u w:val="single"/>
        </w:rPr>
      </w:pPr>
      <w:r w:rsidRPr="00971BF4">
        <w:rPr>
          <w:rFonts w:cstheme="minorHAnsi"/>
          <w:b/>
          <w:bCs/>
          <w:u w:val="single"/>
        </w:rPr>
        <w:t>Contacts and More Information</w:t>
      </w:r>
    </w:p>
    <w:p w14:paraId="16C1E6B2" w14:textId="4AF2C6EC" w:rsidR="002F7917" w:rsidRPr="00BA223E" w:rsidRDefault="002F7917" w:rsidP="002F7917">
      <w:pPr>
        <w:rPr>
          <w:rFonts w:cstheme="minorHAnsi"/>
        </w:rPr>
      </w:pPr>
      <w:r w:rsidRPr="00971BF4">
        <w:rPr>
          <w:rFonts w:cstheme="minorHAnsi"/>
        </w:rPr>
        <w:t xml:space="preserve">For more information on the </w:t>
      </w:r>
      <w:r w:rsidR="00502373">
        <w:rPr>
          <w:rFonts w:cstheme="minorHAnsi"/>
        </w:rPr>
        <w:t xml:space="preserve">Caloosahatchee </w:t>
      </w:r>
      <w:r w:rsidRPr="00BA223E">
        <w:rPr>
          <w:rFonts w:cstheme="minorHAnsi"/>
        </w:rPr>
        <w:t>BMAP, please contact:</w:t>
      </w:r>
    </w:p>
    <w:p w14:paraId="27BBFABB" w14:textId="78B2F45F" w:rsidR="002F7917" w:rsidRPr="00BA223E" w:rsidRDefault="00357BA7" w:rsidP="002F7917">
      <w:pPr>
        <w:rPr>
          <w:rFonts w:cstheme="minorHAnsi"/>
        </w:rPr>
      </w:pPr>
      <w:r>
        <w:rPr>
          <w:rFonts w:cstheme="minorHAnsi"/>
        </w:rPr>
        <w:t>Sara Davis</w:t>
      </w:r>
    </w:p>
    <w:p w14:paraId="718E9705" w14:textId="4C9C5126" w:rsidR="002F7917" w:rsidRDefault="002F7917" w:rsidP="002F7917">
      <w:pPr>
        <w:rPr>
          <w:rFonts w:cstheme="minorHAnsi"/>
        </w:rPr>
      </w:pPr>
      <w:r w:rsidRPr="00BA223E">
        <w:rPr>
          <w:rFonts w:cstheme="minorHAnsi"/>
        </w:rPr>
        <w:t>Voice: 850-245-</w:t>
      </w:r>
      <w:r w:rsidR="00BA7FC7">
        <w:rPr>
          <w:rFonts w:cstheme="minorHAnsi"/>
        </w:rPr>
        <w:t>8825</w:t>
      </w:r>
    </w:p>
    <w:p w14:paraId="606C2AD7" w14:textId="61D95F96" w:rsidR="00BA7FC7" w:rsidRDefault="00BA7FC7" w:rsidP="00BA7FC7">
      <w:pPr>
        <w:rPr>
          <w:rFonts w:cstheme="minorHAnsi"/>
        </w:rPr>
      </w:pPr>
      <w:r>
        <w:rPr>
          <w:rFonts w:cstheme="minorHAnsi"/>
        </w:rPr>
        <w:t>E</w:t>
      </w:r>
      <w:r w:rsidRPr="00BA223E">
        <w:rPr>
          <w:rFonts w:cstheme="minorHAnsi"/>
        </w:rPr>
        <w:t xml:space="preserve">-mail </w:t>
      </w:r>
      <w:hyperlink r:id="rId14" w:history="1">
        <w:r w:rsidRPr="00695DB3">
          <w:rPr>
            <w:rStyle w:val="Hyperlink"/>
            <w:rFonts w:cstheme="minorHAnsi"/>
          </w:rPr>
          <w:t>Sara.C.Davis@FloridaDEP.gov</w:t>
        </w:r>
      </w:hyperlink>
    </w:p>
    <w:p w14:paraId="7E53658F" w14:textId="77777777" w:rsidR="00BA7FC7" w:rsidRPr="00BA223E" w:rsidRDefault="00BA7FC7" w:rsidP="002F7917">
      <w:pPr>
        <w:rPr>
          <w:rFonts w:cstheme="minorHAnsi"/>
        </w:rPr>
      </w:pPr>
    </w:p>
    <w:p w14:paraId="7A1D9218" w14:textId="4DBB9BD3" w:rsidR="00BA7FC7" w:rsidRDefault="002F7917" w:rsidP="00BA7FC7">
      <w:pPr>
        <w:pStyle w:val="NormalWeb"/>
        <w:shd w:val="clear" w:color="auto" w:fill="FFFFFF"/>
        <w:spacing w:before="120" w:beforeAutospacing="0" w:after="120" w:afterAutospacing="0"/>
        <w:rPr>
          <w:rFonts w:ascii="open_sansregular" w:hAnsi="open_sansregular"/>
          <w:color w:val="333333"/>
          <w:sz w:val="19"/>
          <w:szCs w:val="19"/>
        </w:rPr>
      </w:pPr>
      <w:r w:rsidRPr="00BA223E">
        <w:rPr>
          <w:rFonts w:cstheme="minorHAnsi"/>
        </w:rPr>
        <w:t xml:space="preserve"> </w:t>
      </w:r>
      <w:r w:rsidR="00BA7FC7">
        <w:rPr>
          <w:rStyle w:val="Strong"/>
          <w:rFonts w:ascii="open_sanssemibold" w:hAnsi="open_sanssemibold"/>
          <w:color w:val="333333"/>
        </w:rPr>
        <w:t>Data Downloads</w:t>
      </w:r>
    </w:p>
    <w:commentRangeStart w:id="6"/>
    <w:p w14:paraId="5B7A9210" w14:textId="77777777" w:rsidR="00BA7FC7" w:rsidRDefault="00BA7FC7" w:rsidP="00BA7FC7">
      <w:pPr>
        <w:pStyle w:val="NormalWeb"/>
        <w:shd w:val="clear" w:color="auto" w:fill="FFFFFF"/>
        <w:spacing w:before="120" w:beforeAutospacing="0" w:after="120" w:afterAutospacing="0"/>
        <w:rPr>
          <w:rFonts w:ascii="open_sansregular" w:hAnsi="open_sansregular"/>
          <w:color w:val="333333"/>
          <w:sz w:val="19"/>
          <w:szCs w:val="19"/>
        </w:rPr>
      </w:pPr>
      <w:r>
        <w:rPr>
          <w:rFonts w:ascii="open_sansregular" w:hAnsi="open_sansregular"/>
          <w:color w:val="333333"/>
          <w:sz w:val="19"/>
          <w:szCs w:val="19"/>
        </w:rPr>
        <w:fldChar w:fldCharType="begin"/>
      </w:r>
      <w:r>
        <w:rPr>
          <w:rFonts w:ascii="open_sansregular" w:hAnsi="open_sansregular"/>
          <w:color w:val="333333"/>
          <w:sz w:val="19"/>
          <w:szCs w:val="19"/>
        </w:rPr>
        <w:instrText xml:space="preserve"> HYPERLINK "https://fdep.maps.arcgis.com/home/item.html?id=a72d0aa2150f47f8bf89a689e6b79fbb" \t "_blank" </w:instrText>
      </w:r>
      <w:r>
        <w:rPr>
          <w:rFonts w:ascii="open_sansregular" w:hAnsi="open_sansregular"/>
          <w:color w:val="333333"/>
          <w:sz w:val="19"/>
          <w:szCs w:val="19"/>
        </w:rPr>
        <w:fldChar w:fldCharType="separate"/>
      </w:r>
      <w:r>
        <w:rPr>
          <w:rStyle w:val="Strong"/>
          <w:rFonts w:ascii="open_sanssemibold" w:hAnsi="open_sanssemibold"/>
          <w:color w:val="0000FF"/>
          <w:sz w:val="21"/>
          <w:szCs w:val="21"/>
          <w:u w:val="single"/>
        </w:rPr>
        <w:t>Caloosahatchee Project Data</w:t>
      </w:r>
      <w:r>
        <w:rPr>
          <w:rFonts w:ascii="open_sansregular" w:hAnsi="open_sansregular"/>
          <w:color w:val="333333"/>
          <w:sz w:val="19"/>
          <w:szCs w:val="19"/>
        </w:rPr>
        <w:fldChar w:fldCharType="end"/>
      </w:r>
      <w:commentRangeEnd w:id="6"/>
      <w:r>
        <w:rPr>
          <w:rStyle w:val="CommentReference"/>
          <w:rFonts w:asciiTheme="minorHAnsi" w:eastAsiaTheme="minorHAnsi" w:hAnsiTheme="minorHAnsi" w:cstheme="minorBidi"/>
        </w:rPr>
        <w:commentReference w:id="6"/>
      </w:r>
    </w:p>
    <w:commentRangeStart w:id="7"/>
    <w:p w14:paraId="084246A8" w14:textId="77777777" w:rsidR="00BA7FC7" w:rsidRPr="00BA7FC7" w:rsidRDefault="00BA7FC7" w:rsidP="00BA7FC7">
      <w:pPr>
        <w:pStyle w:val="NormalWeb"/>
        <w:shd w:val="clear" w:color="auto" w:fill="FFFFFF"/>
        <w:spacing w:before="120" w:beforeAutospacing="0" w:after="120" w:afterAutospacing="0"/>
        <w:rPr>
          <w:rFonts w:ascii="open_sansregular" w:hAnsi="open_sansregular"/>
          <w:color w:val="333333"/>
          <w:sz w:val="19"/>
          <w:szCs w:val="19"/>
          <w:highlight w:val="yellow"/>
        </w:rPr>
      </w:pPr>
      <w:r w:rsidRPr="00BA7FC7">
        <w:rPr>
          <w:rFonts w:ascii="open_sansregular" w:hAnsi="open_sansregular"/>
          <w:color w:val="333333"/>
          <w:sz w:val="19"/>
          <w:szCs w:val="19"/>
          <w:highlight w:val="yellow"/>
        </w:rPr>
        <w:fldChar w:fldCharType="begin"/>
      </w:r>
      <w:r w:rsidRPr="00BA7FC7">
        <w:rPr>
          <w:rFonts w:ascii="open_sansregular" w:hAnsi="open_sansregular"/>
          <w:color w:val="333333"/>
          <w:sz w:val="19"/>
          <w:szCs w:val="19"/>
          <w:highlight w:val="yellow"/>
        </w:rPr>
        <w:instrText xml:space="preserve"> HYPERLINK "https://fdep.maps.arcgis.com/home/item.html?id=7752963a8a944f8b974782d2e9cf536e" \t "_blank" </w:instrText>
      </w:r>
      <w:r w:rsidRPr="00BA7FC7">
        <w:rPr>
          <w:rFonts w:ascii="open_sansregular" w:hAnsi="open_sansregular"/>
          <w:color w:val="333333"/>
          <w:sz w:val="19"/>
          <w:szCs w:val="19"/>
          <w:highlight w:val="yellow"/>
        </w:rPr>
        <w:fldChar w:fldCharType="separate"/>
      </w:r>
      <w:r w:rsidRPr="00BA7FC7">
        <w:rPr>
          <w:rStyle w:val="Strong"/>
          <w:rFonts w:ascii="open_sanssemibold" w:hAnsi="open_sanssemibold"/>
          <w:color w:val="0000FF"/>
          <w:sz w:val="21"/>
          <w:szCs w:val="21"/>
          <w:highlight w:val="yellow"/>
          <w:u w:val="single"/>
        </w:rPr>
        <w:t>Caloosahatchee Subwatersheds</w:t>
      </w:r>
      <w:r w:rsidRPr="00BA7FC7">
        <w:rPr>
          <w:rFonts w:ascii="open_sansregular" w:hAnsi="open_sansregular"/>
          <w:color w:val="333333"/>
          <w:sz w:val="19"/>
          <w:szCs w:val="19"/>
          <w:highlight w:val="yellow"/>
        </w:rPr>
        <w:fldChar w:fldCharType="end"/>
      </w:r>
    </w:p>
    <w:p w14:paraId="719D6283" w14:textId="77777777" w:rsidR="00BA7FC7" w:rsidRDefault="00F61F3C" w:rsidP="00BA7FC7">
      <w:pPr>
        <w:pStyle w:val="NormalWeb"/>
        <w:shd w:val="clear" w:color="auto" w:fill="FFFFFF"/>
        <w:spacing w:before="120" w:beforeAutospacing="0" w:after="120" w:afterAutospacing="0"/>
        <w:rPr>
          <w:rFonts w:ascii="open_sansregular" w:hAnsi="open_sansregular"/>
          <w:color w:val="333333"/>
          <w:sz w:val="19"/>
          <w:szCs w:val="19"/>
        </w:rPr>
      </w:pPr>
      <w:hyperlink r:id="rId15" w:tgtFrame="_blank" w:history="1">
        <w:r w:rsidR="00BA7FC7" w:rsidRPr="00BA7FC7">
          <w:rPr>
            <w:rStyle w:val="Strong"/>
            <w:rFonts w:ascii="open_sanssemibold" w:hAnsi="open_sanssemibold"/>
            <w:color w:val="0000FF"/>
            <w:sz w:val="21"/>
            <w:szCs w:val="21"/>
            <w:highlight w:val="yellow"/>
            <w:u w:val="single"/>
          </w:rPr>
          <w:t>BMAP Boundaries</w:t>
        </w:r>
      </w:hyperlink>
      <w:commentRangeEnd w:id="7"/>
      <w:r w:rsidR="00BA7FC7" w:rsidRPr="00BA7FC7">
        <w:rPr>
          <w:rStyle w:val="CommentReference"/>
          <w:rFonts w:asciiTheme="minorHAnsi" w:eastAsiaTheme="minorHAnsi" w:hAnsiTheme="minorHAnsi" w:cstheme="minorBidi"/>
          <w:highlight w:val="yellow"/>
        </w:rPr>
        <w:commentReference w:id="7"/>
      </w:r>
    </w:p>
    <w:p w14:paraId="2C0585EC" w14:textId="77777777" w:rsidR="00BA7FC7" w:rsidRDefault="00BA7FC7" w:rsidP="00357BA7">
      <w:pPr>
        <w:rPr>
          <w:rFonts w:cstheme="minorHAnsi"/>
        </w:rPr>
      </w:pPr>
    </w:p>
    <w:p w14:paraId="1617E72A" w14:textId="34D00DF5" w:rsidR="00357BA7" w:rsidRDefault="00357BA7" w:rsidP="002F7917">
      <w:pPr>
        <w:rPr>
          <w:rFonts w:cstheme="minorHAnsi"/>
        </w:rPr>
      </w:pPr>
      <w:r w:rsidRPr="00452738">
        <w:rPr>
          <w:rFonts w:cstheme="minorHAnsi"/>
        </w:rPr>
        <w:t>For more information on the Division of Environmental Assessment and Restoration's BMAP program, clic</w:t>
      </w:r>
      <w:r>
        <w:rPr>
          <w:rFonts w:cstheme="minorHAnsi"/>
        </w:rPr>
        <w:t xml:space="preserve">k </w:t>
      </w:r>
      <w:hyperlink r:id="rId16" w:history="1">
        <w:r w:rsidRPr="00117C4B">
          <w:rPr>
            <w:rStyle w:val="Hyperlink"/>
            <w:rFonts w:cstheme="minorHAnsi"/>
          </w:rPr>
          <w:t>here</w:t>
        </w:r>
      </w:hyperlink>
      <w:r>
        <w:rPr>
          <w:rFonts w:cstheme="minorHAnsi"/>
        </w:rPr>
        <w:t>.</w:t>
      </w:r>
    </w:p>
    <w:p w14:paraId="2CB42D12" w14:textId="1731E6CE" w:rsidR="00A11C29" w:rsidRDefault="00A11C29" w:rsidP="002F7917">
      <w:pPr>
        <w:rPr>
          <w:rFonts w:cstheme="minorHAnsi"/>
        </w:rPr>
      </w:pPr>
    </w:p>
    <w:p w14:paraId="70702973" w14:textId="19F31EF6" w:rsidR="00A11C29" w:rsidRDefault="00A11C29" w:rsidP="002F7917">
      <w:pPr>
        <w:rPr>
          <w:rFonts w:cstheme="minorHAnsi"/>
        </w:rPr>
      </w:pPr>
    </w:p>
    <w:p w14:paraId="1EF77259" w14:textId="15EA95E7" w:rsidR="00A11C29" w:rsidRDefault="00A11C29" w:rsidP="002F7917">
      <w:pPr>
        <w:rPr>
          <w:rFonts w:cstheme="minorHAnsi"/>
        </w:rPr>
      </w:pPr>
    </w:p>
    <w:p w14:paraId="63858307" w14:textId="77777777" w:rsidR="00A11C29" w:rsidRDefault="00A11C29" w:rsidP="002F7917">
      <w:pPr>
        <w:rPr>
          <w:rFonts w:cstheme="minorHAnsi"/>
        </w:rPr>
      </w:pPr>
    </w:p>
    <w:tbl>
      <w:tblPr>
        <w:tblW w:w="8905" w:type="dxa"/>
        <w:tblLook w:val="04A0" w:firstRow="1" w:lastRow="0" w:firstColumn="1" w:lastColumn="0" w:noHBand="0" w:noVBand="1"/>
      </w:tblPr>
      <w:tblGrid>
        <w:gridCol w:w="3441"/>
        <w:gridCol w:w="1309"/>
        <w:gridCol w:w="1077"/>
        <w:gridCol w:w="1247"/>
        <w:gridCol w:w="1052"/>
        <w:gridCol w:w="779"/>
      </w:tblGrid>
      <w:tr w:rsidR="00A11C29" w:rsidRPr="00A11C29" w14:paraId="4FBFFD9A" w14:textId="77777777" w:rsidTr="00A11C29">
        <w:trPr>
          <w:trHeight w:val="288"/>
        </w:trPr>
        <w:tc>
          <w:tcPr>
            <w:tcW w:w="344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083CDCB" w14:textId="77777777" w:rsidR="00A11C29" w:rsidRPr="00A11C29" w:rsidRDefault="00A11C29" w:rsidP="00A11C29">
            <w:pPr>
              <w:spacing w:after="0" w:line="240" w:lineRule="auto"/>
              <w:jc w:val="center"/>
              <w:rPr>
                <w:rFonts w:ascii="Calibri" w:eastAsia="Times New Roman" w:hAnsi="Calibri" w:cs="Calibri"/>
                <w:color w:val="000000"/>
              </w:rPr>
            </w:pPr>
            <w:proofErr w:type="spellStart"/>
            <w:r w:rsidRPr="00A11C29">
              <w:rPr>
                <w:rFonts w:ascii="Calibri" w:eastAsia="Times New Roman" w:hAnsi="Calibri" w:cs="Calibri"/>
                <w:color w:val="000000"/>
              </w:rPr>
              <w:lastRenderedPageBreak/>
              <w:t>LeadEntity</w:t>
            </w:r>
            <w:proofErr w:type="spellEnd"/>
          </w:p>
        </w:tc>
        <w:tc>
          <w:tcPr>
            <w:tcW w:w="1309" w:type="dxa"/>
            <w:tcBorders>
              <w:top w:val="single" w:sz="4" w:space="0" w:color="auto"/>
              <w:left w:val="nil"/>
              <w:bottom w:val="single" w:sz="4" w:space="0" w:color="auto"/>
              <w:right w:val="single" w:sz="4" w:space="0" w:color="auto"/>
            </w:tcBorders>
            <w:shd w:val="clear" w:color="000000" w:fill="D9E1F2"/>
            <w:noWrap/>
            <w:vAlign w:val="center"/>
            <w:hideMark/>
          </w:tcPr>
          <w:p w14:paraId="7B7A9D2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Completed</w:t>
            </w:r>
          </w:p>
        </w:tc>
        <w:tc>
          <w:tcPr>
            <w:tcW w:w="1077" w:type="dxa"/>
            <w:tcBorders>
              <w:top w:val="single" w:sz="4" w:space="0" w:color="auto"/>
              <w:left w:val="nil"/>
              <w:bottom w:val="single" w:sz="4" w:space="0" w:color="auto"/>
              <w:right w:val="single" w:sz="4" w:space="0" w:color="auto"/>
            </w:tcBorders>
            <w:shd w:val="clear" w:color="000000" w:fill="D9E1F2"/>
            <w:noWrap/>
            <w:vAlign w:val="center"/>
            <w:hideMark/>
          </w:tcPr>
          <w:p w14:paraId="29EC4BD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Ongoing</w:t>
            </w:r>
          </w:p>
        </w:tc>
        <w:tc>
          <w:tcPr>
            <w:tcW w:w="1247" w:type="dxa"/>
            <w:tcBorders>
              <w:top w:val="single" w:sz="4" w:space="0" w:color="auto"/>
              <w:left w:val="nil"/>
              <w:bottom w:val="single" w:sz="4" w:space="0" w:color="auto"/>
              <w:right w:val="single" w:sz="4" w:space="0" w:color="auto"/>
            </w:tcBorders>
            <w:shd w:val="clear" w:color="000000" w:fill="D9E1F2"/>
            <w:noWrap/>
            <w:vAlign w:val="center"/>
            <w:hideMark/>
          </w:tcPr>
          <w:p w14:paraId="6926736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Underway</w:t>
            </w:r>
          </w:p>
        </w:tc>
        <w:tc>
          <w:tcPr>
            <w:tcW w:w="1052" w:type="dxa"/>
            <w:tcBorders>
              <w:top w:val="single" w:sz="4" w:space="0" w:color="auto"/>
              <w:left w:val="nil"/>
              <w:bottom w:val="single" w:sz="4" w:space="0" w:color="auto"/>
              <w:right w:val="single" w:sz="4" w:space="0" w:color="auto"/>
            </w:tcBorders>
            <w:shd w:val="clear" w:color="000000" w:fill="D9E1F2"/>
            <w:noWrap/>
            <w:vAlign w:val="center"/>
            <w:hideMark/>
          </w:tcPr>
          <w:p w14:paraId="03266A1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Planned</w:t>
            </w:r>
          </w:p>
        </w:tc>
        <w:tc>
          <w:tcPr>
            <w:tcW w:w="779" w:type="dxa"/>
            <w:tcBorders>
              <w:top w:val="single" w:sz="4" w:space="0" w:color="auto"/>
              <w:left w:val="nil"/>
              <w:bottom w:val="single" w:sz="4" w:space="0" w:color="auto"/>
              <w:right w:val="single" w:sz="4" w:space="0" w:color="auto"/>
            </w:tcBorders>
            <w:shd w:val="clear" w:color="000000" w:fill="D9E1F2"/>
            <w:noWrap/>
            <w:vAlign w:val="center"/>
            <w:hideMark/>
          </w:tcPr>
          <w:p w14:paraId="73C10A9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Total</w:t>
            </w:r>
          </w:p>
        </w:tc>
      </w:tr>
      <w:tr w:rsidR="00A11C29" w:rsidRPr="00A11C29" w14:paraId="7267A2B1"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1370D71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Barron WCD</w:t>
            </w:r>
          </w:p>
        </w:tc>
        <w:tc>
          <w:tcPr>
            <w:tcW w:w="1309" w:type="dxa"/>
            <w:tcBorders>
              <w:top w:val="nil"/>
              <w:left w:val="nil"/>
              <w:bottom w:val="single" w:sz="4" w:space="0" w:color="auto"/>
              <w:right w:val="single" w:sz="4" w:space="0" w:color="auto"/>
            </w:tcBorders>
            <w:shd w:val="clear" w:color="auto" w:fill="auto"/>
            <w:noWrap/>
            <w:vAlign w:val="center"/>
            <w:hideMark/>
          </w:tcPr>
          <w:p w14:paraId="6AF82E2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77" w:type="dxa"/>
            <w:tcBorders>
              <w:top w:val="nil"/>
              <w:left w:val="nil"/>
              <w:bottom w:val="single" w:sz="4" w:space="0" w:color="auto"/>
              <w:right w:val="single" w:sz="4" w:space="0" w:color="auto"/>
            </w:tcBorders>
            <w:shd w:val="clear" w:color="auto" w:fill="auto"/>
            <w:noWrap/>
            <w:vAlign w:val="center"/>
            <w:hideMark/>
          </w:tcPr>
          <w:p w14:paraId="4E103D4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600AB66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1604C52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500BDE9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6A25C23D"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CD95DF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Charlotte County</w:t>
            </w:r>
          </w:p>
        </w:tc>
        <w:tc>
          <w:tcPr>
            <w:tcW w:w="1309" w:type="dxa"/>
            <w:tcBorders>
              <w:top w:val="nil"/>
              <w:left w:val="nil"/>
              <w:bottom w:val="single" w:sz="4" w:space="0" w:color="auto"/>
              <w:right w:val="single" w:sz="4" w:space="0" w:color="auto"/>
            </w:tcBorders>
            <w:shd w:val="clear" w:color="auto" w:fill="auto"/>
            <w:noWrap/>
            <w:vAlign w:val="center"/>
            <w:hideMark/>
          </w:tcPr>
          <w:p w14:paraId="09F64B0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48A85EB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7E47A91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1E2FB4A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2732FD2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r>
      <w:tr w:rsidR="00A11C29" w:rsidRPr="00A11C29" w14:paraId="0BCE37E8"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4599838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City of Cape Coral</w:t>
            </w:r>
          </w:p>
        </w:tc>
        <w:tc>
          <w:tcPr>
            <w:tcW w:w="1309" w:type="dxa"/>
            <w:tcBorders>
              <w:top w:val="nil"/>
              <w:left w:val="nil"/>
              <w:bottom w:val="single" w:sz="4" w:space="0" w:color="auto"/>
              <w:right w:val="single" w:sz="4" w:space="0" w:color="auto"/>
            </w:tcBorders>
            <w:shd w:val="clear" w:color="auto" w:fill="auto"/>
            <w:noWrap/>
            <w:vAlign w:val="center"/>
            <w:hideMark/>
          </w:tcPr>
          <w:p w14:paraId="2D5815C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15</w:t>
            </w:r>
          </w:p>
        </w:tc>
        <w:tc>
          <w:tcPr>
            <w:tcW w:w="1077" w:type="dxa"/>
            <w:tcBorders>
              <w:top w:val="nil"/>
              <w:left w:val="nil"/>
              <w:bottom w:val="single" w:sz="4" w:space="0" w:color="auto"/>
              <w:right w:val="single" w:sz="4" w:space="0" w:color="auto"/>
            </w:tcBorders>
            <w:shd w:val="clear" w:color="auto" w:fill="auto"/>
            <w:noWrap/>
            <w:vAlign w:val="center"/>
            <w:hideMark/>
          </w:tcPr>
          <w:p w14:paraId="2747780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7BD4D2D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52" w:type="dxa"/>
            <w:tcBorders>
              <w:top w:val="nil"/>
              <w:left w:val="nil"/>
              <w:bottom w:val="single" w:sz="4" w:space="0" w:color="auto"/>
              <w:right w:val="single" w:sz="4" w:space="0" w:color="auto"/>
            </w:tcBorders>
            <w:shd w:val="clear" w:color="auto" w:fill="auto"/>
            <w:noWrap/>
            <w:vAlign w:val="center"/>
            <w:hideMark/>
          </w:tcPr>
          <w:p w14:paraId="2EA8D58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14:paraId="1E144CA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19</w:t>
            </w:r>
          </w:p>
        </w:tc>
      </w:tr>
      <w:tr w:rsidR="00A11C29" w:rsidRPr="00A11C29" w14:paraId="589DF9E0"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143757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City of Clewiston</w:t>
            </w:r>
          </w:p>
        </w:tc>
        <w:tc>
          <w:tcPr>
            <w:tcW w:w="1309" w:type="dxa"/>
            <w:tcBorders>
              <w:top w:val="nil"/>
              <w:left w:val="nil"/>
              <w:bottom w:val="single" w:sz="4" w:space="0" w:color="auto"/>
              <w:right w:val="single" w:sz="4" w:space="0" w:color="auto"/>
            </w:tcBorders>
            <w:shd w:val="clear" w:color="auto" w:fill="auto"/>
            <w:noWrap/>
            <w:vAlign w:val="center"/>
            <w:hideMark/>
          </w:tcPr>
          <w:p w14:paraId="13FDC97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77" w:type="dxa"/>
            <w:tcBorders>
              <w:top w:val="nil"/>
              <w:left w:val="nil"/>
              <w:bottom w:val="single" w:sz="4" w:space="0" w:color="auto"/>
              <w:right w:val="single" w:sz="4" w:space="0" w:color="auto"/>
            </w:tcBorders>
            <w:shd w:val="clear" w:color="auto" w:fill="auto"/>
            <w:noWrap/>
            <w:vAlign w:val="center"/>
            <w:hideMark/>
          </w:tcPr>
          <w:p w14:paraId="0A27C54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1247" w:type="dxa"/>
            <w:tcBorders>
              <w:top w:val="nil"/>
              <w:left w:val="nil"/>
              <w:bottom w:val="single" w:sz="4" w:space="0" w:color="auto"/>
              <w:right w:val="single" w:sz="4" w:space="0" w:color="auto"/>
            </w:tcBorders>
            <w:shd w:val="clear" w:color="auto" w:fill="auto"/>
            <w:noWrap/>
            <w:vAlign w:val="center"/>
            <w:hideMark/>
          </w:tcPr>
          <w:p w14:paraId="32C75C3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52" w:type="dxa"/>
            <w:tcBorders>
              <w:top w:val="nil"/>
              <w:left w:val="nil"/>
              <w:bottom w:val="single" w:sz="4" w:space="0" w:color="auto"/>
              <w:right w:val="single" w:sz="4" w:space="0" w:color="auto"/>
            </w:tcBorders>
            <w:shd w:val="clear" w:color="auto" w:fill="auto"/>
            <w:noWrap/>
            <w:vAlign w:val="center"/>
            <w:hideMark/>
          </w:tcPr>
          <w:p w14:paraId="2528928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2089917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6</w:t>
            </w:r>
          </w:p>
        </w:tc>
      </w:tr>
      <w:tr w:rsidR="00A11C29" w:rsidRPr="00A11C29" w14:paraId="44656FDA"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3F87E9B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City of Fort Myers</w:t>
            </w:r>
          </w:p>
        </w:tc>
        <w:tc>
          <w:tcPr>
            <w:tcW w:w="1309" w:type="dxa"/>
            <w:tcBorders>
              <w:top w:val="nil"/>
              <w:left w:val="nil"/>
              <w:bottom w:val="single" w:sz="4" w:space="0" w:color="auto"/>
              <w:right w:val="single" w:sz="4" w:space="0" w:color="auto"/>
            </w:tcBorders>
            <w:shd w:val="clear" w:color="auto" w:fill="auto"/>
            <w:noWrap/>
            <w:vAlign w:val="center"/>
            <w:hideMark/>
          </w:tcPr>
          <w:p w14:paraId="5C1D0F4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10</w:t>
            </w:r>
          </w:p>
        </w:tc>
        <w:tc>
          <w:tcPr>
            <w:tcW w:w="1077" w:type="dxa"/>
            <w:tcBorders>
              <w:top w:val="nil"/>
              <w:left w:val="nil"/>
              <w:bottom w:val="single" w:sz="4" w:space="0" w:color="auto"/>
              <w:right w:val="single" w:sz="4" w:space="0" w:color="auto"/>
            </w:tcBorders>
            <w:shd w:val="clear" w:color="auto" w:fill="auto"/>
            <w:noWrap/>
            <w:vAlign w:val="center"/>
            <w:hideMark/>
          </w:tcPr>
          <w:p w14:paraId="61DF164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4667016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52" w:type="dxa"/>
            <w:tcBorders>
              <w:top w:val="nil"/>
              <w:left w:val="nil"/>
              <w:bottom w:val="single" w:sz="4" w:space="0" w:color="auto"/>
              <w:right w:val="single" w:sz="4" w:space="0" w:color="auto"/>
            </w:tcBorders>
            <w:shd w:val="clear" w:color="auto" w:fill="auto"/>
            <w:noWrap/>
            <w:vAlign w:val="center"/>
            <w:hideMark/>
          </w:tcPr>
          <w:p w14:paraId="78ACC0A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16688FE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16</w:t>
            </w:r>
          </w:p>
        </w:tc>
      </w:tr>
      <w:tr w:rsidR="00A11C29" w:rsidRPr="00A11C29" w14:paraId="19E4CA37"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280DD5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City of LaBelle</w:t>
            </w:r>
          </w:p>
        </w:tc>
        <w:tc>
          <w:tcPr>
            <w:tcW w:w="1309" w:type="dxa"/>
            <w:tcBorders>
              <w:top w:val="nil"/>
              <w:left w:val="nil"/>
              <w:bottom w:val="single" w:sz="4" w:space="0" w:color="auto"/>
              <w:right w:val="single" w:sz="4" w:space="0" w:color="auto"/>
            </w:tcBorders>
            <w:shd w:val="clear" w:color="auto" w:fill="auto"/>
            <w:noWrap/>
            <w:vAlign w:val="center"/>
            <w:hideMark/>
          </w:tcPr>
          <w:p w14:paraId="24B8B9C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5DBB2F2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710DD12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52" w:type="dxa"/>
            <w:tcBorders>
              <w:top w:val="nil"/>
              <w:left w:val="nil"/>
              <w:bottom w:val="single" w:sz="4" w:space="0" w:color="auto"/>
              <w:right w:val="single" w:sz="4" w:space="0" w:color="auto"/>
            </w:tcBorders>
            <w:shd w:val="clear" w:color="auto" w:fill="auto"/>
            <w:noWrap/>
            <w:vAlign w:val="center"/>
            <w:hideMark/>
          </w:tcPr>
          <w:p w14:paraId="3A1E808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14:paraId="3F361C3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r>
      <w:tr w:rsidR="00A11C29" w:rsidRPr="00A11C29" w14:paraId="59A23585"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792E52D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City of Moore Haven</w:t>
            </w:r>
          </w:p>
        </w:tc>
        <w:tc>
          <w:tcPr>
            <w:tcW w:w="1309" w:type="dxa"/>
            <w:tcBorders>
              <w:top w:val="nil"/>
              <w:left w:val="nil"/>
              <w:bottom w:val="single" w:sz="4" w:space="0" w:color="auto"/>
              <w:right w:val="single" w:sz="4" w:space="0" w:color="auto"/>
            </w:tcBorders>
            <w:shd w:val="clear" w:color="auto" w:fill="auto"/>
            <w:noWrap/>
            <w:vAlign w:val="center"/>
            <w:hideMark/>
          </w:tcPr>
          <w:p w14:paraId="012D823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49E925C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5A830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7B60A88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14:paraId="462D79B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r>
      <w:tr w:rsidR="00A11C29" w:rsidRPr="00A11C29" w14:paraId="4EC58115"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3EEC0E5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Clewiston Drainage District</w:t>
            </w:r>
          </w:p>
        </w:tc>
        <w:tc>
          <w:tcPr>
            <w:tcW w:w="1309" w:type="dxa"/>
            <w:tcBorders>
              <w:top w:val="nil"/>
              <w:left w:val="nil"/>
              <w:bottom w:val="single" w:sz="4" w:space="0" w:color="auto"/>
              <w:right w:val="single" w:sz="4" w:space="0" w:color="auto"/>
            </w:tcBorders>
            <w:shd w:val="clear" w:color="auto" w:fill="auto"/>
            <w:noWrap/>
            <w:vAlign w:val="center"/>
            <w:hideMark/>
          </w:tcPr>
          <w:p w14:paraId="00EE6C4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55BCCFB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477A476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3910F84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5B11A3C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2A423719"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9F5D06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Collins Slough WCD</w:t>
            </w:r>
          </w:p>
        </w:tc>
        <w:tc>
          <w:tcPr>
            <w:tcW w:w="1309" w:type="dxa"/>
            <w:tcBorders>
              <w:top w:val="nil"/>
              <w:left w:val="nil"/>
              <w:bottom w:val="single" w:sz="4" w:space="0" w:color="auto"/>
              <w:right w:val="single" w:sz="4" w:space="0" w:color="auto"/>
            </w:tcBorders>
            <w:shd w:val="clear" w:color="auto" w:fill="auto"/>
            <w:noWrap/>
            <w:vAlign w:val="center"/>
            <w:hideMark/>
          </w:tcPr>
          <w:p w14:paraId="3648EE1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26E2A6B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6021D94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0D9A224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6D211C2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1AF47758"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49488AA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Coordinating Agency</w:t>
            </w:r>
          </w:p>
        </w:tc>
        <w:tc>
          <w:tcPr>
            <w:tcW w:w="1309" w:type="dxa"/>
            <w:tcBorders>
              <w:top w:val="nil"/>
              <w:left w:val="nil"/>
              <w:bottom w:val="single" w:sz="4" w:space="0" w:color="auto"/>
              <w:right w:val="single" w:sz="4" w:space="0" w:color="auto"/>
            </w:tcBorders>
            <w:shd w:val="clear" w:color="auto" w:fill="auto"/>
            <w:noWrap/>
            <w:vAlign w:val="center"/>
            <w:hideMark/>
          </w:tcPr>
          <w:p w14:paraId="7EFB267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77" w:type="dxa"/>
            <w:tcBorders>
              <w:top w:val="nil"/>
              <w:left w:val="nil"/>
              <w:bottom w:val="single" w:sz="4" w:space="0" w:color="auto"/>
              <w:right w:val="single" w:sz="4" w:space="0" w:color="auto"/>
            </w:tcBorders>
            <w:shd w:val="clear" w:color="auto" w:fill="auto"/>
            <w:noWrap/>
            <w:vAlign w:val="center"/>
            <w:hideMark/>
          </w:tcPr>
          <w:p w14:paraId="03FEA2B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5AB5A62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52" w:type="dxa"/>
            <w:tcBorders>
              <w:top w:val="nil"/>
              <w:left w:val="nil"/>
              <w:bottom w:val="single" w:sz="4" w:space="0" w:color="auto"/>
              <w:right w:val="single" w:sz="4" w:space="0" w:color="auto"/>
            </w:tcBorders>
            <w:shd w:val="clear" w:color="auto" w:fill="auto"/>
            <w:noWrap/>
            <w:vAlign w:val="center"/>
            <w:hideMark/>
          </w:tcPr>
          <w:p w14:paraId="05B3947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555437F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7</w:t>
            </w:r>
          </w:p>
        </w:tc>
      </w:tr>
      <w:tr w:rsidR="00A11C29" w:rsidRPr="00A11C29" w14:paraId="4CF8CFCF"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2F9338A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County Line Drainage District</w:t>
            </w:r>
          </w:p>
        </w:tc>
        <w:tc>
          <w:tcPr>
            <w:tcW w:w="1309" w:type="dxa"/>
            <w:tcBorders>
              <w:top w:val="nil"/>
              <w:left w:val="nil"/>
              <w:bottom w:val="single" w:sz="4" w:space="0" w:color="auto"/>
              <w:right w:val="single" w:sz="4" w:space="0" w:color="auto"/>
            </w:tcBorders>
            <w:shd w:val="clear" w:color="auto" w:fill="auto"/>
            <w:noWrap/>
            <w:vAlign w:val="center"/>
            <w:hideMark/>
          </w:tcPr>
          <w:p w14:paraId="3DF1DFD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0324641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26218AC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6FD67AE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12366CC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3B37F9C9"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049222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Cow Slough WCD</w:t>
            </w:r>
          </w:p>
        </w:tc>
        <w:tc>
          <w:tcPr>
            <w:tcW w:w="1309" w:type="dxa"/>
            <w:tcBorders>
              <w:top w:val="nil"/>
              <w:left w:val="nil"/>
              <w:bottom w:val="single" w:sz="4" w:space="0" w:color="auto"/>
              <w:right w:val="single" w:sz="4" w:space="0" w:color="auto"/>
            </w:tcBorders>
            <w:shd w:val="clear" w:color="auto" w:fill="auto"/>
            <w:noWrap/>
            <w:vAlign w:val="center"/>
            <w:hideMark/>
          </w:tcPr>
          <w:p w14:paraId="10AFDF8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461E073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0907CFC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0BBA1E6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7E2DB9A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18E631E2"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6D765DD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Devil's Garden WCD</w:t>
            </w:r>
          </w:p>
        </w:tc>
        <w:tc>
          <w:tcPr>
            <w:tcW w:w="1309" w:type="dxa"/>
            <w:tcBorders>
              <w:top w:val="nil"/>
              <w:left w:val="nil"/>
              <w:bottom w:val="single" w:sz="4" w:space="0" w:color="auto"/>
              <w:right w:val="single" w:sz="4" w:space="0" w:color="auto"/>
            </w:tcBorders>
            <w:shd w:val="clear" w:color="auto" w:fill="auto"/>
            <w:noWrap/>
            <w:vAlign w:val="center"/>
            <w:hideMark/>
          </w:tcPr>
          <w:p w14:paraId="70FA3E4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4B33B60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19DA359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63465A3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1CFFB59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6685D448"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52145E47" w14:textId="77777777" w:rsidR="00A11C29" w:rsidRPr="00A11C29" w:rsidRDefault="00A11C29" w:rsidP="00A11C29">
            <w:pPr>
              <w:spacing w:after="0" w:line="240" w:lineRule="auto"/>
              <w:jc w:val="center"/>
              <w:rPr>
                <w:rFonts w:ascii="Calibri" w:eastAsia="Times New Roman" w:hAnsi="Calibri" w:cs="Calibri"/>
                <w:color w:val="000000"/>
              </w:rPr>
            </w:pPr>
            <w:proofErr w:type="spellStart"/>
            <w:r w:rsidRPr="00A11C29">
              <w:rPr>
                <w:rFonts w:ascii="Calibri" w:eastAsia="Times New Roman" w:hAnsi="Calibri" w:cs="Calibri"/>
                <w:color w:val="000000"/>
              </w:rPr>
              <w:t>Disston</w:t>
            </w:r>
            <w:proofErr w:type="spellEnd"/>
            <w:r w:rsidRPr="00A11C29">
              <w:rPr>
                <w:rFonts w:ascii="Calibri" w:eastAsia="Times New Roman" w:hAnsi="Calibri" w:cs="Calibri"/>
                <w:color w:val="000000"/>
              </w:rPr>
              <w:t xml:space="preserve"> Island Conservancy District</w:t>
            </w:r>
          </w:p>
        </w:tc>
        <w:tc>
          <w:tcPr>
            <w:tcW w:w="1309" w:type="dxa"/>
            <w:tcBorders>
              <w:top w:val="nil"/>
              <w:left w:val="nil"/>
              <w:bottom w:val="single" w:sz="4" w:space="0" w:color="auto"/>
              <w:right w:val="single" w:sz="4" w:space="0" w:color="auto"/>
            </w:tcBorders>
            <w:shd w:val="clear" w:color="auto" w:fill="auto"/>
            <w:noWrap/>
            <w:vAlign w:val="center"/>
            <w:hideMark/>
          </w:tcPr>
          <w:p w14:paraId="7271A5F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0CF86B8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314173C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370293E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78F1924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27D9208B"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372DBF6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FDACS</w:t>
            </w:r>
          </w:p>
        </w:tc>
        <w:tc>
          <w:tcPr>
            <w:tcW w:w="1309" w:type="dxa"/>
            <w:tcBorders>
              <w:top w:val="nil"/>
              <w:left w:val="nil"/>
              <w:bottom w:val="single" w:sz="4" w:space="0" w:color="auto"/>
              <w:right w:val="single" w:sz="4" w:space="0" w:color="auto"/>
            </w:tcBorders>
            <w:shd w:val="clear" w:color="auto" w:fill="auto"/>
            <w:noWrap/>
            <w:vAlign w:val="center"/>
            <w:hideMark/>
          </w:tcPr>
          <w:p w14:paraId="71138AF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15C6C4F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6</w:t>
            </w:r>
          </w:p>
        </w:tc>
        <w:tc>
          <w:tcPr>
            <w:tcW w:w="1247" w:type="dxa"/>
            <w:tcBorders>
              <w:top w:val="nil"/>
              <w:left w:val="nil"/>
              <w:bottom w:val="single" w:sz="4" w:space="0" w:color="auto"/>
              <w:right w:val="single" w:sz="4" w:space="0" w:color="auto"/>
            </w:tcBorders>
            <w:shd w:val="clear" w:color="auto" w:fill="auto"/>
            <w:noWrap/>
            <w:vAlign w:val="center"/>
            <w:hideMark/>
          </w:tcPr>
          <w:p w14:paraId="057F7AE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069B69E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1339B4C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6</w:t>
            </w:r>
          </w:p>
        </w:tc>
      </w:tr>
      <w:tr w:rsidR="00A11C29" w:rsidRPr="00A11C29" w14:paraId="5424CC39"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4FC23DB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FDOT District 1</w:t>
            </w:r>
          </w:p>
        </w:tc>
        <w:tc>
          <w:tcPr>
            <w:tcW w:w="1309" w:type="dxa"/>
            <w:tcBorders>
              <w:top w:val="nil"/>
              <w:left w:val="nil"/>
              <w:bottom w:val="single" w:sz="4" w:space="0" w:color="auto"/>
              <w:right w:val="single" w:sz="4" w:space="0" w:color="auto"/>
            </w:tcBorders>
            <w:shd w:val="clear" w:color="auto" w:fill="auto"/>
            <w:noWrap/>
            <w:vAlign w:val="center"/>
            <w:hideMark/>
          </w:tcPr>
          <w:p w14:paraId="69C5E79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26</w:t>
            </w:r>
          </w:p>
        </w:tc>
        <w:tc>
          <w:tcPr>
            <w:tcW w:w="1077" w:type="dxa"/>
            <w:tcBorders>
              <w:top w:val="nil"/>
              <w:left w:val="nil"/>
              <w:bottom w:val="single" w:sz="4" w:space="0" w:color="auto"/>
              <w:right w:val="single" w:sz="4" w:space="0" w:color="auto"/>
            </w:tcBorders>
            <w:shd w:val="clear" w:color="auto" w:fill="auto"/>
            <w:noWrap/>
            <w:vAlign w:val="center"/>
            <w:hideMark/>
          </w:tcPr>
          <w:p w14:paraId="6853B8A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6EE0664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1052" w:type="dxa"/>
            <w:tcBorders>
              <w:top w:val="nil"/>
              <w:left w:val="nil"/>
              <w:bottom w:val="single" w:sz="4" w:space="0" w:color="auto"/>
              <w:right w:val="single" w:sz="4" w:space="0" w:color="auto"/>
            </w:tcBorders>
            <w:shd w:val="clear" w:color="auto" w:fill="auto"/>
            <w:noWrap/>
            <w:vAlign w:val="center"/>
            <w:hideMark/>
          </w:tcPr>
          <w:p w14:paraId="31C018F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318B9D7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31</w:t>
            </w:r>
          </w:p>
        </w:tc>
      </w:tr>
      <w:tr w:rsidR="00A11C29" w:rsidRPr="00A11C29" w14:paraId="60398958"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22BB996D" w14:textId="77777777" w:rsidR="00A11C29" w:rsidRPr="00A11C29" w:rsidRDefault="00A11C29" w:rsidP="00A11C29">
            <w:pPr>
              <w:spacing w:after="0" w:line="240" w:lineRule="auto"/>
              <w:jc w:val="center"/>
              <w:rPr>
                <w:rFonts w:ascii="Calibri" w:eastAsia="Times New Roman" w:hAnsi="Calibri" w:cs="Calibri"/>
                <w:color w:val="000000"/>
              </w:rPr>
            </w:pPr>
            <w:proofErr w:type="spellStart"/>
            <w:r w:rsidRPr="00A11C29">
              <w:rPr>
                <w:rFonts w:ascii="Calibri" w:eastAsia="Times New Roman" w:hAnsi="Calibri" w:cs="Calibri"/>
                <w:color w:val="000000"/>
              </w:rPr>
              <w:t>Flaghole</w:t>
            </w:r>
            <w:proofErr w:type="spellEnd"/>
            <w:r w:rsidRPr="00A11C29">
              <w:rPr>
                <w:rFonts w:ascii="Calibri" w:eastAsia="Times New Roman" w:hAnsi="Calibri" w:cs="Calibri"/>
                <w:color w:val="000000"/>
              </w:rPr>
              <w:t xml:space="preserve"> Drainage District</w:t>
            </w:r>
          </w:p>
        </w:tc>
        <w:tc>
          <w:tcPr>
            <w:tcW w:w="1309" w:type="dxa"/>
            <w:tcBorders>
              <w:top w:val="nil"/>
              <w:left w:val="nil"/>
              <w:bottom w:val="single" w:sz="4" w:space="0" w:color="auto"/>
              <w:right w:val="single" w:sz="4" w:space="0" w:color="auto"/>
            </w:tcBorders>
            <w:shd w:val="clear" w:color="auto" w:fill="auto"/>
            <w:noWrap/>
            <w:vAlign w:val="center"/>
            <w:hideMark/>
          </w:tcPr>
          <w:p w14:paraId="11F9A19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30B92A7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4AA021A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7C37E37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071F8B8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63CFED08"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1A56EF1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Gerber Groves WCD</w:t>
            </w:r>
          </w:p>
        </w:tc>
        <w:tc>
          <w:tcPr>
            <w:tcW w:w="1309" w:type="dxa"/>
            <w:tcBorders>
              <w:top w:val="nil"/>
              <w:left w:val="nil"/>
              <w:bottom w:val="single" w:sz="4" w:space="0" w:color="auto"/>
              <w:right w:val="single" w:sz="4" w:space="0" w:color="auto"/>
            </w:tcBorders>
            <w:shd w:val="clear" w:color="auto" w:fill="auto"/>
            <w:noWrap/>
            <w:vAlign w:val="center"/>
            <w:hideMark/>
          </w:tcPr>
          <w:p w14:paraId="141F952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1AA9074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6189050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609306B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0376135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0598EB24"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3AC5273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Glades County</w:t>
            </w:r>
          </w:p>
        </w:tc>
        <w:tc>
          <w:tcPr>
            <w:tcW w:w="1309" w:type="dxa"/>
            <w:tcBorders>
              <w:top w:val="nil"/>
              <w:left w:val="nil"/>
              <w:bottom w:val="single" w:sz="4" w:space="0" w:color="auto"/>
              <w:right w:val="single" w:sz="4" w:space="0" w:color="auto"/>
            </w:tcBorders>
            <w:shd w:val="clear" w:color="auto" w:fill="auto"/>
            <w:noWrap/>
            <w:vAlign w:val="center"/>
            <w:hideMark/>
          </w:tcPr>
          <w:p w14:paraId="387F5F7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097E78A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53E7746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052" w:type="dxa"/>
            <w:tcBorders>
              <w:top w:val="nil"/>
              <w:left w:val="nil"/>
              <w:bottom w:val="single" w:sz="4" w:space="0" w:color="auto"/>
              <w:right w:val="single" w:sz="4" w:space="0" w:color="auto"/>
            </w:tcBorders>
            <w:shd w:val="clear" w:color="auto" w:fill="auto"/>
            <w:noWrap/>
            <w:vAlign w:val="center"/>
            <w:hideMark/>
          </w:tcPr>
          <w:p w14:paraId="7168CC0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5C6764F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r>
      <w:tr w:rsidR="00A11C29" w:rsidRPr="00A11C29" w14:paraId="233E58BE"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5681794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Hendry County</w:t>
            </w:r>
          </w:p>
        </w:tc>
        <w:tc>
          <w:tcPr>
            <w:tcW w:w="1309" w:type="dxa"/>
            <w:tcBorders>
              <w:top w:val="nil"/>
              <w:left w:val="nil"/>
              <w:bottom w:val="single" w:sz="4" w:space="0" w:color="auto"/>
              <w:right w:val="single" w:sz="4" w:space="0" w:color="auto"/>
            </w:tcBorders>
            <w:shd w:val="clear" w:color="auto" w:fill="auto"/>
            <w:noWrap/>
            <w:vAlign w:val="center"/>
            <w:hideMark/>
          </w:tcPr>
          <w:p w14:paraId="4016714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3804C4D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00B60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52" w:type="dxa"/>
            <w:tcBorders>
              <w:top w:val="nil"/>
              <w:left w:val="nil"/>
              <w:bottom w:val="single" w:sz="4" w:space="0" w:color="auto"/>
              <w:right w:val="single" w:sz="4" w:space="0" w:color="auto"/>
            </w:tcBorders>
            <w:shd w:val="clear" w:color="auto" w:fill="auto"/>
            <w:noWrap/>
            <w:vAlign w:val="center"/>
            <w:hideMark/>
          </w:tcPr>
          <w:p w14:paraId="7854651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779" w:type="dxa"/>
            <w:tcBorders>
              <w:top w:val="nil"/>
              <w:left w:val="nil"/>
              <w:bottom w:val="single" w:sz="4" w:space="0" w:color="auto"/>
              <w:right w:val="single" w:sz="4" w:space="0" w:color="auto"/>
            </w:tcBorders>
            <w:shd w:val="clear" w:color="auto" w:fill="auto"/>
            <w:noWrap/>
            <w:vAlign w:val="center"/>
            <w:hideMark/>
          </w:tcPr>
          <w:p w14:paraId="58B7EE5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r>
      <w:tr w:rsidR="00A11C29" w:rsidRPr="00A11C29" w14:paraId="32D38981"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29DF372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Hendry-Hilliard WCD</w:t>
            </w:r>
          </w:p>
        </w:tc>
        <w:tc>
          <w:tcPr>
            <w:tcW w:w="1309" w:type="dxa"/>
            <w:tcBorders>
              <w:top w:val="nil"/>
              <w:left w:val="nil"/>
              <w:bottom w:val="single" w:sz="4" w:space="0" w:color="auto"/>
              <w:right w:val="single" w:sz="4" w:space="0" w:color="auto"/>
            </w:tcBorders>
            <w:shd w:val="clear" w:color="auto" w:fill="auto"/>
            <w:noWrap/>
            <w:vAlign w:val="center"/>
            <w:hideMark/>
          </w:tcPr>
          <w:p w14:paraId="7353D3F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71F7B42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46C6F4B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59A7D5E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16C586D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0ACD7CC7"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784EDCB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LA-MSID (formerly ECWCD)</w:t>
            </w:r>
          </w:p>
        </w:tc>
        <w:tc>
          <w:tcPr>
            <w:tcW w:w="1309" w:type="dxa"/>
            <w:tcBorders>
              <w:top w:val="nil"/>
              <w:left w:val="nil"/>
              <w:bottom w:val="single" w:sz="4" w:space="0" w:color="auto"/>
              <w:right w:val="single" w:sz="4" w:space="0" w:color="auto"/>
            </w:tcBorders>
            <w:shd w:val="clear" w:color="auto" w:fill="auto"/>
            <w:noWrap/>
            <w:vAlign w:val="center"/>
            <w:hideMark/>
          </w:tcPr>
          <w:p w14:paraId="047599C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9</w:t>
            </w:r>
          </w:p>
        </w:tc>
        <w:tc>
          <w:tcPr>
            <w:tcW w:w="1077" w:type="dxa"/>
            <w:tcBorders>
              <w:top w:val="nil"/>
              <w:left w:val="nil"/>
              <w:bottom w:val="single" w:sz="4" w:space="0" w:color="auto"/>
              <w:right w:val="single" w:sz="4" w:space="0" w:color="auto"/>
            </w:tcBorders>
            <w:shd w:val="clear" w:color="auto" w:fill="auto"/>
            <w:noWrap/>
            <w:vAlign w:val="center"/>
            <w:hideMark/>
          </w:tcPr>
          <w:p w14:paraId="2E98CCD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36F74FB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7</w:t>
            </w:r>
          </w:p>
        </w:tc>
        <w:tc>
          <w:tcPr>
            <w:tcW w:w="1052" w:type="dxa"/>
            <w:tcBorders>
              <w:top w:val="nil"/>
              <w:left w:val="nil"/>
              <w:bottom w:val="single" w:sz="4" w:space="0" w:color="auto"/>
              <w:right w:val="single" w:sz="4" w:space="0" w:color="auto"/>
            </w:tcBorders>
            <w:shd w:val="clear" w:color="auto" w:fill="auto"/>
            <w:noWrap/>
            <w:vAlign w:val="center"/>
            <w:hideMark/>
          </w:tcPr>
          <w:p w14:paraId="48BAD44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14:paraId="426DD69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18</w:t>
            </w:r>
          </w:p>
        </w:tc>
      </w:tr>
      <w:tr w:rsidR="00A11C29" w:rsidRPr="00A11C29" w14:paraId="4C0E10C1"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8389AB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Lee County</w:t>
            </w:r>
          </w:p>
        </w:tc>
        <w:tc>
          <w:tcPr>
            <w:tcW w:w="1309" w:type="dxa"/>
            <w:tcBorders>
              <w:top w:val="nil"/>
              <w:left w:val="nil"/>
              <w:bottom w:val="single" w:sz="4" w:space="0" w:color="auto"/>
              <w:right w:val="single" w:sz="4" w:space="0" w:color="auto"/>
            </w:tcBorders>
            <w:shd w:val="clear" w:color="auto" w:fill="auto"/>
            <w:noWrap/>
            <w:vAlign w:val="center"/>
            <w:hideMark/>
          </w:tcPr>
          <w:p w14:paraId="7E9314D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37</w:t>
            </w:r>
          </w:p>
        </w:tc>
        <w:tc>
          <w:tcPr>
            <w:tcW w:w="1077" w:type="dxa"/>
            <w:tcBorders>
              <w:top w:val="nil"/>
              <w:left w:val="nil"/>
              <w:bottom w:val="single" w:sz="4" w:space="0" w:color="auto"/>
              <w:right w:val="single" w:sz="4" w:space="0" w:color="auto"/>
            </w:tcBorders>
            <w:shd w:val="clear" w:color="auto" w:fill="auto"/>
            <w:noWrap/>
            <w:vAlign w:val="center"/>
            <w:hideMark/>
          </w:tcPr>
          <w:p w14:paraId="6B93AA8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1B02449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1052" w:type="dxa"/>
            <w:tcBorders>
              <w:top w:val="nil"/>
              <w:left w:val="nil"/>
              <w:bottom w:val="single" w:sz="4" w:space="0" w:color="auto"/>
              <w:right w:val="single" w:sz="4" w:space="0" w:color="auto"/>
            </w:tcBorders>
            <w:shd w:val="clear" w:color="auto" w:fill="auto"/>
            <w:noWrap/>
            <w:vAlign w:val="center"/>
            <w:hideMark/>
          </w:tcPr>
          <w:p w14:paraId="410DB08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8</w:t>
            </w:r>
          </w:p>
        </w:tc>
        <w:tc>
          <w:tcPr>
            <w:tcW w:w="779" w:type="dxa"/>
            <w:tcBorders>
              <w:top w:val="nil"/>
              <w:left w:val="nil"/>
              <w:bottom w:val="single" w:sz="4" w:space="0" w:color="auto"/>
              <w:right w:val="single" w:sz="4" w:space="0" w:color="auto"/>
            </w:tcBorders>
            <w:shd w:val="clear" w:color="auto" w:fill="auto"/>
            <w:noWrap/>
            <w:vAlign w:val="center"/>
            <w:hideMark/>
          </w:tcPr>
          <w:p w14:paraId="45398E1F"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50</w:t>
            </w:r>
          </w:p>
        </w:tc>
      </w:tr>
      <w:tr w:rsidR="00A11C29" w:rsidRPr="00A11C29" w14:paraId="250DD801"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52A59F9E" w14:textId="77777777" w:rsidR="00A11C29" w:rsidRPr="00A11C29" w:rsidRDefault="00A11C29" w:rsidP="00A11C29">
            <w:pPr>
              <w:spacing w:after="0" w:line="240" w:lineRule="auto"/>
              <w:jc w:val="center"/>
              <w:rPr>
                <w:rFonts w:ascii="Calibri" w:eastAsia="Times New Roman" w:hAnsi="Calibri" w:cs="Calibri"/>
                <w:color w:val="000000"/>
              </w:rPr>
            </w:pPr>
            <w:proofErr w:type="spellStart"/>
            <w:r w:rsidRPr="00A11C29">
              <w:rPr>
                <w:rFonts w:ascii="Calibri" w:eastAsia="Times New Roman" w:hAnsi="Calibri" w:cs="Calibri"/>
                <w:color w:val="000000"/>
              </w:rPr>
              <w:t>Lucaya</w:t>
            </w:r>
            <w:proofErr w:type="spellEnd"/>
            <w:r w:rsidRPr="00A11C29">
              <w:rPr>
                <w:rFonts w:ascii="Calibri" w:eastAsia="Times New Roman" w:hAnsi="Calibri" w:cs="Calibri"/>
                <w:color w:val="000000"/>
              </w:rPr>
              <w:t xml:space="preserve"> CDD</w:t>
            </w:r>
          </w:p>
        </w:tc>
        <w:tc>
          <w:tcPr>
            <w:tcW w:w="1309" w:type="dxa"/>
            <w:tcBorders>
              <w:top w:val="nil"/>
              <w:left w:val="nil"/>
              <w:bottom w:val="single" w:sz="4" w:space="0" w:color="auto"/>
              <w:right w:val="single" w:sz="4" w:space="0" w:color="auto"/>
            </w:tcBorders>
            <w:shd w:val="clear" w:color="auto" w:fill="auto"/>
            <w:noWrap/>
            <w:vAlign w:val="center"/>
            <w:hideMark/>
          </w:tcPr>
          <w:p w14:paraId="36E952A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3013C95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0220338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28656D8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5626AED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r>
      <w:tr w:rsidR="00A11C29" w:rsidRPr="00A11C29" w14:paraId="79D49736"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1F2461CD"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Mirada CDD</w:t>
            </w:r>
          </w:p>
        </w:tc>
        <w:tc>
          <w:tcPr>
            <w:tcW w:w="1309" w:type="dxa"/>
            <w:tcBorders>
              <w:top w:val="nil"/>
              <w:left w:val="nil"/>
              <w:bottom w:val="single" w:sz="4" w:space="0" w:color="auto"/>
              <w:right w:val="single" w:sz="4" w:space="0" w:color="auto"/>
            </w:tcBorders>
            <w:shd w:val="clear" w:color="auto" w:fill="auto"/>
            <w:noWrap/>
            <w:vAlign w:val="center"/>
            <w:hideMark/>
          </w:tcPr>
          <w:p w14:paraId="51C8BB3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1CC3A46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c>
          <w:tcPr>
            <w:tcW w:w="1247" w:type="dxa"/>
            <w:tcBorders>
              <w:top w:val="nil"/>
              <w:left w:val="nil"/>
              <w:bottom w:val="single" w:sz="4" w:space="0" w:color="auto"/>
              <w:right w:val="single" w:sz="4" w:space="0" w:color="auto"/>
            </w:tcBorders>
            <w:shd w:val="clear" w:color="auto" w:fill="auto"/>
            <w:noWrap/>
            <w:vAlign w:val="center"/>
            <w:hideMark/>
          </w:tcPr>
          <w:p w14:paraId="188687F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7C1BD1D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524D481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w:t>
            </w:r>
          </w:p>
        </w:tc>
      </w:tr>
      <w:tr w:rsidR="00A11C29" w:rsidRPr="00A11C29" w14:paraId="1D651206"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6BB9FD8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Port LaBelle CDD</w:t>
            </w:r>
          </w:p>
        </w:tc>
        <w:tc>
          <w:tcPr>
            <w:tcW w:w="1309" w:type="dxa"/>
            <w:tcBorders>
              <w:top w:val="nil"/>
              <w:left w:val="nil"/>
              <w:bottom w:val="single" w:sz="4" w:space="0" w:color="auto"/>
              <w:right w:val="single" w:sz="4" w:space="0" w:color="auto"/>
            </w:tcBorders>
            <w:shd w:val="clear" w:color="auto" w:fill="auto"/>
            <w:noWrap/>
            <w:vAlign w:val="center"/>
            <w:hideMark/>
          </w:tcPr>
          <w:p w14:paraId="5940419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112223F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247" w:type="dxa"/>
            <w:tcBorders>
              <w:top w:val="nil"/>
              <w:left w:val="nil"/>
              <w:bottom w:val="single" w:sz="4" w:space="0" w:color="auto"/>
              <w:right w:val="single" w:sz="4" w:space="0" w:color="auto"/>
            </w:tcBorders>
            <w:shd w:val="clear" w:color="auto" w:fill="auto"/>
            <w:noWrap/>
            <w:vAlign w:val="center"/>
            <w:hideMark/>
          </w:tcPr>
          <w:p w14:paraId="65C98A5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7FCD623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14:paraId="053D57F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r>
      <w:tr w:rsidR="00A11C29" w:rsidRPr="00A11C29" w14:paraId="703CFA31"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497141D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Portico CDD</w:t>
            </w:r>
          </w:p>
        </w:tc>
        <w:tc>
          <w:tcPr>
            <w:tcW w:w="1309" w:type="dxa"/>
            <w:tcBorders>
              <w:top w:val="nil"/>
              <w:left w:val="nil"/>
              <w:bottom w:val="single" w:sz="4" w:space="0" w:color="auto"/>
              <w:right w:val="single" w:sz="4" w:space="0" w:color="auto"/>
            </w:tcBorders>
            <w:shd w:val="clear" w:color="auto" w:fill="auto"/>
            <w:noWrap/>
            <w:vAlign w:val="center"/>
            <w:hideMark/>
          </w:tcPr>
          <w:p w14:paraId="18F8219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1077" w:type="dxa"/>
            <w:tcBorders>
              <w:top w:val="nil"/>
              <w:left w:val="nil"/>
              <w:bottom w:val="single" w:sz="4" w:space="0" w:color="auto"/>
              <w:right w:val="single" w:sz="4" w:space="0" w:color="auto"/>
            </w:tcBorders>
            <w:shd w:val="clear" w:color="auto" w:fill="auto"/>
            <w:noWrap/>
            <w:vAlign w:val="center"/>
            <w:hideMark/>
          </w:tcPr>
          <w:p w14:paraId="022D45B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1DD86F9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133E0C9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4E74C1D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4</w:t>
            </w:r>
          </w:p>
        </w:tc>
      </w:tr>
      <w:tr w:rsidR="00A11C29" w:rsidRPr="00A11C29" w14:paraId="57C38893"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6E5726A1"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Sugarland Drainage District</w:t>
            </w:r>
          </w:p>
        </w:tc>
        <w:tc>
          <w:tcPr>
            <w:tcW w:w="1309" w:type="dxa"/>
            <w:tcBorders>
              <w:top w:val="nil"/>
              <w:left w:val="nil"/>
              <w:bottom w:val="single" w:sz="4" w:space="0" w:color="auto"/>
              <w:right w:val="single" w:sz="4" w:space="0" w:color="auto"/>
            </w:tcBorders>
            <w:shd w:val="clear" w:color="auto" w:fill="auto"/>
            <w:noWrap/>
            <w:vAlign w:val="center"/>
            <w:hideMark/>
          </w:tcPr>
          <w:p w14:paraId="2071E00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077" w:type="dxa"/>
            <w:tcBorders>
              <w:top w:val="nil"/>
              <w:left w:val="nil"/>
              <w:bottom w:val="single" w:sz="4" w:space="0" w:color="auto"/>
              <w:right w:val="single" w:sz="4" w:space="0" w:color="auto"/>
            </w:tcBorders>
            <w:shd w:val="clear" w:color="auto" w:fill="auto"/>
            <w:noWrap/>
            <w:vAlign w:val="center"/>
            <w:hideMark/>
          </w:tcPr>
          <w:p w14:paraId="4BAB676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09AA702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6A9D2F3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14:paraId="2B28D01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w:t>
            </w:r>
          </w:p>
        </w:tc>
      </w:tr>
      <w:tr w:rsidR="00A11C29" w:rsidRPr="00A11C29" w14:paraId="60A49510"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35B4C2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Verandah East CDD</w:t>
            </w:r>
          </w:p>
        </w:tc>
        <w:tc>
          <w:tcPr>
            <w:tcW w:w="1309" w:type="dxa"/>
            <w:tcBorders>
              <w:top w:val="nil"/>
              <w:left w:val="nil"/>
              <w:bottom w:val="single" w:sz="4" w:space="0" w:color="auto"/>
              <w:right w:val="single" w:sz="4" w:space="0" w:color="auto"/>
            </w:tcBorders>
            <w:shd w:val="clear" w:color="auto" w:fill="auto"/>
            <w:noWrap/>
            <w:vAlign w:val="center"/>
            <w:hideMark/>
          </w:tcPr>
          <w:p w14:paraId="6085BC2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058FF64B"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7EE851B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3193DBB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10607CE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r>
      <w:tr w:rsidR="00A11C29" w:rsidRPr="00A11C29" w14:paraId="16C9B757" w14:textId="77777777" w:rsidTr="00A11C29">
        <w:trPr>
          <w:trHeight w:val="288"/>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24F77D47"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Verandah West CDD</w:t>
            </w:r>
          </w:p>
        </w:tc>
        <w:tc>
          <w:tcPr>
            <w:tcW w:w="1309" w:type="dxa"/>
            <w:tcBorders>
              <w:top w:val="nil"/>
              <w:left w:val="nil"/>
              <w:bottom w:val="single" w:sz="4" w:space="0" w:color="auto"/>
              <w:right w:val="single" w:sz="4" w:space="0" w:color="auto"/>
            </w:tcBorders>
            <w:shd w:val="clear" w:color="auto" w:fill="auto"/>
            <w:noWrap/>
            <w:vAlign w:val="center"/>
            <w:hideMark/>
          </w:tcPr>
          <w:p w14:paraId="458DC6F0"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77" w:type="dxa"/>
            <w:tcBorders>
              <w:top w:val="nil"/>
              <w:left w:val="nil"/>
              <w:bottom w:val="single" w:sz="4" w:space="0" w:color="auto"/>
              <w:right w:val="single" w:sz="4" w:space="0" w:color="auto"/>
            </w:tcBorders>
            <w:shd w:val="clear" w:color="auto" w:fill="auto"/>
            <w:noWrap/>
            <w:vAlign w:val="center"/>
            <w:hideMark/>
          </w:tcPr>
          <w:p w14:paraId="6B15BD3A"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c>
          <w:tcPr>
            <w:tcW w:w="1247" w:type="dxa"/>
            <w:tcBorders>
              <w:top w:val="nil"/>
              <w:left w:val="nil"/>
              <w:bottom w:val="single" w:sz="4" w:space="0" w:color="auto"/>
              <w:right w:val="single" w:sz="4" w:space="0" w:color="auto"/>
            </w:tcBorders>
            <w:shd w:val="clear" w:color="auto" w:fill="auto"/>
            <w:noWrap/>
            <w:vAlign w:val="center"/>
            <w:hideMark/>
          </w:tcPr>
          <w:p w14:paraId="3C094452"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1052" w:type="dxa"/>
            <w:tcBorders>
              <w:top w:val="nil"/>
              <w:left w:val="nil"/>
              <w:bottom w:val="single" w:sz="4" w:space="0" w:color="auto"/>
              <w:right w:val="single" w:sz="4" w:space="0" w:color="auto"/>
            </w:tcBorders>
            <w:shd w:val="clear" w:color="auto" w:fill="auto"/>
            <w:noWrap/>
            <w:vAlign w:val="center"/>
            <w:hideMark/>
          </w:tcPr>
          <w:p w14:paraId="4A8EC725"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0</w:t>
            </w:r>
          </w:p>
        </w:tc>
        <w:tc>
          <w:tcPr>
            <w:tcW w:w="779" w:type="dxa"/>
            <w:tcBorders>
              <w:top w:val="nil"/>
              <w:left w:val="nil"/>
              <w:bottom w:val="single" w:sz="4" w:space="0" w:color="auto"/>
              <w:right w:val="single" w:sz="4" w:space="0" w:color="auto"/>
            </w:tcBorders>
            <w:shd w:val="clear" w:color="auto" w:fill="auto"/>
            <w:noWrap/>
            <w:vAlign w:val="center"/>
            <w:hideMark/>
          </w:tcPr>
          <w:p w14:paraId="627AA99C"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w:t>
            </w:r>
          </w:p>
        </w:tc>
      </w:tr>
      <w:tr w:rsidR="00A11C29" w:rsidRPr="00A11C29" w14:paraId="6E1EF5FE" w14:textId="77777777" w:rsidTr="00A11C29">
        <w:trPr>
          <w:trHeight w:val="288"/>
        </w:trPr>
        <w:tc>
          <w:tcPr>
            <w:tcW w:w="3441" w:type="dxa"/>
            <w:tcBorders>
              <w:top w:val="nil"/>
              <w:left w:val="single" w:sz="4" w:space="0" w:color="auto"/>
              <w:bottom w:val="single" w:sz="4" w:space="0" w:color="auto"/>
              <w:right w:val="single" w:sz="4" w:space="0" w:color="auto"/>
            </w:tcBorders>
            <w:shd w:val="clear" w:color="000000" w:fill="FFE699"/>
            <w:noWrap/>
            <w:vAlign w:val="center"/>
            <w:hideMark/>
          </w:tcPr>
          <w:p w14:paraId="538B4D23"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Grand Total</w:t>
            </w:r>
          </w:p>
        </w:tc>
        <w:tc>
          <w:tcPr>
            <w:tcW w:w="1309" w:type="dxa"/>
            <w:tcBorders>
              <w:top w:val="nil"/>
              <w:left w:val="nil"/>
              <w:bottom w:val="single" w:sz="4" w:space="0" w:color="auto"/>
              <w:right w:val="single" w:sz="4" w:space="0" w:color="auto"/>
            </w:tcBorders>
            <w:shd w:val="clear" w:color="000000" w:fill="FFE699"/>
            <w:noWrap/>
            <w:vAlign w:val="center"/>
            <w:hideMark/>
          </w:tcPr>
          <w:p w14:paraId="221B0AF6"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117</w:t>
            </w:r>
          </w:p>
        </w:tc>
        <w:tc>
          <w:tcPr>
            <w:tcW w:w="1077" w:type="dxa"/>
            <w:tcBorders>
              <w:top w:val="nil"/>
              <w:left w:val="nil"/>
              <w:bottom w:val="single" w:sz="4" w:space="0" w:color="auto"/>
              <w:right w:val="single" w:sz="4" w:space="0" w:color="auto"/>
            </w:tcBorders>
            <w:shd w:val="clear" w:color="000000" w:fill="FFE699"/>
            <w:noWrap/>
            <w:vAlign w:val="center"/>
            <w:hideMark/>
          </w:tcPr>
          <w:p w14:paraId="028051A4"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37</w:t>
            </w:r>
          </w:p>
        </w:tc>
        <w:tc>
          <w:tcPr>
            <w:tcW w:w="1247" w:type="dxa"/>
            <w:tcBorders>
              <w:top w:val="nil"/>
              <w:left w:val="nil"/>
              <w:bottom w:val="single" w:sz="4" w:space="0" w:color="auto"/>
              <w:right w:val="single" w:sz="4" w:space="0" w:color="auto"/>
            </w:tcBorders>
            <w:shd w:val="clear" w:color="000000" w:fill="FFE699"/>
            <w:noWrap/>
            <w:vAlign w:val="center"/>
            <w:hideMark/>
          </w:tcPr>
          <w:p w14:paraId="0FC8C4FE"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23</w:t>
            </w:r>
          </w:p>
        </w:tc>
        <w:tc>
          <w:tcPr>
            <w:tcW w:w="1052" w:type="dxa"/>
            <w:tcBorders>
              <w:top w:val="nil"/>
              <w:left w:val="nil"/>
              <w:bottom w:val="single" w:sz="4" w:space="0" w:color="auto"/>
              <w:right w:val="single" w:sz="4" w:space="0" w:color="auto"/>
            </w:tcBorders>
            <w:shd w:val="clear" w:color="000000" w:fill="FFE699"/>
            <w:noWrap/>
            <w:vAlign w:val="center"/>
            <w:hideMark/>
          </w:tcPr>
          <w:p w14:paraId="2439F189"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54</w:t>
            </w:r>
          </w:p>
        </w:tc>
        <w:tc>
          <w:tcPr>
            <w:tcW w:w="779" w:type="dxa"/>
            <w:tcBorders>
              <w:top w:val="nil"/>
              <w:left w:val="nil"/>
              <w:bottom w:val="single" w:sz="4" w:space="0" w:color="auto"/>
              <w:right w:val="single" w:sz="4" w:space="0" w:color="auto"/>
            </w:tcBorders>
            <w:shd w:val="clear" w:color="000000" w:fill="FFE699"/>
            <w:noWrap/>
            <w:vAlign w:val="center"/>
            <w:hideMark/>
          </w:tcPr>
          <w:p w14:paraId="5DF3D428" w14:textId="77777777" w:rsidR="00A11C29" w:rsidRPr="00A11C29" w:rsidRDefault="00A11C29" w:rsidP="00A11C29">
            <w:pPr>
              <w:spacing w:after="0" w:line="240" w:lineRule="auto"/>
              <w:jc w:val="center"/>
              <w:rPr>
                <w:rFonts w:ascii="Calibri" w:eastAsia="Times New Roman" w:hAnsi="Calibri" w:cs="Calibri"/>
                <w:color w:val="000000"/>
              </w:rPr>
            </w:pPr>
            <w:r w:rsidRPr="00A11C29">
              <w:rPr>
                <w:rFonts w:ascii="Calibri" w:eastAsia="Times New Roman" w:hAnsi="Calibri" w:cs="Calibri"/>
                <w:color w:val="000000"/>
              </w:rPr>
              <w:t>231</w:t>
            </w:r>
          </w:p>
        </w:tc>
      </w:tr>
    </w:tbl>
    <w:p w14:paraId="65A812BD" w14:textId="6ADA1A22" w:rsidR="00357BA7" w:rsidRPr="00BA223E" w:rsidRDefault="00357BA7">
      <w:pPr>
        <w:rPr>
          <w:rFonts w:cstheme="minorHAnsi"/>
        </w:rPr>
      </w:pPr>
    </w:p>
    <w:sectPr w:rsidR="00357BA7" w:rsidRPr="00BA223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ossiter, Brianna" w:date="2021-04-23T13:56:00Z" w:initials="RB">
    <w:p w14:paraId="2FEDC53B" w14:textId="6F841C8D" w:rsidR="00452856" w:rsidRDefault="00452856">
      <w:pPr>
        <w:pStyle w:val="CommentText"/>
      </w:pPr>
      <w:r>
        <w:rPr>
          <w:rStyle w:val="CommentReference"/>
        </w:rPr>
        <w:annotationRef/>
      </w:r>
      <w:r w:rsidR="00F476C4">
        <w:t xml:space="preserve">Add to Team SF </w:t>
      </w:r>
      <w:proofErr w:type="spellStart"/>
      <w:r w:rsidR="00F476C4">
        <w:t>storymaps</w:t>
      </w:r>
      <w:proofErr w:type="spellEnd"/>
      <w:r w:rsidR="00F476C4">
        <w:t xml:space="preserve"> folder Sara created after I make edits</w:t>
      </w:r>
    </w:p>
    <w:p w14:paraId="26DBC561" w14:textId="1CDB9B9E" w:rsidR="00F476C4" w:rsidRDefault="00F476C4">
      <w:pPr>
        <w:pStyle w:val="CommentText"/>
      </w:pPr>
    </w:p>
  </w:comment>
  <w:comment w:id="1" w:author="Rossiter, Brianna" w:date="2021-04-23T14:07:00Z" w:initials="RB">
    <w:p w14:paraId="3804D8BB" w14:textId="777A4674" w:rsidR="007F3BCF" w:rsidRDefault="007F3BCF">
      <w:pPr>
        <w:pStyle w:val="CommentText"/>
      </w:pPr>
      <w:r>
        <w:rPr>
          <w:rStyle w:val="CommentReference"/>
        </w:rPr>
        <w:annotationRef/>
      </w:r>
      <w:r>
        <w:t xml:space="preserve">BMAP Boundary missing from live </w:t>
      </w:r>
      <w:proofErr w:type="spellStart"/>
      <w:r>
        <w:t>storymap</w:t>
      </w:r>
      <w:proofErr w:type="spellEnd"/>
    </w:p>
  </w:comment>
  <w:comment w:id="2" w:author="Rossiter, Brianna" w:date="2021-04-23T13:55:00Z" w:initials="RB">
    <w:p w14:paraId="146A7C20" w14:textId="155D7414" w:rsidR="00A736E2" w:rsidRDefault="00A736E2">
      <w:pPr>
        <w:pStyle w:val="CommentText"/>
      </w:pPr>
      <w:r>
        <w:rPr>
          <w:rStyle w:val="CommentReference"/>
        </w:rPr>
        <w:annotationRef/>
      </w:r>
      <w:r>
        <w:t>May need to delete</w:t>
      </w:r>
    </w:p>
  </w:comment>
  <w:comment w:id="3" w:author="Rossiter, Brianna" w:date="2021-04-23T13:25:00Z" w:initials="RB">
    <w:p w14:paraId="1C7E0970" w14:textId="35939D27" w:rsidR="00DF7A4A" w:rsidRDefault="00DF7A4A">
      <w:pPr>
        <w:pStyle w:val="CommentText"/>
      </w:pPr>
      <w:r>
        <w:rPr>
          <w:rStyle w:val="CommentReference"/>
        </w:rPr>
        <w:annotationRef/>
      </w:r>
      <w:r>
        <w:t>Need to Update Link</w:t>
      </w:r>
    </w:p>
  </w:comment>
  <w:comment w:id="4" w:author="Rossiter, Brianna" w:date="2021-04-23T14:00:00Z" w:initials="RB">
    <w:p w14:paraId="098EE70A" w14:textId="179CCA79" w:rsidR="00C94D84" w:rsidRDefault="00C94D84">
      <w:pPr>
        <w:pStyle w:val="CommentText"/>
      </w:pPr>
      <w:bookmarkStart w:id="5" w:name="_GoBack"/>
      <w:r>
        <w:rPr>
          <w:rStyle w:val="CommentReference"/>
        </w:rPr>
        <w:annotationRef/>
      </w:r>
      <w:r>
        <w:t>Check Draft STAR</w:t>
      </w:r>
      <w:bookmarkEnd w:id="5"/>
    </w:p>
  </w:comment>
  <w:comment w:id="6" w:author="Rossiter, Brianna" w:date="2021-04-23T14:01:00Z" w:initials="RB">
    <w:p w14:paraId="3155DA26" w14:textId="455DA9E0" w:rsidR="00BA7FC7" w:rsidRDefault="00BA7FC7">
      <w:pPr>
        <w:pStyle w:val="CommentText"/>
      </w:pPr>
      <w:r>
        <w:rPr>
          <w:rStyle w:val="CommentReference"/>
        </w:rPr>
        <w:annotationRef/>
      </w:r>
      <w:r>
        <w:t>Janis needs to make new project data file</w:t>
      </w:r>
    </w:p>
  </w:comment>
  <w:comment w:id="7" w:author="Rossiter, Brianna" w:date="2021-04-23T14:02:00Z" w:initials="RB">
    <w:p w14:paraId="354AD4B6" w14:textId="26222238" w:rsidR="00BA7FC7" w:rsidRDefault="00BA7FC7">
      <w:pPr>
        <w:pStyle w:val="CommentText"/>
      </w:pPr>
      <w:r>
        <w:rPr>
          <w:rStyle w:val="CommentReference"/>
        </w:rPr>
        <w:annotationRef/>
      </w:r>
      <w:r>
        <w:t>Confirm that they are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DBC561" w15:done="0"/>
  <w15:commentEx w15:paraId="3804D8BB" w15:done="1"/>
  <w15:commentEx w15:paraId="146A7C20" w15:done="0"/>
  <w15:commentEx w15:paraId="1C7E0970" w15:done="0"/>
  <w15:commentEx w15:paraId="098EE70A" w15:done="1"/>
  <w15:commentEx w15:paraId="3155DA26" w15:done="0"/>
  <w15:commentEx w15:paraId="354AD4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DBC561" w16cid:durableId="242D50A1"/>
  <w16cid:commentId w16cid:paraId="3804D8BB" w16cid:durableId="242D530D"/>
  <w16cid:commentId w16cid:paraId="146A7C20" w16cid:durableId="242D506E"/>
  <w16cid:commentId w16cid:paraId="1C7E0970" w16cid:durableId="242D4967"/>
  <w16cid:commentId w16cid:paraId="098EE70A" w16cid:durableId="242D5168"/>
  <w16cid:commentId w16cid:paraId="3155DA26" w16cid:durableId="242D51C9"/>
  <w16cid:commentId w16cid:paraId="354AD4B6" w16cid:durableId="242D51D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_sanssemibold">
    <w:altName w:val="Calibri"/>
    <w:charset w:val="00"/>
    <w:family w:val="auto"/>
    <w:pitch w:val="default"/>
  </w:font>
  <w:font w:name="open_san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siter, Brianna">
    <w15:presenceInfo w15:providerId="AD" w15:userId="S::Brianna.Rossiter@FloridaDEP.gov::9e768710-24cf-4954-b935-af41ef816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17"/>
    <w:rsid w:val="00044AAA"/>
    <w:rsid w:val="00117C4B"/>
    <w:rsid w:val="001C6A0F"/>
    <w:rsid w:val="00273E97"/>
    <w:rsid w:val="002B07D1"/>
    <w:rsid w:val="002B7362"/>
    <w:rsid w:val="002F7917"/>
    <w:rsid w:val="00327C31"/>
    <w:rsid w:val="00357BA7"/>
    <w:rsid w:val="00376A66"/>
    <w:rsid w:val="00452738"/>
    <w:rsid w:val="00452856"/>
    <w:rsid w:val="00502373"/>
    <w:rsid w:val="006176A0"/>
    <w:rsid w:val="00646721"/>
    <w:rsid w:val="006E6ACC"/>
    <w:rsid w:val="00773279"/>
    <w:rsid w:val="007802B1"/>
    <w:rsid w:val="007F3BCF"/>
    <w:rsid w:val="007F40DC"/>
    <w:rsid w:val="008376B1"/>
    <w:rsid w:val="00857E43"/>
    <w:rsid w:val="008819C8"/>
    <w:rsid w:val="008B2438"/>
    <w:rsid w:val="00902E05"/>
    <w:rsid w:val="00971BF4"/>
    <w:rsid w:val="00A11C29"/>
    <w:rsid w:val="00A736E2"/>
    <w:rsid w:val="00AC3279"/>
    <w:rsid w:val="00AD4F3F"/>
    <w:rsid w:val="00B072DC"/>
    <w:rsid w:val="00B27ADE"/>
    <w:rsid w:val="00B45FE5"/>
    <w:rsid w:val="00B92A30"/>
    <w:rsid w:val="00BA223E"/>
    <w:rsid w:val="00BA7FC7"/>
    <w:rsid w:val="00BC475A"/>
    <w:rsid w:val="00C52DE3"/>
    <w:rsid w:val="00C76121"/>
    <w:rsid w:val="00C94D84"/>
    <w:rsid w:val="00CC63B9"/>
    <w:rsid w:val="00D06558"/>
    <w:rsid w:val="00DF7A4A"/>
    <w:rsid w:val="00E95255"/>
    <w:rsid w:val="00F476C4"/>
    <w:rsid w:val="00F61F3C"/>
    <w:rsid w:val="00F64482"/>
    <w:rsid w:val="00FA20E0"/>
    <w:rsid w:val="00FC0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BD11"/>
  <w15:chartTrackingRefBased/>
  <w15:docId w15:val="{34F39338-EC22-4F1D-99A0-0C08E687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9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917"/>
    <w:rPr>
      <w:rFonts w:ascii="Segoe UI" w:hAnsi="Segoe UI" w:cs="Segoe UI"/>
      <w:sz w:val="18"/>
      <w:szCs w:val="18"/>
    </w:rPr>
  </w:style>
  <w:style w:type="character" w:styleId="CommentReference">
    <w:name w:val="annotation reference"/>
    <w:basedOn w:val="DefaultParagraphFont"/>
    <w:uiPriority w:val="99"/>
    <w:semiHidden/>
    <w:unhideWhenUsed/>
    <w:rsid w:val="002F7917"/>
    <w:rPr>
      <w:sz w:val="16"/>
      <w:szCs w:val="16"/>
    </w:rPr>
  </w:style>
  <w:style w:type="paragraph" w:styleId="CommentText">
    <w:name w:val="annotation text"/>
    <w:basedOn w:val="Normal"/>
    <w:link w:val="CommentTextChar"/>
    <w:uiPriority w:val="99"/>
    <w:unhideWhenUsed/>
    <w:rsid w:val="002F7917"/>
    <w:pPr>
      <w:spacing w:line="240" w:lineRule="auto"/>
    </w:pPr>
    <w:rPr>
      <w:sz w:val="20"/>
      <w:szCs w:val="20"/>
    </w:rPr>
  </w:style>
  <w:style w:type="character" w:customStyle="1" w:styleId="CommentTextChar">
    <w:name w:val="Comment Text Char"/>
    <w:basedOn w:val="DefaultParagraphFont"/>
    <w:link w:val="CommentText"/>
    <w:uiPriority w:val="99"/>
    <w:rsid w:val="002F7917"/>
    <w:rPr>
      <w:sz w:val="20"/>
      <w:szCs w:val="20"/>
    </w:rPr>
  </w:style>
  <w:style w:type="character" w:styleId="Hyperlink">
    <w:name w:val="Hyperlink"/>
    <w:basedOn w:val="DefaultParagraphFont"/>
    <w:uiPriority w:val="99"/>
    <w:unhideWhenUsed/>
    <w:rsid w:val="002F7917"/>
    <w:rPr>
      <w:color w:val="0563C1" w:themeColor="hyperlink"/>
      <w:u w:val="single"/>
    </w:rPr>
  </w:style>
  <w:style w:type="character" w:styleId="FollowedHyperlink">
    <w:name w:val="FollowedHyperlink"/>
    <w:basedOn w:val="DefaultParagraphFont"/>
    <w:uiPriority w:val="99"/>
    <w:semiHidden/>
    <w:unhideWhenUsed/>
    <w:rsid w:val="002F7917"/>
    <w:rPr>
      <w:color w:val="954F72" w:themeColor="followedHyperlink"/>
      <w:u w:val="single"/>
    </w:rPr>
  </w:style>
  <w:style w:type="character" w:styleId="UnresolvedMention">
    <w:name w:val="Unresolved Mention"/>
    <w:basedOn w:val="DefaultParagraphFont"/>
    <w:uiPriority w:val="99"/>
    <w:semiHidden/>
    <w:unhideWhenUsed/>
    <w:rsid w:val="00273E9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02373"/>
    <w:rPr>
      <w:b/>
      <w:bCs/>
    </w:rPr>
  </w:style>
  <w:style w:type="character" w:customStyle="1" w:styleId="CommentSubjectChar">
    <w:name w:val="Comment Subject Char"/>
    <w:basedOn w:val="CommentTextChar"/>
    <w:link w:val="CommentSubject"/>
    <w:uiPriority w:val="99"/>
    <w:semiHidden/>
    <w:rsid w:val="00502373"/>
    <w:rPr>
      <w:b/>
      <w:bCs/>
      <w:sz w:val="20"/>
      <w:szCs w:val="20"/>
    </w:rPr>
  </w:style>
  <w:style w:type="character" w:styleId="Strong">
    <w:name w:val="Strong"/>
    <w:basedOn w:val="DefaultParagraphFont"/>
    <w:uiPriority w:val="22"/>
    <w:qFormat/>
    <w:rsid w:val="002B07D1"/>
    <w:rPr>
      <w:b/>
      <w:bCs/>
    </w:rPr>
  </w:style>
  <w:style w:type="paragraph" w:styleId="Revision">
    <w:name w:val="Revision"/>
    <w:hidden/>
    <w:uiPriority w:val="99"/>
    <w:semiHidden/>
    <w:rsid w:val="00971BF4"/>
    <w:pPr>
      <w:spacing w:after="0" w:line="240" w:lineRule="auto"/>
    </w:pPr>
  </w:style>
  <w:style w:type="paragraph" w:styleId="NormalWeb">
    <w:name w:val="Normal (Web)"/>
    <w:basedOn w:val="Normal"/>
    <w:uiPriority w:val="99"/>
    <w:semiHidden/>
    <w:unhideWhenUsed/>
    <w:rsid w:val="00BA7F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563830">
      <w:bodyDiv w:val="1"/>
      <w:marLeft w:val="0"/>
      <w:marRight w:val="0"/>
      <w:marTop w:val="0"/>
      <w:marBottom w:val="0"/>
      <w:divBdr>
        <w:top w:val="none" w:sz="0" w:space="0" w:color="auto"/>
        <w:left w:val="none" w:sz="0" w:space="0" w:color="auto"/>
        <w:bottom w:val="none" w:sz="0" w:space="0" w:color="auto"/>
        <w:right w:val="none" w:sz="0" w:space="0" w:color="auto"/>
      </w:divBdr>
    </w:div>
    <w:div w:id="1791511827">
      <w:bodyDiv w:val="1"/>
      <w:marLeft w:val="0"/>
      <w:marRight w:val="0"/>
      <w:marTop w:val="0"/>
      <w:marBottom w:val="0"/>
      <w:divBdr>
        <w:top w:val="none" w:sz="0" w:space="0" w:color="auto"/>
        <w:left w:val="none" w:sz="0" w:space="0" w:color="auto"/>
        <w:bottom w:val="none" w:sz="0" w:space="0" w:color="auto"/>
        <w:right w:val="none" w:sz="0" w:space="0" w:color="auto"/>
      </w:divBdr>
    </w:div>
    <w:div w:id="1820919503">
      <w:bodyDiv w:val="1"/>
      <w:marLeft w:val="0"/>
      <w:marRight w:val="0"/>
      <w:marTop w:val="0"/>
      <w:marBottom w:val="0"/>
      <w:divBdr>
        <w:top w:val="none" w:sz="0" w:space="0" w:color="auto"/>
        <w:left w:val="none" w:sz="0" w:space="0" w:color="auto"/>
        <w:bottom w:val="none" w:sz="0" w:space="0" w:color="auto"/>
        <w:right w:val="none" w:sz="0" w:space="0" w:color="auto"/>
      </w:divBdr>
    </w:div>
    <w:div w:id="18473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files.dep.state.fl.us/DEAR/DEARweb/BMAP/NEEP_2020_Updates/Caloosahatchee%20BMAP_01-31-2020.pdf" TargetMode="External"/><Relationship Id="rId13" Type="http://schemas.openxmlformats.org/officeDocument/2006/relationships/hyperlink" Target="http://publicfiles.dep.state.fl.us/DEAR/DEARweb/BMAP/NEEP_2020_Updates/Caloosahatchee%20BMAP_01-31-2020.pdf" TargetMode="External"/><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fdep.maps.arcgis.com/apps/MapSeries/index.html?appid=627a7ebb8e1d4ab6ba5115dc545a0835" TargetMode="External"/><Relationship Id="rId12" Type="http://schemas.openxmlformats.org/officeDocument/2006/relationships/hyperlink" Target="http://publicfiles.dep.state.fl.us/DEAR/DEARweb/BMAP/NEEP_2020_Updates/Caloosahatchee%20BMAP_01-31-2020.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loridadep.gov/dear/water-quality-restoration/content/basin-management-action-plans-bmaps" TargetMode="Externa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hyperlink" Target="http://publicfiles.dep.state.fl.us/DEAR/DEARweb/TMDL/Final_TMDL/gp3/Caloosa_Tribs_DO_TMDL_080819.pdf" TargetMode="External"/><Relationship Id="rId5" Type="http://schemas.microsoft.com/office/2011/relationships/commentsExtended" Target="commentsExtended.xml"/><Relationship Id="rId15" Type="http://schemas.openxmlformats.org/officeDocument/2006/relationships/hyperlink" Target="https://geodata.dep.state.fl.us/datasets/statewide-basin-management-action-plan-bmap-general-areas" TargetMode="External"/><Relationship Id="rId10" Type="http://schemas.openxmlformats.org/officeDocument/2006/relationships/hyperlink" Target="https://floridadep.gov/sites/default/files/tidal-caloosa-nutr-tmdl_0.pdf" TargetMode="External"/><Relationship Id="rId19" Type="http://schemas.openxmlformats.org/officeDocument/2006/relationships/theme" Target="theme/theme1.xml"/><Relationship Id="rId4" Type="http://schemas.openxmlformats.org/officeDocument/2006/relationships/comments" Target="comments.xml"/><Relationship Id="rId9" Type="http://schemas.openxmlformats.org/officeDocument/2006/relationships/hyperlink" Target="https://floridadep.gov/dear/water-quality-evaluation-tmdl/documents/tidal-caloosahatchee-wbids-3240a-3240b-and-3240c" TargetMode="External"/><Relationship Id="rId14" Type="http://schemas.openxmlformats.org/officeDocument/2006/relationships/hyperlink" Target="mailto:Sara.C.Davis@FloridaDE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4225</TotalTime>
  <Pages>4</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12</cp:revision>
  <dcterms:created xsi:type="dcterms:W3CDTF">2021-04-23T17:28:00Z</dcterms:created>
  <dcterms:modified xsi:type="dcterms:W3CDTF">2021-04-29T17:51:00Z</dcterms:modified>
</cp:coreProperties>
</file>