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jpeg" ContentType="image/jpeg"/>
  <Default Extension="wmf" ContentType="image/x-w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094" w:rsidRPr="003A4461" w:rsidRDefault="00A74EF3" w:rsidP="00617E31">
      <w:pPr>
        <w:rPr>
          <w:rFonts w:ascii="Arial" w:hAnsi="Arial" w:cs="Arial"/>
          <w:sz w:val="22"/>
          <w:szCs w:val="22"/>
        </w:rPr>
      </w:pPr>
      <w:r w:rsidRPr="00A74EF3">
        <w:rPr>
          <w:noProof/>
        </w:rPr>
        <w:pict>
          <v:rect id="_x0000_s1026" style="position:absolute;margin-left:0;margin-top:44.05pt;width:459pt;height:208.6pt;z-index:251640320;mso-position-horizontal:center" stroked="f">
            <v:textbox style="mso-next-textbox:#_x0000_s1026">
              <w:txbxContent>
                <w:p w:rsidR="00A75953" w:rsidRDefault="00A75953" w:rsidP="0087219B">
                  <w:pPr>
                    <w:jc w:val="center"/>
                    <w:rPr>
                      <w:rFonts w:ascii="Arial" w:hAnsi="Arial"/>
                      <w:b/>
                      <w:sz w:val="48"/>
                    </w:rPr>
                  </w:pPr>
                </w:p>
                <w:p w:rsidR="00A75953" w:rsidRDefault="00A75953" w:rsidP="0087219B">
                  <w:pPr>
                    <w:jc w:val="center"/>
                    <w:rPr>
                      <w:rFonts w:ascii="Arial" w:hAnsi="Arial"/>
                      <w:b/>
                      <w:sz w:val="48"/>
                    </w:rPr>
                  </w:pPr>
                  <w:r>
                    <w:rPr>
                      <w:rFonts w:ascii="Arial" w:hAnsi="Arial"/>
                      <w:b/>
                      <w:sz w:val="48"/>
                    </w:rPr>
                    <w:t xml:space="preserve">Integrated Water Quality Assessment for Florida:  </w:t>
                  </w:r>
                </w:p>
                <w:p w:rsidR="00A75953" w:rsidRDefault="00A75953" w:rsidP="0087219B">
                  <w:pPr>
                    <w:jc w:val="center"/>
                    <w:rPr>
                      <w:rFonts w:ascii="Arial" w:hAnsi="Arial"/>
                      <w:b/>
                      <w:i/>
                      <w:sz w:val="48"/>
                    </w:rPr>
                  </w:pPr>
                  <w:r w:rsidRPr="006D5E4A">
                    <w:rPr>
                      <w:rFonts w:ascii="Arial" w:hAnsi="Arial"/>
                      <w:b/>
                      <w:i/>
                      <w:sz w:val="48"/>
                    </w:rPr>
                    <w:t>20</w:t>
                  </w:r>
                  <w:r>
                    <w:rPr>
                      <w:rFonts w:ascii="Arial" w:hAnsi="Arial"/>
                      <w:b/>
                      <w:i/>
                      <w:sz w:val="48"/>
                    </w:rPr>
                    <w:t>10</w:t>
                  </w:r>
                  <w:r w:rsidRPr="006D5E4A">
                    <w:rPr>
                      <w:rFonts w:ascii="Arial" w:hAnsi="Arial"/>
                      <w:b/>
                      <w:i/>
                      <w:sz w:val="48"/>
                    </w:rPr>
                    <w:t xml:space="preserve"> 305(b) Report </w:t>
                  </w:r>
                </w:p>
                <w:p w:rsidR="00A75953" w:rsidRPr="006D5E4A" w:rsidRDefault="00A75953" w:rsidP="0087219B">
                  <w:pPr>
                    <w:jc w:val="center"/>
                    <w:rPr>
                      <w:rFonts w:ascii="Arial" w:hAnsi="Arial"/>
                      <w:b/>
                      <w:i/>
                      <w:sz w:val="48"/>
                    </w:rPr>
                  </w:pPr>
                  <w:r w:rsidRPr="006D5E4A">
                    <w:rPr>
                      <w:rFonts w:ascii="Arial" w:hAnsi="Arial"/>
                      <w:b/>
                      <w:i/>
                      <w:sz w:val="48"/>
                    </w:rPr>
                    <w:t>and 303(d) List Update</w:t>
                  </w:r>
                </w:p>
                <w:p w:rsidR="00A75953" w:rsidRDefault="00A75953" w:rsidP="0087219B">
                  <w:pPr>
                    <w:jc w:val="center"/>
                    <w:rPr>
                      <w:rFonts w:ascii="Arial" w:hAnsi="Arial"/>
                      <w:b/>
                      <w:sz w:val="48"/>
                    </w:rPr>
                  </w:pPr>
                </w:p>
                <w:p w:rsidR="00A75953" w:rsidRDefault="00A75953" w:rsidP="0087219B">
                  <w:pPr>
                    <w:jc w:val="center"/>
                    <w:rPr>
                      <w:rFonts w:ascii="Arial" w:hAnsi="Arial"/>
                      <w:sz w:val="40"/>
                    </w:rPr>
                  </w:pPr>
                  <w:r>
                    <w:rPr>
                      <w:rFonts w:ascii="Arial" w:hAnsi="Arial"/>
                      <w:sz w:val="40"/>
                    </w:rPr>
                    <w:t>September 2010</w:t>
                  </w:r>
                </w:p>
              </w:txbxContent>
            </v:textbox>
          </v:rect>
        </w:pict>
      </w:r>
    </w:p>
    <w:p w:rsidR="00485094" w:rsidRPr="003A4461" w:rsidRDefault="00A74EF3" w:rsidP="00617E31">
      <w:pPr>
        <w:autoSpaceDE w:val="0"/>
        <w:autoSpaceDN w:val="0"/>
        <w:adjustRightInd w:val="0"/>
        <w:rPr>
          <w:rFonts w:ascii="Arial" w:hAnsi="Arial" w:cs="Arial"/>
          <w:b/>
          <w:bCs/>
          <w:sz w:val="22"/>
          <w:szCs w:val="22"/>
        </w:rPr>
      </w:pPr>
      <w:r w:rsidRPr="00A74EF3">
        <w:rPr>
          <w:noProof/>
        </w:rPr>
        <w:pict>
          <v:shapetype id="_x0000_t202" coordsize="21600,21600" o:spt="202" path="m,l,21600r21600,l21600,xe">
            <v:stroke joinstyle="miter"/>
            <v:path gradientshapeok="t" o:connecttype="rect"/>
          </v:shapetype>
          <v:shape id="_x0000_s1027" type="#_x0000_t202" style="position:absolute;margin-left:0;margin-top:505.35pt;width:415.25pt;height:75pt;z-index:251641344;mso-position-horizontal:center" stroked="f">
            <v:textbox style="mso-next-textbox:#_x0000_s1027">
              <w:txbxContent>
                <w:p w:rsidR="00A75953" w:rsidRDefault="00A75953" w:rsidP="007F7069">
                  <w:pPr>
                    <w:jc w:val="center"/>
                    <w:rPr>
                      <w:rFonts w:ascii="Arial Black" w:hAnsi="Arial Black"/>
                    </w:rPr>
                  </w:pPr>
                  <w:r>
                    <w:rPr>
                      <w:rFonts w:ascii="Arial Black" w:hAnsi="Arial Black"/>
                    </w:rPr>
                    <w:t xml:space="preserve">Florida Department of Environmental Protection </w:t>
                  </w:r>
                </w:p>
                <w:p w:rsidR="00A75953" w:rsidRDefault="00A75953" w:rsidP="007F7069">
                  <w:pPr>
                    <w:jc w:val="center"/>
                    <w:rPr>
                      <w:rFonts w:ascii="Arial Black" w:hAnsi="Arial Black"/>
                    </w:rPr>
                  </w:pPr>
                  <w:r>
                    <w:rPr>
                      <w:rFonts w:ascii="Arial Black" w:hAnsi="Arial Black"/>
                    </w:rPr>
                    <w:t>Division of Environmental Assessment and Restoration</w:t>
                  </w:r>
                </w:p>
                <w:p w:rsidR="00A75953" w:rsidRDefault="00A75953" w:rsidP="007F7069">
                  <w:pPr>
                    <w:jc w:val="center"/>
                    <w:rPr>
                      <w:rFonts w:ascii="Arial Black" w:hAnsi="Arial Black"/>
                    </w:rPr>
                  </w:pPr>
                  <w:r>
                    <w:rPr>
                      <w:rFonts w:ascii="Arial Black" w:hAnsi="Arial Black"/>
                    </w:rPr>
                    <w:t xml:space="preserve">Tallahassee, </w:t>
                  </w:r>
                  <w:smartTag w:uri="urn:schemas-microsoft-com:office:smarttags" w:element="State">
                    <w:r>
                      <w:rPr>
                        <w:rFonts w:ascii="Arial Black" w:hAnsi="Arial Black"/>
                      </w:rPr>
                      <w:t>Florida</w:t>
                    </w:r>
                  </w:smartTag>
                </w:p>
              </w:txbxContent>
            </v:textbox>
          </v:shape>
        </w:pict>
      </w:r>
    </w:p>
    <w:p w:rsidR="00485094" w:rsidRPr="003A4461" w:rsidRDefault="001717CD" w:rsidP="0020337B">
      <w:pPr>
        <w:pStyle w:val="TOAHeading"/>
        <w:rPr>
          <w:rFonts w:cs="Arial"/>
          <w:sz w:val="22"/>
          <w:szCs w:val="22"/>
        </w:rPr>
      </w:pPr>
      <w:r>
        <w:rPr>
          <w:noProof/>
        </w:rPr>
        <w:drawing>
          <wp:anchor distT="0" distB="0" distL="114300" distR="114300" simplePos="0" relativeHeight="251648512" behindDoc="0" locked="0" layoutInCell="1" allowOverlap="1">
            <wp:simplePos x="0" y="0"/>
            <wp:positionH relativeFrom="column">
              <wp:align>center</wp:align>
            </wp:positionH>
            <wp:positionV relativeFrom="paragraph">
              <wp:posOffset>3546475</wp:posOffset>
            </wp:positionV>
            <wp:extent cx="3063240" cy="2010410"/>
            <wp:effectExtent l="19050" t="0" r="3810" b="0"/>
            <wp:wrapTopAndBottom/>
            <wp:docPr id="52" name="Picture 4" descr="F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EP logo"/>
                    <pic:cNvPicPr>
                      <a:picLocks noChangeAspect="1" noChangeArrowheads="1"/>
                    </pic:cNvPicPr>
                  </pic:nvPicPr>
                  <pic:blipFill>
                    <a:blip r:embed="rId7"/>
                    <a:srcRect/>
                    <a:stretch>
                      <a:fillRect/>
                    </a:stretch>
                  </pic:blipFill>
                  <pic:spPr bwMode="auto">
                    <a:xfrm>
                      <a:off x="0" y="0"/>
                      <a:ext cx="3063240" cy="2010410"/>
                    </a:xfrm>
                    <a:prstGeom prst="rect">
                      <a:avLst/>
                    </a:prstGeom>
                    <a:noFill/>
                    <a:ln w="9525">
                      <a:noFill/>
                      <a:miter lim="800000"/>
                      <a:headEnd/>
                      <a:tailEnd/>
                    </a:ln>
                  </pic:spPr>
                </pic:pic>
              </a:graphicData>
            </a:graphic>
          </wp:anchor>
        </w:drawing>
      </w:r>
      <w:r w:rsidR="00A74EF3" w:rsidRPr="00A74EF3">
        <w:rPr>
          <w:noProof/>
        </w:rPr>
        <w:pict>
          <v:shape id="_x0000_s1029" type="#_x0000_t202" style="position:absolute;margin-left:0;margin-top:-8.8pt;width:495pt;height:593.3pt;z-index:-251665920;mso-position-horizontal:center;mso-position-horizontal-relative:text;mso-position-vertical-relative:text" strokeweight="3pt">
            <v:stroke linestyle="thinThin"/>
            <v:textbox style="mso-next-textbox:#_x0000_s1029">
              <w:txbxContent>
                <w:p w:rsidR="00A75953" w:rsidRPr="00EA52DB" w:rsidRDefault="00A75953" w:rsidP="00EA52DB"/>
              </w:txbxContent>
            </v:textbox>
            <w10:wrap type="topAndBottom"/>
          </v:shape>
        </w:pict>
      </w:r>
      <w:r w:rsidR="00A74EF3" w:rsidRPr="00A74EF3">
        <w:rPr>
          <w:noProof/>
        </w:rPr>
        <w:pict>
          <v:shape id="_x0000_s1030" type="#_x0000_t202" style="position:absolute;margin-left:103.15pt;margin-top:414.95pt;width:277.2pt;height:108pt;z-index:251649536;mso-position-horizontal-relative:text;mso-position-vertical-relative:text" stroked="f">
            <v:textbox style="mso-next-textbox:#_x0000_s1030">
              <w:txbxContent>
                <w:p w:rsidR="00A75953" w:rsidRPr="00016A28" w:rsidRDefault="00A75953" w:rsidP="0087219B">
                  <w:pPr>
                    <w:jc w:val="center"/>
                    <w:rPr>
                      <w:rFonts w:ascii="Arial Black" w:hAnsi="Arial Black"/>
                      <w:sz w:val="20"/>
                      <w:szCs w:val="20"/>
                    </w:rPr>
                  </w:pPr>
                  <w:r w:rsidRPr="00016A28">
                    <w:rPr>
                      <w:rFonts w:ascii="Arial Black" w:hAnsi="Arial Black"/>
                      <w:b/>
                      <w:sz w:val="20"/>
                    </w:rPr>
                    <w:t xml:space="preserve">Florida Department of Environmental Protection </w:t>
                  </w:r>
                </w:p>
                <w:p w:rsidR="00A75953" w:rsidRPr="00016A28" w:rsidRDefault="00A75953" w:rsidP="0087219B">
                  <w:pPr>
                    <w:jc w:val="center"/>
                    <w:rPr>
                      <w:rFonts w:ascii="Arial Black" w:hAnsi="Arial Black"/>
                      <w:sz w:val="20"/>
                      <w:szCs w:val="20"/>
                    </w:rPr>
                  </w:pPr>
                  <w:r w:rsidRPr="00016A28">
                    <w:rPr>
                      <w:rFonts w:ascii="Arial Black" w:hAnsi="Arial Black"/>
                      <w:b/>
                      <w:sz w:val="20"/>
                    </w:rPr>
                    <w:t>Division of Water Resource Management</w:t>
                  </w:r>
                </w:p>
                <w:p w:rsidR="00A75953" w:rsidRPr="00016A28" w:rsidRDefault="00A75953" w:rsidP="0087219B">
                  <w:pPr>
                    <w:jc w:val="center"/>
                    <w:rPr>
                      <w:rFonts w:ascii="Arial Black" w:hAnsi="Arial Black"/>
                      <w:sz w:val="20"/>
                      <w:szCs w:val="20"/>
                    </w:rPr>
                  </w:pPr>
                  <w:r w:rsidRPr="00016A28">
                    <w:rPr>
                      <w:rFonts w:ascii="Arial Black" w:hAnsi="Arial Black"/>
                      <w:b/>
                      <w:sz w:val="20"/>
                    </w:rPr>
                    <w:t>Bureau of Watershed Management</w:t>
                  </w:r>
                </w:p>
                <w:p w:rsidR="00A75953" w:rsidRPr="00016A28" w:rsidRDefault="00A75953" w:rsidP="0087219B">
                  <w:pPr>
                    <w:jc w:val="center"/>
                    <w:rPr>
                      <w:rFonts w:ascii="Arial Black" w:hAnsi="Arial Black"/>
                      <w:sz w:val="20"/>
                      <w:szCs w:val="20"/>
                    </w:rPr>
                  </w:pPr>
                  <w:smartTag w:uri="urn:schemas-microsoft-com:office:smarttags" w:element="address">
                    <w:smartTag w:uri="urn:schemas-microsoft-com:office:smarttags" w:element="Street">
                      <w:r w:rsidRPr="00016A28">
                        <w:rPr>
                          <w:rFonts w:ascii="Arial Black" w:hAnsi="Arial Black"/>
                          <w:b/>
                          <w:sz w:val="20"/>
                        </w:rPr>
                        <w:t>2600 Blair Stone Road</w:t>
                      </w:r>
                    </w:smartTag>
                  </w:smartTag>
                </w:p>
                <w:p w:rsidR="00A75953" w:rsidRPr="00016A28" w:rsidRDefault="00A75953" w:rsidP="0087219B">
                  <w:pPr>
                    <w:jc w:val="center"/>
                    <w:rPr>
                      <w:rFonts w:ascii="Arial Black" w:hAnsi="Arial Black"/>
                      <w:sz w:val="20"/>
                      <w:szCs w:val="20"/>
                    </w:rPr>
                  </w:pPr>
                  <w:smartTag w:uri="urn:schemas-microsoft-com:office:smarttags" w:element="City">
                    <w:smartTag w:uri="urn:schemas-microsoft-com:office:smarttags" w:element="place">
                      <w:r w:rsidRPr="00016A28">
                        <w:rPr>
                          <w:rFonts w:ascii="Arial Black" w:hAnsi="Arial Black"/>
                          <w:b/>
                          <w:sz w:val="20"/>
                        </w:rPr>
                        <w:t>Tallahassee</w:t>
                      </w:r>
                    </w:smartTag>
                    <w:r w:rsidRPr="00016A28">
                      <w:rPr>
                        <w:rFonts w:ascii="Arial Black" w:hAnsi="Arial Black"/>
                        <w:b/>
                        <w:sz w:val="20"/>
                      </w:rPr>
                      <w:t xml:space="preserve">, </w:t>
                    </w:r>
                    <w:smartTag w:uri="urn:schemas-microsoft-com:office:smarttags" w:element="PostalCode">
                      <w:r w:rsidRPr="00016A28">
                        <w:rPr>
                          <w:rFonts w:ascii="Arial Black" w:hAnsi="Arial Black"/>
                          <w:b/>
                          <w:sz w:val="20"/>
                        </w:rPr>
                        <w:t>Florida</w:t>
                      </w:r>
                    </w:smartTag>
                    <w:r w:rsidRPr="00016A28">
                      <w:rPr>
                        <w:rFonts w:ascii="Arial Black" w:hAnsi="Arial Black"/>
                        <w:b/>
                        <w:sz w:val="20"/>
                      </w:rPr>
                      <w:t xml:space="preserve"> </w:t>
                    </w:r>
                    <w:smartTag w:uri="urn:schemas-microsoft-com:office:smarttags" w:element="PostalCode">
                      <w:r w:rsidRPr="00016A28">
                        <w:rPr>
                          <w:rFonts w:ascii="Arial Black" w:hAnsi="Arial Black"/>
                          <w:b/>
                          <w:sz w:val="20"/>
                        </w:rPr>
                        <w:t>32399-2400</w:t>
                      </w:r>
                    </w:smartTag>
                  </w:smartTag>
                </w:p>
                <w:p w:rsidR="00A75953" w:rsidRPr="00016A28" w:rsidRDefault="00A75953" w:rsidP="0087219B">
                  <w:pPr>
                    <w:jc w:val="center"/>
                    <w:rPr>
                      <w:rFonts w:ascii="Arial Black" w:hAnsi="Arial Black"/>
                      <w:sz w:val="20"/>
                      <w:szCs w:val="20"/>
                    </w:rPr>
                  </w:pPr>
                  <w:r w:rsidRPr="00016A28">
                    <w:rPr>
                      <w:rFonts w:ascii="Arial Black" w:hAnsi="Arial Black"/>
                      <w:b/>
                      <w:sz w:val="20"/>
                    </w:rPr>
                    <w:t>www2.dep.state.fl.us/water/</w:t>
                  </w:r>
                </w:p>
                <w:p w:rsidR="00A75953" w:rsidRPr="00016A28" w:rsidRDefault="00A75953" w:rsidP="0087219B">
                  <w:pPr>
                    <w:jc w:val="center"/>
                    <w:rPr>
                      <w:rFonts w:ascii="Arial Black" w:hAnsi="Arial Black"/>
                      <w:sz w:val="20"/>
                      <w:szCs w:val="20"/>
                    </w:rPr>
                  </w:pPr>
                </w:p>
              </w:txbxContent>
            </v:textbox>
          </v:shape>
        </w:pict>
      </w:r>
    </w:p>
    <w:p w:rsidR="00485094" w:rsidRDefault="00485094" w:rsidP="0087219B">
      <w:pPr>
        <w:autoSpaceDE w:val="0"/>
        <w:autoSpaceDN w:val="0"/>
        <w:adjustRightInd w:val="0"/>
        <w:rPr>
          <w:rFonts w:ascii="Arial" w:hAnsi="Arial" w:cs="Arial"/>
          <w:sz w:val="22"/>
          <w:szCs w:val="22"/>
        </w:rPr>
        <w:sectPr w:rsidR="00485094" w:rsidSect="006167C5">
          <w:headerReference w:type="default" r:id="rId8"/>
          <w:footerReference w:type="even" r:id="rId9"/>
          <w:footerReference w:type="default" r:id="rId10"/>
          <w:footnotePr>
            <w:numFmt w:val="lowerLetter"/>
          </w:footnotePr>
          <w:pgSz w:w="12240" w:h="15840" w:code="1"/>
          <w:pgMar w:top="1440" w:right="1440" w:bottom="1440" w:left="1440" w:header="720" w:footer="720" w:gutter="0"/>
          <w:paperSrc w:first="261"/>
          <w:pgNumType w:fmt="lowerRoman"/>
          <w:cols w:space="720"/>
          <w:titlePg/>
          <w:docGrid w:linePitch="360"/>
        </w:sectPr>
      </w:pPr>
    </w:p>
    <w:p w:rsidR="00485094" w:rsidRDefault="00485094" w:rsidP="00A553DE">
      <w:pPr>
        <w:pStyle w:val="Bodytextreduced"/>
      </w:pPr>
    </w:p>
    <w:p w:rsidR="00485094" w:rsidRPr="0041391B" w:rsidRDefault="00485094" w:rsidP="0041391B">
      <w:pPr>
        <w:jc w:val="center"/>
        <w:rPr>
          <w:rFonts w:ascii="Arial" w:hAnsi="Arial" w:cs="Arial"/>
          <w:b/>
          <w:sz w:val="32"/>
          <w:szCs w:val="32"/>
        </w:rPr>
      </w:pPr>
      <w:r w:rsidRPr="0041391B">
        <w:rPr>
          <w:rFonts w:ascii="Arial" w:hAnsi="Arial" w:cs="Arial"/>
          <w:b/>
          <w:sz w:val="32"/>
          <w:szCs w:val="32"/>
        </w:rPr>
        <w:t>ACKNOWLEDGMENTS</w:t>
      </w:r>
    </w:p>
    <w:p w:rsidR="00485094" w:rsidRDefault="00485094" w:rsidP="00A553DE">
      <w:pPr>
        <w:pStyle w:val="Bodytextreduced"/>
      </w:pPr>
    </w:p>
    <w:p w:rsidR="00485094" w:rsidRDefault="00485094" w:rsidP="009565BD">
      <w:pPr>
        <w:pStyle w:val="Bodytext"/>
      </w:pPr>
      <w:r>
        <w:t>This document was prepared by staff in the following bureaus of the Division of Environmental Assessment and Restoration, within the Florida Department of Environmental Protection:</w:t>
      </w:r>
    </w:p>
    <w:p w:rsidR="00485094" w:rsidRDefault="00485094" w:rsidP="009565BD">
      <w:pPr>
        <w:pStyle w:val="Bodytext"/>
      </w:pPr>
    </w:p>
    <w:p w:rsidR="00485094" w:rsidRPr="00A039C4" w:rsidRDefault="00485094" w:rsidP="0081133F">
      <w:pPr>
        <w:pStyle w:val="ListBullet"/>
        <w:rPr>
          <w:b/>
        </w:rPr>
      </w:pPr>
      <w:r w:rsidRPr="00A039C4">
        <w:rPr>
          <w:b/>
        </w:rPr>
        <w:t>Bureau of Assessment and Restoration Support:</w:t>
      </w:r>
    </w:p>
    <w:p w:rsidR="00485094" w:rsidRDefault="00485094" w:rsidP="00665048">
      <w:pPr>
        <w:pStyle w:val="Listbulletsub"/>
        <w:tabs>
          <w:tab w:val="left" w:pos="990"/>
        </w:tabs>
        <w:ind w:left="990"/>
      </w:pPr>
      <w:r w:rsidRPr="00AE383B">
        <w:t>Standards and Assessment Section</w:t>
      </w:r>
    </w:p>
    <w:p w:rsidR="00485094" w:rsidRDefault="00485094" w:rsidP="00665048">
      <w:pPr>
        <w:pStyle w:val="Listbulletsub"/>
        <w:tabs>
          <w:tab w:val="left" w:pos="990"/>
        </w:tabs>
        <w:ind w:left="990"/>
      </w:pPr>
      <w:r>
        <w:t>Watershed Assessment Section</w:t>
      </w:r>
    </w:p>
    <w:p w:rsidR="00485094" w:rsidRPr="00AE383B" w:rsidRDefault="00485094" w:rsidP="00665048">
      <w:pPr>
        <w:pStyle w:val="Listbulletsub"/>
        <w:tabs>
          <w:tab w:val="left" w:pos="990"/>
        </w:tabs>
        <w:ind w:left="990"/>
      </w:pPr>
      <w:r w:rsidRPr="00AE383B">
        <w:t>Watershed Monitoring Section</w:t>
      </w:r>
    </w:p>
    <w:p w:rsidR="00485094" w:rsidRDefault="00485094" w:rsidP="006D6DC8">
      <w:pPr>
        <w:pStyle w:val="Bodytextreduced"/>
      </w:pPr>
    </w:p>
    <w:p w:rsidR="00485094" w:rsidRPr="00A039C4" w:rsidRDefault="00485094" w:rsidP="0081133F">
      <w:pPr>
        <w:pStyle w:val="ListBullet"/>
        <w:rPr>
          <w:b/>
        </w:rPr>
      </w:pPr>
      <w:r w:rsidRPr="00A039C4">
        <w:rPr>
          <w:b/>
        </w:rPr>
        <w:t>Bureau of Watershed Restoration:</w:t>
      </w:r>
    </w:p>
    <w:p w:rsidR="00485094" w:rsidRDefault="00485094" w:rsidP="00665048">
      <w:pPr>
        <w:pStyle w:val="Listbulletsub"/>
        <w:tabs>
          <w:tab w:val="left" w:pos="990"/>
        </w:tabs>
        <w:ind w:left="990"/>
      </w:pPr>
      <w:r>
        <w:t xml:space="preserve">Ground Water Management </w:t>
      </w:r>
      <w:r w:rsidRPr="00AE383B">
        <w:t>Section</w:t>
      </w:r>
    </w:p>
    <w:p w:rsidR="00485094" w:rsidRDefault="00485094" w:rsidP="00665048">
      <w:pPr>
        <w:pStyle w:val="Listbulletsub"/>
        <w:tabs>
          <w:tab w:val="left" w:pos="990"/>
        </w:tabs>
        <w:ind w:left="990"/>
      </w:pPr>
      <w:r>
        <w:t xml:space="preserve">Nonpoint Source Management </w:t>
      </w:r>
      <w:r w:rsidRPr="00AE383B">
        <w:t>Section</w:t>
      </w:r>
    </w:p>
    <w:p w:rsidR="00485094" w:rsidRDefault="00485094" w:rsidP="00665048">
      <w:pPr>
        <w:pStyle w:val="Listbulletsub"/>
        <w:tabs>
          <w:tab w:val="left" w:pos="990"/>
        </w:tabs>
        <w:ind w:left="990"/>
      </w:pPr>
      <w:r>
        <w:t>Springs Initiative</w:t>
      </w:r>
    </w:p>
    <w:p w:rsidR="00485094" w:rsidRDefault="00485094" w:rsidP="00665048">
      <w:pPr>
        <w:pStyle w:val="Listbulletsub"/>
        <w:tabs>
          <w:tab w:val="left" w:pos="990"/>
        </w:tabs>
        <w:ind w:left="990"/>
      </w:pPr>
      <w:r>
        <w:t xml:space="preserve">Watershed Evaluation and TMDL </w:t>
      </w:r>
      <w:r w:rsidRPr="00AE383B">
        <w:t>Section</w:t>
      </w:r>
    </w:p>
    <w:p w:rsidR="00485094" w:rsidRDefault="00485094" w:rsidP="00665048">
      <w:pPr>
        <w:pStyle w:val="Listbulletsub"/>
        <w:tabs>
          <w:tab w:val="left" w:pos="990"/>
        </w:tabs>
        <w:ind w:left="990"/>
      </w:pPr>
      <w:r>
        <w:t xml:space="preserve">Watershed Planning and Coordination </w:t>
      </w:r>
      <w:r w:rsidRPr="00AE383B">
        <w:t>Section</w:t>
      </w:r>
    </w:p>
    <w:p w:rsidR="00485094" w:rsidRDefault="00485094" w:rsidP="006D6DC8">
      <w:pPr>
        <w:pStyle w:val="Bodytextreduced"/>
      </w:pPr>
    </w:p>
    <w:p w:rsidR="00485094" w:rsidRPr="00A039C4" w:rsidRDefault="00485094" w:rsidP="0081133F">
      <w:pPr>
        <w:pStyle w:val="ListBullet"/>
        <w:rPr>
          <w:b/>
        </w:rPr>
      </w:pPr>
      <w:r w:rsidRPr="00A039C4">
        <w:rPr>
          <w:b/>
        </w:rPr>
        <w:t>Bureau of Laboratories</w:t>
      </w:r>
      <w:r>
        <w:rPr>
          <w:b/>
        </w:rPr>
        <w:t>:</w:t>
      </w:r>
    </w:p>
    <w:p w:rsidR="00485094" w:rsidRPr="0081133F" w:rsidRDefault="00485094" w:rsidP="00665048">
      <w:pPr>
        <w:pStyle w:val="Listbulletsub"/>
        <w:tabs>
          <w:tab w:val="left" w:pos="990"/>
        </w:tabs>
        <w:ind w:left="990"/>
      </w:pPr>
      <w:r w:rsidRPr="0081133F">
        <w:t>Biology Section</w:t>
      </w:r>
    </w:p>
    <w:p w:rsidR="00485094" w:rsidRPr="00161439" w:rsidRDefault="00485094" w:rsidP="006D6DC8">
      <w:pPr>
        <w:pStyle w:val="Bodytextreduced"/>
      </w:pPr>
    </w:p>
    <w:p w:rsidR="00485094" w:rsidRDefault="00485094" w:rsidP="009565BD">
      <w:pPr>
        <w:pStyle w:val="Bodytext"/>
      </w:pPr>
      <w:r>
        <w:t xml:space="preserve">Many thanks to staff at the Florida Fish and Wildlife Conservation Commission for their valuable help in updating the section on cyanobacteria in </w:t>
      </w:r>
      <w:r w:rsidRPr="00CA461C">
        <w:t>Chapter 3</w:t>
      </w:r>
      <w:r>
        <w:t xml:space="preserve">.  </w:t>
      </w:r>
    </w:p>
    <w:p w:rsidR="00485094" w:rsidRPr="003A4461" w:rsidRDefault="00485094" w:rsidP="00A553DE">
      <w:pPr>
        <w:pStyle w:val="Bodytextreduced"/>
      </w:pPr>
      <w:r>
        <w:br w:type="page"/>
      </w:r>
    </w:p>
    <w:p w:rsidR="00485094" w:rsidRPr="003A4461" w:rsidRDefault="00485094" w:rsidP="00575B42">
      <w:pPr>
        <w:pStyle w:val="Heading1A"/>
      </w:pPr>
      <w:bookmarkStart w:id="0" w:name="_Toc255822478"/>
      <w:r w:rsidRPr="003A4461">
        <w:lastRenderedPageBreak/>
        <w:t>Table of Contents</w:t>
      </w:r>
      <w:bookmarkEnd w:id="0"/>
    </w:p>
    <w:p w:rsidR="00485094" w:rsidRPr="003A4461" w:rsidRDefault="00485094" w:rsidP="00A553DE">
      <w:pPr>
        <w:pStyle w:val="Bodytextreduced"/>
      </w:pPr>
    </w:p>
    <w:p w:rsidR="008A1744" w:rsidRDefault="00A74EF3">
      <w:pPr>
        <w:pStyle w:val="TOC1"/>
        <w:rPr>
          <w:rFonts w:asciiTheme="minorHAnsi" w:eastAsiaTheme="minorEastAsia" w:hAnsiTheme="minorHAnsi" w:cstheme="minorBidi"/>
          <w:b w:val="0"/>
          <w:bCs w:val="0"/>
          <w:iCs w:val="0"/>
          <w:caps w:val="0"/>
          <w:sz w:val="22"/>
          <w:szCs w:val="22"/>
        </w:rPr>
      </w:pPr>
      <w:r w:rsidRPr="00A74EF3">
        <w:rPr>
          <w:rFonts w:ascii="Arial" w:hAnsi="Arial" w:cs="Arial"/>
          <w:i/>
          <w:sz w:val="22"/>
          <w:szCs w:val="22"/>
        </w:rPr>
        <w:fldChar w:fldCharType="begin"/>
      </w:r>
      <w:r w:rsidR="00485094">
        <w:rPr>
          <w:rFonts w:ascii="Arial" w:hAnsi="Arial" w:cs="Arial"/>
          <w:i/>
          <w:sz w:val="22"/>
          <w:szCs w:val="22"/>
        </w:rPr>
        <w:instrText xml:space="preserve"> TOC \h \z \t "Heading 1,1,Heading 2,2,Heading 3,3" </w:instrText>
      </w:r>
      <w:r w:rsidRPr="00A74EF3">
        <w:rPr>
          <w:rFonts w:ascii="Arial" w:hAnsi="Arial" w:cs="Arial"/>
          <w:i/>
          <w:sz w:val="22"/>
          <w:szCs w:val="22"/>
        </w:rPr>
        <w:fldChar w:fldCharType="separate"/>
      </w:r>
      <w:hyperlink w:anchor="_Toc271279922" w:history="1">
        <w:r w:rsidR="008A1744" w:rsidRPr="001E72ED">
          <w:rPr>
            <w:rStyle w:val="Hyperlink"/>
          </w:rPr>
          <w:t>List of Acronyms and Abbreviations</w:t>
        </w:r>
        <w:r w:rsidR="008A1744">
          <w:rPr>
            <w:webHidden/>
          </w:rPr>
          <w:tab/>
        </w:r>
        <w:r>
          <w:rPr>
            <w:webHidden/>
          </w:rPr>
          <w:fldChar w:fldCharType="begin"/>
        </w:r>
        <w:r w:rsidR="008A1744">
          <w:rPr>
            <w:webHidden/>
          </w:rPr>
          <w:instrText xml:space="preserve"> PAGEREF _Toc271279922 \h </w:instrText>
        </w:r>
        <w:r>
          <w:rPr>
            <w:webHidden/>
          </w:rPr>
        </w:r>
        <w:r>
          <w:rPr>
            <w:webHidden/>
          </w:rPr>
          <w:fldChar w:fldCharType="separate"/>
        </w:r>
        <w:r w:rsidR="00B50C61">
          <w:rPr>
            <w:webHidden/>
          </w:rPr>
          <w:t>xi</w:t>
        </w:r>
        <w:r>
          <w:rPr>
            <w:webHidden/>
          </w:rPr>
          <w:fldChar w:fldCharType="end"/>
        </w:r>
      </w:hyperlink>
    </w:p>
    <w:p w:rsidR="008A1744" w:rsidRDefault="00A74EF3">
      <w:pPr>
        <w:pStyle w:val="TOC1"/>
        <w:rPr>
          <w:rFonts w:asciiTheme="minorHAnsi" w:eastAsiaTheme="minorEastAsia" w:hAnsiTheme="minorHAnsi" w:cstheme="minorBidi"/>
          <w:b w:val="0"/>
          <w:bCs w:val="0"/>
          <w:iCs w:val="0"/>
          <w:caps w:val="0"/>
          <w:sz w:val="22"/>
          <w:szCs w:val="22"/>
        </w:rPr>
      </w:pPr>
      <w:hyperlink w:anchor="_Toc271279923" w:history="1">
        <w:r w:rsidR="008A1744" w:rsidRPr="001E72ED">
          <w:rPr>
            <w:rStyle w:val="Hyperlink"/>
          </w:rPr>
          <w:t>Executive Summary</w:t>
        </w:r>
        <w:r w:rsidR="008A1744">
          <w:rPr>
            <w:webHidden/>
          </w:rPr>
          <w:tab/>
        </w:r>
        <w:r>
          <w:rPr>
            <w:webHidden/>
          </w:rPr>
          <w:fldChar w:fldCharType="begin"/>
        </w:r>
        <w:r w:rsidR="008A1744">
          <w:rPr>
            <w:webHidden/>
          </w:rPr>
          <w:instrText xml:space="preserve"> PAGEREF _Toc271279923 \h </w:instrText>
        </w:r>
        <w:r>
          <w:rPr>
            <w:webHidden/>
          </w:rPr>
        </w:r>
        <w:r>
          <w:rPr>
            <w:webHidden/>
          </w:rPr>
          <w:fldChar w:fldCharType="separate"/>
        </w:r>
        <w:r w:rsidR="00B50C61">
          <w:rPr>
            <w:webHidden/>
          </w:rPr>
          <w:t>xv</w:t>
        </w:r>
        <w:r>
          <w:rPr>
            <w:webHidden/>
          </w:rPr>
          <w:fldChar w:fldCharType="end"/>
        </w:r>
      </w:hyperlink>
    </w:p>
    <w:p w:rsidR="008A1744" w:rsidRDefault="00A74EF3">
      <w:pPr>
        <w:pStyle w:val="TOC1"/>
        <w:rPr>
          <w:rFonts w:asciiTheme="minorHAnsi" w:eastAsiaTheme="minorEastAsia" w:hAnsiTheme="minorHAnsi" w:cstheme="minorBidi"/>
          <w:b w:val="0"/>
          <w:bCs w:val="0"/>
          <w:iCs w:val="0"/>
          <w:caps w:val="0"/>
          <w:sz w:val="22"/>
          <w:szCs w:val="22"/>
        </w:rPr>
      </w:pPr>
      <w:hyperlink w:anchor="_Toc271279924" w:history="1">
        <w:r w:rsidR="008A1744" w:rsidRPr="001E72ED">
          <w:rPr>
            <w:rStyle w:val="Hyperlink"/>
          </w:rPr>
          <w:t>Chapter 1:  Introduction</w:t>
        </w:r>
        <w:r w:rsidR="008A1744">
          <w:rPr>
            <w:webHidden/>
          </w:rPr>
          <w:tab/>
        </w:r>
        <w:r>
          <w:rPr>
            <w:webHidden/>
          </w:rPr>
          <w:fldChar w:fldCharType="begin"/>
        </w:r>
        <w:r w:rsidR="008A1744">
          <w:rPr>
            <w:webHidden/>
          </w:rPr>
          <w:instrText xml:space="preserve"> PAGEREF _Toc271279924 \h </w:instrText>
        </w:r>
        <w:r>
          <w:rPr>
            <w:webHidden/>
          </w:rPr>
        </w:r>
        <w:r>
          <w:rPr>
            <w:webHidden/>
          </w:rPr>
          <w:fldChar w:fldCharType="separate"/>
        </w:r>
        <w:r w:rsidR="00B50C61">
          <w:rPr>
            <w:webHidden/>
          </w:rPr>
          <w:t>1</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79925" w:history="1">
        <w:r w:rsidR="008A1744" w:rsidRPr="001E72ED">
          <w:rPr>
            <w:rStyle w:val="Hyperlink"/>
            <w:snapToGrid w:val="0"/>
          </w:rPr>
          <w:t>Purpose</w:t>
        </w:r>
        <w:r w:rsidR="008A1744">
          <w:rPr>
            <w:webHidden/>
          </w:rPr>
          <w:tab/>
        </w:r>
        <w:r>
          <w:rPr>
            <w:webHidden/>
          </w:rPr>
          <w:fldChar w:fldCharType="begin"/>
        </w:r>
        <w:r w:rsidR="008A1744">
          <w:rPr>
            <w:webHidden/>
          </w:rPr>
          <w:instrText xml:space="preserve"> PAGEREF _Toc271279925 \h </w:instrText>
        </w:r>
        <w:r>
          <w:rPr>
            <w:webHidden/>
          </w:rPr>
        </w:r>
        <w:r>
          <w:rPr>
            <w:webHidden/>
          </w:rPr>
          <w:fldChar w:fldCharType="separate"/>
        </w:r>
        <w:r w:rsidR="00B50C61">
          <w:rPr>
            <w:webHidden/>
          </w:rPr>
          <w:t>1</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79926" w:history="1">
        <w:r w:rsidR="008A1744" w:rsidRPr="001E72ED">
          <w:rPr>
            <w:rStyle w:val="Hyperlink"/>
          </w:rPr>
          <w:t>Federal Assessment and Reporting Requirements</w:t>
        </w:r>
        <w:r w:rsidR="008A1744">
          <w:rPr>
            <w:webHidden/>
          </w:rPr>
          <w:tab/>
        </w:r>
        <w:r>
          <w:rPr>
            <w:webHidden/>
          </w:rPr>
          <w:fldChar w:fldCharType="begin"/>
        </w:r>
        <w:r w:rsidR="008A1744">
          <w:rPr>
            <w:webHidden/>
          </w:rPr>
          <w:instrText xml:space="preserve"> PAGEREF _Toc271279926 \h </w:instrText>
        </w:r>
        <w:r>
          <w:rPr>
            <w:webHidden/>
          </w:rPr>
        </w:r>
        <w:r>
          <w:rPr>
            <w:webHidden/>
          </w:rPr>
          <w:fldChar w:fldCharType="separate"/>
        </w:r>
        <w:r w:rsidR="00B50C61">
          <w:rPr>
            <w:webHidden/>
          </w:rPr>
          <w:t>1</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79927" w:history="1">
        <w:r w:rsidR="008A1744" w:rsidRPr="001E72ED">
          <w:rPr>
            <w:rStyle w:val="Hyperlink"/>
            <w:snapToGrid w:val="0"/>
          </w:rPr>
          <w:t>Integrating the Federal Requirements into Florida’s Watershed Management Approach</w:t>
        </w:r>
        <w:r w:rsidR="008A1744">
          <w:rPr>
            <w:webHidden/>
          </w:rPr>
          <w:tab/>
        </w:r>
        <w:r>
          <w:rPr>
            <w:webHidden/>
          </w:rPr>
          <w:fldChar w:fldCharType="begin"/>
        </w:r>
        <w:r w:rsidR="008A1744">
          <w:rPr>
            <w:webHidden/>
          </w:rPr>
          <w:instrText xml:space="preserve"> PAGEREF _Toc271279927 \h </w:instrText>
        </w:r>
        <w:r>
          <w:rPr>
            <w:webHidden/>
          </w:rPr>
        </w:r>
        <w:r>
          <w:rPr>
            <w:webHidden/>
          </w:rPr>
          <w:fldChar w:fldCharType="separate"/>
        </w:r>
        <w:r w:rsidR="00B50C61">
          <w:rPr>
            <w:webHidden/>
          </w:rPr>
          <w:t>3</w:t>
        </w:r>
        <w:r>
          <w:rPr>
            <w:webHidden/>
          </w:rPr>
          <w:fldChar w:fldCharType="end"/>
        </w:r>
      </w:hyperlink>
    </w:p>
    <w:p w:rsidR="008A1744" w:rsidRDefault="00A74EF3">
      <w:pPr>
        <w:pStyle w:val="TOC1"/>
        <w:rPr>
          <w:rFonts w:asciiTheme="minorHAnsi" w:eastAsiaTheme="minorEastAsia" w:hAnsiTheme="minorHAnsi" w:cstheme="minorBidi"/>
          <w:b w:val="0"/>
          <w:bCs w:val="0"/>
          <w:iCs w:val="0"/>
          <w:caps w:val="0"/>
          <w:sz w:val="22"/>
          <w:szCs w:val="22"/>
        </w:rPr>
      </w:pPr>
      <w:hyperlink w:anchor="_Toc271279928" w:history="1">
        <w:r w:rsidR="008A1744" w:rsidRPr="001E72ED">
          <w:rPr>
            <w:rStyle w:val="Hyperlink"/>
          </w:rPr>
          <w:t>Chapter 2:  Background Information</w:t>
        </w:r>
        <w:r w:rsidR="008A1744">
          <w:rPr>
            <w:webHidden/>
          </w:rPr>
          <w:tab/>
        </w:r>
        <w:r>
          <w:rPr>
            <w:webHidden/>
          </w:rPr>
          <w:fldChar w:fldCharType="begin"/>
        </w:r>
        <w:r w:rsidR="008A1744">
          <w:rPr>
            <w:webHidden/>
          </w:rPr>
          <w:instrText xml:space="preserve"> PAGEREF _Toc271279928 \h </w:instrText>
        </w:r>
        <w:r>
          <w:rPr>
            <w:webHidden/>
          </w:rPr>
        </w:r>
        <w:r>
          <w:rPr>
            <w:webHidden/>
          </w:rPr>
          <w:fldChar w:fldCharType="separate"/>
        </w:r>
        <w:r w:rsidR="00B50C61">
          <w:rPr>
            <w:webHidden/>
          </w:rPr>
          <w:t>5</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79929" w:history="1">
        <w:r w:rsidR="008A1744" w:rsidRPr="001E72ED">
          <w:rPr>
            <w:rStyle w:val="Hyperlink"/>
          </w:rPr>
          <w:t>Overview</w:t>
        </w:r>
        <w:r w:rsidR="008A1744">
          <w:rPr>
            <w:webHidden/>
          </w:rPr>
          <w:tab/>
        </w:r>
        <w:r>
          <w:rPr>
            <w:webHidden/>
          </w:rPr>
          <w:fldChar w:fldCharType="begin"/>
        </w:r>
        <w:r w:rsidR="008A1744">
          <w:rPr>
            <w:webHidden/>
          </w:rPr>
          <w:instrText xml:space="preserve"> PAGEREF _Toc271279929 \h </w:instrText>
        </w:r>
        <w:r>
          <w:rPr>
            <w:webHidden/>
          </w:rPr>
        </w:r>
        <w:r>
          <w:rPr>
            <w:webHidden/>
          </w:rPr>
          <w:fldChar w:fldCharType="separate"/>
        </w:r>
        <w:r w:rsidR="00B50C61">
          <w:rPr>
            <w:webHidden/>
          </w:rPr>
          <w:t>5</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30" w:history="1">
        <w:r w:rsidR="008A1744" w:rsidRPr="001E72ED">
          <w:rPr>
            <w:rStyle w:val="Hyperlink"/>
          </w:rPr>
          <w:t>Population</w:t>
        </w:r>
        <w:r w:rsidR="008A1744">
          <w:rPr>
            <w:webHidden/>
          </w:rPr>
          <w:tab/>
        </w:r>
        <w:r>
          <w:rPr>
            <w:webHidden/>
          </w:rPr>
          <w:fldChar w:fldCharType="begin"/>
        </w:r>
        <w:r w:rsidR="008A1744">
          <w:rPr>
            <w:webHidden/>
          </w:rPr>
          <w:instrText xml:space="preserve"> PAGEREF _Toc271279930 \h </w:instrText>
        </w:r>
        <w:r>
          <w:rPr>
            <w:webHidden/>
          </w:rPr>
        </w:r>
        <w:r>
          <w:rPr>
            <w:webHidden/>
          </w:rPr>
          <w:fldChar w:fldCharType="separate"/>
        </w:r>
        <w:r w:rsidR="00B50C61">
          <w:rPr>
            <w:webHidden/>
          </w:rPr>
          <w:t>7</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31" w:history="1">
        <w:r w:rsidR="008A1744" w:rsidRPr="001E72ED">
          <w:rPr>
            <w:rStyle w:val="Hyperlink"/>
          </w:rPr>
          <w:t>Climate</w:t>
        </w:r>
        <w:r w:rsidR="008A1744">
          <w:rPr>
            <w:webHidden/>
          </w:rPr>
          <w:tab/>
        </w:r>
        <w:r>
          <w:rPr>
            <w:webHidden/>
          </w:rPr>
          <w:fldChar w:fldCharType="begin"/>
        </w:r>
        <w:r w:rsidR="008A1744">
          <w:rPr>
            <w:webHidden/>
          </w:rPr>
          <w:instrText xml:space="preserve"> PAGEREF _Toc271279931 \h </w:instrText>
        </w:r>
        <w:r>
          <w:rPr>
            <w:webHidden/>
          </w:rPr>
        </w:r>
        <w:r>
          <w:rPr>
            <w:webHidden/>
          </w:rPr>
          <w:fldChar w:fldCharType="separate"/>
        </w:r>
        <w:r w:rsidR="00B50C61">
          <w:rPr>
            <w:webHidden/>
          </w:rPr>
          <w:t>7</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79932" w:history="1">
        <w:r w:rsidR="008A1744" w:rsidRPr="001E72ED">
          <w:rPr>
            <w:rStyle w:val="Hyperlink"/>
          </w:rPr>
          <w:t>Surface Water and Ground Water Resources</w:t>
        </w:r>
        <w:r w:rsidR="008A1744">
          <w:rPr>
            <w:webHidden/>
          </w:rPr>
          <w:tab/>
        </w:r>
        <w:r>
          <w:rPr>
            <w:webHidden/>
          </w:rPr>
          <w:fldChar w:fldCharType="begin"/>
        </w:r>
        <w:r w:rsidR="008A1744">
          <w:rPr>
            <w:webHidden/>
          </w:rPr>
          <w:instrText xml:space="preserve"> PAGEREF _Toc271279932 \h </w:instrText>
        </w:r>
        <w:r>
          <w:rPr>
            <w:webHidden/>
          </w:rPr>
        </w:r>
        <w:r>
          <w:rPr>
            <w:webHidden/>
          </w:rPr>
          <w:fldChar w:fldCharType="separate"/>
        </w:r>
        <w:r w:rsidR="00B50C61">
          <w:rPr>
            <w:webHidden/>
          </w:rPr>
          <w:t>10</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33" w:history="1">
        <w:r w:rsidR="008A1744" w:rsidRPr="001E72ED">
          <w:rPr>
            <w:rStyle w:val="Hyperlink"/>
          </w:rPr>
          <w:t>Streams and Rivers</w:t>
        </w:r>
        <w:r w:rsidR="008A1744">
          <w:rPr>
            <w:webHidden/>
          </w:rPr>
          <w:tab/>
        </w:r>
        <w:r>
          <w:rPr>
            <w:webHidden/>
          </w:rPr>
          <w:fldChar w:fldCharType="begin"/>
        </w:r>
        <w:r w:rsidR="008A1744">
          <w:rPr>
            <w:webHidden/>
          </w:rPr>
          <w:instrText xml:space="preserve"> PAGEREF _Toc271279933 \h </w:instrText>
        </w:r>
        <w:r>
          <w:rPr>
            <w:webHidden/>
          </w:rPr>
        </w:r>
        <w:r>
          <w:rPr>
            <w:webHidden/>
          </w:rPr>
          <w:fldChar w:fldCharType="separate"/>
        </w:r>
        <w:r w:rsidR="00B50C61">
          <w:rPr>
            <w:webHidden/>
          </w:rPr>
          <w:t>10</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34" w:history="1">
        <w:r w:rsidR="008A1744" w:rsidRPr="001E72ED">
          <w:rPr>
            <w:rStyle w:val="Hyperlink"/>
          </w:rPr>
          <w:t>Lakes</w:t>
        </w:r>
        <w:r w:rsidR="008A1744">
          <w:rPr>
            <w:webHidden/>
          </w:rPr>
          <w:tab/>
        </w:r>
        <w:r>
          <w:rPr>
            <w:webHidden/>
          </w:rPr>
          <w:fldChar w:fldCharType="begin"/>
        </w:r>
        <w:r w:rsidR="008A1744">
          <w:rPr>
            <w:webHidden/>
          </w:rPr>
          <w:instrText xml:space="preserve"> PAGEREF _Toc271279934 \h </w:instrText>
        </w:r>
        <w:r>
          <w:rPr>
            <w:webHidden/>
          </w:rPr>
        </w:r>
        <w:r>
          <w:rPr>
            <w:webHidden/>
          </w:rPr>
          <w:fldChar w:fldCharType="separate"/>
        </w:r>
        <w:r w:rsidR="00B50C61">
          <w:rPr>
            <w:webHidden/>
          </w:rPr>
          <w:t>11</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35" w:history="1">
        <w:r w:rsidR="008A1744" w:rsidRPr="001E72ED">
          <w:rPr>
            <w:rStyle w:val="Hyperlink"/>
            <w:snapToGrid w:val="0"/>
          </w:rPr>
          <w:t>Estuaries and Coastal Waters</w:t>
        </w:r>
        <w:r w:rsidR="008A1744">
          <w:rPr>
            <w:webHidden/>
          </w:rPr>
          <w:tab/>
        </w:r>
        <w:r>
          <w:rPr>
            <w:webHidden/>
          </w:rPr>
          <w:fldChar w:fldCharType="begin"/>
        </w:r>
        <w:r w:rsidR="008A1744">
          <w:rPr>
            <w:webHidden/>
          </w:rPr>
          <w:instrText xml:space="preserve"> PAGEREF _Toc271279935 \h </w:instrText>
        </w:r>
        <w:r>
          <w:rPr>
            <w:webHidden/>
          </w:rPr>
        </w:r>
        <w:r>
          <w:rPr>
            <w:webHidden/>
          </w:rPr>
          <w:fldChar w:fldCharType="separate"/>
        </w:r>
        <w:r w:rsidR="00B50C61">
          <w:rPr>
            <w:webHidden/>
          </w:rPr>
          <w:t>12</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36" w:history="1">
        <w:r w:rsidR="008A1744" w:rsidRPr="001E72ED">
          <w:rPr>
            <w:rStyle w:val="Hyperlink"/>
          </w:rPr>
          <w:t>Wetlands</w:t>
        </w:r>
        <w:r w:rsidR="008A1744">
          <w:rPr>
            <w:webHidden/>
          </w:rPr>
          <w:tab/>
        </w:r>
        <w:r>
          <w:rPr>
            <w:webHidden/>
          </w:rPr>
          <w:fldChar w:fldCharType="begin"/>
        </w:r>
        <w:r w:rsidR="008A1744">
          <w:rPr>
            <w:webHidden/>
          </w:rPr>
          <w:instrText xml:space="preserve"> PAGEREF _Toc271279936 \h </w:instrText>
        </w:r>
        <w:r>
          <w:rPr>
            <w:webHidden/>
          </w:rPr>
        </w:r>
        <w:r>
          <w:rPr>
            <w:webHidden/>
          </w:rPr>
          <w:fldChar w:fldCharType="separate"/>
        </w:r>
        <w:r w:rsidR="00B50C61">
          <w:rPr>
            <w:webHidden/>
          </w:rPr>
          <w:t>12</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37" w:history="1">
        <w:r w:rsidR="008A1744" w:rsidRPr="001E72ED">
          <w:rPr>
            <w:rStyle w:val="Hyperlink"/>
          </w:rPr>
          <w:t>Aquifers and Springs</w:t>
        </w:r>
        <w:r w:rsidR="008A1744">
          <w:rPr>
            <w:webHidden/>
          </w:rPr>
          <w:tab/>
        </w:r>
        <w:r>
          <w:rPr>
            <w:webHidden/>
          </w:rPr>
          <w:fldChar w:fldCharType="begin"/>
        </w:r>
        <w:r w:rsidR="008A1744">
          <w:rPr>
            <w:webHidden/>
          </w:rPr>
          <w:instrText xml:space="preserve"> PAGEREF _Toc271279937 \h </w:instrText>
        </w:r>
        <w:r>
          <w:rPr>
            <w:webHidden/>
          </w:rPr>
        </w:r>
        <w:r>
          <w:rPr>
            <w:webHidden/>
          </w:rPr>
          <w:fldChar w:fldCharType="separate"/>
        </w:r>
        <w:r w:rsidR="00B50C61">
          <w:rPr>
            <w:webHidden/>
          </w:rPr>
          <w:t>13</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79938" w:history="1">
        <w:r w:rsidR="008A1744" w:rsidRPr="001E72ED">
          <w:rPr>
            <w:rStyle w:val="Hyperlink"/>
          </w:rPr>
          <w:t>Hydrogeology</w:t>
        </w:r>
        <w:r w:rsidR="008A1744">
          <w:rPr>
            <w:webHidden/>
          </w:rPr>
          <w:tab/>
        </w:r>
        <w:r>
          <w:rPr>
            <w:webHidden/>
          </w:rPr>
          <w:fldChar w:fldCharType="begin"/>
        </w:r>
        <w:r w:rsidR="008A1744">
          <w:rPr>
            <w:webHidden/>
          </w:rPr>
          <w:instrText xml:space="preserve"> PAGEREF _Toc271279938 \h </w:instrText>
        </w:r>
        <w:r>
          <w:rPr>
            <w:webHidden/>
          </w:rPr>
        </w:r>
        <w:r>
          <w:rPr>
            <w:webHidden/>
          </w:rPr>
          <w:fldChar w:fldCharType="separate"/>
        </w:r>
        <w:r w:rsidR="00B50C61">
          <w:rPr>
            <w:webHidden/>
          </w:rPr>
          <w:t>13</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39" w:history="1">
        <w:r w:rsidR="008A1744" w:rsidRPr="001E72ED">
          <w:rPr>
            <w:rStyle w:val="Hyperlink"/>
          </w:rPr>
          <w:t>Surface Water</w:t>
        </w:r>
        <w:r w:rsidR="008A1744">
          <w:rPr>
            <w:webHidden/>
          </w:rPr>
          <w:tab/>
        </w:r>
        <w:r>
          <w:rPr>
            <w:webHidden/>
          </w:rPr>
          <w:fldChar w:fldCharType="begin"/>
        </w:r>
        <w:r w:rsidR="008A1744">
          <w:rPr>
            <w:webHidden/>
          </w:rPr>
          <w:instrText xml:space="preserve"> PAGEREF _Toc271279939 \h </w:instrText>
        </w:r>
        <w:r>
          <w:rPr>
            <w:webHidden/>
          </w:rPr>
        </w:r>
        <w:r>
          <w:rPr>
            <w:webHidden/>
          </w:rPr>
          <w:fldChar w:fldCharType="separate"/>
        </w:r>
        <w:r w:rsidR="00B50C61">
          <w:rPr>
            <w:webHidden/>
          </w:rPr>
          <w:t>13</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40" w:history="1">
        <w:r w:rsidR="008A1744" w:rsidRPr="001E72ED">
          <w:rPr>
            <w:rStyle w:val="Hyperlink"/>
          </w:rPr>
          <w:t>Ground Water</w:t>
        </w:r>
        <w:r w:rsidR="008A1744">
          <w:rPr>
            <w:webHidden/>
          </w:rPr>
          <w:tab/>
        </w:r>
        <w:r>
          <w:rPr>
            <w:webHidden/>
          </w:rPr>
          <w:fldChar w:fldCharType="begin"/>
        </w:r>
        <w:r w:rsidR="008A1744">
          <w:rPr>
            <w:webHidden/>
          </w:rPr>
          <w:instrText xml:space="preserve"> PAGEREF _Toc271279940 \h </w:instrText>
        </w:r>
        <w:r>
          <w:rPr>
            <w:webHidden/>
          </w:rPr>
        </w:r>
        <w:r>
          <w:rPr>
            <w:webHidden/>
          </w:rPr>
          <w:fldChar w:fldCharType="separate"/>
        </w:r>
        <w:r w:rsidR="00B50C61">
          <w:rPr>
            <w:webHidden/>
          </w:rPr>
          <w:t>14</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41" w:history="1">
        <w:r w:rsidR="008A1744" w:rsidRPr="001E72ED">
          <w:rPr>
            <w:rStyle w:val="Hyperlink"/>
          </w:rPr>
          <w:t>Surface Water–Ground Water Interactions</w:t>
        </w:r>
        <w:r w:rsidR="008A1744">
          <w:rPr>
            <w:webHidden/>
          </w:rPr>
          <w:tab/>
        </w:r>
        <w:r>
          <w:rPr>
            <w:webHidden/>
          </w:rPr>
          <w:fldChar w:fldCharType="begin"/>
        </w:r>
        <w:r w:rsidR="008A1744">
          <w:rPr>
            <w:webHidden/>
          </w:rPr>
          <w:instrText xml:space="preserve"> PAGEREF _Toc271279941 \h </w:instrText>
        </w:r>
        <w:r>
          <w:rPr>
            <w:webHidden/>
          </w:rPr>
        </w:r>
        <w:r>
          <w:rPr>
            <w:webHidden/>
          </w:rPr>
          <w:fldChar w:fldCharType="separate"/>
        </w:r>
        <w:r w:rsidR="00B50C61">
          <w:rPr>
            <w:webHidden/>
          </w:rPr>
          <w:t>15</w:t>
        </w:r>
        <w:r>
          <w:rPr>
            <w:webHidden/>
          </w:rPr>
          <w:fldChar w:fldCharType="end"/>
        </w:r>
      </w:hyperlink>
    </w:p>
    <w:p w:rsidR="008A1744" w:rsidRDefault="00A74EF3">
      <w:pPr>
        <w:pStyle w:val="TOC1"/>
        <w:rPr>
          <w:rFonts w:asciiTheme="minorHAnsi" w:eastAsiaTheme="minorEastAsia" w:hAnsiTheme="minorHAnsi" w:cstheme="minorBidi"/>
          <w:b w:val="0"/>
          <w:bCs w:val="0"/>
          <w:iCs w:val="0"/>
          <w:caps w:val="0"/>
          <w:sz w:val="22"/>
          <w:szCs w:val="22"/>
        </w:rPr>
      </w:pPr>
      <w:hyperlink w:anchor="_Toc271279942" w:history="1">
        <w:r w:rsidR="008A1744" w:rsidRPr="001E72ED">
          <w:rPr>
            <w:rStyle w:val="Hyperlink"/>
          </w:rPr>
          <w:t>Chapter 3:  Public Health Issues and Emerging STATE Concerns and Initiatives</w:t>
        </w:r>
        <w:r w:rsidR="008A1744">
          <w:rPr>
            <w:webHidden/>
          </w:rPr>
          <w:tab/>
        </w:r>
        <w:r>
          <w:rPr>
            <w:webHidden/>
          </w:rPr>
          <w:fldChar w:fldCharType="begin"/>
        </w:r>
        <w:r w:rsidR="008A1744">
          <w:rPr>
            <w:webHidden/>
          </w:rPr>
          <w:instrText xml:space="preserve"> PAGEREF _Toc271279942 \h </w:instrText>
        </w:r>
        <w:r>
          <w:rPr>
            <w:webHidden/>
          </w:rPr>
        </w:r>
        <w:r>
          <w:rPr>
            <w:webHidden/>
          </w:rPr>
          <w:fldChar w:fldCharType="separate"/>
        </w:r>
        <w:r w:rsidR="00B50C61">
          <w:rPr>
            <w:webHidden/>
          </w:rPr>
          <w:t>17</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79943" w:history="1">
        <w:r w:rsidR="008A1744" w:rsidRPr="001E72ED">
          <w:rPr>
            <w:rStyle w:val="Hyperlink"/>
            <w:snapToGrid w:val="0"/>
          </w:rPr>
          <w:t>Public Health Issues</w:t>
        </w:r>
        <w:r w:rsidR="008A1744">
          <w:rPr>
            <w:webHidden/>
          </w:rPr>
          <w:tab/>
        </w:r>
        <w:r>
          <w:rPr>
            <w:webHidden/>
          </w:rPr>
          <w:fldChar w:fldCharType="begin"/>
        </w:r>
        <w:r w:rsidR="008A1744">
          <w:rPr>
            <w:webHidden/>
          </w:rPr>
          <w:instrText xml:space="preserve"> PAGEREF _Toc271279943 \h </w:instrText>
        </w:r>
        <w:r>
          <w:rPr>
            <w:webHidden/>
          </w:rPr>
        </w:r>
        <w:r>
          <w:rPr>
            <w:webHidden/>
          </w:rPr>
          <w:fldChar w:fldCharType="separate"/>
        </w:r>
        <w:r w:rsidR="00B50C61">
          <w:rPr>
            <w:webHidden/>
          </w:rPr>
          <w:t>17</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44" w:history="1">
        <w:r w:rsidR="008A1744" w:rsidRPr="001E72ED">
          <w:rPr>
            <w:rStyle w:val="Hyperlink"/>
          </w:rPr>
          <w:t>Drinking Water</w:t>
        </w:r>
        <w:r w:rsidR="008A1744">
          <w:rPr>
            <w:webHidden/>
          </w:rPr>
          <w:tab/>
        </w:r>
        <w:r>
          <w:rPr>
            <w:webHidden/>
          </w:rPr>
          <w:fldChar w:fldCharType="begin"/>
        </w:r>
        <w:r w:rsidR="008A1744">
          <w:rPr>
            <w:webHidden/>
          </w:rPr>
          <w:instrText xml:space="preserve"> PAGEREF _Toc271279944 \h </w:instrText>
        </w:r>
        <w:r>
          <w:rPr>
            <w:webHidden/>
          </w:rPr>
        </w:r>
        <w:r>
          <w:rPr>
            <w:webHidden/>
          </w:rPr>
          <w:fldChar w:fldCharType="separate"/>
        </w:r>
        <w:r w:rsidR="00B50C61">
          <w:rPr>
            <w:webHidden/>
          </w:rPr>
          <w:t>17</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45" w:history="1">
        <w:r w:rsidR="008A1744" w:rsidRPr="001E72ED">
          <w:rPr>
            <w:rStyle w:val="Hyperlink"/>
            <w:snapToGrid w:val="0"/>
          </w:rPr>
          <w:t>Healthy Beaches Program</w:t>
        </w:r>
        <w:r w:rsidR="008A1744">
          <w:rPr>
            <w:webHidden/>
          </w:rPr>
          <w:tab/>
        </w:r>
        <w:r>
          <w:rPr>
            <w:webHidden/>
          </w:rPr>
          <w:fldChar w:fldCharType="begin"/>
        </w:r>
        <w:r w:rsidR="008A1744">
          <w:rPr>
            <w:webHidden/>
          </w:rPr>
          <w:instrText xml:space="preserve"> PAGEREF _Toc271279945 \h </w:instrText>
        </w:r>
        <w:r>
          <w:rPr>
            <w:webHidden/>
          </w:rPr>
        </w:r>
        <w:r>
          <w:rPr>
            <w:webHidden/>
          </w:rPr>
          <w:fldChar w:fldCharType="separate"/>
        </w:r>
        <w:r w:rsidR="00B50C61">
          <w:rPr>
            <w:webHidden/>
          </w:rPr>
          <w:t>18</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46" w:history="1">
        <w:r w:rsidR="008A1744" w:rsidRPr="001E72ED">
          <w:rPr>
            <w:rStyle w:val="Hyperlink"/>
            <w:snapToGrid w:val="0"/>
          </w:rPr>
          <w:t>Bacterial and Mercury Contamination</w:t>
        </w:r>
        <w:r w:rsidR="008A1744">
          <w:rPr>
            <w:webHidden/>
          </w:rPr>
          <w:tab/>
        </w:r>
        <w:r>
          <w:rPr>
            <w:webHidden/>
          </w:rPr>
          <w:fldChar w:fldCharType="begin"/>
        </w:r>
        <w:r w:rsidR="008A1744">
          <w:rPr>
            <w:webHidden/>
          </w:rPr>
          <w:instrText xml:space="preserve"> PAGEREF _Toc271279946 \h </w:instrText>
        </w:r>
        <w:r>
          <w:rPr>
            <w:webHidden/>
          </w:rPr>
        </w:r>
        <w:r>
          <w:rPr>
            <w:webHidden/>
          </w:rPr>
          <w:fldChar w:fldCharType="separate"/>
        </w:r>
        <w:r w:rsidR="00B50C61">
          <w:rPr>
            <w:webHidden/>
          </w:rPr>
          <w:t>19</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47" w:history="1">
        <w:r w:rsidR="008A1744" w:rsidRPr="001E72ED">
          <w:rPr>
            <w:rStyle w:val="Hyperlink"/>
            <w:snapToGrid w:val="0"/>
          </w:rPr>
          <w:t>Harmful Algal Blooms</w:t>
        </w:r>
        <w:r w:rsidR="008A1744">
          <w:rPr>
            <w:webHidden/>
          </w:rPr>
          <w:tab/>
        </w:r>
        <w:r>
          <w:rPr>
            <w:webHidden/>
          </w:rPr>
          <w:fldChar w:fldCharType="begin"/>
        </w:r>
        <w:r w:rsidR="008A1744">
          <w:rPr>
            <w:webHidden/>
          </w:rPr>
          <w:instrText xml:space="preserve"> PAGEREF _Toc271279947 \h </w:instrText>
        </w:r>
        <w:r>
          <w:rPr>
            <w:webHidden/>
          </w:rPr>
        </w:r>
        <w:r>
          <w:rPr>
            <w:webHidden/>
          </w:rPr>
          <w:fldChar w:fldCharType="separate"/>
        </w:r>
        <w:r w:rsidR="00B50C61">
          <w:rPr>
            <w:webHidden/>
          </w:rPr>
          <w:t>19</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79948" w:history="1">
        <w:r w:rsidR="008A1744" w:rsidRPr="001E72ED">
          <w:rPr>
            <w:rStyle w:val="Hyperlink"/>
          </w:rPr>
          <w:t>Emerging Concerns and Initiatives</w:t>
        </w:r>
        <w:r w:rsidR="008A1744">
          <w:rPr>
            <w:webHidden/>
          </w:rPr>
          <w:tab/>
        </w:r>
        <w:r>
          <w:rPr>
            <w:webHidden/>
          </w:rPr>
          <w:fldChar w:fldCharType="begin"/>
        </w:r>
        <w:r w:rsidR="008A1744">
          <w:rPr>
            <w:webHidden/>
          </w:rPr>
          <w:instrText xml:space="preserve"> PAGEREF _Toc271279948 \h </w:instrText>
        </w:r>
        <w:r>
          <w:rPr>
            <w:webHidden/>
          </w:rPr>
        </w:r>
        <w:r>
          <w:rPr>
            <w:webHidden/>
          </w:rPr>
          <w:fldChar w:fldCharType="separate"/>
        </w:r>
        <w:r w:rsidR="00B50C61">
          <w:rPr>
            <w:webHidden/>
          </w:rPr>
          <w:t>23</w:t>
        </w:r>
        <w:r>
          <w:rPr>
            <w:webHidden/>
          </w:rPr>
          <w:fldChar w:fldCharType="end"/>
        </w:r>
      </w:hyperlink>
    </w:p>
    <w:p w:rsidR="008A1744" w:rsidRDefault="00A74EF3">
      <w:pPr>
        <w:pStyle w:val="TOC1"/>
        <w:rPr>
          <w:rFonts w:asciiTheme="minorHAnsi" w:eastAsiaTheme="minorEastAsia" w:hAnsiTheme="minorHAnsi" w:cstheme="minorBidi"/>
          <w:b w:val="0"/>
          <w:bCs w:val="0"/>
          <w:iCs w:val="0"/>
          <w:caps w:val="0"/>
          <w:sz w:val="22"/>
          <w:szCs w:val="22"/>
        </w:rPr>
      </w:pPr>
      <w:hyperlink w:anchor="_Toc271279949" w:history="1">
        <w:r w:rsidR="008A1744" w:rsidRPr="001E72ED">
          <w:rPr>
            <w:rStyle w:val="Hyperlink"/>
          </w:rPr>
          <w:t>Chapter 4:  Florida’s Approach to Monitoring Surface Water and Ground Water</w:t>
        </w:r>
        <w:r w:rsidR="008A1744">
          <w:rPr>
            <w:webHidden/>
          </w:rPr>
          <w:tab/>
        </w:r>
        <w:r>
          <w:rPr>
            <w:webHidden/>
          </w:rPr>
          <w:fldChar w:fldCharType="begin"/>
        </w:r>
        <w:r w:rsidR="008A1744">
          <w:rPr>
            <w:webHidden/>
          </w:rPr>
          <w:instrText xml:space="preserve"> PAGEREF _Toc271279949 \h </w:instrText>
        </w:r>
        <w:r>
          <w:rPr>
            <w:webHidden/>
          </w:rPr>
        </w:r>
        <w:r>
          <w:rPr>
            <w:webHidden/>
          </w:rPr>
          <w:fldChar w:fldCharType="separate"/>
        </w:r>
        <w:r w:rsidR="00B50C61">
          <w:rPr>
            <w:webHidden/>
          </w:rPr>
          <w:t>29</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79950" w:history="1">
        <w:r w:rsidR="008A1744" w:rsidRPr="001E72ED">
          <w:rPr>
            <w:rStyle w:val="Hyperlink"/>
          </w:rPr>
          <w:t>Background</w:t>
        </w:r>
        <w:r w:rsidR="008A1744">
          <w:rPr>
            <w:webHidden/>
          </w:rPr>
          <w:tab/>
        </w:r>
        <w:r>
          <w:rPr>
            <w:webHidden/>
          </w:rPr>
          <w:fldChar w:fldCharType="begin"/>
        </w:r>
        <w:r w:rsidR="008A1744">
          <w:rPr>
            <w:webHidden/>
          </w:rPr>
          <w:instrText xml:space="preserve"> PAGEREF _Toc271279950 \h </w:instrText>
        </w:r>
        <w:r>
          <w:rPr>
            <w:webHidden/>
          </w:rPr>
        </w:r>
        <w:r>
          <w:rPr>
            <w:webHidden/>
          </w:rPr>
          <w:fldChar w:fldCharType="separate"/>
        </w:r>
        <w:r w:rsidR="00B50C61">
          <w:rPr>
            <w:webHidden/>
          </w:rPr>
          <w:t>29</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79951" w:history="1">
        <w:r w:rsidR="008A1744" w:rsidRPr="001E72ED">
          <w:rPr>
            <w:rStyle w:val="Hyperlink"/>
            <w:snapToGrid w:val="0"/>
          </w:rPr>
          <w:t>Florida’s Integrated Water Resources Monitoring Program</w:t>
        </w:r>
        <w:r w:rsidR="008A1744">
          <w:rPr>
            <w:webHidden/>
          </w:rPr>
          <w:tab/>
        </w:r>
        <w:r>
          <w:rPr>
            <w:webHidden/>
          </w:rPr>
          <w:fldChar w:fldCharType="begin"/>
        </w:r>
        <w:r w:rsidR="008A1744">
          <w:rPr>
            <w:webHidden/>
          </w:rPr>
          <w:instrText xml:space="preserve"> PAGEREF _Toc271279951 \h </w:instrText>
        </w:r>
        <w:r>
          <w:rPr>
            <w:webHidden/>
          </w:rPr>
        </w:r>
        <w:r>
          <w:rPr>
            <w:webHidden/>
          </w:rPr>
          <w:fldChar w:fldCharType="separate"/>
        </w:r>
        <w:r w:rsidR="00B50C61">
          <w:rPr>
            <w:webHidden/>
          </w:rPr>
          <w:t>33</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52" w:history="1">
        <w:r w:rsidR="008A1744" w:rsidRPr="001E72ED">
          <w:rPr>
            <w:rStyle w:val="Hyperlink"/>
          </w:rPr>
          <w:t>Element 1:  Monitoring Objectives</w:t>
        </w:r>
        <w:r w:rsidR="008A1744">
          <w:rPr>
            <w:webHidden/>
          </w:rPr>
          <w:tab/>
        </w:r>
        <w:r>
          <w:rPr>
            <w:webHidden/>
          </w:rPr>
          <w:fldChar w:fldCharType="begin"/>
        </w:r>
        <w:r w:rsidR="008A1744">
          <w:rPr>
            <w:webHidden/>
          </w:rPr>
          <w:instrText xml:space="preserve"> PAGEREF _Toc271279952 \h </w:instrText>
        </w:r>
        <w:r>
          <w:rPr>
            <w:webHidden/>
          </w:rPr>
        </w:r>
        <w:r>
          <w:rPr>
            <w:webHidden/>
          </w:rPr>
          <w:fldChar w:fldCharType="separate"/>
        </w:r>
        <w:r w:rsidR="00B50C61">
          <w:rPr>
            <w:webHidden/>
          </w:rPr>
          <w:t>35</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53" w:history="1">
        <w:r w:rsidR="008A1744" w:rsidRPr="001E72ED">
          <w:rPr>
            <w:rStyle w:val="Hyperlink"/>
          </w:rPr>
          <w:t>Element 2:  Monitoring Strategy</w:t>
        </w:r>
        <w:r w:rsidR="008A1744">
          <w:rPr>
            <w:webHidden/>
          </w:rPr>
          <w:tab/>
        </w:r>
        <w:r>
          <w:rPr>
            <w:webHidden/>
          </w:rPr>
          <w:fldChar w:fldCharType="begin"/>
        </w:r>
        <w:r w:rsidR="008A1744">
          <w:rPr>
            <w:webHidden/>
          </w:rPr>
          <w:instrText xml:space="preserve"> PAGEREF _Toc271279953 \h </w:instrText>
        </w:r>
        <w:r>
          <w:rPr>
            <w:webHidden/>
          </w:rPr>
        </w:r>
        <w:r>
          <w:rPr>
            <w:webHidden/>
          </w:rPr>
          <w:fldChar w:fldCharType="separate"/>
        </w:r>
        <w:r w:rsidR="00B50C61">
          <w:rPr>
            <w:webHidden/>
          </w:rPr>
          <w:t>35</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54" w:history="1">
        <w:r w:rsidR="008A1744" w:rsidRPr="001E72ED">
          <w:rPr>
            <w:rStyle w:val="Hyperlink"/>
          </w:rPr>
          <w:t>Element 5:  Quality Assurance</w:t>
        </w:r>
        <w:r w:rsidR="008A1744">
          <w:rPr>
            <w:webHidden/>
          </w:rPr>
          <w:tab/>
        </w:r>
        <w:r>
          <w:rPr>
            <w:webHidden/>
          </w:rPr>
          <w:fldChar w:fldCharType="begin"/>
        </w:r>
        <w:r w:rsidR="008A1744">
          <w:rPr>
            <w:webHidden/>
          </w:rPr>
          <w:instrText xml:space="preserve"> PAGEREF _Toc271279954 \h </w:instrText>
        </w:r>
        <w:r>
          <w:rPr>
            <w:webHidden/>
          </w:rPr>
        </w:r>
        <w:r>
          <w:rPr>
            <w:webHidden/>
          </w:rPr>
          <w:fldChar w:fldCharType="separate"/>
        </w:r>
        <w:r w:rsidR="00B50C61">
          <w:rPr>
            <w:webHidden/>
          </w:rPr>
          <w:t>36</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55" w:history="1">
        <w:r w:rsidR="008A1744" w:rsidRPr="001E72ED">
          <w:rPr>
            <w:rStyle w:val="Hyperlink"/>
          </w:rPr>
          <w:t>Element 6:  Data Management</w:t>
        </w:r>
        <w:r w:rsidR="008A1744">
          <w:rPr>
            <w:webHidden/>
          </w:rPr>
          <w:tab/>
        </w:r>
        <w:r>
          <w:rPr>
            <w:webHidden/>
          </w:rPr>
          <w:fldChar w:fldCharType="begin"/>
        </w:r>
        <w:r w:rsidR="008A1744">
          <w:rPr>
            <w:webHidden/>
          </w:rPr>
          <w:instrText xml:space="preserve"> PAGEREF _Toc271279955 \h </w:instrText>
        </w:r>
        <w:r>
          <w:rPr>
            <w:webHidden/>
          </w:rPr>
        </w:r>
        <w:r>
          <w:rPr>
            <w:webHidden/>
          </w:rPr>
          <w:fldChar w:fldCharType="separate"/>
        </w:r>
        <w:r w:rsidR="00B50C61">
          <w:rPr>
            <w:webHidden/>
          </w:rPr>
          <w:t>37</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56" w:history="1">
        <w:r w:rsidR="008A1744" w:rsidRPr="001E72ED">
          <w:rPr>
            <w:rStyle w:val="Hyperlink"/>
          </w:rPr>
          <w:t>Element 9:  Program Evaluation</w:t>
        </w:r>
        <w:r w:rsidR="008A1744">
          <w:rPr>
            <w:webHidden/>
          </w:rPr>
          <w:tab/>
        </w:r>
        <w:r>
          <w:rPr>
            <w:webHidden/>
          </w:rPr>
          <w:fldChar w:fldCharType="begin"/>
        </w:r>
        <w:r w:rsidR="008A1744">
          <w:rPr>
            <w:webHidden/>
          </w:rPr>
          <w:instrText xml:space="preserve"> PAGEREF _Toc271279956 \h </w:instrText>
        </w:r>
        <w:r>
          <w:rPr>
            <w:webHidden/>
          </w:rPr>
        </w:r>
        <w:r>
          <w:rPr>
            <w:webHidden/>
          </w:rPr>
          <w:fldChar w:fldCharType="separate"/>
        </w:r>
        <w:r w:rsidR="00B50C61">
          <w:rPr>
            <w:webHidden/>
          </w:rPr>
          <w:t>37</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57" w:history="1">
        <w:r w:rsidR="008A1744" w:rsidRPr="001E72ED">
          <w:rPr>
            <w:rStyle w:val="Hyperlink"/>
          </w:rPr>
          <w:t>Element 10:  General Support and Infrastructure Planning</w:t>
        </w:r>
        <w:r w:rsidR="008A1744">
          <w:rPr>
            <w:webHidden/>
          </w:rPr>
          <w:tab/>
        </w:r>
        <w:r>
          <w:rPr>
            <w:webHidden/>
          </w:rPr>
          <w:fldChar w:fldCharType="begin"/>
        </w:r>
        <w:r w:rsidR="008A1744">
          <w:rPr>
            <w:webHidden/>
          </w:rPr>
          <w:instrText xml:space="preserve"> PAGEREF _Toc271279957 \h </w:instrText>
        </w:r>
        <w:r>
          <w:rPr>
            <w:webHidden/>
          </w:rPr>
        </w:r>
        <w:r>
          <w:rPr>
            <w:webHidden/>
          </w:rPr>
          <w:fldChar w:fldCharType="separate"/>
        </w:r>
        <w:r w:rsidR="00B50C61">
          <w:rPr>
            <w:webHidden/>
          </w:rPr>
          <w:t>38</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79958" w:history="1">
        <w:r w:rsidR="008A1744" w:rsidRPr="001E72ED">
          <w:rPr>
            <w:rStyle w:val="Hyperlink"/>
          </w:rPr>
          <w:t>Evolving Approaches to Monitoring</w:t>
        </w:r>
        <w:r w:rsidR="008A1744">
          <w:rPr>
            <w:webHidden/>
          </w:rPr>
          <w:tab/>
        </w:r>
        <w:r>
          <w:rPr>
            <w:webHidden/>
          </w:rPr>
          <w:fldChar w:fldCharType="begin"/>
        </w:r>
        <w:r w:rsidR="008A1744">
          <w:rPr>
            <w:webHidden/>
          </w:rPr>
          <w:instrText xml:space="preserve"> PAGEREF _Toc271279958 \h </w:instrText>
        </w:r>
        <w:r>
          <w:rPr>
            <w:webHidden/>
          </w:rPr>
        </w:r>
        <w:r>
          <w:rPr>
            <w:webHidden/>
          </w:rPr>
          <w:fldChar w:fldCharType="separate"/>
        </w:r>
        <w:r w:rsidR="00B50C61">
          <w:rPr>
            <w:webHidden/>
          </w:rPr>
          <w:t>38</w:t>
        </w:r>
        <w:r>
          <w:rPr>
            <w:webHidden/>
          </w:rPr>
          <w:fldChar w:fldCharType="end"/>
        </w:r>
      </w:hyperlink>
    </w:p>
    <w:p w:rsidR="008A1744" w:rsidRDefault="00A74EF3">
      <w:pPr>
        <w:pStyle w:val="TOC1"/>
        <w:rPr>
          <w:rFonts w:asciiTheme="minorHAnsi" w:eastAsiaTheme="minorEastAsia" w:hAnsiTheme="minorHAnsi" w:cstheme="minorBidi"/>
          <w:b w:val="0"/>
          <w:bCs w:val="0"/>
          <w:iCs w:val="0"/>
          <w:caps w:val="0"/>
          <w:sz w:val="22"/>
          <w:szCs w:val="22"/>
        </w:rPr>
      </w:pPr>
      <w:hyperlink w:anchor="_Toc271279959" w:history="1">
        <w:r w:rsidR="008A1744" w:rsidRPr="001E72ED">
          <w:rPr>
            <w:rStyle w:val="Hyperlink"/>
          </w:rPr>
          <w:t>Chapter 5.  Design for the Status and Trend Networks</w:t>
        </w:r>
        <w:r w:rsidR="008A1744">
          <w:rPr>
            <w:webHidden/>
          </w:rPr>
          <w:tab/>
        </w:r>
        <w:r>
          <w:rPr>
            <w:webHidden/>
          </w:rPr>
          <w:fldChar w:fldCharType="begin"/>
        </w:r>
        <w:r w:rsidR="008A1744">
          <w:rPr>
            <w:webHidden/>
          </w:rPr>
          <w:instrText xml:space="preserve"> PAGEREF _Toc271279959 \h </w:instrText>
        </w:r>
        <w:r>
          <w:rPr>
            <w:webHidden/>
          </w:rPr>
        </w:r>
        <w:r>
          <w:rPr>
            <w:webHidden/>
          </w:rPr>
          <w:fldChar w:fldCharType="separate"/>
        </w:r>
        <w:r w:rsidR="00B50C61">
          <w:rPr>
            <w:webHidden/>
          </w:rPr>
          <w:t>39</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79960" w:history="1">
        <w:r w:rsidR="008A1744" w:rsidRPr="001E72ED">
          <w:rPr>
            <w:rStyle w:val="Hyperlink"/>
          </w:rPr>
          <w:t>Background</w:t>
        </w:r>
        <w:r w:rsidR="008A1744">
          <w:rPr>
            <w:webHidden/>
          </w:rPr>
          <w:tab/>
        </w:r>
        <w:r>
          <w:rPr>
            <w:webHidden/>
          </w:rPr>
          <w:fldChar w:fldCharType="begin"/>
        </w:r>
        <w:r w:rsidR="008A1744">
          <w:rPr>
            <w:webHidden/>
          </w:rPr>
          <w:instrText xml:space="preserve"> PAGEREF _Toc271279960 \h </w:instrText>
        </w:r>
        <w:r>
          <w:rPr>
            <w:webHidden/>
          </w:rPr>
        </w:r>
        <w:r>
          <w:rPr>
            <w:webHidden/>
          </w:rPr>
          <w:fldChar w:fldCharType="separate"/>
        </w:r>
        <w:r w:rsidR="00B50C61">
          <w:rPr>
            <w:webHidden/>
          </w:rPr>
          <w:t>39</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79961" w:history="1">
        <w:r w:rsidR="008A1744" w:rsidRPr="001E72ED">
          <w:rPr>
            <w:rStyle w:val="Hyperlink"/>
          </w:rPr>
          <w:t>Status Network Monitoring</w:t>
        </w:r>
        <w:r w:rsidR="008A1744">
          <w:rPr>
            <w:webHidden/>
          </w:rPr>
          <w:tab/>
        </w:r>
        <w:r>
          <w:rPr>
            <w:webHidden/>
          </w:rPr>
          <w:fldChar w:fldCharType="begin"/>
        </w:r>
        <w:r w:rsidR="008A1744">
          <w:rPr>
            <w:webHidden/>
          </w:rPr>
          <w:instrText xml:space="preserve"> PAGEREF _Toc271279961 \h </w:instrText>
        </w:r>
        <w:r>
          <w:rPr>
            <w:webHidden/>
          </w:rPr>
        </w:r>
        <w:r>
          <w:rPr>
            <w:webHidden/>
          </w:rPr>
          <w:fldChar w:fldCharType="separate"/>
        </w:r>
        <w:r w:rsidR="00B50C61">
          <w:rPr>
            <w:webHidden/>
          </w:rPr>
          <w:t>40</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62" w:history="1">
        <w:r w:rsidR="008A1744" w:rsidRPr="001E72ED">
          <w:rPr>
            <w:rStyle w:val="Hyperlink"/>
          </w:rPr>
          <w:t>Water Resource Types</w:t>
        </w:r>
        <w:r w:rsidR="008A1744">
          <w:rPr>
            <w:webHidden/>
          </w:rPr>
          <w:tab/>
        </w:r>
        <w:r>
          <w:rPr>
            <w:webHidden/>
          </w:rPr>
          <w:fldChar w:fldCharType="begin"/>
        </w:r>
        <w:r w:rsidR="008A1744">
          <w:rPr>
            <w:webHidden/>
          </w:rPr>
          <w:instrText xml:space="preserve"> PAGEREF _Toc271279962 \h </w:instrText>
        </w:r>
        <w:r>
          <w:rPr>
            <w:webHidden/>
          </w:rPr>
        </w:r>
        <w:r>
          <w:rPr>
            <w:webHidden/>
          </w:rPr>
          <w:fldChar w:fldCharType="separate"/>
        </w:r>
        <w:r w:rsidR="00B50C61">
          <w:rPr>
            <w:webHidden/>
          </w:rPr>
          <w:t>40</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63" w:history="1">
        <w:r w:rsidR="008A1744" w:rsidRPr="001E72ED">
          <w:rPr>
            <w:rStyle w:val="Hyperlink"/>
          </w:rPr>
          <w:t>Geographic Design and Site Selection</w:t>
        </w:r>
        <w:r w:rsidR="008A1744">
          <w:rPr>
            <w:webHidden/>
          </w:rPr>
          <w:tab/>
        </w:r>
        <w:r>
          <w:rPr>
            <w:webHidden/>
          </w:rPr>
          <w:fldChar w:fldCharType="begin"/>
        </w:r>
        <w:r w:rsidR="008A1744">
          <w:rPr>
            <w:webHidden/>
          </w:rPr>
          <w:instrText xml:space="preserve"> PAGEREF _Toc271279963 \h </w:instrText>
        </w:r>
        <w:r>
          <w:rPr>
            <w:webHidden/>
          </w:rPr>
        </w:r>
        <w:r>
          <w:rPr>
            <w:webHidden/>
          </w:rPr>
          <w:fldChar w:fldCharType="separate"/>
        </w:r>
        <w:r w:rsidR="00B50C61">
          <w:rPr>
            <w:webHidden/>
          </w:rPr>
          <w:t>41</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64" w:history="1">
        <w:r w:rsidR="008A1744" w:rsidRPr="001E72ED">
          <w:rPr>
            <w:rStyle w:val="Hyperlink"/>
          </w:rPr>
          <w:t>Sampling and Frequency</w:t>
        </w:r>
        <w:r w:rsidR="008A1744">
          <w:rPr>
            <w:webHidden/>
          </w:rPr>
          <w:tab/>
        </w:r>
        <w:r>
          <w:rPr>
            <w:webHidden/>
          </w:rPr>
          <w:fldChar w:fldCharType="begin"/>
        </w:r>
        <w:r w:rsidR="008A1744">
          <w:rPr>
            <w:webHidden/>
          </w:rPr>
          <w:instrText xml:space="preserve"> PAGEREF _Toc271279964 \h </w:instrText>
        </w:r>
        <w:r>
          <w:rPr>
            <w:webHidden/>
          </w:rPr>
        </w:r>
        <w:r>
          <w:rPr>
            <w:webHidden/>
          </w:rPr>
          <w:fldChar w:fldCharType="separate"/>
        </w:r>
        <w:r w:rsidR="00B50C61">
          <w:rPr>
            <w:webHidden/>
          </w:rPr>
          <w:t>42</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65" w:history="1">
        <w:r w:rsidR="008A1744" w:rsidRPr="001E72ED">
          <w:rPr>
            <w:rStyle w:val="Hyperlink"/>
          </w:rPr>
          <w:t>Status Network Core and Supplemental Indicators</w:t>
        </w:r>
        <w:r w:rsidR="008A1744">
          <w:rPr>
            <w:webHidden/>
          </w:rPr>
          <w:tab/>
        </w:r>
        <w:r>
          <w:rPr>
            <w:webHidden/>
          </w:rPr>
          <w:fldChar w:fldCharType="begin"/>
        </w:r>
        <w:r w:rsidR="008A1744">
          <w:rPr>
            <w:webHidden/>
          </w:rPr>
          <w:instrText xml:space="preserve"> PAGEREF _Toc271279965 \h </w:instrText>
        </w:r>
        <w:r>
          <w:rPr>
            <w:webHidden/>
          </w:rPr>
        </w:r>
        <w:r>
          <w:rPr>
            <w:webHidden/>
          </w:rPr>
          <w:fldChar w:fldCharType="separate"/>
        </w:r>
        <w:r w:rsidR="00B50C61">
          <w:rPr>
            <w:webHidden/>
          </w:rPr>
          <w:t>42</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66" w:history="1">
        <w:r w:rsidR="008A1744" w:rsidRPr="001E72ED">
          <w:rPr>
            <w:rStyle w:val="Hyperlink"/>
          </w:rPr>
          <w:t>Status Monitoring Network Design Changes</w:t>
        </w:r>
        <w:r w:rsidR="008A1744">
          <w:rPr>
            <w:webHidden/>
          </w:rPr>
          <w:tab/>
        </w:r>
        <w:r>
          <w:rPr>
            <w:webHidden/>
          </w:rPr>
          <w:fldChar w:fldCharType="begin"/>
        </w:r>
        <w:r w:rsidR="008A1744">
          <w:rPr>
            <w:webHidden/>
          </w:rPr>
          <w:instrText xml:space="preserve"> PAGEREF _Toc271279966 \h </w:instrText>
        </w:r>
        <w:r>
          <w:rPr>
            <w:webHidden/>
          </w:rPr>
        </w:r>
        <w:r>
          <w:rPr>
            <w:webHidden/>
          </w:rPr>
          <w:fldChar w:fldCharType="separate"/>
        </w:r>
        <w:r w:rsidR="00B50C61">
          <w:rPr>
            <w:webHidden/>
          </w:rPr>
          <w:t>45</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79967" w:history="1">
        <w:r w:rsidR="008A1744" w:rsidRPr="001E72ED">
          <w:rPr>
            <w:rStyle w:val="Hyperlink"/>
          </w:rPr>
          <w:t>Trend Network</w:t>
        </w:r>
        <w:r w:rsidR="008A1744">
          <w:rPr>
            <w:webHidden/>
          </w:rPr>
          <w:tab/>
        </w:r>
        <w:r>
          <w:rPr>
            <w:webHidden/>
          </w:rPr>
          <w:fldChar w:fldCharType="begin"/>
        </w:r>
        <w:r w:rsidR="008A1744">
          <w:rPr>
            <w:webHidden/>
          </w:rPr>
          <w:instrText xml:space="preserve"> PAGEREF _Toc271279967 \h </w:instrText>
        </w:r>
        <w:r>
          <w:rPr>
            <w:webHidden/>
          </w:rPr>
        </w:r>
        <w:r>
          <w:rPr>
            <w:webHidden/>
          </w:rPr>
          <w:fldChar w:fldCharType="separate"/>
        </w:r>
        <w:r w:rsidR="00B50C61">
          <w:rPr>
            <w:webHidden/>
          </w:rPr>
          <w:t>48</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68" w:history="1">
        <w:r w:rsidR="008A1744" w:rsidRPr="001E72ED">
          <w:rPr>
            <w:rStyle w:val="Hyperlink"/>
          </w:rPr>
          <w:t>Surface Water Trend Network</w:t>
        </w:r>
        <w:r w:rsidR="008A1744">
          <w:rPr>
            <w:webHidden/>
          </w:rPr>
          <w:tab/>
        </w:r>
        <w:r>
          <w:rPr>
            <w:webHidden/>
          </w:rPr>
          <w:fldChar w:fldCharType="begin"/>
        </w:r>
        <w:r w:rsidR="008A1744">
          <w:rPr>
            <w:webHidden/>
          </w:rPr>
          <w:instrText xml:space="preserve"> PAGEREF _Toc271279968 \h </w:instrText>
        </w:r>
        <w:r>
          <w:rPr>
            <w:webHidden/>
          </w:rPr>
        </w:r>
        <w:r>
          <w:rPr>
            <w:webHidden/>
          </w:rPr>
          <w:fldChar w:fldCharType="separate"/>
        </w:r>
        <w:r w:rsidR="00B50C61">
          <w:rPr>
            <w:webHidden/>
          </w:rPr>
          <w:t>50</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69" w:history="1">
        <w:r w:rsidR="008A1744" w:rsidRPr="001E72ED">
          <w:rPr>
            <w:rStyle w:val="Hyperlink"/>
          </w:rPr>
          <w:t>Ground Water Trend Network</w:t>
        </w:r>
        <w:r w:rsidR="008A1744">
          <w:rPr>
            <w:webHidden/>
          </w:rPr>
          <w:tab/>
        </w:r>
        <w:r>
          <w:rPr>
            <w:webHidden/>
          </w:rPr>
          <w:fldChar w:fldCharType="begin"/>
        </w:r>
        <w:r w:rsidR="008A1744">
          <w:rPr>
            <w:webHidden/>
          </w:rPr>
          <w:instrText xml:space="preserve"> PAGEREF _Toc271279969 \h </w:instrText>
        </w:r>
        <w:r>
          <w:rPr>
            <w:webHidden/>
          </w:rPr>
        </w:r>
        <w:r>
          <w:rPr>
            <w:webHidden/>
          </w:rPr>
          <w:fldChar w:fldCharType="separate"/>
        </w:r>
        <w:r w:rsidR="00B50C61">
          <w:rPr>
            <w:webHidden/>
          </w:rPr>
          <w:t>50</w:t>
        </w:r>
        <w:r>
          <w:rPr>
            <w:webHidden/>
          </w:rPr>
          <w:fldChar w:fldCharType="end"/>
        </w:r>
      </w:hyperlink>
    </w:p>
    <w:p w:rsidR="008A1744" w:rsidRDefault="00A74EF3">
      <w:pPr>
        <w:pStyle w:val="TOC1"/>
        <w:rPr>
          <w:rFonts w:asciiTheme="minorHAnsi" w:eastAsiaTheme="minorEastAsia" w:hAnsiTheme="minorHAnsi" w:cstheme="minorBidi"/>
          <w:b w:val="0"/>
          <w:bCs w:val="0"/>
          <w:iCs w:val="0"/>
          <w:caps w:val="0"/>
          <w:sz w:val="22"/>
          <w:szCs w:val="22"/>
        </w:rPr>
      </w:pPr>
      <w:hyperlink w:anchor="_Toc271279970" w:history="1">
        <w:r w:rsidR="008A1744" w:rsidRPr="001E72ED">
          <w:rPr>
            <w:rStyle w:val="Hyperlink"/>
          </w:rPr>
          <w:t>Chapter 6:  Results of the Status and trend NeTWORK Assessments for 2004–08</w:t>
        </w:r>
        <w:r w:rsidR="008A1744">
          <w:rPr>
            <w:webHidden/>
          </w:rPr>
          <w:tab/>
        </w:r>
        <w:r>
          <w:rPr>
            <w:webHidden/>
          </w:rPr>
          <w:fldChar w:fldCharType="begin"/>
        </w:r>
        <w:r w:rsidR="008A1744">
          <w:rPr>
            <w:webHidden/>
          </w:rPr>
          <w:instrText xml:space="preserve"> PAGEREF _Toc271279970 \h </w:instrText>
        </w:r>
        <w:r>
          <w:rPr>
            <w:webHidden/>
          </w:rPr>
        </w:r>
        <w:r>
          <w:rPr>
            <w:webHidden/>
          </w:rPr>
          <w:fldChar w:fldCharType="separate"/>
        </w:r>
        <w:r w:rsidR="00B50C61">
          <w:rPr>
            <w:webHidden/>
          </w:rPr>
          <w:t>54</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79971" w:history="1">
        <w:r w:rsidR="008A1744" w:rsidRPr="001E72ED">
          <w:rPr>
            <w:rStyle w:val="Hyperlink"/>
          </w:rPr>
          <w:t>Summary of Status Network Surface Water Results</w:t>
        </w:r>
        <w:r w:rsidR="008A1744">
          <w:rPr>
            <w:webHidden/>
          </w:rPr>
          <w:tab/>
        </w:r>
        <w:r>
          <w:rPr>
            <w:webHidden/>
          </w:rPr>
          <w:fldChar w:fldCharType="begin"/>
        </w:r>
        <w:r w:rsidR="008A1744">
          <w:rPr>
            <w:webHidden/>
          </w:rPr>
          <w:instrText xml:space="preserve"> PAGEREF _Toc271279971 \h </w:instrText>
        </w:r>
        <w:r>
          <w:rPr>
            <w:webHidden/>
          </w:rPr>
        </w:r>
        <w:r>
          <w:rPr>
            <w:webHidden/>
          </w:rPr>
          <w:fldChar w:fldCharType="separate"/>
        </w:r>
        <w:r w:rsidR="00B50C61">
          <w:rPr>
            <w:webHidden/>
          </w:rPr>
          <w:t>54</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72" w:history="1">
        <w:r w:rsidR="008A1744" w:rsidRPr="001E72ED">
          <w:rPr>
            <w:rStyle w:val="Hyperlink"/>
          </w:rPr>
          <w:t>Introduction</w:t>
        </w:r>
        <w:r w:rsidR="008A1744">
          <w:rPr>
            <w:webHidden/>
          </w:rPr>
          <w:tab/>
        </w:r>
        <w:r>
          <w:rPr>
            <w:webHidden/>
          </w:rPr>
          <w:fldChar w:fldCharType="begin"/>
        </w:r>
        <w:r w:rsidR="008A1744">
          <w:rPr>
            <w:webHidden/>
          </w:rPr>
          <w:instrText xml:space="preserve"> PAGEREF _Toc271279972 \h </w:instrText>
        </w:r>
        <w:r>
          <w:rPr>
            <w:webHidden/>
          </w:rPr>
        </w:r>
        <w:r>
          <w:rPr>
            <w:webHidden/>
          </w:rPr>
          <w:fldChar w:fldCharType="separate"/>
        </w:r>
        <w:r w:rsidR="00B50C61">
          <w:rPr>
            <w:webHidden/>
          </w:rPr>
          <w:t>54</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73" w:history="1">
        <w:r w:rsidR="008A1744" w:rsidRPr="001E72ED">
          <w:rPr>
            <w:rStyle w:val="Hyperlink"/>
          </w:rPr>
          <w:t>Rivers, Streams, Large Lakes, and Small Lakes</w:t>
        </w:r>
        <w:r w:rsidR="008A1744">
          <w:rPr>
            <w:webHidden/>
          </w:rPr>
          <w:tab/>
        </w:r>
        <w:r>
          <w:rPr>
            <w:webHidden/>
          </w:rPr>
          <w:fldChar w:fldCharType="begin"/>
        </w:r>
        <w:r w:rsidR="008A1744">
          <w:rPr>
            <w:webHidden/>
          </w:rPr>
          <w:instrText xml:space="preserve"> PAGEREF _Toc271279973 \h </w:instrText>
        </w:r>
        <w:r>
          <w:rPr>
            <w:webHidden/>
          </w:rPr>
        </w:r>
        <w:r>
          <w:rPr>
            <w:webHidden/>
          </w:rPr>
          <w:fldChar w:fldCharType="separate"/>
        </w:r>
        <w:r w:rsidR="00B50C61">
          <w:rPr>
            <w:webHidden/>
          </w:rPr>
          <w:t>57</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74" w:history="1">
        <w:r w:rsidR="008A1744" w:rsidRPr="001E72ED">
          <w:rPr>
            <w:rStyle w:val="Hyperlink"/>
          </w:rPr>
          <w:t>Sediment Quality Evaluation</w:t>
        </w:r>
        <w:r w:rsidR="008A1744">
          <w:rPr>
            <w:webHidden/>
          </w:rPr>
          <w:tab/>
        </w:r>
        <w:r>
          <w:rPr>
            <w:webHidden/>
          </w:rPr>
          <w:fldChar w:fldCharType="begin"/>
        </w:r>
        <w:r w:rsidR="008A1744">
          <w:rPr>
            <w:webHidden/>
          </w:rPr>
          <w:instrText xml:space="preserve"> PAGEREF _Toc271279974 \h </w:instrText>
        </w:r>
        <w:r>
          <w:rPr>
            <w:webHidden/>
          </w:rPr>
        </w:r>
        <w:r>
          <w:rPr>
            <w:webHidden/>
          </w:rPr>
          <w:fldChar w:fldCharType="separate"/>
        </w:r>
        <w:r w:rsidR="00B50C61">
          <w:rPr>
            <w:webHidden/>
          </w:rPr>
          <w:t>70</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79975" w:history="1">
        <w:r w:rsidR="008A1744" w:rsidRPr="001E72ED">
          <w:rPr>
            <w:rStyle w:val="Hyperlink"/>
          </w:rPr>
          <w:t>Summary of Status Network Ground Water Results</w:t>
        </w:r>
        <w:r w:rsidR="008A1744">
          <w:rPr>
            <w:webHidden/>
          </w:rPr>
          <w:tab/>
        </w:r>
        <w:r>
          <w:rPr>
            <w:webHidden/>
          </w:rPr>
          <w:fldChar w:fldCharType="begin"/>
        </w:r>
        <w:r w:rsidR="008A1744">
          <w:rPr>
            <w:webHidden/>
          </w:rPr>
          <w:instrText xml:space="preserve"> PAGEREF _Toc271279975 \h </w:instrText>
        </w:r>
        <w:r>
          <w:rPr>
            <w:webHidden/>
          </w:rPr>
        </w:r>
        <w:r>
          <w:rPr>
            <w:webHidden/>
          </w:rPr>
          <w:fldChar w:fldCharType="separate"/>
        </w:r>
        <w:r w:rsidR="00B50C61">
          <w:rPr>
            <w:webHidden/>
          </w:rPr>
          <w:t>76</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79976" w:history="1">
        <w:r w:rsidR="008A1744" w:rsidRPr="001E72ED">
          <w:rPr>
            <w:rStyle w:val="Hyperlink"/>
          </w:rPr>
          <w:t>Summary of Status Network Cycle 1 versus Cycle 2 Results</w:t>
        </w:r>
        <w:r w:rsidR="008A1744">
          <w:rPr>
            <w:webHidden/>
          </w:rPr>
          <w:tab/>
        </w:r>
        <w:r>
          <w:rPr>
            <w:webHidden/>
          </w:rPr>
          <w:fldChar w:fldCharType="begin"/>
        </w:r>
        <w:r w:rsidR="008A1744">
          <w:rPr>
            <w:webHidden/>
          </w:rPr>
          <w:instrText xml:space="preserve"> PAGEREF _Toc271279976 \h </w:instrText>
        </w:r>
        <w:r>
          <w:rPr>
            <w:webHidden/>
          </w:rPr>
        </w:r>
        <w:r>
          <w:rPr>
            <w:webHidden/>
          </w:rPr>
          <w:fldChar w:fldCharType="separate"/>
        </w:r>
        <w:r w:rsidR="00B50C61">
          <w:rPr>
            <w:webHidden/>
          </w:rPr>
          <w:t>86</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79977" w:history="1">
        <w:r w:rsidR="008A1744" w:rsidRPr="001E72ED">
          <w:rPr>
            <w:rStyle w:val="Hyperlink"/>
          </w:rPr>
          <w:t>Summary of Surface and Ground Water Trend Network Results</w:t>
        </w:r>
        <w:r w:rsidR="008A1744">
          <w:rPr>
            <w:webHidden/>
          </w:rPr>
          <w:tab/>
        </w:r>
        <w:r>
          <w:rPr>
            <w:webHidden/>
          </w:rPr>
          <w:fldChar w:fldCharType="begin"/>
        </w:r>
        <w:r w:rsidR="008A1744">
          <w:rPr>
            <w:webHidden/>
          </w:rPr>
          <w:instrText xml:space="preserve"> PAGEREF _Toc271279977 \h </w:instrText>
        </w:r>
        <w:r>
          <w:rPr>
            <w:webHidden/>
          </w:rPr>
        </w:r>
        <w:r>
          <w:rPr>
            <w:webHidden/>
          </w:rPr>
          <w:fldChar w:fldCharType="separate"/>
        </w:r>
        <w:r w:rsidR="00B50C61">
          <w:rPr>
            <w:webHidden/>
          </w:rPr>
          <w:t>87</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78" w:history="1">
        <w:r w:rsidR="008A1744" w:rsidRPr="001E72ED">
          <w:rPr>
            <w:rStyle w:val="Hyperlink"/>
          </w:rPr>
          <w:t>Surface Water Trends</w:t>
        </w:r>
        <w:r w:rsidR="008A1744">
          <w:rPr>
            <w:webHidden/>
          </w:rPr>
          <w:tab/>
        </w:r>
        <w:r>
          <w:rPr>
            <w:webHidden/>
          </w:rPr>
          <w:fldChar w:fldCharType="begin"/>
        </w:r>
        <w:r w:rsidR="008A1744">
          <w:rPr>
            <w:webHidden/>
          </w:rPr>
          <w:instrText xml:space="preserve"> PAGEREF _Toc271279978 \h </w:instrText>
        </w:r>
        <w:r>
          <w:rPr>
            <w:webHidden/>
          </w:rPr>
        </w:r>
        <w:r>
          <w:rPr>
            <w:webHidden/>
          </w:rPr>
          <w:fldChar w:fldCharType="separate"/>
        </w:r>
        <w:r w:rsidR="00B50C61">
          <w:rPr>
            <w:webHidden/>
          </w:rPr>
          <w:t>87</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79" w:history="1">
        <w:r w:rsidR="008A1744" w:rsidRPr="001E72ED">
          <w:rPr>
            <w:rStyle w:val="Hyperlink"/>
          </w:rPr>
          <w:t>Ground Water Trends</w:t>
        </w:r>
        <w:r w:rsidR="008A1744">
          <w:rPr>
            <w:webHidden/>
          </w:rPr>
          <w:tab/>
        </w:r>
        <w:r>
          <w:rPr>
            <w:webHidden/>
          </w:rPr>
          <w:fldChar w:fldCharType="begin"/>
        </w:r>
        <w:r w:rsidR="008A1744">
          <w:rPr>
            <w:webHidden/>
          </w:rPr>
          <w:instrText xml:space="preserve"> PAGEREF _Toc271279979 \h </w:instrText>
        </w:r>
        <w:r>
          <w:rPr>
            <w:webHidden/>
          </w:rPr>
        </w:r>
        <w:r>
          <w:rPr>
            <w:webHidden/>
          </w:rPr>
          <w:fldChar w:fldCharType="separate"/>
        </w:r>
        <w:r w:rsidR="00B50C61">
          <w:rPr>
            <w:webHidden/>
          </w:rPr>
          <w:t>97</w:t>
        </w:r>
        <w:r>
          <w:rPr>
            <w:webHidden/>
          </w:rPr>
          <w:fldChar w:fldCharType="end"/>
        </w:r>
      </w:hyperlink>
    </w:p>
    <w:p w:rsidR="008A1744" w:rsidRDefault="00A74EF3">
      <w:pPr>
        <w:pStyle w:val="TOC1"/>
        <w:rPr>
          <w:rFonts w:asciiTheme="minorHAnsi" w:eastAsiaTheme="minorEastAsia" w:hAnsiTheme="minorHAnsi" w:cstheme="minorBidi"/>
          <w:b w:val="0"/>
          <w:bCs w:val="0"/>
          <w:iCs w:val="0"/>
          <w:caps w:val="0"/>
          <w:sz w:val="22"/>
          <w:szCs w:val="22"/>
        </w:rPr>
      </w:pPr>
      <w:hyperlink w:anchor="_Toc271279980" w:history="1">
        <w:r w:rsidR="008A1744" w:rsidRPr="001E72ED">
          <w:rPr>
            <w:rStyle w:val="Hyperlink"/>
          </w:rPr>
          <w:t>Chapter 7.  Introduction to Strategic Monitoring and assessment</w:t>
        </w:r>
        <w:r w:rsidR="008A1744">
          <w:rPr>
            <w:webHidden/>
          </w:rPr>
          <w:tab/>
        </w:r>
        <w:r>
          <w:rPr>
            <w:webHidden/>
          </w:rPr>
          <w:fldChar w:fldCharType="begin"/>
        </w:r>
        <w:r w:rsidR="008A1744">
          <w:rPr>
            <w:webHidden/>
          </w:rPr>
          <w:instrText xml:space="preserve"> PAGEREF _Toc271279980 \h </w:instrText>
        </w:r>
        <w:r>
          <w:rPr>
            <w:webHidden/>
          </w:rPr>
        </w:r>
        <w:r>
          <w:rPr>
            <w:webHidden/>
          </w:rPr>
          <w:fldChar w:fldCharType="separate"/>
        </w:r>
        <w:r w:rsidR="00B50C61">
          <w:rPr>
            <w:webHidden/>
          </w:rPr>
          <w:t>116</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79981" w:history="1">
        <w:r w:rsidR="008A1744" w:rsidRPr="001E72ED">
          <w:rPr>
            <w:rStyle w:val="Hyperlink"/>
          </w:rPr>
          <w:t>Approach to the Comprehensive Assessment:  Sections 305(b) and 303(d)</w:t>
        </w:r>
        <w:r w:rsidR="008A1744">
          <w:rPr>
            <w:webHidden/>
          </w:rPr>
          <w:tab/>
        </w:r>
        <w:r>
          <w:rPr>
            <w:webHidden/>
          </w:rPr>
          <w:fldChar w:fldCharType="begin"/>
        </w:r>
        <w:r w:rsidR="008A1744">
          <w:rPr>
            <w:webHidden/>
          </w:rPr>
          <w:instrText xml:space="preserve"> PAGEREF _Toc271279981 \h </w:instrText>
        </w:r>
        <w:r>
          <w:rPr>
            <w:webHidden/>
          </w:rPr>
        </w:r>
        <w:r>
          <w:rPr>
            <w:webHidden/>
          </w:rPr>
          <w:fldChar w:fldCharType="separate"/>
        </w:r>
        <w:r w:rsidR="00B50C61">
          <w:rPr>
            <w:webHidden/>
          </w:rPr>
          <w:t>116</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79982" w:history="1">
        <w:r w:rsidR="008A1744" w:rsidRPr="001E72ED">
          <w:rPr>
            <w:rStyle w:val="Hyperlink"/>
          </w:rPr>
          <w:t>Determining Attainment of Designated Use(s)</w:t>
        </w:r>
        <w:r w:rsidR="008A1744">
          <w:rPr>
            <w:webHidden/>
          </w:rPr>
          <w:tab/>
        </w:r>
        <w:r>
          <w:rPr>
            <w:webHidden/>
          </w:rPr>
          <w:fldChar w:fldCharType="begin"/>
        </w:r>
        <w:r w:rsidR="008A1744">
          <w:rPr>
            <w:webHidden/>
          </w:rPr>
          <w:instrText xml:space="preserve"> PAGEREF _Toc271279982 \h </w:instrText>
        </w:r>
        <w:r>
          <w:rPr>
            <w:webHidden/>
          </w:rPr>
        </w:r>
        <w:r>
          <w:rPr>
            <w:webHidden/>
          </w:rPr>
          <w:fldChar w:fldCharType="separate"/>
        </w:r>
        <w:r w:rsidR="00B50C61">
          <w:rPr>
            <w:webHidden/>
          </w:rPr>
          <w:t>119</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79983" w:history="1">
        <w:r w:rsidR="008A1744" w:rsidRPr="001E72ED">
          <w:rPr>
            <w:rStyle w:val="Hyperlink"/>
          </w:rPr>
          <w:t>How Data Are Identified and Evaluated</w:t>
        </w:r>
        <w:r w:rsidR="008A1744">
          <w:rPr>
            <w:webHidden/>
          </w:rPr>
          <w:tab/>
        </w:r>
        <w:r>
          <w:rPr>
            <w:webHidden/>
          </w:rPr>
          <w:fldChar w:fldCharType="begin"/>
        </w:r>
        <w:r w:rsidR="008A1744">
          <w:rPr>
            <w:webHidden/>
          </w:rPr>
          <w:instrText xml:space="preserve"> PAGEREF _Toc271279983 \h </w:instrText>
        </w:r>
        <w:r>
          <w:rPr>
            <w:webHidden/>
          </w:rPr>
        </w:r>
        <w:r>
          <w:rPr>
            <w:webHidden/>
          </w:rPr>
          <w:fldChar w:fldCharType="separate"/>
        </w:r>
        <w:r w:rsidR="00B50C61">
          <w:rPr>
            <w:webHidden/>
          </w:rPr>
          <w:t>120</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84" w:history="1">
        <w:r w:rsidR="008A1744" w:rsidRPr="001E72ED">
          <w:rPr>
            <w:rStyle w:val="Hyperlink"/>
          </w:rPr>
          <w:t>The Impaired Surface Waters Rule</w:t>
        </w:r>
        <w:r w:rsidR="008A1744">
          <w:rPr>
            <w:webHidden/>
          </w:rPr>
          <w:tab/>
        </w:r>
        <w:r>
          <w:rPr>
            <w:webHidden/>
          </w:rPr>
          <w:fldChar w:fldCharType="begin"/>
        </w:r>
        <w:r w:rsidR="008A1744">
          <w:rPr>
            <w:webHidden/>
          </w:rPr>
          <w:instrText xml:space="preserve"> PAGEREF _Toc271279984 \h </w:instrText>
        </w:r>
        <w:r>
          <w:rPr>
            <w:webHidden/>
          </w:rPr>
        </w:r>
        <w:r>
          <w:rPr>
            <w:webHidden/>
          </w:rPr>
          <w:fldChar w:fldCharType="separate"/>
        </w:r>
        <w:r w:rsidR="00B50C61">
          <w:rPr>
            <w:webHidden/>
          </w:rPr>
          <w:t>120</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79985" w:history="1">
        <w:r w:rsidR="008A1744" w:rsidRPr="001E72ED">
          <w:rPr>
            <w:rStyle w:val="Hyperlink"/>
            <w:i/>
          </w:rPr>
          <w:t>Sources of Data</w:t>
        </w:r>
        <w:r w:rsidR="008A1744">
          <w:rPr>
            <w:webHidden/>
          </w:rPr>
          <w:tab/>
        </w:r>
        <w:r>
          <w:rPr>
            <w:webHidden/>
          </w:rPr>
          <w:fldChar w:fldCharType="begin"/>
        </w:r>
        <w:r w:rsidR="008A1744">
          <w:rPr>
            <w:webHidden/>
          </w:rPr>
          <w:instrText xml:space="preserve"> PAGEREF _Toc271279985 \h </w:instrText>
        </w:r>
        <w:r>
          <w:rPr>
            <w:webHidden/>
          </w:rPr>
        </w:r>
        <w:r>
          <w:rPr>
            <w:webHidden/>
          </w:rPr>
          <w:fldChar w:fldCharType="separate"/>
        </w:r>
        <w:r w:rsidR="00B50C61">
          <w:rPr>
            <w:webHidden/>
          </w:rPr>
          <w:t>121</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86" w:history="1">
        <w:r w:rsidR="008A1744" w:rsidRPr="001E72ED">
          <w:rPr>
            <w:rStyle w:val="Hyperlink"/>
          </w:rPr>
          <w:t>Quality Assurance/Quality Control Criteria</w:t>
        </w:r>
        <w:r w:rsidR="008A1744">
          <w:rPr>
            <w:webHidden/>
          </w:rPr>
          <w:tab/>
        </w:r>
        <w:r>
          <w:rPr>
            <w:webHidden/>
          </w:rPr>
          <w:fldChar w:fldCharType="begin"/>
        </w:r>
        <w:r w:rsidR="008A1744">
          <w:rPr>
            <w:webHidden/>
          </w:rPr>
          <w:instrText xml:space="preserve"> PAGEREF _Toc271279986 \h </w:instrText>
        </w:r>
        <w:r>
          <w:rPr>
            <w:webHidden/>
          </w:rPr>
        </w:r>
        <w:r>
          <w:rPr>
            <w:webHidden/>
          </w:rPr>
          <w:fldChar w:fldCharType="separate"/>
        </w:r>
        <w:r w:rsidR="00B50C61">
          <w:rPr>
            <w:webHidden/>
          </w:rPr>
          <w:t>123</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87" w:history="1">
        <w:r w:rsidR="008A1744" w:rsidRPr="001E72ED">
          <w:rPr>
            <w:rStyle w:val="Hyperlink"/>
          </w:rPr>
          <w:t>Criteria for Evaluating Outside Data</w:t>
        </w:r>
        <w:r w:rsidR="008A1744">
          <w:rPr>
            <w:webHidden/>
          </w:rPr>
          <w:tab/>
        </w:r>
        <w:r>
          <w:rPr>
            <w:webHidden/>
          </w:rPr>
          <w:fldChar w:fldCharType="begin"/>
        </w:r>
        <w:r w:rsidR="008A1744">
          <w:rPr>
            <w:webHidden/>
          </w:rPr>
          <w:instrText xml:space="preserve"> PAGEREF _Toc271279987 \h </w:instrText>
        </w:r>
        <w:r>
          <w:rPr>
            <w:webHidden/>
          </w:rPr>
        </w:r>
        <w:r>
          <w:rPr>
            <w:webHidden/>
          </w:rPr>
          <w:fldChar w:fldCharType="separate"/>
        </w:r>
        <w:r w:rsidR="00B50C61">
          <w:rPr>
            <w:webHidden/>
          </w:rPr>
          <w:t>123</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88" w:history="1">
        <w:r w:rsidR="008A1744" w:rsidRPr="001E72ED">
          <w:rPr>
            <w:rStyle w:val="Hyperlink"/>
          </w:rPr>
          <w:t>Rationales for Not Using Existing Data</w:t>
        </w:r>
        <w:r w:rsidR="008A1744">
          <w:rPr>
            <w:webHidden/>
          </w:rPr>
          <w:tab/>
        </w:r>
        <w:r>
          <w:rPr>
            <w:webHidden/>
          </w:rPr>
          <w:fldChar w:fldCharType="begin"/>
        </w:r>
        <w:r w:rsidR="008A1744">
          <w:rPr>
            <w:webHidden/>
          </w:rPr>
          <w:instrText xml:space="preserve"> PAGEREF _Toc271279988 \h </w:instrText>
        </w:r>
        <w:r>
          <w:rPr>
            <w:webHidden/>
          </w:rPr>
        </w:r>
        <w:r>
          <w:rPr>
            <w:webHidden/>
          </w:rPr>
          <w:fldChar w:fldCharType="separate"/>
        </w:r>
        <w:r w:rsidR="00B50C61">
          <w:rPr>
            <w:webHidden/>
          </w:rPr>
          <w:t>123</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79989" w:history="1">
        <w:r w:rsidR="008A1744" w:rsidRPr="001E72ED">
          <w:rPr>
            <w:rStyle w:val="Hyperlink"/>
          </w:rPr>
          <w:t>How Data Are Used To Make Attainment Determinations</w:t>
        </w:r>
        <w:r w:rsidR="008A1744">
          <w:rPr>
            <w:webHidden/>
          </w:rPr>
          <w:tab/>
        </w:r>
        <w:r>
          <w:rPr>
            <w:webHidden/>
          </w:rPr>
          <w:fldChar w:fldCharType="begin"/>
        </w:r>
        <w:r w:rsidR="008A1744">
          <w:rPr>
            <w:webHidden/>
          </w:rPr>
          <w:instrText xml:space="preserve"> PAGEREF _Toc271279989 \h </w:instrText>
        </w:r>
        <w:r>
          <w:rPr>
            <w:webHidden/>
          </w:rPr>
        </w:r>
        <w:r>
          <w:rPr>
            <w:webHidden/>
          </w:rPr>
          <w:fldChar w:fldCharType="separate"/>
        </w:r>
        <w:r w:rsidR="00B50C61">
          <w:rPr>
            <w:webHidden/>
          </w:rPr>
          <w:t>124</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79990" w:history="1">
        <w:r w:rsidR="008A1744" w:rsidRPr="001E72ED">
          <w:rPr>
            <w:rStyle w:val="Hyperlink"/>
          </w:rPr>
          <w:t>Public Participation Process</w:t>
        </w:r>
        <w:r w:rsidR="008A1744">
          <w:rPr>
            <w:webHidden/>
          </w:rPr>
          <w:tab/>
        </w:r>
        <w:r>
          <w:rPr>
            <w:webHidden/>
          </w:rPr>
          <w:fldChar w:fldCharType="begin"/>
        </w:r>
        <w:r w:rsidR="008A1744">
          <w:rPr>
            <w:webHidden/>
          </w:rPr>
          <w:instrText xml:space="preserve"> PAGEREF _Toc271279990 \h </w:instrText>
        </w:r>
        <w:r>
          <w:rPr>
            <w:webHidden/>
          </w:rPr>
        </w:r>
        <w:r>
          <w:rPr>
            <w:webHidden/>
          </w:rPr>
          <w:fldChar w:fldCharType="separate"/>
        </w:r>
        <w:r w:rsidR="00B50C61">
          <w:rPr>
            <w:webHidden/>
          </w:rPr>
          <w:t>124</w:t>
        </w:r>
        <w:r>
          <w:rPr>
            <w:webHidden/>
          </w:rPr>
          <w:fldChar w:fldCharType="end"/>
        </w:r>
      </w:hyperlink>
    </w:p>
    <w:p w:rsidR="008A1744" w:rsidRDefault="00A74EF3">
      <w:pPr>
        <w:pStyle w:val="TOC1"/>
        <w:rPr>
          <w:rFonts w:asciiTheme="minorHAnsi" w:eastAsiaTheme="minorEastAsia" w:hAnsiTheme="minorHAnsi" w:cstheme="minorBidi"/>
          <w:b w:val="0"/>
          <w:bCs w:val="0"/>
          <w:iCs w:val="0"/>
          <w:caps w:val="0"/>
          <w:sz w:val="22"/>
          <w:szCs w:val="22"/>
        </w:rPr>
      </w:pPr>
      <w:hyperlink w:anchor="_Toc271279991" w:history="1">
        <w:r w:rsidR="008A1744" w:rsidRPr="001E72ED">
          <w:rPr>
            <w:rStyle w:val="Hyperlink"/>
          </w:rPr>
          <w:t>Chapter 8:  Results of the Assessments Of Use Support</w:t>
        </w:r>
        <w:r w:rsidR="008A1744">
          <w:rPr>
            <w:webHidden/>
          </w:rPr>
          <w:tab/>
        </w:r>
        <w:r>
          <w:rPr>
            <w:webHidden/>
          </w:rPr>
          <w:fldChar w:fldCharType="begin"/>
        </w:r>
        <w:r w:rsidR="008A1744">
          <w:rPr>
            <w:webHidden/>
          </w:rPr>
          <w:instrText xml:space="preserve"> PAGEREF _Toc271279991 \h </w:instrText>
        </w:r>
        <w:r>
          <w:rPr>
            <w:webHidden/>
          </w:rPr>
        </w:r>
        <w:r>
          <w:rPr>
            <w:webHidden/>
          </w:rPr>
          <w:fldChar w:fldCharType="separate"/>
        </w:r>
        <w:r w:rsidR="00B50C61">
          <w:rPr>
            <w:webHidden/>
          </w:rPr>
          <w:t>125</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79992" w:history="1">
        <w:r w:rsidR="008A1744" w:rsidRPr="001E72ED">
          <w:rPr>
            <w:rStyle w:val="Hyperlink"/>
            <w:snapToGrid w:val="0"/>
          </w:rPr>
          <w:t>Surface Waters Assessed</w:t>
        </w:r>
        <w:r w:rsidR="008A1744">
          <w:rPr>
            <w:webHidden/>
          </w:rPr>
          <w:tab/>
        </w:r>
        <w:r>
          <w:rPr>
            <w:webHidden/>
          </w:rPr>
          <w:fldChar w:fldCharType="begin"/>
        </w:r>
        <w:r w:rsidR="008A1744">
          <w:rPr>
            <w:webHidden/>
          </w:rPr>
          <w:instrText xml:space="preserve"> PAGEREF _Toc271279992 \h </w:instrText>
        </w:r>
        <w:r>
          <w:rPr>
            <w:webHidden/>
          </w:rPr>
        </w:r>
        <w:r>
          <w:rPr>
            <w:webHidden/>
          </w:rPr>
          <w:fldChar w:fldCharType="separate"/>
        </w:r>
        <w:r w:rsidR="00B50C61">
          <w:rPr>
            <w:webHidden/>
          </w:rPr>
          <w:t>125</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79993" w:history="1">
        <w:r w:rsidR="008A1744" w:rsidRPr="001E72ED">
          <w:rPr>
            <w:rStyle w:val="Hyperlink"/>
          </w:rPr>
          <w:t>Summary of Causes of Impairment</w:t>
        </w:r>
        <w:r w:rsidR="008A1744">
          <w:rPr>
            <w:webHidden/>
          </w:rPr>
          <w:tab/>
        </w:r>
        <w:r>
          <w:rPr>
            <w:webHidden/>
          </w:rPr>
          <w:fldChar w:fldCharType="begin"/>
        </w:r>
        <w:r w:rsidR="008A1744">
          <w:rPr>
            <w:webHidden/>
          </w:rPr>
          <w:instrText xml:space="preserve"> PAGEREF _Toc271279993 \h </w:instrText>
        </w:r>
        <w:r>
          <w:rPr>
            <w:webHidden/>
          </w:rPr>
        </w:r>
        <w:r>
          <w:rPr>
            <w:webHidden/>
          </w:rPr>
          <w:fldChar w:fldCharType="separate"/>
        </w:r>
        <w:r w:rsidR="00B50C61">
          <w:rPr>
            <w:webHidden/>
          </w:rPr>
          <w:t>127</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79994" w:history="1">
        <w:r w:rsidR="008A1744" w:rsidRPr="001E72ED">
          <w:rPr>
            <w:rStyle w:val="Hyperlink"/>
          </w:rPr>
          <w:t>303(d) List of Verified Impaired Waters</w:t>
        </w:r>
        <w:r w:rsidR="008A1744">
          <w:rPr>
            <w:webHidden/>
          </w:rPr>
          <w:tab/>
        </w:r>
        <w:r>
          <w:rPr>
            <w:webHidden/>
          </w:rPr>
          <w:fldChar w:fldCharType="begin"/>
        </w:r>
        <w:r w:rsidR="008A1744">
          <w:rPr>
            <w:webHidden/>
          </w:rPr>
          <w:instrText xml:space="preserve"> PAGEREF _Toc271279994 \h </w:instrText>
        </w:r>
        <w:r>
          <w:rPr>
            <w:webHidden/>
          </w:rPr>
        </w:r>
        <w:r>
          <w:rPr>
            <w:webHidden/>
          </w:rPr>
          <w:fldChar w:fldCharType="separate"/>
        </w:r>
        <w:r w:rsidR="00B50C61">
          <w:rPr>
            <w:webHidden/>
          </w:rPr>
          <w:t>129</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79995" w:history="1">
        <w:r w:rsidR="008A1744" w:rsidRPr="001E72ED">
          <w:rPr>
            <w:rStyle w:val="Hyperlink"/>
          </w:rPr>
          <w:t>Delisting</w:t>
        </w:r>
        <w:r w:rsidR="008A1744">
          <w:rPr>
            <w:webHidden/>
          </w:rPr>
          <w:tab/>
        </w:r>
        <w:r>
          <w:rPr>
            <w:webHidden/>
          </w:rPr>
          <w:fldChar w:fldCharType="begin"/>
        </w:r>
        <w:r w:rsidR="008A1744">
          <w:rPr>
            <w:webHidden/>
          </w:rPr>
          <w:instrText xml:space="preserve"> PAGEREF _Toc271279995 \h </w:instrText>
        </w:r>
        <w:r>
          <w:rPr>
            <w:webHidden/>
          </w:rPr>
        </w:r>
        <w:r>
          <w:rPr>
            <w:webHidden/>
          </w:rPr>
          <w:fldChar w:fldCharType="separate"/>
        </w:r>
        <w:r w:rsidR="00B50C61">
          <w:rPr>
            <w:webHidden/>
          </w:rPr>
          <w:t>129</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79996" w:history="1">
        <w:r w:rsidR="008A1744" w:rsidRPr="001E72ED">
          <w:rPr>
            <w:rStyle w:val="Hyperlink"/>
          </w:rPr>
          <w:t>Biology</w:t>
        </w:r>
        <w:r w:rsidR="008A1744">
          <w:rPr>
            <w:webHidden/>
          </w:rPr>
          <w:tab/>
        </w:r>
        <w:r>
          <w:rPr>
            <w:webHidden/>
          </w:rPr>
          <w:fldChar w:fldCharType="begin"/>
        </w:r>
        <w:r w:rsidR="008A1744">
          <w:rPr>
            <w:webHidden/>
          </w:rPr>
          <w:instrText xml:space="preserve"> PAGEREF _Toc271279996 \h </w:instrText>
        </w:r>
        <w:r>
          <w:rPr>
            <w:webHidden/>
          </w:rPr>
        </w:r>
        <w:r>
          <w:rPr>
            <w:webHidden/>
          </w:rPr>
          <w:fldChar w:fldCharType="separate"/>
        </w:r>
        <w:r w:rsidR="00B50C61">
          <w:rPr>
            <w:webHidden/>
          </w:rPr>
          <w:t>133</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79997" w:history="1">
        <w:r w:rsidR="008A1744" w:rsidRPr="001E72ED">
          <w:rPr>
            <w:rStyle w:val="Hyperlink"/>
          </w:rPr>
          <w:t>Special Focus:  Lakes</w:t>
        </w:r>
        <w:r w:rsidR="008A1744">
          <w:rPr>
            <w:webHidden/>
          </w:rPr>
          <w:tab/>
        </w:r>
        <w:r>
          <w:rPr>
            <w:webHidden/>
          </w:rPr>
          <w:fldChar w:fldCharType="begin"/>
        </w:r>
        <w:r w:rsidR="008A1744">
          <w:rPr>
            <w:webHidden/>
          </w:rPr>
          <w:instrText xml:space="preserve"> PAGEREF _Toc271279997 \h </w:instrText>
        </w:r>
        <w:r>
          <w:rPr>
            <w:webHidden/>
          </w:rPr>
        </w:r>
        <w:r>
          <w:rPr>
            <w:webHidden/>
          </w:rPr>
          <w:fldChar w:fldCharType="separate"/>
        </w:r>
        <w:r w:rsidR="00B50C61">
          <w:rPr>
            <w:webHidden/>
          </w:rPr>
          <w:t>133</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98" w:history="1">
        <w:r w:rsidR="008A1744" w:rsidRPr="001E72ED">
          <w:rPr>
            <w:rStyle w:val="Hyperlink"/>
            <w:snapToGrid w:val="0"/>
          </w:rPr>
          <w:t>Lake Trends</w:t>
        </w:r>
        <w:r w:rsidR="008A1744">
          <w:rPr>
            <w:webHidden/>
          </w:rPr>
          <w:tab/>
        </w:r>
        <w:r>
          <w:rPr>
            <w:webHidden/>
          </w:rPr>
          <w:fldChar w:fldCharType="begin"/>
        </w:r>
        <w:r w:rsidR="008A1744">
          <w:rPr>
            <w:webHidden/>
          </w:rPr>
          <w:instrText xml:space="preserve"> PAGEREF _Toc271279998 \h </w:instrText>
        </w:r>
        <w:r>
          <w:rPr>
            <w:webHidden/>
          </w:rPr>
        </w:r>
        <w:r>
          <w:rPr>
            <w:webHidden/>
          </w:rPr>
          <w:fldChar w:fldCharType="separate"/>
        </w:r>
        <w:r w:rsidR="00B50C61">
          <w:rPr>
            <w:webHidden/>
          </w:rPr>
          <w:t>133</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79999" w:history="1">
        <w:r w:rsidR="008A1744" w:rsidRPr="001E72ED">
          <w:rPr>
            <w:rStyle w:val="Hyperlink"/>
          </w:rPr>
          <w:t>Approaches to Controlling Lake Pollution and Lake Water Quality</w:t>
        </w:r>
        <w:r w:rsidR="008A1744">
          <w:rPr>
            <w:webHidden/>
          </w:rPr>
          <w:tab/>
        </w:r>
        <w:r>
          <w:rPr>
            <w:webHidden/>
          </w:rPr>
          <w:fldChar w:fldCharType="begin"/>
        </w:r>
        <w:r w:rsidR="008A1744">
          <w:rPr>
            <w:webHidden/>
          </w:rPr>
          <w:instrText xml:space="preserve"> PAGEREF _Toc271279999 \h </w:instrText>
        </w:r>
        <w:r>
          <w:rPr>
            <w:webHidden/>
          </w:rPr>
        </w:r>
        <w:r>
          <w:rPr>
            <w:webHidden/>
          </w:rPr>
          <w:fldChar w:fldCharType="separate"/>
        </w:r>
        <w:r w:rsidR="00B50C61">
          <w:rPr>
            <w:webHidden/>
          </w:rPr>
          <w:t>133</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80000" w:history="1">
        <w:r w:rsidR="008A1744" w:rsidRPr="001E72ED">
          <w:rPr>
            <w:rStyle w:val="Hyperlink"/>
          </w:rPr>
          <w:t>Publicly Owned Lakes with Impaired Uses</w:t>
        </w:r>
        <w:r w:rsidR="008A1744">
          <w:rPr>
            <w:webHidden/>
          </w:rPr>
          <w:tab/>
        </w:r>
        <w:r>
          <w:rPr>
            <w:webHidden/>
          </w:rPr>
          <w:fldChar w:fldCharType="begin"/>
        </w:r>
        <w:r w:rsidR="008A1744">
          <w:rPr>
            <w:webHidden/>
          </w:rPr>
          <w:instrText xml:space="preserve"> PAGEREF _Toc271280000 \h </w:instrText>
        </w:r>
        <w:r>
          <w:rPr>
            <w:webHidden/>
          </w:rPr>
        </w:r>
        <w:r>
          <w:rPr>
            <w:webHidden/>
          </w:rPr>
          <w:fldChar w:fldCharType="separate"/>
        </w:r>
        <w:r w:rsidR="00B50C61">
          <w:rPr>
            <w:webHidden/>
          </w:rPr>
          <w:t>134</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80001" w:history="1">
        <w:r w:rsidR="008A1744" w:rsidRPr="001E72ED">
          <w:rPr>
            <w:rStyle w:val="Hyperlink"/>
          </w:rPr>
          <w:t>Drinking Water</w:t>
        </w:r>
        <w:r w:rsidR="008A1744">
          <w:rPr>
            <w:webHidden/>
          </w:rPr>
          <w:tab/>
        </w:r>
        <w:r>
          <w:rPr>
            <w:webHidden/>
          </w:rPr>
          <w:fldChar w:fldCharType="begin"/>
        </w:r>
        <w:r w:rsidR="008A1744">
          <w:rPr>
            <w:webHidden/>
          </w:rPr>
          <w:instrText xml:space="preserve"> PAGEREF _Toc271280001 \h </w:instrText>
        </w:r>
        <w:r>
          <w:rPr>
            <w:webHidden/>
          </w:rPr>
        </w:r>
        <w:r>
          <w:rPr>
            <w:webHidden/>
          </w:rPr>
          <w:fldChar w:fldCharType="separate"/>
        </w:r>
        <w:r w:rsidR="00B50C61">
          <w:rPr>
            <w:webHidden/>
          </w:rPr>
          <w:t>134</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80002" w:history="1">
        <w:r w:rsidR="008A1744" w:rsidRPr="001E72ED">
          <w:rPr>
            <w:rStyle w:val="Hyperlink"/>
          </w:rPr>
          <w:t>Overlap of Source Water Areas and Impaired Surface Waters</w:t>
        </w:r>
        <w:r w:rsidR="008A1744">
          <w:rPr>
            <w:webHidden/>
          </w:rPr>
          <w:tab/>
        </w:r>
        <w:r>
          <w:rPr>
            <w:webHidden/>
          </w:rPr>
          <w:fldChar w:fldCharType="begin"/>
        </w:r>
        <w:r w:rsidR="008A1744">
          <w:rPr>
            <w:webHidden/>
          </w:rPr>
          <w:instrText xml:space="preserve"> PAGEREF _Toc271280002 \h </w:instrText>
        </w:r>
        <w:r>
          <w:rPr>
            <w:webHidden/>
          </w:rPr>
        </w:r>
        <w:r>
          <w:rPr>
            <w:webHidden/>
          </w:rPr>
          <w:fldChar w:fldCharType="separate"/>
        </w:r>
        <w:r w:rsidR="00B50C61">
          <w:rPr>
            <w:webHidden/>
          </w:rPr>
          <w:t>135</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80003" w:history="1">
        <w:r w:rsidR="008A1744" w:rsidRPr="001E72ED">
          <w:rPr>
            <w:rStyle w:val="Hyperlink"/>
          </w:rPr>
          <w:t>Sediment Contamination</w:t>
        </w:r>
        <w:r w:rsidR="008A1744">
          <w:rPr>
            <w:webHidden/>
          </w:rPr>
          <w:tab/>
        </w:r>
        <w:r>
          <w:rPr>
            <w:webHidden/>
          </w:rPr>
          <w:fldChar w:fldCharType="begin"/>
        </w:r>
        <w:r w:rsidR="008A1744">
          <w:rPr>
            <w:webHidden/>
          </w:rPr>
          <w:instrText xml:space="preserve"> PAGEREF _Toc271280003 \h </w:instrText>
        </w:r>
        <w:r>
          <w:rPr>
            <w:webHidden/>
          </w:rPr>
        </w:r>
        <w:r>
          <w:rPr>
            <w:webHidden/>
          </w:rPr>
          <w:fldChar w:fldCharType="separate"/>
        </w:r>
        <w:r w:rsidR="00B50C61">
          <w:rPr>
            <w:webHidden/>
          </w:rPr>
          <w:t>136</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80004" w:history="1">
        <w:r w:rsidR="008A1744" w:rsidRPr="001E72ED">
          <w:rPr>
            <w:rStyle w:val="Hyperlink"/>
          </w:rPr>
          <w:t>Freshwater Sediments</w:t>
        </w:r>
        <w:r w:rsidR="008A1744">
          <w:rPr>
            <w:webHidden/>
          </w:rPr>
          <w:tab/>
        </w:r>
        <w:r>
          <w:rPr>
            <w:webHidden/>
          </w:rPr>
          <w:fldChar w:fldCharType="begin"/>
        </w:r>
        <w:r w:rsidR="008A1744">
          <w:rPr>
            <w:webHidden/>
          </w:rPr>
          <w:instrText xml:space="preserve"> PAGEREF _Toc271280004 \h </w:instrText>
        </w:r>
        <w:r>
          <w:rPr>
            <w:webHidden/>
          </w:rPr>
        </w:r>
        <w:r>
          <w:rPr>
            <w:webHidden/>
          </w:rPr>
          <w:fldChar w:fldCharType="separate"/>
        </w:r>
        <w:r w:rsidR="00B50C61">
          <w:rPr>
            <w:webHidden/>
          </w:rPr>
          <w:t>136</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80005" w:history="1">
        <w:r w:rsidR="008A1744" w:rsidRPr="001E72ED">
          <w:rPr>
            <w:rStyle w:val="Hyperlink"/>
          </w:rPr>
          <w:t>Estuarine and Marine Sediments</w:t>
        </w:r>
        <w:r w:rsidR="008A1744">
          <w:rPr>
            <w:webHidden/>
          </w:rPr>
          <w:tab/>
        </w:r>
        <w:r>
          <w:rPr>
            <w:webHidden/>
          </w:rPr>
          <w:fldChar w:fldCharType="begin"/>
        </w:r>
        <w:r w:rsidR="008A1744">
          <w:rPr>
            <w:webHidden/>
          </w:rPr>
          <w:instrText xml:space="preserve"> PAGEREF _Toc271280005 \h </w:instrText>
        </w:r>
        <w:r>
          <w:rPr>
            <w:webHidden/>
          </w:rPr>
        </w:r>
        <w:r>
          <w:rPr>
            <w:webHidden/>
          </w:rPr>
          <w:fldChar w:fldCharType="separate"/>
        </w:r>
        <w:r w:rsidR="00B50C61">
          <w:rPr>
            <w:webHidden/>
          </w:rPr>
          <w:t>136</w:t>
        </w:r>
        <w:r>
          <w:rPr>
            <w:webHidden/>
          </w:rPr>
          <w:fldChar w:fldCharType="end"/>
        </w:r>
      </w:hyperlink>
    </w:p>
    <w:p w:rsidR="008A1744" w:rsidRDefault="00A74EF3">
      <w:pPr>
        <w:pStyle w:val="TOC1"/>
        <w:rPr>
          <w:rFonts w:asciiTheme="minorHAnsi" w:eastAsiaTheme="minorEastAsia" w:hAnsiTheme="minorHAnsi" w:cstheme="minorBidi"/>
          <w:b w:val="0"/>
          <w:bCs w:val="0"/>
          <w:iCs w:val="0"/>
          <w:caps w:val="0"/>
          <w:sz w:val="22"/>
          <w:szCs w:val="22"/>
        </w:rPr>
      </w:pPr>
      <w:hyperlink w:anchor="_Toc271280006" w:history="1">
        <w:r w:rsidR="008A1744" w:rsidRPr="001E72ED">
          <w:rPr>
            <w:rStyle w:val="Hyperlink"/>
          </w:rPr>
          <w:t>Chapter 9:  Introduction to Ground Water Monitoring</w:t>
        </w:r>
        <w:r w:rsidR="008A1744">
          <w:rPr>
            <w:webHidden/>
          </w:rPr>
          <w:tab/>
        </w:r>
        <w:r>
          <w:rPr>
            <w:webHidden/>
          </w:rPr>
          <w:fldChar w:fldCharType="begin"/>
        </w:r>
        <w:r w:rsidR="008A1744">
          <w:rPr>
            <w:webHidden/>
          </w:rPr>
          <w:instrText xml:space="preserve"> PAGEREF _Toc271280006 \h </w:instrText>
        </w:r>
        <w:r>
          <w:rPr>
            <w:webHidden/>
          </w:rPr>
        </w:r>
        <w:r>
          <w:rPr>
            <w:webHidden/>
          </w:rPr>
          <w:fldChar w:fldCharType="separate"/>
        </w:r>
        <w:r w:rsidR="00B50C61">
          <w:rPr>
            <w:webHidden/>
          </w:rPr>
          <w:t>139</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80007" w:history="1">
        <w:r w:rsidR="008A1744" w:rsidRPr="001E72ED">
          <w:rPr>
            <w:rStyle w:val="Hyperlink"/>
          </w:rPr>
          <w:t>Summary of Ground Water Monitoring Programs</w:t>
        </w:r>
        <w:r w:rsidR="008A1744">
          <w:rPr>
            <w:webHidden/>
          </w:rPr>
          <w:tab/>
        </w:r>
        <w:r>
          <w:rPr>
            <w:webHidden/>
          </w:rPr>
          <w:fldChar w:fldCharType="begin"/>
        </w:r>
        <w:r w:rsidR="008A1744">
          <w:rPr>
            <w:webHidden/>
          </w:rPr>
          <w:instrText xml:space="preserve"> PAGEREF _Toc271280007 \h </w:instrText>
        </w:r>
        <w:r>
          <w:rPr>
            <w:webHidden/>
          </w:rPr>
        </w:r>
        <w:r>
          <w:rPr>
            <w:webHidden/>
          </w:rPr>
          <w:fldChar w:fldCharType="separate"/>
        </w:r>
        <w:r w:rsidR="00B50C61">
          <w:rPr>
            <w:webHidden/>
          </w:rPr>
          <w:t>139</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80008" w:history="1">
        <w:r w:rsidR="008A1744" w:rsidRPr="001E72ED">
          <w:rPr>
            <w:rStyle w:val="Hyperlink"/>
          </w:rPr>
          <w:t>FDEP-maintained Ground Water and Springs Monitoring Programs</w:t>
        </w:r>
        <w:r w:rsidR="008A1744">
          <w:rPr>
            <w:webHidden/>
          </w:rPr>
          <w:tab/>
        </w:r>
        <w:r>
          <w:rPr>
            <w:webHidden/>
          </w:rPr>
          <w:fldChar w:fldCharType="begin"/>
        </w:r>
        <w:r w:rsidR="008A1744">
          <w:rPr>
            <w:webHidden/>
          </w:rPr>
          <w:instrText xml:space="preserve"> PAGEREF _Toc271280008 \h </w:instrText>
        </w:r>
        <w:r>
          <w:rPr>
            <w:webHidden/>
          </w:rPr>
        </w:r>
        <w:r>
          <w:rPr>
            <w:webHidden/>
          </w:rPr>
          <w:fldChar w:fldCharType="separate"/>
        </w:r>
        <w:r w:rsidR="00B50C61">
          <w:rPr>
            <w:webHidden/>
          </w:rPr>
          <w:t>140</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80009" w:history="1">
        <w:r w:rsidR="008A1744" w:rsidRPr="001E72ED">
          <w:rPr>
            <w:rStyle w:val="Hyperlink"/>
          </w:rPr>
          <w:t>Potable Water Monitoring by FDOH/FDEP Water Supply Restoration Program</w:t>
        </w:r>
        <w:r w:rsidR="008A1744">
          <w:rPr>
            <w:webHidden/>
          </w:rPr>
          <w:tab/>
        </w:r>
        <w:r>
          <w:rPr>
            <w:webHidden/>
          </w:rPr>
          <w:fldChar w:fldCharType="begin"/>
        </w:r>
        <w:r w:rsidR="008A1744">
          <w:rPr>
            <w:webHidden/>
          </w:rPr>
          <w:instrText xml:space="preserve"> PAGEREF _Toc271280009 \h </w:instrText>
        </w:r>
        <w:r>
          <w:rPr>
            <w:webHidden/>
          </w:rPr>
        </w:r>
        <w:r>
          <w:rPr>
            <w:webHidden/>
          </w:rPr>
          <w:fldChar w:fldCharType="separate"/>
        </w:r>
        <w:r w:rsidR="00B50C61">
          <w:rPr>
            <w:webHidden/>
          </w:rPr>
          <w:t>140</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80010" w:history="1">
        <w:r w:rsidR="008A1744" w:rsidRPr="001E72ED">
          <w:rPr>
            <w:rStyle w:val="Hyperlink"/>
          </w:rPr>
          <w:t>Public Water System Monitoring</w:t>
        </w:r>
        <w:r w:rsidR="008A1744">
          <w:rPr>
            <w:webHidden/>
          </w:rPr>
          <w:tab/>
        </w:r>
        <w:r>
          <w:rPr>
            <w:webHidden/>
          </w:rPr>
          <w:fldChar w:fldCharType="begin"/>
        </w:r>
        <w:r w:rsidR="008A1744">
          <w:rPr>
            <w:webHidden/>
          </w:rPr>
          <w:instrText xml:space="preserve"> PAGEREF _Toc271280010 \h </w:instrText>
        </w:r>
        <w:r>
          <w:rPr>
            <w:webHidden/>
          </w:rPr>
        </w:r>
        <w:r>
          <w:rPr>
            <w:webHidden/>
          </w:rPr>
          <w:fldChar w:fldCharType="separate"/>
        </w:r>
        <w:r w:rsidR="00B50C61">
          <w:rPr>
            <w:webHidden/>
          </w:rPr>
          <w:t>141</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80011" w:history="1">
        <w:r w:rsidR="008A1744" w:rsidRPr="001E72ED">
          <w:rPr>
            <w:rStyle w:val="Hyperlink"/>
          </w:rPr>
          <w:t>Monitoring of Discharges to Ground Water</w:t>
        </w:r>
        <w:r w:rsidR="008A1744">
          <w:rPr>
            <w:webHidden/>
          </w:rPr>
          <w:tab/>
        </w:r>
        <w:r>
          <w:rPr>
            <w:webHidden/>
          </w:rPr>
          <w:fldChar w:fldCharType="begin"/>
        </w:r>
        <w:r w:rsidR="008A1744">
          <w:rPr>
            <w:webHidden/>
          </w:rPr>
          <w:instrText xml:space="preserve"> PAGEREF _Toc271280011 \h </w:instrText>
        </w:r>
        <w:r>
          <w:rPr>
            <w:webHidden/>
          </w:rPr>
        </w:r>
        <w:r>
          <w:rPr>
            <w:webHidden/>
          </w:rPr>
          <w:fldChar w:fldCharType="separate"/>
        </w:r>
        <w:r w:rsidR="00B50C61">
          <w:rPr>
            <w:webHidden/>
          </w:rPr>
          <w:t>142</w:t>
        </w:r>
        <w:r>
          <w:rPr>
            <w:webHidden/>
          </w:rPr>
          <w:fldChar w:fldCharType="end"/>
        </w:r>
      </w:hyperlink>
    </w:p>
    <w:p w:rsidR="008A1744" w:rsidRDefault="00A74EF3">
      <w:pPr>
        <w:pStyle w:val="TOC1"/>
        <w:rPr>
          <w:rFonts w:asciiTheme="minorHAnsi" w:eastAsiaTheme="minorEastAsia" w:hAnsiTheme="minorHAnsi" w:cstheme="minorBidi"/>
          <w:b w:val="0"/>
          <w:bCs w:val="0"/>
          <w:iCs w:val="0"/>
          <w:caps w:val="0"/>
          <w:sz w:val="22"/>
          <w:szCs w:val="22"/>
        </w:rPr>
      </w:pPr>
      <w:hyperlink w:anchor="_Toc271280012" w:history="1">
        <w:r w:rsidR="008A1744" w:rsidRPr="001E72ED">
          <w:rPr>
            <w:rStyle w:val="Hyperlink"/>
          </w:rPr>
          <w:t>Chapter 10:  Results of the Ground Water Assessments</w:t>
        </w:r>
        <w:r w:rsidR="008A1744">
          <w:rPr>
            <w:webHidden/>
          </w:rPr>
          <w:tab/>
        </w:r>
        <w:r>
          <w:rPr>
            <w:webHidden/>
          </w:rPr>
          <w:fldChar w:fldCharType="begin"/>
        </w:r>
        <w:r w:rsidR="008A1744">
          <w:rPr>
            <w:webHidden/>
          </w:rPr>
          <w:instrText xml:space="preserve"> PAGEREF _Toc271280012 \h </w:instrText>
        </w:r>
        <w:r>
          <w:rPr>
            <w:webHidden/>
          </w:rPr>
        </w:r>
        <w:r>
          <w:rPr>
            <w:webHidden/>
          </w:rPr>
          <w:fldChar w:fldCharType="separate"/>
        </w:r>
        <w:r w:rsidR="00B50C61">
          <w:rPr>
            <w:webHidden/>
          </w:rPr>
          <w:t>143</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80013" w:history="1">
        <w:r w:rsidR="008A1744" w:rsidRPr="001E72ED">
          <w:rPr>
            <w:rStyle w:val="Hyperlink"/>
          </w:rPr>
          <w:t>Overall Ground Water Quality</w:t>
        </w:r>
        <w:r w:rsidR="008A1744">
          <w:rPr>
            <w:webHidden/>
          </w:rPr>
          <w:tab/>
        </w:r>
        <w:r>
          <w:rPr>
            <w:webHidden/>
          </w:rPr>
          <w:fldChar w:fldCharType="begin"/>
        </w:r>
        <w:r w:rsidR="008A1744">
          <w:rPr>
            <w:webHidden/>
          </w:rPr>
          <w:instrText xml:space="preserve"> PAGEREF _Toc271280013 \h </w:instrText>
        </w:r>
        <w:r>
          <w:rPr>
            <w:webHidden/>
          </w:rPr>
        </w:r>
        <w:r>
          <w:rPr>
            <w:webHidden/>
          </w:rPr>
          <w:fldChar w:fldCharType="separate"/>
        </w:r>
        <w:r w:rsidR="00B50C61">
          <w:rPr>
            <w:webHidden/>
          </w:rPr>
          <w:t>143</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80014" w:history="1">
        <w:r w:rsidR="008A1744" w:rsidRPr="001E72ED">
          <w:rPr>
            <w:rStyle w:val="Hyperlink"/>
          </w:rPr>
          <w:t>Ground Water Quality Issues and Contaminants of Concern, Including Public Health Issues</w:t>
        </w:r>
        <w:r w:rsidR="008A1744">
          <w:rPr>
            <w:webHidden/>
          </w:rPr>
          <w:tab/>
        </w:r>
        <w:r>
          <w:rPr>
            <w:webHidden/>
          </w:rPr>
          <w:fldChar w:fldCharType="begin"/>
        </w:r>
        <w:r w:rsidR="008A1744">
          <w:rPr>
            <w:webHidden/>
          </w:rPr>
          <w:instrText xml:space="preserve"> PAGEREF _Toc271280014 \h </w:instrText>
        </w:r>
        <w:r>
          <w:rPr>
            <w:webHidden/>
          </w:rPr>
        </w:r>
        <w:r>
          <w:rPr>
            <w:webHidden/>
          </w:rPr>
          <w:fldChar w:fldCharType="separate"/>
        </w:r>
        <w:r w:rsidR="00B50C61">
          <w:rPr>
            <w:webHidden/>
          </w:rPr>
          <w:t>145</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80015" w:history="1">
        <w:r w:rsidR="008A1744" w:rsidRPr="001E72ED">
          <w:rPr>
            <w:rStyle w:val="Hyperlink"/>
          </w:rPr>
          <w:t>Synthetic Organic Chemicals/Pesticides</w:t>
        </w:r>
        <w:r w:rsidR="008A1744">
          <w:rPr>
            <w:webHidden/>
          </w:rPr>
          <w:tab/>
        </w:r>
        <w:r>
          <w:rPr>
            <w:webHidden/>
          </w:rPr>
          <w:fldChar w:fldCharType="begin"/>
        </w:r>
        <w:r w:rsidR="008A1744">
          <w:rPr>
            <w:webHidden/>
          </w:rPr>
          <w:instrText xml:space="preserve"> PAGEREF _Toc271280015 \h </w:instrText>
        </w:r>
        <w:r>
          <w:rPr>
            <w:webHidden/>
          </w:rPr>
        </w:r>
        <w:r>
          <w:rPr>
            <w:webHidden/>
          </w:rPr>
          <w:fldChar w:fldCharType="separate"/>
        </w:r>
        <w:r w:rsidR="00B50C61">
          <w:rPr>
            <w:webHidden/>
          </w:rPr>
          <w:t>150</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80016" w:history="1">
        <w:r w:rsidR="008A1744" w:rsidRPr="001E72ED">
          <w:rPr>
            <w:rStyle w:val="Hyperlink"/>
          </w:rPr>
          <w:t>Nitrate</w:t>
        </w:r>
        <w:r w:rsidR="008A1744">
          <w:rPr>
            <w:webHidden/>
          </w:rPr>
          <w:tab/>
        </w:r>
        <w:r>
          <w:rPr>
            <w:webHidden/>
          </w:rPr>
          <w:fldChar w:fldCharType="begin"/>
        </w:r>
        <w:r w:rsidR="008A1744">
          <w:rPr>
            <w:webHidden/>
          </w:rPr>
          <w:instrText xml:space="preserve"> PAGEREF _Toc271280016 \h </w:instrText>
        </w:r>
        <w:r>
          <w:rPr>
            <w:webHidden/>
          </w:rPr>
        </w:r>
        <w:r>
          <w:rPr>
            <w:webHidden/>
          </w:rPr>
          <w:fldChar w:fldCharType="separate"/>
        </w:r>
        <w:r w:rsidR="00B50C61">
          <w:rPr>
            <w:webHidden/>
          </w:rPr>
          <w:t>151</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80017" w:history="1">
        <w:r w:rsidR="008A1744" w:rsidRPr="001E72ED">
          <w:rPr>
            <w:rStyle w:val="Hyperlink"/>
          </w:rPr>
          <w:t>Primary Metals</w:t>
        </w:r>
        <w:r w:rsidR="008A1744">
          <w:rPr>
            <w:webHidden/>
          </w:rPr>
          <w:tab/>
        </w:r>
        <w:r>
          <w:rPr>
            <w:webHidden/>
          </w:rPr>
          <w:fldChar w:fldCharType="begin"/>
        </w:r>
        <w:r w:rsidR="008A1744">
          <w:rPr>
            <w:webHidden/>
          </w:rPr>
          <w:instrText xml:space="preserve"> PAGEREF _Toc271280017 \h </w:instrText>
        </w:r>
        <w:r>
          <w:rPr>
            <w:webHidden/>
          </w:rPr>
        </w:r>
        <w:r>
          <w:rPr>
            <w:webHidden/>
          </w:rPr>
          <w:fldChar w:fldCharType="separate"/>
        </w:r>
        <w:r w:rsidR="00B50C61">
          <w:rPr>
            <w:webHidden/>
          </w:rPr>
          <w:t>151</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80018" w:history="1">
        <w:r w:rsidR="008A1744" w:rsidRPr="001E72ED">
          <w:rPr>
            <w:rStyle w:val="Hyperlink"/>
          </w:rPr>
          <w:t>Saline Water</w:t>
        </w:r>
        <w:r w:rsidR="008A1744">
          <w:rPr>
            <w:webHidden/>
          </w:rPr>
          <w:tab/>
        </w:r>
        <w:r>
          <w:rPr>
            <w:webHidden/>
          </w:rPr>
          <w:fldChar w:fldCharType="begin"/>
        </w:r>
        <w:r w:rsidR="008A1744">
          <w:rPr>
            <w:webHidden/>
          </w:rPr>
          <w:instrText xml:space="preserve"> PAGEREF _Toc271280018 \h </w:instrText>
        </w:r>
        <w:r>
          <w:rPr>
            <w:webHidden/>
          </w:rPr>
        </w:r>
        <w:r>
          <w:rPr>
            <w:webHidden/>
          </w:rPr>
          <w:fldChar w:fldCharType="separate"/>
        </w:r>
        <w:r w:rsidR="00B50C61">
          <w:rPr>
            <w:webHidden/>
          </w:rPr>
          <w:t>152</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80019" w:history="1">
        <w:r w:rsidR="008A1744" w:rsidRPr="001E72ED">
          <w:rPr>
            <w:rStyle w:val="Hyperlink"/>
          </w:rPr>
          <w:t>Radionuclides</w:t>
        </w:r>
        <w:r w:rsidR="008A1744">
          <w:rPr>
            <w:webHidden/>
          </w:rPr>
          <w:tab/>
        </w:r>
        <w:r>
          <w:rPr>
            <w:webHidden/>
          </w:rPr>
          <w:fldChar w:fldCharType="begin"/>
        </w:r>
        <w:r w:rsidR="008A1744">
          <w:rPr>
            <w:webHidden/>
          </w:rPr>
          <w:instrText xml:space="preserve"> PAGEREF _Toc271280019 \h </w:instrText>
        </w:r>
        <w:r>
          <w:rPr>
            <w:webHidden/>
          </w:rPr>
        </w:r>
        <w:r>
          <w:rPr>
            <w:webHidden/>
          </w:rPr>
          <w:fldChar w:fldCharType="separate"/>
        </w:r>
        <w:r w:rsidR="00B50C61">
          <w:rPr>
            <w:webHidden/>
          </w:rPr>
          <w:t>153</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80020" w:history="1">
        <w:r w:rsidR="008A1744" w:rsidRPr="001E72ED">
          <w:rPr>
            <w:rStyle w:val="Hyperlink"/>
          </w:rPr>
          <w:t>Trihalomethanes</w:t>
        </w:r>
        <w:r w:rsidR="008A1744">
          <w:rPr>
            <w:webHidden/>
          </w:rPr>
          <w:tab/>
        </w:r>
        <w:r>
          <w:rPr>
            <w:webHidden/>
          </w:rPr>
          <w:fldChar w:fldCharType="begin"/>
        </w:r>
        <w:r w:rsidR="008A1744">
          <w:rPr>
            <w:webHidden/>
          </w:rPr>
          <w:instrText xml:space="preserve"> PAGEREF _Toc271280020 \h </w:instrText>
        </w:r>
        <w:r>
          <w:rPr>
            <w:webHidden/>
          </w:rPr>
        </w:r>
        <w:r>
          <w:rPr>
            <w:webHidden/>
          </w:rPr>
          <w:fldChar w:fldCharType="separate"/>
        </w:r>
        <w:r w:rsidR="00B50C61">
          <w:rPr>
            <w:webHidden/>
          </w:rPr>
          <w:t>153</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80021" w:history="1">
        <w:r w:rsidR="008A1744" w:rsidRPr="001E72ED">
          <w:rPr>
            <w:rStyle w:val="Hyperlink"/>
          </w:rPr>
          <w:t>Bacteria (Coliform)</w:t>
        </w:r>
        <w:r w:rsidR="008A1744">
          <w:rPr>
            <w:webHidden/>
          </w:rPr>
          <w:tab/>
        </w:r>
        <w:r>
          <w:rPr>
            <w:webHidden/>
          </w:rPr>
          <w:fldChar w:fldCharType="begin"/>
        </w:r>
        <w:r w:rsidR="008A1744">
          <w:rPr>
            <w:webHidden/>
          </w:rPr>
          <w:instrText xml:space="preserve"> PAGEREF _Toc271280021 \h </w:instrText>
        </w:r>
        <w:r>
          <w:rPr>
            <w:webHidden/>
          </w:rPr>
        </w:r>
        <w:r>
          <w:rPr>
            <w:webHidden/>
          </w:rPr>
          <w:fldChar w:fldCharType="separate"/>
        </w:r>
        <w:r w:rsidR="00B50C61">
          <w:rPr>
            <w:webHidden/>
          </w:rPr>
          <w:t>153</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80022" w:history="1">
        <w:r w:rsidR="008A1744" w:rsidRPr="001E72ED">
          <w:rPr>
            <w:rStyle w:val="Hyperlink"/>
          </w:rPr>
          <w:t>Summary of Ground Water Contaminant Sources</w:t>
        </w:r>
        <w:r w:rsidR="008A1744">
          <w:rPr>
            <w:webHidden/>
          </w:rPr>
          <w:tab/>
        </w:r>
        <w:r>
          <w:rPr>
            <w:webHidden/>
          </w:rPr>
          <w:fldChar w:fldCharType="begin"/>
        </w:r>
        <w:r w:rsidR="008A1744">
          <w:rPr>
            <w:webHidden/>
          </w:rPr>
          <w:instrText xml:space="preserve"> PAGEREF _Toc271280022 \h </w:instrText>
        </w:r>
        <w:r>
          <w:rPr>
            <w:webHidden/>
          </w:rPr>
        </w:r>
        <w:r>
          <w:rPr>
            <w:webHidden/>
          </w:rPr>
          <w:fldChar w:fldCharType="separate"/>
        </w:r>
        <w:r w:rsidR="00B50C61">
          <w:rPr>
            <w:webHidden/>
          </w:rPr>
          <w:t>154</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80023" w:history="1">
        <w:r w:rsidR="008A1744" w:rsidRPr="001E72ED">
          <w:rPr>
            <w:rStyle w:val="Hyperlink"/>
          </w:rPr>
          <w:t>Petroleum Facilities</w:t>
        </w:r>
        <w:r w:rsidR="008A1744">
          <w:rPr>
            <w:webHidden/>
          </w:rPr>
          <w:tab/>
        </w:r>
        <w:r>
          <w:rPr>
            <w:webHidden/>
          </w:rPr>
          <w:fldChar w:fldCharType="begin"/>
        </w:r>
        <w:r w:rsidR="008A1744">
          <w:rPr>
            <w:webHidden/>
          </w:rPr>
          <w:instrText xml:space="preserve"> PAGEREF _Toc271280023 \h </w:instrText>
        </w:r>
        <w:r>
          <w:rPr>
            <w:webHidden/>
          </w:rPr>
        </w:r>
        <w:r>
          <w:rPr>
            <w:webHidden/>
          </w:rPr>
          <w:fldChar w:fldCharType="separate"/>
        </w:r>
        <w:r w:rsidR="00B50C61">
          <w:rPr>
            <w:webHidden/>
          </w:rPr>
          <w:t>154</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80024" w:history="1">
        <w:r w:rsidR="008A1744" w:rsidRPr="001E72ED">
          <w:rPr>
            <w:rStyle w:val="Hyperlink"/>
          </w:rPr>
          <w:t>Drycleaning Solvent Facilities</w:t>
        </w:r>
        <w:r w:rsidR="008A1744">
          <w:rPr>
            <w:webHidden/>
          </w:rPr>
          <w:tab/>
        </w:r>
        <w:r>
          <w:rPr>
            <w:webHidden/>
          </w:rPr>
          <w:fldChar w:fldCharType="begin"/>
        </w:r>
        <w:r w:rsidR="008A1744">
          <w:rPr>
            <w:webHidden/>
          </w:rPr>
          <w:instrText xml:space="preserve"> PAGEREF _Toc271280024 \h </w:instrText>
        </w:r>
        <w:r>
          <w:rPr>
            <w:webHidden/>
          </w:rPr>
        </w:r>
        <w:r>
          <w:rPr>
            <w:webHidden/>
          </w:rPr>
          <w:fldChar w:fldCharType="separate"/>
        </w:r>
        <w:r w:rsidR="00B50C61">
          <w:rPr>
            <w:webHidden/>
          </w:rPr>
          <w:t>154</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80025" w:history="1">
        <w:r w:rsidR="008A1744" w:rsidRPr="001E72ED">
          <w:rPr>
            <w:rStyle w:val="Hyperlink"/>
          </w:rPr>
          <w:t>Federal and State Waste Cleanup and Monitoring Sites</w:t>
        </w:r>
        <w:r w:rsidR="008A1744">
          <w:rPr>
            <w:webHidden/>
          </w:rPr>
          <w:tab/>
        </w:r>
        <w:r>
          <w:rPr>
            <w:webHidden/>
          </w:rPr>
          <w:fldChar w:fldCharType="begin"/>
        </w:r>
        <w:r w:rsidR="008A1744">
          <w:rPr>
            <w:webHidden/>
          </w:rPr>
          <w:instrText xml:space="preserve"> PAGEREF _Toc271280025 \h </w:instrText>
        </w:r>
        <w:r>
          <w:rPr>
            <w:webHidden/>
          </w:rPr>
        </w:r>
        <w:r>
          <w:rPr>
            <w:webHidden/>
          </w:rPr>
          <w:fldChar w:fldCharType="separate"/>
        </w:r>
        <w:r w:rsidR="00B50C61">
          <w:rPr>
            <w:webHidden/>
          </w:rPr>
          <w:t>155</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80026" w:history="1">
        <w:r w:rsidR="008A1744" w:rsidRPr="001E72ED">
          <w:rPr>
            <w:rStyle w:val="Hyperlink"/>
          </w:rPr>
          <w:t>Nonpoint Sources</w:t>
        </w:r>
        <w:r w:rsidR="008A1744">
          <w:rPr>
            <w:webHidden/>
          </w:rPr>
          <w:tab/>
        </w:r>
        <w:r>
          <w:rPr>
            <w:webHidden/>
          </w:rPr>
          <w:fldChar w:fldCharType="begin"/>
        </w:r>
        <w:r w:rsidR="008A1744">
          <w:rPr>
            <w:webHidden/>
          </w:rPr>
          <w:instrText xml:space="preserve"> PAGEREF _Toc271280026 \h </w:instrText>
        </w:r>
        <w:r>
          <w:rPr>
            <w:webHidden/>
          </w:rPr>
        </w:r>
        <w:r>
          <w:rPr>
            <w:webHidden/>
          </w:rPr>
          <w:fldChar w:fldCharType="separate"/>
        </w:r>
        <w:r w:rsidR="00B50C61">
          <w:rPr>
            <w:webHidden/>
          </w:rPr>
          <w:t>155</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80027" w:history="1">
        <w:r w:rsidR="008A1744" w:rsidRPr="001E72ED">
          <w:rPr>
            <w:rStyle w:val="Hyperlink"/>
          </w:rPr>
          <w:t>Ground Water–Surface Water Interaction</w:t>
        </w:r>
        <w:r w:rsidR="008A1744">
          <w:rPr>
            <w:webHidden/>
          </w:rPr>
          <w:tab/>
        </w:r>
        <w:r>
          <w:rPr>
            <w:webHidden/>
          </w:rPr>
          <w:fldChar w:fldCharType="begin"/>
        </w:r>
        <w:r w:rsidR="008A1744">
          <w:rPr>
            <w:webHidden/>
          </w:rPr>
          <w:instrText xml:space="preserve"> PAGEREF _Toc271280027 \h </w:instrText>
        </w:r>
        <w:r>
          <w:rPr>
            <w:webHidden/>
          </w:rPr>
        </w:r>
        <w:r>
          <w:rPr>
            <w:webHidden/>
          </w:rPr>
          <w:fldChar w:fldCharType="separate"/>
        </w:r>
        <w:r w:rsidR="00B50C61">
          <w:rPr>
            <w:webHidden/>
          </w:rPr>
          <w:t>155</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80028" w:history="1">
        <w:r w:rsidR="008A1744" w:rsidRPr="001E72ED">
          <w:rPr>
            <w:rStyle w:val="Hyperlink"/>
          </w:rPr>
          <w:t>Setting and Pathways</w:t>
        </w:r>
        <w:r w:rsidR="008A1744">
          <w:rPr>
            <w:webHidden/>
          </w:rPr>
          <w:tab/>
        </w:r>
        <w:r>
          <w:rPr>
            <w:webHidden/>
          </w:rPr>
          <w:fldChar w:fldCharType="begin"/>
        </w:r>
        <w:r w:rsidR="008A1744">
          <w:rPr>
            <w:webHidden/>
          </w:rPr>
          <w:instrText xml:space="preserve"> PAGEREF _Toc271280028 \h </w:instrText>
        </w:r>
        <w:r>
          <w:rPr>
            <w:webHidden/>
          </w:rPr>
        </w:r>
        <w:r>
          <w:rPr>
            <w:webHidden/>
          </w:rPr>
          <w:fldChar w:fldCharType="separate"/>
        </w:r>
        <w:r w:rsidR="00B50C61">
          <w:rPr>
            <w:webHidden/>
          </w:rPr>
          <w:t>155</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80029" w:history="1">
        <w:r w:rsidR="008A1744" w:rsidRPr="001E72ED">
          <w:rPr>
            <w:rStyle w:val="Hyperlink"/>
          </w:rPr>
          <w:t>Ground Water Influence on Impaired Surface Waters</w:t>
        </w:r>
        <w:r w:rsidR="008A1744">
          <w:rPr>
            <w:webHidden/>
          </w:rPr>
          <w:tab/>
        </w:r>
        <w:r>
          <w:rPr>
            <w:webHidden/>
          </w:rPr>
          <w:fldChar w:fldCharType="begin"/>
        </w:r>
        <w:r w:rsidR="008A1744">
          <w:rPr>
            <w:webHidden/>
          </w:rPr>
          <w:instrText xml:space="preserve"> PAGEREF _Toc271280029 \h </w:instrText>
        </w:r>
        <w:r>
          <w:rPr>
            <w:webHidden/>
          </w:rPr>
        </w:r>
        <w:r>
          <w:rPr>
            <w:webHidden/>
          </w:rPr>
          <w:fldChar w:fldCharType="separate"/>
        </w:r>
        <w:r w:rsidR="00B50C61">
          <w:rPr>
            <w:webHidden/>
          </w:rPr>
          <w:t>156</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80030" w:history="1">
        <w:r w:rsidR="008A1744" w:rsidRPr="001E72ED">
          <w:rPr>
            <w:rStyle w:val="Hyperlink"/>
          </w:rPr>
          <w:t>Springs and Spring-related Issues</w:t>
        </w:r>
        <w:r w:rsidR="008A1744">
          <w:rPr>
            <w:webHidden/>
          </w:rPr>
          <w:tab/>
        </w:r>
        <w:r>
          <w:rPr>
            <w:webHidden/>
          </w:rPr>
          <w:fldChar w:fldCharType="begin"/>
        </w:r>
        <w:r w:rsidR="008A1744">
          <w:rPr>
            <w:webHidden/>
          </w:rPr>
          <w:instrText xml:space="preserve"> PAGEREF _Toc271280030 \h </w:instrText>
        </w:r>
        <w:r>
          <w:rPr>
            <w:webHidden/>
          </w:rPr>
        </w:r>
        <w:r>
          <w:rPr>
            <w:webHidden/>
          </w:rPr>
          <w:fldChar w:fldCharType="separate"/>
        </w:r>
        <w:r w:rsidR="00B50C61">
          <w:rPr>
            <w:webHidden/>
          </w:rPr>
          <w:t>156</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80031" w:history="1">
        <w:r w:rsidR="008A1744" w:rsidRPr="001E72ED">
          <w:rPr>
            <w:rStyle w:val="Hyperlink"/>
          </w:rPr>
          <w:t>Phosphorus</w:t>
        </w:r>
        <w:r w:rsidR="008A1744">
          <w:rPr>
            <w:webHidden/>
          </w:rPr>
          <w:tab/>
        </w:r>
        <w:r>
          <w:rPr>
            <w:webHidden/>
          </w:rPr>
          <w:fldChar w:fldCharType="begin"/>
        </w:r>
        <w:r w:rsidR="008A1744">
          <w:rPr>
            <w:webHidden/>
          </w:rPr>
          <w:instrText xml:space="preserve"> PAGEREF _Toc271280031 \h </w:instrText>
        </w:r>
        <w:r>
          <w:rPr>
            <w:webHidden/>
          </w:rPr>
        </w:r>
        <w:r>
          <w:rPr>
            <w:webHidden/>
          </w:rPr>
          <w:fldChar w:fldCharType="separate"/>
        </w:r>
        <w:r w:rsidR="00B50C61">
          <w:rPr>
            <w:webHidden/>
          </w:rPr>
          <w:t>158</w:t>
        </w:r>
        <w:r>
          <w:rPr>
            <w:webHidden/>
          </w:rPr>
          <w:fldChar w:fldCharType="end"/>
        </w:r>
      </w:hyperlink>
    </w:p>
    <w:p w:rsidR="008A1744" w:rsidRDefault="00A74EF3">
      <w:pPr>
        <w:pStyle w:val="TOC1"/>
        <w:rPr>
          <w:rFonts w:asciiTheme="minorHAnsi" w:eastAsiaTheme="minorEastAsia" w:hAnsiTheme="minorHAnsi" w:cstheme="minorBidi"/>
          <w:b w:val="0"/>
          <w:bCs w:val="0"/>
          <w:iCs w:val="0"/>
          <w:caps w:val="0"/>
          <w:sz w:val="22"/>
          <w:szCs w:val="22"/>
        </w:rPr>
      </w:pPr>
      <w:hyperlink w:anchor="_Toc271280032" w:history="1">
        <w:r w:rsidR="008A1744" w:rsidRPr="001E72ED">
          <w:rPr>
            <w:rStyle w:val="Hyperlink"/>
          </w:rPr>
          <w:t>Chapter 11:  Water Protection and Restoration Programs</w:t>
        </w:r>
        <w:r w:rsidR="008A1744">
          <w:rPr>
            <w:webHidden/>
          </w:rPr>
          <w:tab/>
        </w:r>
        <w:r>
          <w:rPr>
            <w:webHidden/>
          </w:rPr>
          <w:fldChar w:fldCharType="begin"/>
        </w:r>
        <w:r w:rsidR="008A1744">
          <w:rPr>
            <w:webHidden/>
          </w:rPr>
          <w:instrText xml:space="preserve"> PAGEREF _Toc271280032 \h </w:instrText>
        </w:r>
        <w:r>
          <w:rPr>
            <w:webHidden/>
          </w:rPr>
        </w:r>
        <w:r>
          <w:rPr>
            <w:webHidden/>
          </w:rPr>
          <w:fldChar w:fldCharType="separate"/>
        </w:r>
        <w:r w:rsidR="00B50C61">
          <w:rPr>
            <w:webHidden/>
          </w:rPr>
          <w:t>161</w:t>
        </w:r>
        <w:r>
          <w:rPr>
            <w:webHidden/>
          </w:rPr>
          <w:fldChar w:fldCharType="end"/>
        </w:r>
      </w:hyperlink>
    </w:p>
    <w:p w:rsidR="008A1744" w:rsidRDefault="00A74EF3">
      <w:pPr>
        <w:pStyle w:val="TOC2"/>
        <w:rPr>
          <w:rFonts w:asciiTheme="minorHAnsi" w:eastAsiaTheme="minorEastAsia" w:hAnsiTheme="minorHAnsi" w:cstheme="minorBidi"/>
          <w:b w:val="0"/>
          <w:sz w:val="22"/>
          <w:szCs w:val="22"/>
        </w:rPr>
      </w:pPr>
      <w:hyperlink w:anchor="_Toc271280033" w:history="1">
        <w:r w:rsidR="008A1744" w:rsidRPr="001E72ED">
          <w:rPr>
            <w:rStyle w:val="Hyperlink"/>
          </w:rPr>
          <w:t>Florida’s Water Resource Management Programs</w:t>
        </w:r>
        <w:r w:rsidR="008A1744">
          <w:rPr>
            <w:webHidden/>
          </w:rPr>
          <w:tab/>
        </w:r>
        <w:r>
          <w:rPr>
            <w:webHidden/>
          </w:rPr>
          <w:fldChar w:fldCharType="begin"/>
        </w:r>
        <w:r w:rsidR="008A1744">
          <w:rPr>
            <w:webHidden/>
          </w:rPr>
          <w:instrText xml:space="preserve"> PAGEREF _Toc271280033 \h </w:instrText>
        </w:r>
        <w:r>
          <w:rPr>
            <w:webHidden/>
          </w:rPr>
        </w:r>
        <w:r>
          <w:rPr>
            <w:webHidden/>
          </w:rPr>
          <w:fldChar w:fldCharType="separate"/>
        </w:r>
        <w:r w:rsidR="00B50C61">
          <w:rPr>
            <w:webHidden/>
          </w:rPr>
          <w:t>161</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80034" w:history="1">
        <w:r w:rsidR="008A1744" w:rsidRPr="001E72ED">
          <w:rPr>
            <w:rStyle w:val="Hyperlink"/>
          </w:rPr>
          <w:t>Overview of Surface Water Monitoring Programs</w:t>
        </w:r>
        <w:r w:rsidR="008A1744">
          <w:rPr>
            <w:webHidden/>
          </w:rPr>
          <w:tab/>
        </w:r>
        <w:r>
          <w:rPr>
            <w:webHidden/>
          </w:rPr>
          <w:fldChar w:fldCharType="begin"/>
        </w:r>
        <w:r w:rsidR="008A1744">
          <w:rPr>
            <w:webHidden/>
          </w:rPr>
          <w:instrText xml:space="preserve"> PAGEREF _Toc271280034 \h </w:instrText>
        </w:r>
        <w:r>
          <w:rPr>
            <w:webHidden/>
          </w:rPr>
        </w:r>
        <w:r>
          <w:rPr>
            <w:webHidden/>
          </w:rPr>
          <w:fldChar w:fldCharType="separate"/>
        </w:r>
        <w:r w:rsidR="00B50C61">
          <w:rPr>
            <w:webHidden/>
          </w:rPr>
          <w:t>162</w:t>
        </w:r>
        <w:r>
          <w:rPr>
            <w:webHidden/>
          </w:rPr>
          <w:fldChar w:fldCharType="end"/>
        </w:r>
      </w:hyperlink>
    </w:p>
    <w:p w:rsidR="008A1744" w:rsidRDefault="00A74EF3">
      <w:pPr>
        <w:pStyle w:val="TOC3"/>
        <w:rPr>
          <w:rFonts w:asciiTheme="minorHAnsi" w:eastAsiaTheme="minorEastAsia" w:hAnsiTheme="minorHAnsi" w:cstheme="minorBidi"/>
          <w:b w:val="0"/>
          <w:i w:val="0"/>
          <w:sz w:val="22"/>
          <w:szCs w:val="22"/>
        </w:rPr>
      </w:pPr>
      <w:hyperlink w:anchor="_Toc271280035" w:history="1">
        <w:r w:rsidR="008A1744" w:rsidRPr="001E72ED">
          <w:rPr>
            <w:rStyle w:val="Hyperlink"/>
          </w:rPr>
          <w:t>Overview of Surface Water Protection Programs</w:t>
        </w:r>
        <w:r w:rsidR="008A1744">
          <w:rPr>
            <w:webHidden/>
          </w:rPr>
          <w:tab/>
        </w:r>
        <w:r>
          <w:rPr>
            <w:webHidden/>
          </w:rPr>
          <w:fldChar w:fldCharType="begin"/>
        </w:r>
        <w:r w:rsidR="008A1744">
          <w:rPr>
            <w:webHidden/>
          </w:rPr>
          <w:instrText xml:space="preserve"> PAGEREF _Toc271280035 \h </w:instrText>
        </w:r>
        <w:r>
          <w:rPr>
            <w:webHidden/>
          </w:rPr>
        </w:r>
        <w:r>
          <w:rPr>
            <w:webHidden/>
          </w:rPr>
          <w:fldChar w:fldCharType="separate"/>
        </w:r>
        <w:r w:rsidR="00B50C61">
          <w:rPr>
            <w:webHidden/>
          </w:rPr>
          <w:t>163</w:t>
        </w:r>
        <w:r>
          <w:rPr>
            <w:webHidden/>
          </w:rPr>
          <w:fldChar w:fldCharType="end"/>
        </w:r>
      </w:hyperlink>
    </w:p>
    <w:p w:rsidR="008A1744" w:rsidRDefault="00A74EF3">
      <w:pPr>
        <w:pStyle w:val="TOC1"/>
        <w:rPr>
          <w:rFonts w:asciiTheme="minorHAnsi" w:eastAsiaTheme="minorEastAsia" w:hAnsiTheme="minorHAnsi" w:cstheme="minorBidi"/>
          <w:b w:val="0"/>
          <w:bCs w:val="0"/>
          <w:iCs w:val="0"/>
          <w:caps w:val="0"/>
          <w:sz w:val="22"/>
          <w:szCs w:val="22"/>
        </w:rPr>
      </w:pPr>
      <w:hyperlink w:anchor="_Toc271280036" w:history="1">
        <w:r w:rsidR="008A1744" w:rsidRPr="001E72ED">
          <w:rPr>
            <w:rStyle w:val="Hyperlink"/>
          </w:rPr>
          <w:t>References</w:t>
        </w:r>
        <w:r w:rsidR="008A1744">
          <w:rPr>
            <w:webHidden/>
          </w:rPr>
          <w:tab/>
        </w:r>
        <w:r>
          <w:rPr>
            <w:webHidden/>
          </w:rPr>
          <w:fldChar w:fldCharType="begin"/>
        </w:r>
        <w:r w:rsidR="008A1744">
          <w:rPr>
            <w:webHidden/>
          </w:rPr>
          <w:instrText xml:space="preserve"> PAGEREF _Toc271280036 \h </w:instrText>
        </w:r>
        <w:r>
          <w:rPr>
            <w:webHidden/>
          </w:rPr>
        </w:r>
        <w:r>
          <w:rPr>
            <w:webHidden/>
          </w:rPr>
          <w:fldChar w:fldCharType="separate"/>
        </w:r>
        <w:r w:rsidR="00B50C61">
          <w:rPr>
            <w:webHidden/>
          </w:rPr>
          <w:t>191</w:t>
        </w:r>
        <w:r>
          <w:rPr>
            <w:webHidden/>
          </w:rPr>
          <w:fldChar w:fldCharType="end"/>
        </w:r>
      </w:hyperlink>
    </w:p>
    <w:p w:rsidR="00485094" w:rsidRPr="003A4461" w:rsidRDefault="00A74EF3" w:rsidP="00C33E69">
      <w:pPr>
        <w:pStyle w:val="Bodytextreduced"/>
      </w:pPr>
      <w:r>
        <w:rPr>
          <w:rFonts w:cs="Arial"/>
          <w:i/>
          <w:sz w:val="22"/>
          <w:szCs w:val="22"/>
        </w:rPr>
        <w:fldChar w:fldCharType="end"/>
      </w:r>
    </w:p>
    <w:p w:rsidR="00485094" w:rsidRPr="003E1F65" w:rsidRDefault="00485094" w:rsidP="001C760A">
      <w:pPr>
        <w:pStyle w:val="BlockText"/>
        <w:jc w:val="center"/>
        <w:rPr>
          <w:rFonts w:ascii="Arial" w:hAnsi="Arial" w:cs="Arial"/>
          <w:b/>
          <w:sz w:val="28"/>
          <w:szCs w:val="28"/>
        </w:rPr>
      </w:pPr>
      <w:r w:rsidRPr="003E1F65">
        <w:rPr>
          <w:rFonts w:ascii="Arial" w:hAnsi="Arial" w:cs="Arial"/>
          <w:b/>
          <w:sz w:val="28"/>
          <w:szCs w:val="28"/>
        </w:rPr>
        <w:t>List of Tables</w:t>
      </w:r>
    </w:p>
    <w:p w:rsidR="00485094" w:rsidRPr="003A4461" w:rsidRDefault="00485094" w:rsidP="00A553DE">
      <w:pPr>
        <w:pStyle w:val="Bodytextreduced"/>
      </w:pPr>
    </w:p>
    <w:p w:rsidR="008A1744" w:rsidRDefault="00A74EF3">
      <w:pPr>
        <w:pStyle w:val="TableofFigures"/>
        <w:rPr>
          <w:rFonts w:asciiTheme="minorHAnsi" w:eastAsiaTheme="minorEastAsia" w:hAnsiTheme="minorHAnsi" w:cstheme="minorBidi"/>
          <w:b w:val="0"/>
          <w:bCs w:val="0"/>
          <w:i w:val="0"/>
        </w:rPr>
      </w:pPr>
      <w:r w:rsidRPr="00A74EF3">
        <w:rPr>
          <w:rFonts w:cs="Arial"/>
        </w:rPr>
        <w:fldChar w:fldCharType="begin"/>
      </w:r>
      <w:r w:rsidR="00485094">
        <w:rPr>
          <w:rFonts w:cs="Arial"/>
        </w:rPr>
        <w:instrText xml:space="preserve"> TOC \h \z \t "Table heading" \c </w:instrText>
      </w:r>
      <w:r w:rsidRPr="00A74EF3">
        <w:rPr>
          <w:rFonts w:cs="Arial"/>
        </w:rPr>
        <w:fldChar w:fldCharType="separate"/>
      </w:r>
      <w:hyperlink w:anchor="_Toc271280066" w:history="1">
        <w:r w:rsidR="008A1744" w:rsidRPr="00B60CC4">
          <w:rPr>
            <w:rStyle w:val="Hyperlink"/>
          </w:rPr>
          <w:t>Table 2.1.  Florida Atlas</w:t>
        </w:r>
        <w:r w:rsidR="008A1744">
          <w:rPr>
            <w:webHidden/>
          </w:rPr>
          <w:tab/>
        </w:r>
        <w:r>
          <w:rPr>
            <w:webHidden/>
          </w:rPr>
          <w:fldChar w:fldCharType="begin"/>
        </w:r>
        <w:r w:rsidR="008A1744">
          <w:rPr>
            <w:webHidden/>
          </w:rPr>
          <w:instrText xml:space="preserve"> PAGEREF _Toc271280066 \h </w:instrText>
        </w:r>
        <w:r>
          <w:rPr>
            <w:webHidden/>
          </w:rPr>
        </w:r>
        <w:r>
          <w:rPr>
            <w:webHidden/>
          </w:rPr>
          <w:fldChar w:fldCharType="separate"/>
        </w:r>
        <w:r w:rsidR="00B50C61">
          <w:rPr>
            <w:webHidden/>
          </w:rPr>
          <w:t>6</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067" w:history="1">
        <w:r w:rsidR="008A1744" w:rsidRPr="00B60CC4">
          <w:rPr>
            <w:rStyle w:val="Hyperlink"/>
          </w:rPr>
          <w:t>Table 4.1a.  FDEP's Tier I Monitoring Programs</w:t>
        </w:r>
        <w:r w:rsidR="008A1744">
          <w:rPr>
            <w:webHidden/>
          </w:rPr>
          <w:tab/>
        </w:r>
        <w:r>
          <w:rPr>
            <w:webHidden/>
          </w:rPr>
          <w:fldChar w:fldCharType="begin"/>
        </w:r>
        <w:r w:rsidR="008A1744">
          <w:rPr>
            <w:webHidden/>
          </w:rPr>
          <w:instrText xml:space="preserve"> PAGEREF _Toc271280067 \h </w:instrText>
        </w:r>
        <w:r>
          <w:rPr>
            <w:webHidden/>
          </w:rPr>
        </w:r>
        <w:r>
          <w:rPr>
            <w:webHidden/>
          </w:rPr>
          <w:fldChar w:fldCharType="separate"/>
        </w:r>
        <w:r w:rsidR="00B50C61">
          <w:rPr>
            <w:webHidden/>
          </w:rPr>
          <w:t>34</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068" w:history="1">
        <w:r w:rsidR="008A1744" w:rsidRPr="00B60CC4">
          <w:rPr>
            <w:rStyle w:val="Hyperlink"/>
          </w:rPr>
          <w:t>Table 4.1b.  FDEP's Tier I and Tier II Blended Monitoring Programs</w:t>
        </w:r>
        <w:r w:rsidR="008A1744">
          <w:rPr>
            <w:webHidden/>
          </w:rPr>
          <w:tab/>
        </w:r>
        <w:r>
          <w:rPr>
            <w:webHidden/>
          </w:rPr>
          <w:fldChar w:fldCharType="begin"/>
        </w:r>
        <w:r w:rsidR="008A1744">
          <w:rPr>
            <w:webHidden/>
          </w:rPr>
          <w:instrText xml:space="preserve"> PAGEREF _Toc271280068 \h </w:instrText>
        </w:r>
        <w:r>
          <w:rPr>
            <w:webHidden/>
          </w:rPr>
        </w:r>
        <w:r>
          <w:rPr>
            <w:webHidden/>
          </w:rPr>
          <w:fldChar w:fldCharType="separate"/>
        </w:r>
        <w:r w:rsidR="00B50C61">
          <w:rPr>
            <w:webHidden/>
          </w:rPr>
          <w:t>34</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069" w:history="1">
        <w:r w:rsidR="008A1744" w:rsidRPr="00B60CC4">
          <w:rPr>
            <w:rStyle w:val="Hyperlink"/>
          </w:rPr>
          <w:t>Table 4.1c.  FDEP's Tier II Monitoring Programs</w:t>
        </w:r>
        <w:r w:rsidR="008A1744">
          <w:rPr>
            <w:webHidden/>
          </w:rPr>
          <w:tab/>
        </w:r>
        <w:r>
          <w:rPr>
            <w:webHidden/>
          </w:rPr>
          <w:fldChar w:fldCharType="begin"/>
        </w:r>
        <w:r w:rsidR="008A1744">
          <w:rPr>
            <w:webHidden/>
          </w:rPr>
          <w:instrText xml:space="preserve"> PAGEREF _Toc271280069 \h </w:instrText>
        </w:r>
        <w:r>
          <w:rPr>
            <w:webHidden/>
          </w:rPr>
        </w:r>
        <w:r>
          <w:rPr>
            <w:webHidden/>
          </w:rPr>
          <w:fldChar w:fldCharType="separate"/>
        </w:r>
        <w:r w:rsidR="00B50C61">
          <w:rPr>
            <w:webHidden/>
          </w:rPr>
          <w:t>34</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070" w:history="1">
        <w:r w:rsidR="008A1744" w:rsidRPr="00B60CC4">
          <w:rPr>
            <w:rStyle w:val="Hyperlink"/>
          </w:rPr>
          <w:t>Table 4.1d.  FDEP's Tier III Monitoring Programs</w:t>
        </w:r>
        <w:r w:rsidR="008A1744">
          <w:rPr>
            <w:webHidden/>
          </w:rPr>
          <w:tab/>
        </w:r>
        <w:r>
          <w:rPr>
            <w:webHidden/>
          </w:rPr>
          <w:fldChar w:fldCharType="begin"/>
        </w:r>
        <w:r w:rsidR="008A1744">
          <w:rPr>
            <w:webHidden/>
          </w:rPr>
          <w:instrText xml:space="preserve"> PAGEREF _Toc271280070 \h </w:instrText>
        </w:r>
        <w:r>
          <w:rPr>
            <w:webHidden/>
          </w:rPr>
        </w:r>
        <w:r>
          <w:rPr>
            <w:webHidden/>
          </w:rPr>
          <w:fldChar w:fldCharType="separate"/>
        </w:r>
        <w:r w:rsidR="00B50C61">
          <w:rPr>
            <w:webHidden/>
          </w:rPr>
          <w:t>34</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071" w:history="1">
        <w:r w:rsidR="008A1744" w:rsidRPr="00B60CC4">
          <w:rPr>
            <w:rStyle w:val="Hyperlink"/>
          </w:rPr>
          <w:t>Table 5.1.  Basin Groups for Implementing the 2004–08 Statewide Assessment</w:t>
        </w:r>
        <w:r w:rsidR="008A1744">
          <w:rPr>
            <w:webHidden/>
          </w:rPr>
          <w:tab/>
        </w:r>
        <w:r>
          <w:rPr>
            <w:webHidden/>
          </w:rPr>
          <w:fldChar w:fldCharType="begin"/>
        </w:r>
        <w:r w:rsidR="008A1744">
          <w:rPr>
            <w:webHidden/>
          </w:rPr>
          <w:instrText xml:space="preserve"> PAGEREF _Toc271280071 \h </w:instrText>
        </w:r>
        <w:r>
          <w:rPr>
            <w:webHidden/>
          </w:rPr>
        </w:r>
        <w:r>
          <w:rPr>
            <w:webHidden/>
          </w:rPr>
          <w:fldChar w:fldCharType="separate"/>
        </w:r>
        <w:r w:rsidR="00B50C61">
          <w:rPr>
            <w:webHidden/>
          </w:rPr>
          <w:t>40</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072" w:history="1">
        <w:r w:rsidR="008A1744" w:rsidRPr="00B60CC4">
          <w:rPr>
            <w:rStyle w:val="Hyperlink"/>
          </w:rPr>
          <w:t>Table 5.2a.  Status Network Core and Supplemental Indicators for Field Measurements</w:t>
        </w:r>
        <w:r w:rsidR="008A1744">
          <w:rPr>
            <w:webHidden/>
          </w:rPr>
          <w:tab/>
        </w:r>
        <w:r>
          <w:rPr>
            <w:webHidden/>
          </w:rPr>
          <w:fldChar w:fldCharType="begin"/>
        </w:r>
        <w:r w:rsidR="008A1744">
          <w:rPr>
            <w:webHidden/>
          </w:rPr>
          <w:instrText xml:space="preserve"> PAGEREF _Toc271280072 \h </w:instrText>
        </w:r>
        <w:r>
          <w:rPr>
            <w:webHidden/>
          </w:rPr>
        </w:r>
        <w:r>
          <w:rPr>
            <w:webHidden/>
          </w:rPr>
          <w:fldChar w:fldCharType="separate"/>
        </w:r>
        <w:r w:rsidR="00B50C61">
          <w:rPr>
            <w:webHidden/>
          </w:rPr>
          <w:t>43</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073" w:history="1">
        <w:r w:rsidR="008A1744" w:rsidRPr="00B60CC4">
          <w:rPr>
            <w:rStyle w:val="Hyperlink"/>
          </w:rPr>
          <w:t>Table 5.2b.  Status Network Core and Supplemental Indicators for Biological and Microbiological Indicators</w:t>
        </w:r>
        <w:r w:rsidR="008A1744">
          <w:rPr>
            <w:webHidden/>
          </w:rPr>
          <w:tab/>
        </w:r>
        <w:r>
          <w:rPr>
            <w:webHidden/>
          </w:rPr>
          <w:fldChar w:fldCharType="begin"/>
        </w:r>
        <w:r w:rsidR="008A1744">
          <w:rPr>
            <w:webHidden/>
          </w:rPr>
          <w:instrText xml:space="preserve"> PAGEREF _Toc271280073 \h </w:instrText>
        </w:r>
        <w:r>
          <w:rPr>
            <w:webHidden/>
          </w:rPr>
        </w:r>
        <w:r>
          <w:rPr>
            <w:webHidden/>
          </w:rPr>
          <w:fldChar w:fldCharType="separate"/>
        </w:r>
        <w:r w:rsidR="00B50C61">
          <w:rPr>
            <w:webHidden/>
          </w:rPr>
          <w:t>44</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074" w:history="1">
        <w:r w:rsidR="008A1744" w:rsidRPr="00B60CC4">
          <w:rPr>
            <w:rStyle w:val="Hyperlink"/>
          </w:rPr>
          <w:t>Table 5.2c.  Status Network Core and Supplemental Indicators for Organic and Nutrient Indicators</w:t>
        </w:r>
        <w:r w:rsidR="008A1744">
          <w:rPr>
            <w:webHidden/>
          </w:rPr>
          <w:tab/>
        </w:r>
        <w:r>
          <w:rPr>
            <w:webHidden/>
          </w:rPr>
          <w:fldChar w:fldCharType="begin"/>
        </w:r>
        <w:r w:rsidR="008A1744">
          <w:rPr>
            <w:webHidden/>
          </w:rPr>
          <w:instrText xml:space="preserve"> PAGEREF _Toc271280074 \h </w:instrText>
        </w:r>
        <w:r>
          <w:rPr>
            <w:webHidden/>
          </w:rPr>
        </w:r>
        <w:r>
          <w:rPr>
            <w:webHidden/>
          </w:rPr>
          <w:fldChar w:fldCharType="separate"/>
        </w:r>
        <w:r w:rsidR="00B50C61">
          <w:rPr>
            <w:webHidden/>
          </w:rPr>
          <w:t>44</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075" w:history="1">
        <w:r w:rsidR="008A1744" w:rsidRPr="00B60CC4">
          <w:rPr>
            <w:rStyle w:val="Hyperlink"/>
          </w:rPr>
          <w:t>Table 5.2d.  Status Network Core and Supplemental Indicators for Major Ion Indicators</w:t>
        </w:r>
        <w:r w:rsidR="008A1744">
          <w:rPr>
            <w:webHidden/>
          </w:rPr>
          <w:tab/>
        </w:r>
        <w:r>
          <w:rPr>
            <w:webHidden/>
          </w:rPr>
          <w:fldChar w:fldCharType="begin"/>
        </w:r>
        <w:r w:rsidR="008A1744">
          <w:rPr>
            <w:webHidden/>
          </w:rPr>
          <w:instrText xml:space="preserve"> PAGEREF _Toc271280075 \h </w:instrText>
        </w:r>
        <w:r>
          <w:rPr>
            <w:webHidden/>
          </w:rPr>
        </w:r>
        <w:r>
          <w:rPr>
            <w:webHidden/>
          </w:rPr>
          <w:fldChar w:fldCharType="separate"/>
        </w:r>
        <w:r w:rsidR="00B50C61">
          <w:rPr>
            <w:webHidden/>
          </w:rPr>
          <w:t>44</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076" w:history="1">
        <w:r w:rsidR="008A1744" w:rsidRPr="00B60CC4">
          <w:rPr>
            <w:rStyle w:val="Hyperlink"/>
          </w:rPr>
          <w:t>Table 5.2e.  Status Network Core and Supplemental Indicators for Metal Indicators</w:t>
        </w:r>
        <w:r w:rsidR="008A1744">
          <w:rPr>
            <w:webHidden/>
          </w:rPr>
          <w:tab/>
        </w:r>
        <w:r>
          <w:rPr>
            <w:webHidden/>
          </w:rPr>
          <w:fldChar w:fldCharType="begin"/>
        </w:r>
        <w:r w:rsidR="008A1744">
          <w:rPr>
            <w:webHidden/>
          </w:rPr>
          <w:instrText xml:space="preserve"> PAGEREF _Toc271280076 \h </w:instrText>
        </w:r>
        <w:r>
          <w:rPr>
            <w:webHidden/>
          </w:rPr>
        </w:r>
        <w:r>
          <w:rPr>
            <w:webHidden/>
          </w:rPr>
          <w:fldChar w:fldCharType="separate"/>
        </w:r>
        <w:r w:rsidR="00B50C61">
          <w:rPr>
            <w:webHidden/>
          </w:rPr>
          <w:t>44</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077" w:history="1">
        <w:r w:rsidR="008A1744" w:rsidRPr="00B60CC4">
          <w:rPr>
            <w:rStyle w:val="Hyperlink"/>
          </w:rPr>
          <w:t>Table 5.2f.  Status Network Core and Supplemental Indicators for Physical Property Indicators</w:t>
        </w:r>
        <w:r w:rsidR="008A1744">
          <w:rPr>
            <w:webHidden/>
          </w:rPr>
          <w:tab/>
        </w:r>
        <w:r>
          <w:rPr>
            <w:webHidden/>
          </w:rPr>
          <w:fldChar w:fldCharType="begin"/>
        </w:r>
        <w:r w:rsidR="008A1744">
          <w:rPr>
            <w:webHidden/>
          </w:rPr>
          <w:instrText xml:space="preserve"> PAGEREF _Toc271280077 \h </w:instrText>
        </w:r>
        <w:r>
          <w:rPr>
            <w:webHidden/>
          </w:rPr>
        </w:r>
        <w:r>
          <w:rPr>
            <w:webHidden/>
          </w:rPr>
          <w:fldChar w:fldCharType="separate"/>
        </w:r>
        <w:r w:rsidR="00B50C61">
          <w:rPr>
            <w:webHidden/>
          </w:rPr>
          <w:t>45</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078" w:history="1">
        <w:r w:rsidR="008A1744" w:rsidRPr="00B60CC4">
          <w:rPr>
            <w:rStyle w:val="Hyperlink"/>
          </w:rPr>
          <w:t>Table 5.3a.  Status Network Organic and Nutrient Indicators for Sediment Analysis in Lakes</w:t>
        </w:r>
        <w:r w:rsidR="008A1744">
          <w:rPr>
            <w:webHidden/>
          </w:rPr>
          <w:tab/>
        </w:r>
        <w:r>
          <w:rPr>
            <w:webHidden/>
          </w:rPr>
          <w:fldChar w:fldCharType="begin"/>
        </w:r>
        <w:r w:rsidR="008A1744">
          <w:rPr>
            <w:webHidden/>
          </w:rPr>
          <w:instrText xml:space="preserve"> PAGEREF _Toc271280078 \h </w:instrText>
        </w:r>
        <w:r>
          <w:rPr>
            <w:webHidden/>
          </w:rPr>
        </w:r>
        <w:r>
          <w:rPr>
            <w:webHidden/>
          </w:rPr>
          <w:fldChar w:fldCharType="separate"/>
        </w:r>
        <w:r w:rsidR="00B50C61">
          <w:rPr>
            <w:webHidden/>
          </w:rPr>
          <w:t>45</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079" w:history="1">
        <w:r w:rsidR="008A1744" w:rsidRPr="00B60CC4">
          <w:rPr>
            <w:rStyle w:val="Hyperlink"/>
          </w:rPr>
          <w:t>Table 5.3b.  Status Network Metal Indicators for Sediment Analysis in Lakes</w:t>
        </w:r>
        <w:r w:rsidR="008A1744">
          <w:rPr>
            <w:webHidden/>
          </w:rPr>
          <w:tab/>
        </w:r>
        <w:r>
          <w:rPr>
            <w:webHidden/>
          </w:rPr>
          <w:fldChar w:fldCharType="begin"/>
        </w:r>
        <w:r w:rsidR="008A1744">
          <w:rPr>
            <w:webHidden/>
          </w:rPr>
          <w:instrText xml:space="preserve"> PAGEREF _Toc271280079 \h </w:instrText>
        </w:r>
        <w:r>
          <w:rPr>
            <w:webHidden/>
          </w:rPr>
        </w:r>
        <w:r>
          <w:rPr>
            <w:webHidden/>
          </w:rPr>
          <w:fldChar w:fldCharType="separate"/>
        </w:r>
        <w:r w:rsidR="00B50C61">
          <w:rPr>
            <w:webHidden/>
          </w:rPr>
          <w:t>45</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080" w:history="1">
        <w:r w:rsidR="008A1744" w:rsidRPr="00B60CC4">
          <w:rPr>
            <w:rStyle w:val="Hyperlink"/>
          </w:rPr>
          <w:t>Table 5.3c.  Status Network Organic Indicators for Sediment Analysis in Lakes</w:t>
        </w:r>
        <w:r w:rsidR="008A1744">
          <w:rPr>
            <w:webHidden/>
          </w:rPr>
          <w:tab/>
        </w:r>
        <w:r>
          <w:rPr>
            <w:webHidden/>
          </w:rPr>
          <w:fldChar w:fldCharType="begin"/>
        </w:r>
        <w:r w:rsidR="008A1744">
          <w:rPr>
            <w:webHidden/>
          </w:rPr>
          <w:instrText xml:space="preserve"> PAGEREF _Toc271280080 \h </w:instrText>
        </w:r>
        <w:r>
          <w:rPr>
            <w:webHidden/>
          </w:rPr>
        </w:r>
        <w:r>
          <w:rPr>
            <w:webHidden/>
          </w:rPr>
          <w:fldChar w:fldCharType="separate"/>
        </w:r>
        <w:r w:rsidR="00B50C61">
          <w:rPr>
            <w:webHidden/>
          </w:rPr>
          <w:t>45</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081" w:history="1">
        <w:r w:rsidR="008A1744" w:rsidRPr="00B60CC4">
          <w:rPr>
            <w:rStyle w:val="Hyperlink"/>
          </w:rPr>
          <w:t>Table 5.4a.  Trend Network Field Measurement Indicators</w:t>
        </w:r>
        <w:r w:rsidR="008A1744">
          <w:rPr>
            <w:webHidden/>
          </w:rPr>
          <w:tab/>
        </w:r>
        <w:r>
          <w:rPr>
            <w:webHidden/>
          </w:rPr>
          <w:fldChar w:fldCharType="begin"/>
        </w:r>
        <w:r w:rsidR="008A1744">
          <w:rPr>
            <w:webHidden/>
          </w:rPr>
          <w:instrText xml:space="preserve"> PAGEREF _Toc271280081 \h </w:instrText>
        </w:r>
        <w:r>
          <w:rPr>
            <w:webHidden/>
          </w:rPr>
        </w:r>
        <w:r>
          <w:rPr>
            <w:webHidden/>
          </w:rPr>
          <w:fldChar w:fldCharType="separate"/>
        </w:r>
        <w:r w:rsidR="00B50C61">
          <w:rPr>
            <w:webHidden/>
          </w:rPr>
          <w:t>48</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082" w:history="1">
        <w:r w:rsidR="008A1744" w:rsidRPr="00B60CC4">
          <w:rPr>
            <w:rStyle w:val="Hyperlink"/>
          </w:rPr>
          <w:t>Table 5.4b.  Trend Network Biological and Microbiological Indicators</w:t>
        </w:r>
        <w:r w:rsidR="008A1744">
          <w:rPr>
            <w:webHidden/>
          </w:rPr>
          <w:tab/>
        </w:r>
        <w:r>
          <w:rPr>
            <w:webHidden/>
          </w:rPr>
          <w:fldChar w:fldCharType="begin"/>
        </w:r>
        <w:r w:rsidR="008A1744">
          <w:rPr>
            <w:webHidden/>
          </w:rPr>
          <w:instrText xml:space="preserve"> PAGEREF _Toc271280082 \h </w:instrText>
        </w:r>
        <w:r>
          <w:rPr>
            <w:webHidden/>
          </w:rPr>
        </w:r>
        <w:r>
          <w:rPr>
            <w:webHidden/>
          </w:rPr>
          <w:fldChar w:fldCharType="separate"/>
        </w:r>
        <w:r w:rsidR="00B50C61">
          <w:rPr>
            <w:webHidden/>
          </w:rPr>
          <w:t>48</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083" w:history="1">
        <w:r w:rsidR="008A1744" w:rsidRPr="00B60CC4">
          <w:rPr>
            <w:rStyle w:val="Hyperlink"/>
          </w:rPr>
          <w:t>Table 5.4c.  Trend Network Organic and Nutrient Indicators</w:t>
        </w:r>
        <w:r w:rsidR="008A1744">
          <w:rPr>
            <w:webHidden/>
          </w:rPr>
          <w:tab/>
        </w:r>
        <w:r>
          <w:rPr>
            <w:webHidden/>
          </w:rPr>
          <w:fldChar w:fldCharType="begin"/>
        </w:r>
        <w:r w:rsidR="008A1744">
          <w:rPr>
            <w:webHidden/>
          </w:rPr>
          <w:instrText xml:space="preserve"> PAGEREF _Toc271280083 \h </w:instrText>
        </w:r>
        <w:r>
          <w:rPr>
            <w:webHidden/>
          </w:rPr>
        </w:r>
        <w:r>
          <w:rPr>
            <w:webHidden/>
          </w:rPr>
          <w:fldChar w:fldCharType="separate"/>
        </w:r>
        <w:r w:rsidR="00B50C61">
          <w:rPr>
            <w:webHidden/>
          </w:rPr>
          <w:t>49</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084" w:history="1">
        <w:r w:rsidR="008A1744" w:rsidRPr="00B60CC4">
          <w:rPr>
            <w:rStyle w:val="Hyperlink"/>
          </w:rPr>
          <w:t>Table 5.4d.  Trend Network Major Ion Indicators</w:t>
        </w:r>
        <w:r w:rsidR="008A1744">
          <w:rPr>
            <w:webHidden/>
          </w:rPr>
          <w:tab/>
        </w:r>
        <w:r>
          <w:rPr>
            <w:webHidden/>
          </w:rPr>
          <w:fldChar w:fldCharType="begin"/>
        </w:r>
        <w:r w:rsidR="008A1744">
          <w:rPr>
            <w:webHidden/>
          </w:rPr>
          <w:instrText xml:space="preserve"> PAGEREF _Toc271280084 \h </w:instrText>
        </w:r>
        <w:r>
          <w:rPr>
            <w:webHidden/>
          </w:rPr>
        </w:r>
        <w:r>
          <w:rPr>
            <w:webHidden/>
          </w:rPr>
          <w:fldChar w:fldCharType="separate"/>
        </w:r>
        <w:r w:rsidR="00B50C61">
          <w:rPr>
            <w:webHidden/>
          </w:rPr>
          <w:t>49</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085" w:history="1">
        <w:r w:rsidR="008A1744" w:rsidRPr="00B60CC4">
          <w:rPr>
            <w:rStyle w:val="Hyperlink"/>
          </w:rPr>
          <w:t>Table 5.4e.  Trend Network Metal Indicators</w:t>
        </w:r>
        <w:r w:rsidR="008A1744">
          <w:rPr>
            <w:webHidden/>
          </w:rPr>
          <w:tab/>
        </w:r>
        <w:r>
          <w:rPr>
            <w:webHidden/>
          </w:rPr>
          <w:fldChar w:fldCharType="begin"/>
        </w:r>
        <w:r w:rsidR="008A1744">
          <w:rPr>
            <w:webHidden/>
          </w:rPr>
          <w:instrText xml:space="preserve"> PAGEREF _Toc271280085 \h </w:instrText>
        </w:r>
        <w:r>
          <w:rPr>
            <w:webHidden/>
          </w:rPr>
        </w:r>
        <w:r>
          <w:rPr>
            <w:webHidden/>
          </w:rPr>
          <w:fldChar w:fldCharType="separate"/>
        </w:r>
        <w:r w:rsidR="00B50C61">
          <w:rPr>
            <w:webHidden/>
          </w:rPr>
          <w:t>49</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086" w:history="1">
        <w:r w:rsidR="008A1744" w:rsidRPr="00B60CC4">
          <w:rPr>
            <w:rStyle w:val="Hyperlink"/>
          </w:rPr>
          <w:t>Table 5.4f.  Trend Network Physical Property Indicators</w:t>
        </w:r>
        <w:r w:rsidR="008A1744">
          <w:rPr>
            <w:webHidden/>
          </w:rPr>
          <w:tab/>
        </w:r>
        <w:r>
          <w:rPr>
            <w:webHidden/>
          </w:rPr>
          <w:fldChar w:fldCharType="begin"/>
        </w:r>
        <w:r w:rsidR="008A1744">
          <w:rPr>
            <w:webHidden/>
          </w:rPr>
          <w:instrText xml:space="preserve"> PAGEREF _Toc271280086 \h </w:instrText>
        </w:r>
        <w:r>
          <w:rPr>
            <w:webHidden/>
          </w:rPr>
        </w:r>
        <w:r>
          <w:rPr>
            <w:webHidden/>
          </w:rPr>
          <w:fldChar w:fldCharType="separate"/>
        </w:r>
        <w:r w:rsidR="00B50C61">
          <w:rPr>
            <w:webHidden/>
          </w:rPr>
          <w:t>50</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087" w:history="1">
        <w:r w:rsidR="008A1744" w:rsidRPr="00B60CC4">
          <w:rPr>
            <w:rStyle w:val="Hyperlink"/>
          </w:rPr>
          <w:t>Table 6.1.  Summary of Surface Water Resources Assessed by the Status Network’s Probabilistic Monitoring, 2004–08</w:t>
        </w:r>
        <w:r w:rsidR="008A1744">
          <w:rPr>
            <w:webHidden/>
          </w:rPr>
          <w:tab/>
        </w:r>
        <w:r>
          <w:rPr>
            <w:webHidden/>
          </w:rPr>
          <w:fldChar w:fldCharType="begin"/>
        </w:r>
        <w:r w:rsidR="008A1744">
          <w:rPr>
            <w:webHidden/>
          </w:rPr>
          <w:instrText xml:space="preserve"> PAGEREF _Toc271280087 \h </w:instrText>
        </w:r>
        <w:r>
          <w:rPr>
            <w:webHidden/>
          </w:rPr>
        </w:r>
        <w:r>
          <w:rPr>
            <w:webHidden/>
          </w:rPr>
          <w:fldChar w:fldCharType="separate"/>
        </w:r>
        <w:r w:rsidR="00B50C61">
          <w:rPr>
            <w:webHidden/>
          </w:rPr>
          <w:t>54</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088" w:history="1">
        <w:r w:rsidR="008A1744" w:rsidRPr="00B60CC4">
          <w:rPr>
            <w:rStyle w:val="Hyperlink"/>
          </w:rPr>
          <w:t>Table 6.2a.  Status Network Physical/Other Indicators/Index for Aquatic Life Use with Water Quality Criteria/Thresholds</w:t>
        </w:r>
        <w:r w:rsidR="008A1744">
          <w:rPr>
            <w:webHidden/>
          </w:rPr>
          <w:tab/>
        </w:r>
        <w:r>
          <w:rPr>
            <w:webHidden/>
          </w:rPr>
          <w:fldChar w:fldCharType="begin"/>
        </w:r>
        <w:r w:rsidR="008A1744">
          <w:rPr>
            <w:webHidden/>
          </w:rPr>
          <w:instrText xml:space="preserve"> PAGEREF _Toc271280088 \h </w:instrText>
        </w:r>
        <w:r>
          <w:rPr>
            <w:webHidden/>
          </w:rPr>
        </w:r>
        <w:r>
          <w:rPr>
            <w:webHidden/>
          </w:rPr>
          <w:fldChar w:fldCharType="separate"/>
        </w:r>
        <w:r w:rsidR="00B50C61">
          <w:rPr>
            <w:webHidden/>
          </w:rPr>
          <w:t>55</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089" w:history="1">
        <w:r w:rsidR="008A1744" w:rsidRPr="00B60CC4">
          <w:rPr>
            <w:rStyle w:val="Hyperlink"/>
          </w:rPr>
          <w:t>Table 6.2b.  Status Network Microbiological Indicators/Index for Recreation Use with Water Quality Criteria/Thresholds</w:t>
        </w:r>
        <w:r w:rsidR="008A1744">
          <w:rPr>
            <w:webHidden/>
          </w:rPr>
          <w:tab/>
        </w:r>
        <w:r>
          <w:rPr>
            <w:webHidden/>
          </w:rPr>
          <w:fldChar w:fldCharType="begin"/>
        </w:r>
        <w:r w:rsidR="008A1744">
          <w:rPr>
            <w:webHidden/>
          </w:rPr>
          <w:instrText xml:space="preserve"> PAGEREF _Toc271280089 \h </w:instrText>
        </w:r>
        <w:r>
          <w:rPr>
            <w:webHidden/>
          </w:rPr>
        </w:r>
        <w:r>
          <w:rPr>
            <w:webHidden/>
          </w:rPr>
          <w:fldChar w:fldCharType="separate"/>
        </w:r>
        <w:r w:rsidR="00B50C61">
          <w:rPr>
            <w:webHidden/>
          </w:rPr>
          <w:t>55</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090" w:history="1">
        <w:r w:rsidR="008A1744" w:rsidRPr="00B60CC4">
          <w:rPr>
            <w:rStyle w:val="Hyperlink"/>
          </w:rPr>
          <w:t>Table 6.2c.  FDEP Freshwater Lake Sediment Contaminant Thresholds for Metals</w:t>
        </w:r>
        <w:r w:rsidR="008A1744">
          <w:rPr>
            <w:webHidden/>
          </w:rPr>
          <w:tab/>
        </w:r>
        <w:r>
          <w:rPr>
            <w:webHidden/>
          </w:rPr>
          <w:fldChar w:fldCharType="begin"/>
        </w:r>
        <w:r w:rsidR="008A1744">
          <w:rPr>
            <w:webHidden/>
          </w:rPr>
          <w:instrText xml:space="preserve"> PAGEREF _Toc271280090 \h </w:instrText>
        </w:r>
        <w:r>
          <w:rPr>
            <w:webHidden/>
          </w:rPr>
        </w:r>
        <w:r>
          <w:rPr>
            <w:webHidden/>
          </w:rPr>
          <w:fldChar w:fldCharType="separate"/>
        </w:r>
        <w:r w:rsidR="00B50C61">
          <w:rPr>
            <w:webHidden/>
          </w:rPr>
          <w:t>56</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091" w:history="1">
        <w:r w:rsidR="008A1744" w:rsidRPr="00B60CC4">
          <w:rPr>
            <w:rStyle w:val="Hyperlink"/>
          </w:rPr>
          <w:t>Table 6.2d.  FDEP Freshwater Lake Sediment Contaminant Thresholds for Organic Contaminants</w:t>
        </w:r>
        <w:r w:rsidR="008A1744">
          <w:rPr>
            <w:webHidden/>
          </w:rPr>
          <w:tab/>
        </w:r>
        <w:r>
          <w:rPr>
            <w:webHidden/>
          </w:rPr>
          <w:fldChar w:fldCharType="begin"/>
        </w:r>
        <w:r w:rsidR="008A1744">
          <w:rPr>
            <w:webHidden/>
          </w:rPr>
          <w:instrText xml:space="preserve"> PAGEREF _Toc271280091 \h </w:instrText>
        </w:r>
        <w:r>
          <w:rPr>
            <w:webHidden/>
          </w:rPr>
        </w:r>
        <w:r>
          <w:rPr>
            <w:webHidden/>
          </w:rPr>
          <w:fldChar w:fldCharType="separate"/>
        </w:r>
        <w:r w:rsidR="00B50C61">
          <w:rPr>
            <w:webHidden/>
          </w:rPr>
          <w:t>56</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092" w:history="1">
        <w:r w:rsidR="008A1744" w:rsidRPr="00B60CC4">
          <w:rPr>
            <w:rStyle w:val="Hyperlink"/>
          </w:rPr>
          <w:t>Table 6.3a.  Legend for Terms Used in Tables 6.3b through 6.3e</w:t>
        </w:r>
        <w:r w:rsidR="008A1744">
          <w:rPr>
            <w:webHidden/>
          </w:rPr>
          <w:tab/>
        </w:r>
        <w:r>
          <w:rPr>
            <w:webHidden/>
          </w:rPr>
          <w:fldChar w:fldCharType="begin"/>
        </w:r>
        <w:r w:rsidR="008A1744">
          <w:rPr>
            <w:webHidden/>
          </w:rPr>
          <w:instrText xml:space="preserve"> PAGEREF _Toc271280092 \h </w:instrText>
        </w:r>
        <w:r>
          <w:rPr>
            <w:webHidden/>
          </w:rPr>
        </w:r>
        <w:r>
          <w:rPr>
            <w:webHidden/>
          </w:rPr>
          <w:fldChar w:fldCharType="separate"/>
        </w:r>
        <w:r w:rsidR="00B50C61">
          <w:rPr>
            <w:webHidden/>
          </w:rPr>
          <w:t>57</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093" w:history="1">
        <w:r w:rsidR="008A1744" w:rsidRPr="00B60CC4">
          <w:rPr>
            <w:rStyle w:val="Hyperlink"/>
          </w:rPr>
          <w:t>Table 6.3b.  Statewide Percentage of Rivers Meeting Threshold Values for Indicators Calculated Using Probabilistic Monitoring Design</w:t>
        </w:r>
        <w:r w:rsidR="008A1744">
          <w:rPr>
            <w:webHidden/>
          </w:rPr>
          <w:tab/>
        </w:r>
        <w:r>
          <w:rPr>
            <w:webHidden/>
          </w:rPr>
          <w:fldChar w:fldCharType="begin"/>
        </w:r>
        <w:r w:rsidR="008A1744">
          <w:rPr>
            <w:webHidden/>
          </w:rPr>
          <w:instrText xml:space="preserve"> PAGEREF _Toc271280093 \h </w:instrText>
        </w:r>
        <w:r>
          <w:rPr>
            <w:webHidden/>
          </w:rPr>
        </w:r>
        <w:r>
          <w:rPr>
            <w:webHidden/>
          </w:rPr>
          <w:fldChar w:fldCharType="separate"/>
        </w:r>
        <w:r w:rsidR="00B50C61">
          <w:rPr>
            <w:webHidden/>
          </w:rPr>
          <w:t>60</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094" w:history="1">
        <w:r w:rsidR="008A1744" w:rsidRPr="00B60CC4">
          <w:rPr>
            <w:rStyle w:val="Hyperlink"/>
          </w:rPr>
          <w:t>Table 6.3c.  Statewide Percentage of Streams Meeting Threshold Values for Indicators Calculated Using Probabilistic Monitoring Design</w:t>
        </w:r>
        <w:r w:rsidR="008A1744">
          <w:rPr>
            <w:webHidden/>
          </w:rPr>
          <w:tab/>
        </w:r>
        <w:r>
          <w:rPr>
            <w:webHidden/>
          </w:rPr>
          <w:fldChar w:fldCharType="begin"/>
        </w:r>
        <w:r w:rsidR="008A1744">
          <w:rPr>
            <w:webHidden/>
          </w:rPr>
          <w:instrText xml:space="preserve"> PAGEREF _Toc271280094 \h </w:instrText>
        </w:r>
        <w:r>
          <w:rPr>
            <w:webHidden/>
          </w:rPr>
        </w:r>
        <w:r>
          <w:rPr>
            <w:webHidden/>
          </w:rPr>
          <w:fldChar w:fldCharType="separate"/>
        </w:r>
        <w:r w:rsidR="00B50C61">
          <w:rPr>
            <w:webHidden/>
          </w:rPr>
          <w:t>63</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095" w:history="1">
        <w:r w:rsidR="008A1744" w:rsidRPr="00B60CC4">
          <w:rPr>
            <w:rStyle w:val="Hyperlink"/>
          </w:rPr>
          <w:t>Table 6.3d.  Statewide Percentage of Large Lakes Meeting Threshold Values for Indicators Calculated Using Probabilistic Monitoring Design</w:t>
        </w:r>
        <w:r w:rsidR="008A1744">
          <w:rPr>
            <w:webHidden/>
          </w:rPr>
          <w:tab/>
        </w:r>
        <w:r>
          <w:rPr>
            <w:webHidden/>
          </w:rPr>
          <w:fldChar w:fldCharType="begin"/>
        </w:r>
        <w:r w:rsidR="008A1744">
          <w:rPr>
            <w:webHidden/>
          </w:rPr>
          <w:instrText xml:space="preserve"> PAGEREF _Toc271280095 \h </w:instrText>
        </w:r>
        <w:r>
          <w:rPr>
            <w:webHidden/>
          </w:rPr>
        </w:r>
        <w:r>
          <w:rPr>
            <w:webHidden/>
          </w:rPr>
          <w:fldChar w:fldCharType="separate"/>
        </w:r>
        <w:r w:rsidR="00B50C61">
          <w:rPr>
            <w:webHidden/>
          </w:rPr>
          <w:t>66</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096" w:history="1">
        <w:r w:rsidR="008A1744" w:rsidRPr="00B60CC4">
          <w:rPr>
            <w:rStyle w:val="Hyperlink"/>
          </w:rPr>
          <w:t>Table 6.3e.  Statewide Percentage of Small Lakes Meeting Threshold Values for Indicators Calculated Using Probabilistic Monitoring Design</w:t>
        </w:r>
        <w:r w:rsidR="008A1744">
          <w:rPr>
            <w:webHidden/>
          </w:rPr>
          <w:tab/>
        </w:r>
        <w:r>
          <w:rPr>
            <w:webHidden/>
          </w:rPr>
          <w:fldChar w:fldCharType="begin"/>
        </w:r>
        <w:r w:rsidR="008A1744">
          <w:rPr>
            <w:webHidden/>
          </w:rPr>
          <w:instrText xml:space="preserve"> PAGEREF _Toc271280096 \h </w:instrText>
        </w:r>
        <w:r>
          <w:rPr>
            <w:webHidden/>
          </w:rPr>
        </w:r>
        <w:r>
          <w:rPr>
            <w:webHidden/>
          </w:rPr>
          <w:fldChar w:fldCharType="separate"/>
        </w:r>
        <w:r w:rsidR="00B50C61">
          <w:rPr>
            <w:webHidden/>
          </w:rPr>
          <w:t>69</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097" w:history="1">
        <w:r w:rsidR="008A1744" w:rsidRPr="00B60CC4">
          <w:rPr>
            <w:rStyle w:val="Hyperlink"/>
          </w:rPr>
          <w:t>Table 6.4a.  Statewide Percentage of Large Lakes Meeting Sediment Contaminant Threshold Values</w:t>
        </w:r>
        <w:r w:rsidR="008A1744">
          <w:rPr>
            <w:webHidden/>
          </w:rPr>
          <w:tab/>
        </w:r>
        <w:r>
          <w:rPr>
            <w:webHidden/>
          </w:rPr>
          <w:fldChar w:fldCharType="begin"/>
        </w:r>
        <w:r w:rsidR="008A1744">
          <w:rPr>
            <w:webHidden/>
          </w:rPr>
          <w:instrText xml:space="preserve"> PAGEREF _Toc271280097 \h </w:instrText>
        </w:r>
        <w:r>
          <w:rPr>
            <w:webHidden/>
          </w:rPr>
        </w:r>
        <w:r>
          <w:rPr>
            <w:webHidden/>
          </w:rPr>
          <w:fldChar w:fldCharType="separate"/>
        </w:r>
        <w:r w:rsidR="00B50C61">
          <w:rPr>
            <w:webHidden/>
          </w:rPr>
          <w:t>73</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098" w:history="1">
        <w:r w:rsidR="008A1744" w:rsidRPr="00B60CC4">
          <w:rPr>
            <w:rStyle w:val="Hyperlink"/>
          </w:rPr>
          <w:t>Table 6.4b.  Statewide Percentage of Small Lakes Meeting Sediment Contaminant Threshold Values</w:t>
        </w:r>
        <w:r w:rsidR="008A1744">
          <w:rPr>
            <w:webHidden/>
          </w:rPr>
          <w:tab/>
        </w:r>
        <w:r>
          <w:rPr>
            <w:webHidden/>
          </w:rPr>
          <w:fldChar w:fldCharType="begin"/>
        </w:r>
        <w:r w:rsidR="008A1744">
          <w:rPr>
            <w:webHidden/>
          </w:rPr>
          <w:instrText xml:space="preserve"> PAGEREF _Toc271280098 \h </w:instrText>
        </w:r>
        <w:r>
          <w:rPr>
            <w:webHidden/>
          </w:rPr>
        </w:r>
        <w:r>
          <w:rPr>
            <w:webHidden/>
          </w:rPr>
          <w:fldChar w:fldCharType="separate"/>
        </w:r>
        <w:r w:rsidR="00B50C61">
          <w:rPr>
            <w:webHidden/>
          </w:rPr>
          <w:t>75</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099" w:history="1">
        <w:r w:rsidR="008A1744" w:rsidRPr="00B60CC4">
          <w:rPr>
            <w:rStyle w:val="Hyperlink"/>
          </w:rPr>
          <w:t>Table 6.5.  Status Network Physical/Other Indicators/Index for Potable Water Supply for Ground Water with Water Quality Criteria/Thresholds</w:t>
        </w:r>
        <w:r w:rsidR="008A1744">
          <w:rPr>
            <w:webHidden/>
          </w:rPr>
          <w:tab/>
        </w:r>
        <w:r>
          <w:rPr>
            <w:webHidden/>
          </w:rPr>
          <w:fldChar w:fldCharType="begin"/>
        </w:r>
        <w:r w:rsidR="008A1744">
          <w:rPr>
            <w:webHidden/>
          </w:rPr>
          <w:instrText xml:space="preserve"> PAGEREF _Toc271280099 \h </w:instrText>
        </w:r>
        <w:r>
          <w:rPr>
            <w:webHidden/>
          </w:rPr>
        </w:r>
        <w:r>
          <w:rPr>
            <w:webHidden/>
          </w:rPr>
          <w:fldChar w:fldCharType="separate"/>
        </w:r>
        <w:r w:rsidR="00B50C61">
          <w:rPr>
            <w:webHidden/>
          </w:rPr>
          <w:t>76</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00" w:history="1">
        <w:r w:rsidR="008A1744" w:rsidRPr="00B60CC4">
          <w:rPr>
            <w:rStyle w:val="Hyperlink"/>
          </w:rPr>
          <w:t>Table 6.6a.  Legend for Terms Used in Tables 6.6b and 6.6c</w:t>
        </w:r>
        <w:r w:rsidR="008A1744">
          <w:rPr>
            <w:webHidden/>
          </w:rPr>
          <w:tab/>
        </w:r>
        <w:r>
          <w:rPr>
            <w:webHidden/>
          </w:rPr>
          <w:fldChar w:fldCharType="begin"/>
        </w:r>
        <w:r w:rsidR="008A1744">
          <w:rPr>
            <w:webHidden/>
          </w:rPr>
          <w:instrText xml:space="preserve"> PAGEREF _Toc271280100 \h </w:instrText>
        </w:r>
        <w:r>
          <w:rPr>
            <w:webHidden/>
          </w:rPr>
        </w:r>
        <w:r>
          <w:rPr>
            <w:webHidden/>
          </w:rPr>
          <w:fldChar w:fldCharType="separate"/>
        </w:r>
        <w:r w:rsidR="00B50C61">
          <w:rPr>
            <w:webHidden/>
          </w:rPr>
          <w:t>77</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01" w:history="1">
        <w:r w:rsidR="008A1744" w:rsidRPr="00B60CC4">
          <w:rPr>
            <w:rStyle w:val="Hyperlink"/>
          </w:rPr>
          <w:t>Table 6.6b.  Statewide Percentage of Confined Aquifers Meeting Threshold Values for Indicators Calculated Using Probabilistic Monitoring Design</w:t>
        </w:r>
        <w:r w:rsidR="008A1744">
          <w:rPr>
            <w:webHidden/>
          </w:rPr>
          <w:tab/>
        </w:r>
        <w:r>
          <w:rPr>
            <w:webHidden/>
          </w:rPr>
          <w:fldChar w:fldCharType="begin"/>
        </w:r>
        <w:r w:rsidR="008A1744">
          <w:rPr>
            <w:webHidden/>
          </w:rPr>
          <w:instrText xml:space="preserve"> PAGEREF _Toc271280101 \h </w:instrText>
        </w:r>
        <w:r>
          <w:rPr>
            <w:webHidden/>
          </w:rPr>
        </w:r>
        <w:r>
          <w:rPr>
            <w:webHidden/>
          </w:rPr>
          <w:fldChar w:fldCharType="separate"/>
        </w:r>
        <w:r w:rsidR="00B50C61">
          <w:rPr>
            <w:webHidden/>
          </w:rPr>
          <w:t>80</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02" w:history="1">
        <w:r w:rsidR="008A1744" w:rsidRPr="00B60CC4">
          <w:rPr>
            <w:rStyle w:val="Hyperlink"/>
          </w:rPr>
          <w:t>Table 6.6c.  Statewide Percentage of Unconfined Aquifers Meeting Threshold Values for Indicators Calculated Using Probabilistic Monitoring Design</w:t>
        </w:r>
        <w:r w:rsidR="008A1744">
          <w:rPr>
            <w:webHidden/>
          </w:rPr>
          <w:tab/>
        </w:r>
        <w:r>
          <w:rPr>
            <w:webHidden/>
          </w:rPr>
          <w:fldChar w:fldCharType="begin"/>
        </w:r>
        <w:r w:rsidR="008A1744">
          <w:rPr>
            <w:webHidden/>
          </w:rPr>
          <w:instrText xml:space="preserve"> PAGEREF _Toc271280102 \h </w:instrText>
        </w:r>
        <w:r>
          <w:rPr>
            <w:webHidden/>
          </w:rPr>
        </w:r>
        <w:r>
          <w:rPr>
            <w:webHidden/>
          </w:rPr>
          <w:fldChar w:fldCharType="separate"/>
        </w:r>
        <w:r w:rsidR="00B50C61">
          <w:rPr>
            <w:webHidden/>
          </w:rPr>
          <w:t>84</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03" w:history="1">
        <w:r w:rsidR="008A1744" w:rsidRPr="00B60CC4">
          <w:rPr>
            <w:rStyle w:val="Hyperlink"/>
          </w:rPr>
          <w:t>Table 6.7a.  Percentage of Combined Rivers and Streams Resource Meeting Threshold Values for Statewide Assessment for Cycles 1 and 2</w:t>
        </w:r>
        <w:r w:rsidR="008A1744">
          <w:rPr>
            <w:webHidden/>
          </w:rPr>
          <w:tab/>
        </w:r>
        <w:r>
          <w:rPr>
            <w:webHidden/>
          </w:rPr>
          <w:fldChar w:fldCharType="begin"/>
        </w:r>
        <w:r w:rsidR="008A1744">
          <w:rPr>
            <w:webHidden/>
          </w:rPr>
          <w:instrText xml:space="preserve"> PAGEREF _Toc271280103 \h </w:instrText>
        </w:r>
        <w:r>
          <w:rPr>
            <w:webHidden/>
          </w:rPr>
        </w:r>
        <w:r>
          <w:rPr>
            <w:webHidden/>
          </w:rPr>
          <w:fldChar w:fldCharType="separate"/>
        </w:r>
        <w:r w:rsidR="00B50C61">
          <w:rPr>
            <w:webHidden/>
          </w:rPr>
          <w:t>86</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04" w:history="1">
        <w:r w:rsidR="008A1744" w:rsidRPr="00B60CC4">
          <w:rPr>
            <w:rStyle w:val="Hyperlink"/>
          </w:rPr>
          <w:t>Table 6.7b.  Percentage of Small Lakes Resource Meeting Threshold Values for Statewide Assessment for Cycles 1 and 2</w:t>
        </w:r>
        <w:r w:rsidR="008A1744">
          <w:rPr>
            <w:webHidden/>
          </w:rPr>
          <w:tab/>
        </w:r>
        <w:r>
          <w:rPr>
            <w:webHidden/>
          </w:rPr>
          <w:fldChar w:fldCharType="begin"/>
        </w:r>
        <w:r w:rsidR="008A1744">
          <w:rPr>
            <w:webHidden/>
          </w:rPr>
          <w:instrText xml:space="preserve"> PAGEREF _Toc271280104 \h </w:instrText>
        </w:r>
        <w:r>
          <w:rPr>
            <w:webHidden/>
          </w:rPr>
        </w:r>
        <w:r>
          <w:rPr>
            <w:webHidden/>
          </w:rPr>
          <w:fldChar w:fldCharType="separate"/>
        </w:r>
        <w:r w:rsidR="00B50C61">
          <w:rPr>
            <w:webHidden/>
          </w:rPr>
          <w:t>87</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05" w:history="1">
        <w:r w:rsidR="008A1744" w:rsidRPr="00B60CC4">
          <w:rPr>
            <w:rStyle w:val="Hyperlink"/>
          </w:rPr>
          <w:t>Table 6.7c.  Percentage of Large Lakes Resource Meeting Threshold Values for Statewide Assessment for Cycles 1 and 2</w:t>
        </w:r>
        <w:r w:rsidR="008A1744">
          <w:rPr>
            <w:webHidden/>
          </w:rPr>
          <w:tab/>
        </w:r>
        <w:r>
          <w:rPr>
            <w:webHidden/>
          </w:rPr>
          <w:fldChar w:fldCharType="begin"/>
        </w:r>
        <w:r w:rsidR="008A1744">
          <w:rPr>
            <w:webHidden/>
          </w:rPr>
          <w:instrText xml:space="preserve"> PAGEREF _Toc271280105 \h </w:instrText>
        </w:r>
        <w:r>
          <w:rPr>
            <w:webHidden/>
          </w:rPr>
        </w:r>
        <w:r>
          <w:rPr>
            <w:webHidden/>
          </w:rPr>
          <w:fldChar w:fldCharType="separate"/>
        </w:r>
        <w:r w:rsidR="00B50C61">
          <w:rPr>
            <w:webHidden/>
          </w:rPr>
          <w:t>87</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06" w:history="1">
        <w:r w:rsidR="008A1744" w:rsidRPr="00B60CC4">
          <w:rPr>
            <w:rStyle w:val="Hyperlink"/>
          </w:rPr>
          <w:t>Table 6.8a.  Trends for Specified Analytes for Surface Water Trend Network Stations that Are Associated with a USGS Gauging Station and Adjusted for River Flow</w:t>
        </w:r>
        <w:r w:rsidR="008A1744">
          <w:rPr>
            <w:webHidden/>
          </w:rPr>
          <w:tab/>
        </w:r>
        <w:r>
          <w:rPr>
            <w:webHidden/>
          </w:rPr>
          <w:fldChar w:fldCharType="begin"/>
        </w:r>
        <w:r w:rsidR="008A1744">
          <w:rPr>
            <w:webHidden/>
          </w:rPr>
          <w:instrText xml:space="preserve"> PAGEREF _Toc271280106 \h </w:instrText>
        </w:r>
        <w:r>
          <w:rPr>
            <w:webHidden/>
          </w:rPr>
        </w:r>
        <w:r>
          <w:rPr>
            <w:webHidden/>
          </w:rPr>
          <w:fldChar w:fldCharType="separate"/>
        </w:r>
        <w:r w:rsidR="00B50C61">
          <w:rPr>
            <w:webHidden/>
          </w:rPr>
          <w:t>88</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07" w:history="1">
        <w:r w:rsidR="008A1744" w:rsidRPr="00B60CC4">
          <w:rPr>
            <w:rStyle w:val="Hyperlink"/>
          </w:rPr>
          <w:t>Table 6.8b.  Trends for Specified Analytes for Surface Water Stations from the Trend Network and not Adjusted for River Flow</w:t>
        </w:r>
        <w:r w:rsidR="008A1744">
          <w:rPr>
            <w:webHidden/>
          </w:rPr>
          <w:tab/>
        </w:r>
        <w:r>
          <w:rPr>
            <w:webHidden/>
          </w:rPr>
          <w:fldChar w:fldCharType="begin"/>
        </w:r>
        <w:r w:rsidR="008A1744">
          <w:rPr>
            <w:webHidden/>
          </w:rPr>
          <w:instrText xml:space="preserve"> PAGEREF _Toc271280107 \h </w:instrText>
        </w:r>
        <w:r>
          <w:rPr>
            <w:webHidden/>
          </w:rPr>
        </w:r>
        <w:r>
          <w:rPr>
            <w:webHidden/>
          </w:rPr>
          <w:fldChar w:fldCharType="separate"/>
        </w:r>
        <w:r w:rsidR="00B50C61">
          <w:rPr>
            <w:webHidden/>
          </w:rPr>
          <w:t>89</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08" w:history="1">
        <w:r w:rsidR="008A1744" w:rsidRPr="00B60CC4">
          <w:rPr>
            <w:rStyle w:val="Hyperlink"/>
          </w:rPr>
          <w:t>Table 6.9a.  Legend for the Acronyms and Abbreviations Used in Tables 6.9b and 6.9c</w:t>
        </w:r>
        <w:r w:rsidR="008A1744">
          <w:rPr>
            <w:webHidden/>
          </w:rPr>
          <w:tab/>
        </w:r>
        <w:r>
          <w:rPr>
            <w:webHidden/>
          </w:rPr>
          <w:fldChar w:fldCharType="begin"/>
        </w:r>
        <w:r w:rsidR="008A1744">
          <w:rPr>
            <w:webHidden/>
          </w:rPr>
          <w:instrText xml:space="preserve"> PAGEREF _Toc271280108 \h </w:instrText>
        </w:r>
        <w:r>
          <w:rPr>
            <w:webHidden/>
          </w:rPr>
        </w:r>
        <w:r>
          <w:rPr>
            <w:webHidden/>
          </w:rPr>
          <w:fldChar w:fldCharType="separate"/>
        </w:r>
        <w:r w:rsidR="00B50C61">
          <w:rPr>
            <w:webHidden/>
          </w:rPr>
          <w:t>97</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09" w:history="1">
        <w:r w:rsidR="008A1744" w:rsidRPr="00B60CC4">
          <w:rPr>
            <w:rStyle w:val="Hyperlink"/>
          </w:rPr>
          <w:t>Table 6.9b.  Trends for Specified Analytes for Stations in the Ground Water Trend Monitoring Network, Confined Aquifers</w:t>
        </w:r>
        <w:r w:rsidR="008A1744">
          <w:rPr>
            <w:webHidden/>
          </w:rPr>
          <w:tab/>
        </w:r>
        <w:r>
          <w:rPr>
            <w:webHidden/>
          </w:rPr>
          <w:fldChar w:fldCharType="begin"/>
        </w:r>
        <w:r w:rsidR="008A1744">
          <w:rPr>
            <w:webHidden/>
          </w:rPr>
          <w:instrText xml:space="preserve"> PAGEREF _Toc271280109 \h </w:instrText>
        </w:r>
        <w:r>
          <w:rPr>
            <w:webHidden/>
          </w:rPr>
        </w:r>
        <w:r>
          <w:rPr>
            <w:webHidden/>
          </w:rPr>
          <w:fldChar w:fldCharType="separate"/>
        </w:r>
        <w:r w:rsidR="00B50C61">
          <w:rPr>
            <w:webHidden/>
          </w:rPr>
          <w:t>98</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10" w:history="1">
        <w:r w:rsidR="008A1744" w:rsidRPr="00B60CC4">
          <w:rPr>
            <w:rStyle w:val="Hyperlink"/>
          </w:rPr>
          <w:t>Table 6.9c.  Trends for Specified Analytes for Stations in the Ground Water Trend Monitoring Network, Unconfined Aquifers</w:t>
        </w:r>
        <w:r w:rsidR="008A1744">
          <w:rPr>
            <w:webHidden/>
          </w:rPr>
          <w:tab/>
        </w:r>
        <w:r>
          <w:rPr>
            <w:webHidden/>
          </w:rPr>
          <w:fldChar w:fldCharType="begin"/>
        </w:r>
        <w:r w:rsidR="008A1744">
          <w:rPr>
            <w:webHidden/>
          </w:rPr>
          <w:instrText xml:space="preserve"> PAGEREF _Toc271280110 \h </w:instrText>
        </w:r>
        <w:r>
          <w:rPr>
            <w:webHidden/>
          </w:rPr>
        </w:r>
        <w:r>
          <w:rPr>
            <w:webHidden/>
          </w:rPr>
          <w:fldChar w:fldCharType="separate"/>
        </w:r>
        <w:r w:rsidR="00B50C61">
          <w:rPr>
            <w:webHidden/>
          </w:rPr>
          <w:t>99</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11" w:history="1">
        <w:r w:rsidR="008A1744" w:rsidRPr="00B60CC4">
          <w:rPr>
            <w:rStyle w:val="Hyperlink"/>
          </w:rPr>
          <w:t>Table 7.1.  Categories for Waterbodies or Waterbody Segments in the 2010 Integrated Report</w:t>
        </w:r>
        <w:r w:rsidR="008A1744">
          <w:rPr>
            <w:webHidden/>
          </w:rPr>
          <w:tab/>
        </w:r>
        <w:r>
          <w:rPr>
            <w:webHidden/>
          </w:rPr>
          <w:fldChar w:fldCharType="begin"/>
        </w:r>
        <w:r w:rsidR="008A1744">
          <w:rPr>
            <w:webHidden/>
          </w:rPr>
          <w:instrText xml:space="preserve"> PAGEREF _Toc271280111 \h </w:instrText>
        </w:r>
        <w:r>
          <w:rPr>
            <w:webHidden/>
          </w:rPr>
        </w:r>
        <w:r>
          <w:rPr>
            <w:webHidden/>
          </w:rPr>
          <w:fldChar w:fldCharType="separate"/>
        </w:r>
        <w:r w:rsidR="00B50C61">
          <w:rPr>
            <w:webHidden/>
          </w:rPr>
          <w:t>117</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12" w:history="1">
        <w:r w:rsidR="008A1744" w:rsidRPr="00B60CC4">
          <w:rPr>
            <w:rStyle w:val="Hyperlink"/>
          </w:rPr>
          <w:t>Table 7.2.  Basin Groups for Implementing the Watershed Management Cycle, by FDEP District Office</w:t>
        </w:r>
        <w:r w:rsidR="008A1744">
          <w:rPr>
            <w:webHidden/>
          </w:rPr>
          <w:tab/>
        </w:r>
        <w:r>
          <w:rPr>
            <w:webHidden/>
          </w:rPr>
          <w:fldChar w:fldCharType="begin"/>
        </w:r>
        <w:r w:rsidR="008A1744">
          <w:rPr>
            <w:webHidden/>
          </w:rPr>
          <w:instrText xml:space="preserve"> PAGEREF _Toc271280112 \h </w:instrText>
        </w:r>
        <w:r>
          <w:rPr>
            <w:webHidden/>
          </w:rPr>
        </w:r>
        <w:r>
          <w:rPr>
            <w:webHidden/>
          </w:rPr>
          <w:fldChar w:fldCharType="separate"/>
        </w:r>
        <w:r w:rsidR="00B50C61">
          <w:rPr>
            <w:webHidden/>
          </w:rPr>
          <w:t>119</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13" w:history="1">
        <w:r w:rsidR="008A1744" w:rsidRPr="00B60CC4">
          <w:rPr>
            <w:rStyle w:val="Hyperlink"/>
          </w:rPr>
          <w:t>Table 7.3.  Basin Rotation Schedule for TMDL Development and Implementation</w:t>
        </w:r>
        <w:r w:rsidR="008A1744">
          <w:rPr>
            <w:webHidden/>
          </w:rPr>
          <w:tab/>
        </w:r>
        <w:r>
          <w:rPr>
            <w:webHidden/>
          </w:rPr>
          <w:fldChar w:fldCharType="begin"/>
        </w:r>
        <w:r w:rsidR="008A1744">
          <w:rPr>
            <w:webHidden/>
          </w:rPr>
          <w:instrText xml:space="preserve"> PAGEREF _Toc271280113 \h </w:instrText>
        </w:r>
        <w:r>
          <w:rPr>
            <w:webHidden/>
          </w:rPr>
        </w:r>
        <w:r>
          <w:rPr>
            <w:webHidden/>
          </w:rPr>
          <w:fldChar w:fldCharType="separate"/>
        </w:r>
        <w:r w:rsidR="00B50C61">
          <w:rPr>
            <w:webHidden/>
          </w:rPr>
          <w:t>119</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14" w:history="1">
        <w:r w:rsidR="008A1744" w:rsidRPr="00B60CC4">
          <w:rPr>
            <w:rStyle w:val="Hyperlink"/>
          </w:rPr>
          <w:t>Table 7.4.  Designated Use Attainment Categories for Surface Waters in Florida</w:t>
        </w:r>
        <w:r w:rsidR="008A1744">
          <w:rPr>
            <w:webHidden/>
          </w:rPr>
          <w:tab/>
        </w:r>
        <w:r>
          <w:rPr>
            <w:webHidden/>
          </w:rPr>
          <w:fldChar w:fldCharType="begin"/>
        </w:r>
        <w:r w:rsidR="008A1744">
          <w:rPr>
            <w:webHidden/>
          </w:rPr>
          <w:instrText xml:space="preserve"> PAGEREF _Toc271280114 \h </w:instrText>
        </w:r>
        <w:r>
          <w:rPr>
            <w:webHidden/>
          </w:rPr>
        </w:r>
        <w:r>
          <w:rPr>
            <w:webHidden/>
          </w:rPr>
          <w:fldChar w:fldCharType="separate"/>
        </w:r>
        <w:r w:rsidR="00B50C61">
          <w:rPr>
            <w:webHidden/>
          </w:rPr>
          <w:t>120</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15" w:history="1">
        <w:r w:rsidR="008A1744" w:rsidRPr="00B60CC4">
          <w:rPr>
            <w:rStyle w:val="Hyperlink"/>
          </w:rPr>
          <w:t>Table 7.5.  Data Used in Developing the Planning and Verified Lists for the Basin Rotation Cycles</w:t>
        </w:r>
        <w:r w:rsidR="008A1744">
          <w:rPr>
            <w:webHidden/>
          </w:rPr>
          <w:tab/>
        </w:r>
        <w:r>
          <w:rPr>
            <w:webHidden/>
          </w:rPr>
          <w:fldChar w:fldCharType="begin"/>
        </w:r>
        <w:r w:rsidR="008A1744">
          <w:rPr>
            <w:webHidden/>
          </w:rPr>
          <w:instrText xml:space="preserve"> PAGEREF _Toc271280115 \h </w:instrText>
        </w:r>
        <w:r>
          <w:rPr>
            <w:webHidden/>
          </w:rPr>
        </w:r>
        <w:r>
          <w:rPr>
            <w:webHidden/>
          </w:rPr>
          <w:fldChar w:fldCharType="separate"/>
        </w:r>
        <w:r w:rsidR="00B50C61">
          <w:rPr>
            <w:webHidden/>
          </w:rPr>
          <w:t>123</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16" w:history="1">
        <w:r w:rsidR="008A1744" w:rsidRPr="00B60CC4">
          <w:rPr>
            <w:rStyle w:val="Hyperlink"/>
          </w:rPr>
          <w:t>Table 8.1.  Waters Assessed for the Statewide Basin Assessments, by Waterbody Type</w:t>
        </w:r>
        <w:r w:rsidR="008A1744">
          <w:rPr>
            <w:webHidden/>
          </w:rPr>
          <w:tab/>
        </w:r>
        <w:r>
          <w:rPr>
            <w:webHidden/>
          </w:rPr>
          <w:fldChar w:fldCharType="begin"/>
        </w:r>
        <w:r w:rsidR="008A1744">
          <w:rPr>
            <w:webHidden/>
          </w:rPr>
          <w:instrText xml:space="preserve"> PAGEREF _Toc271280116 \h </w:instrText>
        </w:r>
        <w:r>
          <w:rPr>
            <w:webHidden/>
          </w:rPr>
        </w:r>
        <w:r>
          <w:rPr>
            <w:webHidden/>
          </w:rPr>
          <w:fldChar w:fldCharType="separate"/>
        </w:r>
        <w:r w:rsidR="00B50C61">
          <w:rPr>
            <w:webHidden/>
          </w:rPr>
          <w:t>126</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17" w:history="1">
        <w:r w:rsidR="008A1744" w:rsidRPr="00B60CC4">
          <w:rPr>
            <w:rStyle w:val="Hyperlink"/>
          </w:rPr>
          <w:t>Table 8.2.  Size of Surface Waters Assigned to Each EPA Integrated Report Category</w:t>
        </w:r>
        <w:r w:rsidR="008A1744">
          <w:rPr>
            <w:webHidden/>
          </w:rPr>
          <w:tab/>
        </w:r>
        <w:r>
          <w:rPr>
            <w:webHidden/>
          </w:rPr>
          <w:fldChar w:fldCharType="begin"/>
        </w:r>
        <w:r w:rsidR="008A1744">
          <w:rPr>
            <w:webHidden/>
          </w:rPr>
          <w:instrText xml:space="preserve"> PAGEREF _Toc271280117 \h </w:instrText>
        </w:r>
        <w:r>
          <w:rPr>
            <w:webHidden/>
          </w:rPr>
        </w:r>
        <w:r>
          <w:rPr>
            <w:webHidden/>
          </w:rPr>
          <w:fldChar w:fldCharType="separate"/>
        </w:r>
        <w:r w:rsidR="00B50C61">
          <w:rPr>
            <w:webHidden/>
          </w:rPr>
          <w:t>126</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18" w:history="1">
        <w:r w:rsidR="008A1744" w:rsidRPr="00B60CC4">
          <w:rPr>
            <w:rStyle w:val="Hyperlink"/>
          </w:rPr>
          <w:t>Table 8.3a.  Miles of Rivers/Streams Impaired by Cause</w:t>
        </w:r>
        <w:r w:rsidR="008A1744">
          <w:rPr>
            <w:webHidden/>
          </w:rPr>
          <w:tab/>
        </w:r>
        <w:r>
          <w:rPr>
            <w:webHidden/>
          </w:rPr>
          <w:fldChar w:fldCharType="begin"/>
        </w:r>
        <w:r w:rsidR="008A1744">
          <w:rPr>
            <w:webHidden/>
          </w:rPr>
          <w:instrText xml:space="preserve"> PAGEREF _Toc271280118 \h </w:instrText>
        </w:r>
        <w:r>
          <w:rPr>
            <w:webHidden/>
          </w:rPr>
        </w:r>
        <w:r>
          <w:rPr>
            <w:webHidden/>
          </w:rPr>
          <w:fldChar w:fldCharType="separate"/>
        </w:r>
        <w:r w:rsidR="00B50C61">
          <w:rPr>
            <w:webHidden/>
          </w:rPr>
          <w:t>127</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19" w:history="1">
        <w:r w:rsidR="008A1744" w:rsidRPr="00B60CC4">
          <w:rPr>
            <w:rStyle w:val="Hyperlink"/>
          </w:rPr>
          <w:t>Table 8.3b.  Acres of Lakes Impaired by Cause</w:t>
        </w:r>
        <w:r w:rsidR="008A1744">
          <w:rPr>
            <w:webHidden/>
          </w:rPr>
          <w:tab/>
        </w:r>
        <w:r>
          <w:rPr>
            <w:webHidden/>
          </w:rPr>
          <w:fldChar w:fldCharType="begin"/>
        </w:r>
        <w:r w:rsidR="008A1744">
          <w:rPr>
            <w:webHidden/>
          </w:rPr>
          <w:instrText xml:space="preserve"> PAGEREF _Toc271280119 \h </w:instrText>
        </w:r>
        <w:r>
          <w:rPr>
            <w:webHidden/>
          </w:rPr>
        </w:r>
        <w:r>
          <w:rPr>
            <w:webHidden/>
          </w:rPr>
          <w:fldChar w:fldCharType="separate"/>
        </w:r>
        <w:r w:rsidR="00B50C61">
          <w:rPr>
            <w:webHidden/>
          </w:rPr>
          <w:t>128</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20" w:history="1">
        <w:r w:rsidR="008A1744" w:rsidRPr="00B60CC4">
          <w:rPr>
            <w:rStyle w:val="Hyperlink"/>
          </w:rPr>
          <w:t>Table 8.3c.  Square Miles of Estuaries Impaired by Cause</w:t>
        </w:r>
        <w:r w:rsidR="008A1744">
          <w:rPr>
            <w:webHidden/>
          </w:rPr>
          <w:tab/>
        </w:r>
        <w:r>
          <w:rPr>
            <w:webHidden/>
          </w:rPr>
          <w:fldChar w:fldCharType="begin"/>
        </w:r>
        <w:r w:rsidR="008A1744">
          <w:rPr>
            <w:webHidden/>
          </w:rPr>
          <w:instrText xml:space="preserve"> PAGEREF _Toc271280120 \h </w:instrText>
        </w:r>
        <w:r>
          <w:rPr>
            <w:webHidden/>
          </w:rPr>
        </w:r>
        <w:r>
          <w:rPr>
            <w:webHidden/>
          </w:rPr>
          <w:fldChar w:fldCharType="separate"/>
        </w:r>
        <w:r w:rsidR="00B50C61">
          <w:rPr>
            <w:webHidden/>
          </w:rPr>
          <w:t>128</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21" w:history="1">
        <w:r w:rsidR="008A1744" w:rsidRPr="00B60CC4">
          <w:rPr>
            <w:rStyle w:val="Hyperlink"/>
          </w:rPr>
          <w:t>Table 8.3d.  Square Miles of Coastal Waters Impaired by Cause</w:t>
        </w:r>
        <w:r w:rsidR="008A1744">
          <w:rPr>
            <w:webHidden/>
          </w:rPr>
          <w:tab/>
        </w:r>
        <w:r>
          <w:rPr>
            <w:webHidden/>
          </w:rPr>
          <w:fldChar w:fldCharType="begin"/>
        </w:r>
        <w:r w:rsidR="008A1744">
          <w:rPr>
            <w:webHidden/>
          </w:rPr>
          <w:instrText xml:space="preserve"> PAGEREF _Toc271280121 \h </w:instrText>
        </w:r>
        <w:r>
          <w:rPr>
            <w:webHidden/>
          </w:rPr>
        </w:r>
        <w:r>
          <w:rPr>
            <w:webHidden/>
          </w:rPr>
          <w:fldChar w:fldCharType="separate"/>
        </w:r>
        <w:r w:rsidR="00B50C61">
          <w:rPr>
            <w:webHidden/>
          </w:rPr>
          <w:t>129</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22" w:history="1">
        <w:r w:rsidR="008A1744" w:rsidRPr="00B60CC4">
          <w:rPr>
            <w:rStyle w:val="Hyperlink"/>
          </w:rPr>
          <w:t>Table 8.4.  Numbers of Measurements and Impairment Status for the BioRecon and SCI, 1992–October 2009</w:t>
        </w:r>
        <w:r w:rsidR="008A1744">
          <w:rPr>
            <w:webHidden/>
          </w:rPr>
          <w:tab/>
        </w:r>
        <w:r>
          <w:rPr>
            <w:webHidden/>
          </w:rPr>
          <w:fldChar w:fldCharType="begin"/>
        </w:r>
        <w:r w:rsidR="008A1744">
          <w:rPr>
            <w:webHidden/>
          </w:rPr>
          <w:instrText xml:space="preserve"> PAGEREF _Toc271280122 \h </w:instrText>
        </w:r>
        <w:r>
          <w:rPr>
            <w:webHidden/>
          </w:rPr>
        </w:r>
        <w:r>
          <w:rPr>
            <w:webHidden/>
          </w:rPr>
          <w:fldChar w:fldCharType="separate"/>
        </w:r>
        <w:r w:rsidR="00B50C61">
          <w:rPr>
            <w:webHidden/>
          </w:rPr>
          <w:t>133</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23" w:history="1">
        <w:r w:rsidR="008A1744" w:rsidRPr="00B60CC4">
          <w:rPr>
            <w:rStyle w:val="Hyperlink"/>
          </w:rPr>
          <w:t>Table 8.5.  Total Miles of Rivers/Streams and Acres of Lakes/Reservoirs Designated for Drinking Water Use</w:t>
        </w:r>
        <w:r w:rsidR="008A1744">
          <w:rPr>
            <w:webHidden/>
          </w:rPr>
          <w:tab/>
        </w:r>
        <w:r>
          <w:rPr>
            <w:webHidden/>
          </w:rPr>
          <w:fldChar w:fldCharType="begin"/>
        </w:r>
        <w:r w:rsidR="008A1744">
          <w:rPr>
            <w:webHidden/>
          </w:rPr>
          <w:instrText xml:space="preserve"> PAGEREF _Toc271280123 \h </w:instrText>
        </w:r>
        <w:r>
          <w:rPr>
            <w:webHidden/>
          </w:rPr>
        </w:r>
        <w:r>
          <w:rPr>
            <w:webHidden/>
          </w:rPr>
          <w:fldChar w:fldCharType="separate"/>
        </w:r>
        <w:r w:rsidR="00B50C61">
          <w:rPr>
            <w:webHidden/>
          </w:rPr>
          <w:t>134</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24" w:history="1">
        <w:r w:rsidR="008A1744" w:rsidRPr="00B60CC4">
          <w:rPr>
            <w:rStyle w:val="Hyperlink"/>
          </w:rPr>
          <w:t>Table 8.6.  Miles of Rivers/Streams and Acres of Lakes/Reservoirs Designated for Drinking Water Use that Are Assigned to Each of the EPA’s Five Reporting Categories</w:t>
        </w:r>
        <w:r w:rsidR="008A1744">
          <w:rPr>
            <w:webHidden/>
          </w:rPr>
          <w:tab/>
        </w:r>
        <w:r>
          <w:rPr>
            <w:webHidden/>
          </w:rPr>
          <w:fldChar w:fldCharType="begin"/>
        </w:r>
        <w:r w:rsidR="008A1744">
          <w:rPr>
            <w:webHidden/>
          </w:rPr>
          <w:instrText xml:space="preserve"> PAGEREF _Toc271280124 \h </w:instrText>
        </w:r>
        <w:r>
          <w:rPr>
            <w:webHidden/>
          </w:rPr>
        </w:r>
        <w:r>
          <w:rPr>
            <w:webHidden/>
          </w:rPr>
          <w:fldChar w:fldCharType="separate"/>
        </w:r>
        <w:r w:rsidR="00B50C61">
          <w:rPr>
            <w:webHidden/>
          </w:rPr>
          <w:t>135</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25" w:history="1">
        <w:r w:rsidR="008A1744" w:rsidRPr="00B60CC4">
          <w:rPr>
            <w:rStyle w:val="Hyperlink"/>
          </w:rPr>
          <w:t>Table 8.7.  Summary of Impaired River/Stream Miles and Lake/Reservoir Acres Overlapping Source Water Areas of Community Water Systems</w:t>
        </w:r>
        <w:r w:rsidR="008A1744">
          <w:rPr>
            <w:webHidden/>
          </w:rPr>
          <w:tab/>
        </w:r>
        <w:r>
          <w:rPr>
            <w:webHidden/>
          </w:rPr>
          <w:fldChar w:fldCharType="begin"/>
        </w:r>
        <w:r w:rsidR="008A1744">
          <w:rPr>
            <w:webHidden/>
          </w:rPr>
          <w:instrText xml:space="preserve"> PAGEREF _Toc271280125 \h </w:instrText>
        </w:r>
        <w:r>
          <w:rPr>
            <w:webHidden/>
          </w:rPr>
        </w:r>
        <w:r>
          <w:rPr>
            <w:webHidden/>
          </w:rPr>
          <w:fldChar w:fldCharType="separate"/>
        </w:r>
        <w:r w:rsidR="00B50C61">
          <w:rPr>
            <w:webHidden/>
          </w:rPr>
          <w:t>136</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26" w:history="1">
        <w:r w:rsidR="008A1744" w:rsidRPr="00B60CC4">
          <w:rPr>
            <w:rStyle w:val="Hyperlink"/>
            <w:snapToGrid w:val="0"/>
          </w:rPr>
          <w:t>Table 9.1a.  Summary of Ground Water Monitoring Programs and Data Sources:   FDEP-Maintained Monitoring Networks</w:t>
        </w:r>
        <w:r w:rsidR="008A1744">
          <w:rPr>
            <w:webHidden/>
          </w:rPr>
          <w:tab/>
        </w:r>
        <w:r>
          <w:rPr>
            <w:webHidden/>
          </w:rPr>
          <w:fldChar w:fldCharType="begin"/>
        </w:r>
        <w:r w:rsidR="008A1744">
          <w:rPr>
            <w:webHidden/>
          </w:rPr>
          <w:instrText xml:space="preserve"> PAGEREF _Toc271280126 \h </w:instrText>
        </w:r>
        <w:r>
          <w:rPr>
            <w:webHidden/>
          </w:rPr>
        </w:r>
        <w:r>
          <w:rPr>
            <w:webHidden/>
          </w:rPr>
          <w:fldChar w:fldCharType="separate"/>
        </w:r>
        <w:r w:rsidR="00B50C61">
          <w:rPr>
            <w:webHidden/>
          </w:rPr>
          <w:t>139</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27" w:history="1">
        <w:r w:rsidR="008A1744" w:rsidRPr="00B60CC4">
          <w:rPr>
            <w:rStyle w:val="Hyperlink"/>
            <w:snapToGrid w:val="0"/>
          </w:rPr>
          <w:t>Table 9.1b.  Summary of Ground Water Monitoring Programs and Data Sources:  Programs that Include Potable Ground Water Sampling:   FDEP-Maintained Monitoring Networks</w:t>
        </w:r>
        <w:r w:rsidR="008A1744">
          <w:rPr>
            <w:webHidden/>
          </w:rPr>
          <w:tab/>
        </w:r>
        <w:r>
          <w:rPr>
            <w:webHidden/>
          </w:rPr>
          <w:fldChar w:fldCharType="begin"/>
        </w:r>
        <w:r w:rsidR="008A1744">
          <w:rPr>
            <w:webHidden/>
          </w:rPr>
          <w:instrText xml:space="preserve"> PAGEREF _Toc271280127 \h </w:instrText>
        </w:r>
        <w:r>
          <w:rPr>
            <w:webHidden/>
          </w:rPr>
        </w:r>
        <w:r>
          <w:rPr>
            <w:webHidden/>
          </w:rPr>
          <w:fldChar w:fldCharType="separate"/>
        </w:r>
        <w:r w:rsidR="00B50C61">
          <w:rPr>
            <w:webHidden/>
          </w:rPr>
          <w:t>140</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28" w:history="1">
        <w:r w:rsidR="008A1744" w:rsidRPr="00B60CC4">
          <w:rPr>
            <w:rStyle w:val="Hyperlink"/>
          </w:rPr>
          <w:t>Table 10.1.</w:t>
        </w:r>
        <w:r w:rsidR="008A1744">
          <w:rPr>
            <w:rFonts w:asciiTheme="minorHAnsi" w:eastAsiaTheme="minorEastAsia" w:hAnsiTheme="minorHAnsi" w:cstheme="minorBidi"/>
            <w:b w:val="0"/>
            <w:bCs w:val="0"/>
            <w:i w:val="0"/>
          </w:rPr>
          <w:tab/>
        </w:r>
        <w:r w:rsidR="008A1744" w:rsidRPr="00B60CC4">
          <w:rPr>
            <w:rStyle w:val="Hyperlink"/>
          </w:rPr>
          <w:t>Summary of Percent Ground Water Samples Achieving Primary Ground Water Standards for Selected Analytes by Basin</w:t>
        </w:r>
        <w:r w:rsidR="008A1744">
          <w:rPr>
            <w:webHidden/>
          </w:rPr>
          <w:tab/>
        </w:r>
        <w:r>
          <w:rPr>
            <w:webHidden/>
          </w:rPr>
          <w:fldChar w:fldCharType="begin"/>
        </w:r>
        <w:r w:rsidR="008A1744">
          <w:rPr>
            <w:webHidden/>
          </w:rPr>
          <w:instrText xml:space="preserve"> PAGEREF _Toc271280128 \h </w:instrText>
        </w:r>
        <w:r>
          <w:rPr>
            <w:webHidden/>
          </w:rPr>
        </w:r>
        <w:r>
          <w:rPr>
            <w:webHidden/>
          </w:rPr>
          <w:fldChar w:fldCharType="separate"/>
        </w:r>
        <w:r w:rsidR="00B50C61">
          <w:rPr>
            <w:webHidden/>
          </w:rPr>
          <w:t>144</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29" w:history="1">
        <w:r w:rsidR="008A1744" w:rsidRPr="00B60CC4">
          <w:rPr>
            <w:rStyle w:val="Hyperlink"/>
          </w:rPr>
          <w:t>Table 10.2a.</w:t>
        </w:r>
        <w:r w:rsidR="008A1744">
          <w:rPr>
            <w:rFonts w:asciiTheme="minorHAnsi" w:eastAsiaTheme="minorEastAsia" w:hAnsiTheme="minorHAnsi" w:cstheme="minorBidi"/>
            <w:b w:val="0"/>
            <w:bCs w:val="0"/>
            <w:i w:val="0"/>
          </w:rPr>
          <w:tab/>
        </w:r>
        <w:r w:rsidR="008A1744" w:rsidRPr="00B60CC4">
          <w:rPr>
            <w:rStyle w:val="Hyperlink"/>
          </w:rPr>
          <w:t>Summary of Recent Exceedances of Primary Ground Water Standards in Samples from Private Wells and Ground Water–Based Public Water Systems</w:t>
        </w:r>
        <w:r w:rsidR="008A1744">
          <w:rPr>
            <w:webHidden/>
          </w:rPr>
          <w:tab/>
        </w:r>
        <w:r>
          <w:rPr>
            <w:webHidden/>
          </w:rPr>
          <w:fldChar w:fldCharType="begin"/>
        </w:r>
        <w:r w:rsidR="008A1744">
          <w:rPr>
            <w:webHidden/>
          </w:rPr>
          <w:instrText xml:space="preserve"> PAGEREF _Toc271280129 \h </w:instrText>
        </w:r>
        <w:r>
          <w:rPr>
            <w:webHidden/>
          </w:rPr>
        </w:r>
        <w:r>
          <w:rPr>
            <w:webHidden/>
          </w:rPr>
          <w:fldChar w:fldCharType="separate"/>
        </w:r>
        <w:r w:rsidR="00B50C61">
          <w:rPr>
            <w:webHidden/>
          </w:rPr>
          <w:t>148</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30" w:history="1">
        <w:r w:rsidR="008A1744" w:rsidRPr="00B60CC4">
          <w:rPr>
            <w:rStyle w:val="Hyperlink"/>
          </w:rPr>
          <w:t>Table 10.2b.</w:t>
        </w:r>
        <w:r w:rsidR="008A1744">
          <w:rPr>
            <w:rFonts w:asciiTheme="minorHAnsi" w:eastAsiaTheme="minorEastAsia" w:hAnsiTheme="minorHAnsi" w:cstheme="minorBidi"/>
            <w:b w:val="0"/>
            <w:bCs w:val="0"/>
            <w:i w:val="0"/>
          </w:rPr>
          <w:tab/>
        </w:r>
        <w:r w:rsidR="008A1744" w:rsidRPr="00B60CC4">
          <w:rPr>
            <w:rStyle w:val="Hyperlink"/>
          </w:rPr>
          <w:t>Summary of Recent Exceedances of Primary Ground Water Standards in Samples from Private Wells and Ground Water–Based Public Water Systems</w:t>
        </w:r>
        <w:r w:rsidR="008A1744">
          <w:rPr>
            <w:webHidden/>
          </w:rPr>
          <w:tab/>
        </w:r>
        <w:r>
          <w:rPr>
            <w:webHidden/>
          </w:rPr>
          <w:fldChar w:fldCharType="begin"/>
        </w:r>
        <w:r w:rsidR="008A1744">
          <w:rPr>
            <w:webHidden/>
          </w:rPr>
          <w:instrText xml:space="preserve"> PAGEREF _Toc271280130 \h </w:instrText>
        </w:r>
        <w:r>
          <w:rPr>
            <w:webHidden/>
          </w:rPr>
        </w:r>
        <w:r>
          <w:rPr>
            <w:webHidden/>
          </w:rPr>
          <w:fldChar w:fldCharType="separate"/>
        </w:r>
        <w:r w:rsidR="00B50C61">
          <w:rPr>
            <w:webHidden/>
          </w:rPr>
          <w:t>149</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31" w:history="1">
        <w:r w:rsidR="008A1744" w:rsidRPr="00B60CC4">
          <w:rPr>
            <w:rStyle w:val="Hyperlink"/>
          </w:rPr>
          <w:t>Table 10.3.  Median Concentrations of Ground Water–Surface Water Constituents in Unconfined Aquifers (2000–07/2008-09)</w:t>
        </w:r>
        <w:r w:rsidR="008A1744">
          <w:rPr>
            <w:webHidden/>
          </w:rPr>
          <w:tab/>
        </w:r>
        <w:r>
          <w:rPr>
            <w:webHidden/>
          </w:rPr>
          <w:fldChar w:fldCharType="begin"/>
        </w:r>
        <w:r w:rsidR="008A1744">
          <w:rPr>
            <w:webHidden/>
          </w:rPr>
          <w:instrText xml:space="preserve"> PAGEREF _Toc271280131 \h </w:instrText>
        </w:r>
        <w:r>
          <w:rPr>
            <w:webHidden/>
          </w:rPr>
        </w:r>
        <w:r>
          <w:rPr>
            <w:webHidden/>
          </w:rPr>
          <w:fldChar w:fldCharType="separate"/>
        </w:r>
        <w:r w:rsidR="00B50C61">
          <w:rPr>
            <w:webHidden/>
          </w:rPr>
          <w:t>157</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32" w:history="1">
        <w:r w:rsidR="008A1744" w:rsidRPr="00B60CC4">
          <w:rPr>
            <w:rStyle w:val="Hyperlink"/>
          </w:rPr>
          <w:t>Table 11.1.  Status of Ongoing BMAP Efforts</w:t>
        </w:r>
        <w:r w:rsidR="008A1744">
          <w:rPr>
            <w:webHidden/>
          </w:rPr>
          <w:tab/>
        </w:r>
        <w:r>
          <w:rPr>
            <w:webHidden/>
          </w:rPr>
          <w:fldChar w:fldCharType="begin"/>
        </w:r>
        <w:r w:rsidR="008A1744">
          <w:rPr>
            <w:webHidden/>
          </w:rPr>
          <w:instrText xml:space="preserve"> PAGEREF _Toc271280132 \h </w:instrText>
        </w:r>
        <w:r>
          <w:rPr>
            <w:webHidden/>
          </w:rPr>
        </w:r>
        <w:r>
          <w:rPr>
            <w:webHidden/>
          </w:rPr>
          <w:fldChar w:fldCharType="separate"/>
        </w:r>
        <w:r w:rsidR="00B50C61">
          <w:rPr>
            <w:webHidden/>
          </w:rPr>
          <w:t>169</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33" w:history="1">
        <w:r w:rsidR="008A1744" w:rsidRPr="00B60CC4">
          <w:rPr>
            <w:rStyle w:val="Hyperlink"/>
          </w:rPr>
          <w:t>Table 11.2.  Primary Coordination Mechanisms for Managing State, Regional, and Local Water Resources</w:t>
        </w:r>
        <w:r w:rsidR="008A1744">
          <w:rPr>
            <w:webHidden/>
          </w:rPr>
          <w:tab/>
        </w:r>
        <w:r>
          <w:rPr>
            <w:webHidden/>
          </w:rPr>
          <w:fldChar w:fldCharType="begin"/>
        </w:r>
        <w:r w:rsidR="008A1744">
          <w:rPr>
            <w:webHidden/>
          </w:rPr>
          <w:instrText xml:space="preserve"> PAGEREF _Toc271280133 \h </w:instrText>
        </w:r>
        <w:r>
          <w:rPr>
            <w:webHidden/>
          </w:rPr>
        </w:r>
        <w:r>
          <w:rPr>
            <w:webHidden/>
          </w:rPr>
          <w:fldChar w:fldCharType="separate"/>
        </w:r>
        <w:r w:rsidR="00B50C61">
          <w:rPr>
            <w:webHidden/>
          </w:rPr>
          <w:t>177</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34" w:history="1">
        <w:r w:rsidR="008A1744" w:rsidRPr="00B60CC4">
          <w:rPr>
            <w:rStyle w:val="Hyperlink"/>
          </w:rPr>
          <w:t>Table 11.3.  Results of the 2004 Clean Watersheds Needs Survey for Florida</w:t>
        </w:r>
        <w:r w:rsidR="008A1744">
          <w:rPr>
            <w:webHidden/>
          </w:rPr>
          <w:tab/>
        </w:r>
        <w:r>
          <w:rPr>
            <w:webHidden/>
          </w:rPr>
          <w:fldChar w:fldCharType="begin"/>
        </w:r>
        <w:r w:rsidR="008A1744">
          <w:rPr>
            <w:webHidden/>
          </w:rPr>
          <w:instrText xml:space="preserve"> PAGEREF _Toc271280134 \h </w:instrText>
        </w:r>
        <w:r>
          <w:rPr>
            <w:webHidden/>
          </w:rPr>
        </w:r>
        <w:r>
          <w:rPr>
            <w:webHidden/>
          </w:rPr>
          <w:fldChar w:fldCharType="separate"/>
        </w:r>
        <w:r w:rsidR="00B50C61">
          <w:rPr>
            <w:webHidden/>
          </w:rPr>
          <w:t>181</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35" w:history="1">
        <w:r w:rsidR="008A1744" w:rsidRPr="00B60CC4">
          <w:rPr>
            <w:rStyle w:val="Hyperlink"/>
            <w:snapToGrid w:val="0"/>
          </w:rPr>
          <w:t>Table 11.4.  Historical Estimates of Wetlands in Florida, 1780–1980</w:t>
        </w:r>
        <w:r w:rsidR="008A1744">
          <w:rPr>
            <w:webHidden/>
          </w:rPr>
          <w:tab/>
        </w:r>
        <w:r>
          <w:rPr>
            <w:webHidden/>
          </w:rPr>
          <w:fldChar w:fldCharType="begin"/>
        </w:r>
        <w:r w:rsidR="008A1744">
          <w:rPr>
            <w:webHidden/>
          </w:rPr>
          <w:instrText xml:space="preserve"> PAGEREF _Toc271280135 \h </w:instrText>
        </w:r>
        <w:r>
          <w:rPr>
            <w:webHidden/>
          </w:rPr>
        </w:r>
        <w:r>
          <w:rPr>
            <w:webHidden/>
          </w:rPr>
          <w:fldChar w:fldCharType="separate"/>
        </w:r>
        <w:r w:rsidR="00B50C61">
          <w:rPr>
            <w:webHidden/>
          </w:rPr>
          <w:t>183</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36" w:history="1">
        <w:r w:rsidR="008A1744" w:rsidRPr="00B60CC4">
          <w:rPr>
            <w:rStyle w:val="Hyperlink"/>
          </w:rPr>
          <w:t>Table 11.5.  Open Mitigation Banks in Florida</w:t>
        </w:r>
        <w:r w:rsidR="008A1744" w:rsidRPr="00B60CC4">
          <w:rPr>
            <w:rStyle w:val="Hyperlink"/>
            <w:vertAlign w:val="superscript"/>
          </w:rPr>
          <w:t>1</w:t>
        </w:r>
        <w:r w:rsidR="008A1744">
          <w:rPr>
            <w:webHidden/>
          </w:rPr>
          <w:tab/>
        </w:r>
        <w:r>
          <w:rPr>
            <w:webHidden/>
          </w:rPr>
          <w:fldChar w:fldCharType="begin"/>
        </w:r>
        <w:r w:rsidR="008A1744">
          <w:rPr>
            <w:webHidden/>
          </w:rPr>
          <w:instrText xml:space="preserve"> PAGEREF _Toc271280136 \h </w:instrText>
        </w:r>
        <w:r>
          <w:rPr>
            <w:webHidden/>
          </w:rPr>
        </w:r>
        <w:r>
          <w:rPr>
            <w:webHidden/>
          </w:rPr>
          <w:fldChar w:fldCharType="separate"/>
        </w:r>
        <w:r w:rsidR="00B50C61">
          <w:rPr>
            <w:webHidden/>
          </w:rPr>
          <w:t>188</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37" w:history="1">
        <w:r w:rsidR="008A1744" w:rsidRPr="00B60CC4">
          <w:rPr>
            <w:rStyle w:val="Hyperlink"/>
            <w:snapToGrid w:val="0"/>
          </w:rPr>
          <w:t>Table 11.6.  Acreage of Affected Wetlands Regulated by FDEP and the Water Management Districts (2004–09)</w:t>
        </w:r>
        <w:r w:rsidR="008A1744">
          <w:rPr>
            <w:webHidden/>
          </w:rPr>
          <w:tab/>
        </w:r>
        <w:r>
          <w:rPr>
            <w:webHidden/>
          </w:rPr>
          <w:fldChar w:fldCharType="begin"/>
        </w:r>
        <w:r w:rsidR="008A1744">
          <w:rPr>
            <w:webHidden/>
          </w:rPr>
          <w:instrText xml:space="preserve"> PAGEREF _Toc271280137 \h </w:instrText>
        </w:r>
        <w:r>
          <w:rPr>
            <w:webHidden/>
          </w:rPr>
        </w:r>
        <w:r>
          <w:rPr>
            <w:webHidden/>
          </w:rPr>
          <w:fldChar w:fldCharType="separate"/>
        </w:r>
        <w:r w:rsidR="00B50C61">
          <w:rPr>
            <w:webHidden/>
          </w:rPr>
          <w:t>189</w:t>
        </w:r>
        <w:r>
          <w:rPr>
            <w:webHidden/>
          </w:rPr>
          <w:fldChar w:fldCharType="end"/>
        </w:r>
      </w:hyperlink>
    </w:p>
    <w:p w:rsidR="00485094" w:rsidRDefault="00A74EF3" w:rsidP="003675DD">
      <w:pPr>
        <w:pStyle w:val="Bodytext"/>
        <w:tabs>
          <w:tab w:val="left" w:pos="9090"/>
          <w:tab w:val="left" w:pos="9270"/>
          <w:tab w:val="right" w:leader="dot" w:pos="9360"/>
        </w:tabs>
        <w:rPr>
          <w:rFonts w:cs="Arial"/>
        </w:rPr>
      </w:pPr>
      <w:r>
        <w:rPr>
          <w:rFonts w:cs="Arial"/>
        </w:rPr>
        <w:fldChar w:fldCharType="end"/>
      </w:r>
    </w:p>
    <w:p w:rsidR="00485094" w:rsidRPr="00AB1274" w:rsidRDefault="00485094" w:rsidP="00A553DE">
      <w:pPr>
        <w:pStyle w:val="Bodytextreduced"/>
      </w:pPr>
    </w:p>
    <w:p w:rsidR="00485094" w:rsidRPr="003E1F65" w:rsidRDefault="00485094" w:rsidP="001C760A">
      <w:pPr>
        <w:pStyle w:val="BlockText"/>
        <w:jc w:val="center"/>
        <w:rPr>
          <w:rFonts w:ascii="Arial" w:hAnsi="Arial" w:cs="Arial"/>
          <w:b/>
          <w:sz w:val="28"/>
          <w:szCs w:val="28"/>
        </w:rPr>
      </w:pPr>
      <w:r w:rsidRPr="003E1F65">
        <w:rPr>
          <w:rFonts w:ascii="Arial" w:hAnsi="Arial" w:cs="Arial"/>
          <w:b/>
          <w:sz w:val="28"/>
          <w:szCs w:val="28"/>
        </w:rPr>
        <w:t>List of Figures</w:t>
      </w:r>
    </w:p>
    <w:p w:rsidR="00485094" w:rsidRPr="003A4461" w:rsidRDefault="00485094" w:rsidP="00FE7836">
      <w:pPr>
        <w:pStyle w:val="Bodytextreduced"/>
      </w:pPr>
    </w:p>
    <w:p w:rsidR="008A1744" w:rsidRDefault="00A74EF3">
      <w:pPr>
        <w:pStyle w:val="TableofFigures"/>
        <w:rPr>
          <w:rFonts w:asciiTheme="minorHAnsi" w:eastAsiaTheme="minorEastAsia" w:hAnsiTheme="minorHAnsi" w:cstheme="minorBidi"/>
          <w:b w:val="0"/>
          <w:bCs w:val="0"/>
          <w:i w:val="0"/>
        </w:rPr>
      </w:pPr>
      <w:r>
        <w:rPr>
          <w:rFonts w:cs="Arial"/>
        </w:rPr>
        <w:fldChar w:fldCharType="begin"/>
      </w:r>
      <w:r w:rsidR="00485094">
        <w:rPr>
          <w:rFonts w:cs="Arial"/>
        </w:rPr>
        <w:instrText xml:space="preserve"> TOC \h \z \t "Caption" \c </w:instrText>
      </w:r>
      <w:r>
        <w:rPr>
          <w:rFonts w:cs="Arial"/>
        </w:rPr>
        <w:fldChar w:fldCharType="separate"/>
      </w:r>
      <w:hyperlink w:anchor="_Toc271280138" w:history="1">
        <w:r w:rsidR="008A1744" w:rsidRPr="001B438B">
          <w:rPr>
            <w:rStyle w:val="Hyperlink"/>
          </w:rPr>
          <w:t>Figure 2.1.  Florida’s Population Distribution, 2000</w:t>
        </w:r>
        <w:r w:rsidR="008A1744">
          <w:rPr>
            <w:webHidden/>
          </w:rPr>
          <w:tab/>
        </w:r>
        <w:r>
          <w:rPr>
            <w:webHidden/>
          </w:rPr>
          <w:fldChar w:fldCharType="begin"/>
        </w:r>
        <w:r w:rsidR="008A1744">
          <w:rPr>
            <w:webHidden/>
          </w:rPr>
          <w:instrText xml:space="preserve"> PAGEREF _Toc271280138 \h </w:instrText>
        </w:r>
        <w:r>
          <w:rPr>
            <w:webHidden/>
          </w:rPr>
        </w:r>
        <w:r>
          <w:rPr>
            <w:webHidden/>
          </w:rPr>
          <w:fldChar w:fldCharType="separate"/>
        </w:r>
        <w:r w:rsidR="00B50C61">
          <w:rPr>
            <w:webHidden/>
          </w:rPr>
          <w:t>8</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39" w:history="1">
        <w:r w:rsidR="008A1744" w:rsidRPr="001B438B">
          <w:rPr>
            <w:rStyle w:val="Hyperlink"/>
          </w:rPr>
          <w:t>Figure 2.2.  Florida’s Average Annual Rainfall, 1971–2000</w:t>
        </w:r>
        <w:r w:rsidR="008A1744">
          <w:rPr>
            <w:webHidden/>
          </w:rPr>
          <w:tab/>
        </w:r>
        <w:r>
          <w:rPr>
            <w:webHidden/>
          </w:rPr>
          <w:fldChar w:fldCharType="begin"/>
        </w:r>
        <w:r w:rsidR="008A1744">
          <w:rPr>
            <w:webHidden/>
          </w:rPr>
          <w:instrText xml:space="preserve"> PAGEREF _Toc271280139 \h </w:instrText>
        </w:r>
        <w:r>
          <w:rPr>
            <w:webHidden/>
          </w:rPr>
        </w:r>
        <w:r>
          <w:rPr>
            <w:webHidden/>
          </w:rPr>
          <w:fldChar w:fldCharType="separate"/>
        </w:r>
        <w:r w:rsidR="00B50C61">
          <w:rPr>
            <w:webHidden/>
          </w:rPr>
          <w:t>9</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40" w:history="1">
        <w:r w:rsidR="008A1744" w:rsidRPr="001B438B">
          <w:rPr>
            <w:rStyle w:val="Hyperlink"/>
          </w:rPr>
          <w:t>Figure 2.3.  Springs of Florida</w:t>
        </w:r>
        <w:r w:rsidR="008A1744">
          <w:rPr>
            <w:webHidden/>
          </w:rPr>
          <w:tab/>
        </w:r>
        <w:r>
          <w:rPr>
            <w:webHidden/>
          </w:rPr>
          <w:fldChar w:fldCharType="begin"/>
        </w:r>
        <w:r w:rsidR="008A1744">
          <w:rPr>
            <w:webHidden/>
          </w:rPr>
          <w:instrText xml:space="preserve"> PAGEREF _Toc271280140 \h </w:instrText>
        </w:r>
        <w:r>
          <w:rPr>
            <w:webHidden/>
          </w:rPr>
        </w:r>
        <w:r>
          <w:rPr>
            <w:webHidden/>
          </w:rPr>
          <w:fldChar w:fldCharType="separate"/>
        </w:r>
        <w:r w:rsidR="00B50C61">
          <w:rPr>
            <w:webHidden/>
          </w:rPr>
          <w:t>14</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41" w:history="1">
        <w:r w:rsidR="008A1744" w:rsidRPr="001B438B">
          <w:rPr>
            <w:rStyle w:val="Hyperlink"/>
          </w:rPr>
          <w:t>Figure 2.4.  Florida’s Hydrologic Divide</w:t>
        </w:r>
        <w:r w:rsidR="008A1744">
          <w:rPr>
            <w:webHidden/>
          </w:rPr>
          <w:tab/>
        </w:r>
        <w:r>
          <w:rPr>
            <w:webHidden/>
          </w:rPr>
          <w:fldChar w:fldCharType="begin"/>
        </w:r>
        <w:r w:rsidR="008A1744">
          <w:rPr>
            <w:webHidden/>
          </w:rPr>
          <w:instrText xml:space="preserve"> PAGEREF _Toc271280141 \h </w:instrText>
        </w:r>
        <w:r>
          <w:rPr>
            <w:webHidden/>
          </w:rPr>
        </w:r>
        <w:r>
          <w:rPr>
            <w:webHidden/>
          </w:rPr>
          <w:fldChar w:fldCharType="separate"/>
        </w:r>
        <w:r w:rsidR="00B50C61">
          <w:rPr>
            <w:webHidden/>
          </w:rPr>
          <w:t>16</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42" w:history="1">
        <w:r w:rsidR="008A1744" w:rsidRPr="001B438B">
          <w:rPr>
            <w:rStyle w:val="Hyperlink"/>
          </w:rPr>
          <w:t>Figure 5.1.  Status Network Sampling Periods for the Florida Panhandle and Florida Peninsula</w:t>
        </w:r>
        <w:r w:rsidR="008A1744">
          <w:rPr>
            <w:webHidden/>
          </w:rPr>
          <w:tab/>
        </w:r>
        <w:r>
          <w:rPr>
            <w:webHidden/>
          </w:rPr>
          <w:fldChar w:fldCharType="begin"/>
        </w:r>
        <w:r w:rsidR="008A1744">
          <w:rPr>
            <w:webHidden/>
          </w:rPr>
          <w:instrText xml:space="preserve"> PAGEREF _Toc271280142 \h </w:instrText>
        </w:r>
        <w:r>
          <w:rPr>
            <w:webHidden/>
          </w:rPr>
        </w:r>
        <w:r>
          <w:rPr>
            <w:webHidden/>
          </w:rPr>
          <w:fldChar w:fldCharType="separate"/>
        </w:r>
        <w:r w:rsidR="00B50C61">
          <w:rPr>
            <w:webHidden/>
          </w:rPr>
          <w:t>42</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43" w:history="1">
        <w:r w:rsidR="008A1744" w:rsidRPr="001B438B">
          <w:rPr>
            <w:rStyle w:val="Hyperlink"/>
          </w:rPr>
          <w:t>Figure 5.2.  Status Monitoring Network Reporting Units</w:t>
        </w:r>
        <w:r w:rsidR="008A1744">
          <w:rPr>
            <w:webHidden/>
          </w:rPr>
          <w:tab/>
        </w:r>
        <w:r>
          <w:rPr>
            <w:webHidden/>
          </w:rPr>
          <w:fldChar w:fldCharType="begin"/>
        </w:r>
        <w:r w:rsidR="008A1744">
          <w:rPr>
            <w:webHidden/>
          </w:rPr>
          <w:instrText xml:space="preserve"> PAGEREF _Toc271280143 \h </w:instrText>
        </w:r>
        <w:r>
          <w:rPr>
            <w:webHidden/>
          </w:rPr>
        </w:r>
        <w:r>
          <w:rPr>
            <w:webHidden/>
          </w:rPr>
          <w:fldChar w:fldCharType="separate"/>
        </w:r>
        <w:r w:rsidR="00B50C61">
          <w:rPr>
            <w:webHidden/>
          </w:rPr>
          <w:t>47</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44" w:history="1">
        <w:r w:rsidR="008A1744" w:rsidRPr="001B438B">
          <w:rPr>
            <w:rStyle w:val="Hyperlink"/>
          </w:rPr>
          <w:t>Figure 5.3.  Surface Water Trend Network Sites</w:t>
        </w:r>
        <w:r w:rsidR="008A1744">
          <w:rPr>
            <w:webHidden/>
          </w:rPr>
          <w:tab/>
        </w:r>
        <w:r>
          <w:rPr>
            <w:webHidden/>
          </w:rPr>
          <w:fldChar w:fldCharType="begin"/>
        </w:r>
        <w:r w:rsidR="008A1744">
          <w:rPr>
            <w:webHidden/>
          </w:rPr>
          <w:instrText xml:space="preserve"> PAGEREF _Toc271280144 \h </w:instrText>
        </w:r>
        <w:r>
          <w:rPr>
            <w:webHidden/>
          </w:rPr>
        </w:r>
        <w:r>
          <w:rPr>
            <w:webHidden/>
          </w:rPr>
          <w:fldChar w:fldCharType="separate"/>
        </w:r>
        <w:r w:rsidR="00B50C61">
          <w:rPr>
            <w:webHidden/>
          </w:rPr>
          <w:t>51</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45" w:history="1">
        <w:r w:rsidR="008A1744" w:rsidRPr="001B438B">
          <w:rPr>
            <w:rStyle w:val="Hyperlink"/>
          </w:rPr>
          <w:t>Figure 5.4.  Ground Water Trend Network Sites</w:t>
        </w:r>
        <w:r w:rsidR="008A1744">
          <w:rPr>
            <w:webHidden/>
          </w:rPr>
          <w:tab/>
        </w:r>
        <w:r>
          <w:rPr>
            <w:webHidden/>
          </w:rPr>
          <w:fldChar w:fldCharType="begin"/>
        </w:r>
        <w:r w:rsidR="008A1744">
          <w:rPr>
            <w:webHidden/>
          </w:rPr>
          <w:instrText xml:space="preserve"> PAGEREF _Toc271280145 \h </w:instrText>
        </w:r>
        <w:r>
          <w:rPr>
            <w:webHidden/>
          </w:rPr>
        </w:r>
        <w:r>
          <w:rPr>
            <w:webHidden/>
          </w:rPr>
          <w:fldChar w:fldCharType="separate"/>
        </w:r>
        <w:r w:rsidR="00B50C61">
          <w:rPr>
            <w:webHidden/>
          </w:rPr>
          <w:t>52</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46" w:history="1">
        <w:r w:rsidR="008A1744" w:rsidRPr="001B438B">
          <w:rPr>
            <w:rStyle w:val="Hyperlink"/>
          </w:rPr>
          <w:t>Figure 6.1.  Statewide River Sample Locations by Basin</w:t>
        </w:r>
        <w:r w:rsidR="008A1744">
          <w:rPr>
            <w:webHidden/>
          </w:rPr>
          <w:tab/>
        </w:r>
        <w:r>
          <w:rPr>
            <w:webHidden/>
          </w:rPr>
          <w:fldChar w:fldCharType="begin"/>
        </w:r>
        <w:r w:rsidR="008A1744">
          <w:rPr>
            <w:webHidden/>
          </w:rPr>
          <w:instrText xml:space="preserve"> PAGEREF _Toc271280146 \h </w:instrText>
        </w:r>
        <w:r>
          <w:rPr>
            <w:webHidden/>
          </w:rPr>
        </w:r>
        <w:r>
          <w:rPr>
            <w:webHidden/>
          </w:rPr>
          <w:fldChar w:fldCharType="separate"/>
        </w:r>
        <w:r w:rsidR="00B50C61">
          <w:rPr>
            <w:webHidden/>
          </w:rPr>
          <w:t>58</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47" w:history="1">
        <w:r w:rsidR="008A1744" w:rsidRPr="001B438B">
          <w:rPr>
            <w:rStyle w:val="Hyperlink"/>
          </w:rPr>
          <w:t>Figure 6.2.  Statewide Summary of River Results</w:t>
        </w:r>
        <w:r w:rsidR="008A1744">
          <w:rPr>
            <w:webHidden/>
          </w:rPr>
          <w:tab/>
        </w:r>
        <w:r>
          <w:rPr>
            <w:webHidden/>
          </w:rPr>
          <w:fldChar w:fldCharType="begin"/>
        </w:r>
        <w:r w:rsidR="008A1744">
          <w:rPr>
            <w:webHidden/>
          </w:rPr>
          <w:instrText xml:space="preserve"> PAGEREF _Toc271280147 \h </w:instrText>
        </w:r>
        <w:r>
          <w:rPr>
            <w:webHidden/>
          </w:rPr>
        </w:r>
        <w:r>
          <w:rPr>
            <w:webHidden/>
          </w:rPr>
          <w:fldChar w:fldCharType="separate"/>
        </w:r>
        <w:r w:rsidR="00B50C61">
          <w:rPr>
            <w:webHidden/>
          </w:rPr>
          <w:t>59</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48" w:history="1">
        <w:r w:rsidR="008A1744" w:rsidRPr="001B438B">
          <w:rPr>
            <w:rStyle w:val="Hyperlink"/>
          </w:rPr>
          <w:t>Figure 6.3.  Statewide Stream Sample Locations by Basin</w:t>
        </w:r>
        <w:r w:rsidR="008A1744">
          <w:rPr>
            <w:webHidden/>
          </w:rPr>
          <w:tab/>
        </w:r>
        <w:r>
          <w:rPr>
            <w:webHidden/>
          </w:rPr>
          <w:fldChar w:fldCharType="begin"/>
        </w:r>
        <w:r w:rsidR="008A1744">
          <w:rPr>
            <w:webHidden/>
          </w:rPr>
          <w:instrText xml:space="preserve"> PAGEREF _Toc271280148 \h </w:instrText>
        </w:r>
        <w:r>
          <w:rPr>
            <w:webHidden/>
          </w:rPr>
        </w:r>
        <w:r>
          <w:rPr>
            <w:webHidden/>
          </w:rPr>
          <w:fldChar w:fldCharType="separate"/>
        </w:r>
        <w:r w:rsidR="00B50C61">
          <w:rPr>
            <w:webHidden/>
          </w:rPr>
          <w:t>61</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49" w:history="1">
        <w:r w:rsidR="008A1744" w:rsidRPr="001B438B">
          <w:rPr>
            <w:rStyle w:val="Hyperlink"/>
          </w:rPr>
          <w:t>Figure 6.4.  Statewide Summary of Stream Results</w:t>
        </w:r>
        <w:r w:rsidR="008A1744">
          <w:rPr>
            <w:webHidden/>
          </w:rPr>
          <w:tab/>
        </w:r>
        <w:r>
          <w:rPr>
            <w:webHidden/>
          </w:rPr>
          <w:fldChar w:fldCharType="begin"/>
        </w:r>
        <w:r w:rsidR="008A1744">
          <w:rPr>
            <w:webHidden/>
          </w:rPr>
          <w:instrText xml:space="preserve"> PAGEREF _Toc271280149 \h </w:instrText>
        </w:r>
        <w:r>
          <w:rPr>
            <w:webHidden/>
          </w:rPr>
        </w:r>
        <w:r>
          <w:rPr>
            <w:webHidden/>
          </w:rPr>
          <w:fldChar w:fldCharType="separate"/>
        </w:r>
        <w:r w:rsidR="00B50C61">
          <w:rPr>
            <w:webHidden/>
          </w:rPr>
          <w:t>62</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50" w:history="1">
        <w:r w:rsidR="008A1744" w:rsidRPr="001B438B">
          <w:rPr>
            <w:rStyle w:val="Hyperlink"/>
          </w:rPr>
          <w:t>Figure 6.5.  Statewide Large Lake Sample Locations by Basin</w:t>
        </w:r>
        <w:r w:rsidR="008A1744">
          <w:rPr>
            <w:webHidden/>
          </w:rPr>
          <w:tab/>
        </w:r>
        <w:r>
          <w:rPr>
            <w:webHidden/>
          </w:rPr>
          <w:fldChar w:fldCharType="begin"/>
        </w:r>
        <w:r w:rsidR="008A1744">
          <w:rPr>
            <w:webHidden/>
          </w:rPr>
          <w:instrText xml:space="preserve"> PAGEREF _Toc271280150 \h </w:instrText>
        </w:r>
        <w:r>
          <w:rPr>
            <w:webHidden/>
          </w:rPr>
        </w:r>
        <w:r>
          <w:rPr>
            <w:webHidden/>
          </w:rPr>
          <w:fldChar w:fldCharType="separate"/>
        </w:r>
        <w:r w:rsidR="00B50C61">
          <w:rPr>
            <w:webHidden/>
          </w:rPr>
          <w:t>64</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51" w:history="1">
        <w:r w:rsidR="008A1744" w:rsidRPr="001B438B">
          <w:rPr>
            <w:rStyle w:val="Hyperlink"/>
          </w:rPr>
          <w:t>Figure 6.6.  Statewide Summary of Large Lake Results</w:t>
        </w:r>
        <w:r w:rsidR="008A1744">
          <w:rPr>
            <w:webHidden/>
          </w:rPr>
          <w:tab/>
        </w:r>
        <w:r>
          <w:rPr>
            <w:webHidden/>
          </w:rPr>
          <w:fldChar w:fldCharType="begin"/>
        </w:r>
        <w:r w:rsidR="008A1744">
          <w:rPr>
            <w:webHidden/>
          </w:rPr>
          <w:instrText xml:space="preserve"> PAGEREF _Toc271280151 \h </w:instrText>
        </w:r>
        <w:r>
          <w:rPr>
            <w:webHidden/>
          </w:rPr>
        </w:r>
        <w:r>
          <w:rPr>
            <w:webHidden/>
          </w:rPr>
          <w:fldChar w:fldCharType="separate"/>
        </w:r>
        <w:r w:rsidR="00B50C61">
          <w:rPr>
            <w:webHidden/>
          </w:rPr>
          <w:t>65</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52" w:history="1">
        <w:r w:rsidR="008A1744" w:rsidRPr="001B438B">
          <w:rPr>
            <w:rStyle w:val="Hyperlink"/>
          </w:rPr>
          <w:t>Figure 6.7.  Statewide Small Lake Sample Locations by Basin</w:t>
        </w:r>
        <w:r w:rsidR="008A1744">
          <w:rPr>
            <w:webHidden/>
          </w:rPr>
          <w:tab/>
        </w:r>
        <w:r>
          <w:rPr>
            <w:webHidden/>
          </w:rPr>
          <w:fldChar w:fldCharType="begin"/>
        </w:r>
        <w:r w:rsidR="008A1744">
          <w:rPr>
            <w:webHidden/>
          </w:rPr>
          <w:instrText xml:space="preserve"> PAGEREF _Toc271280152 \h </w:instrText>
        </w:r>
        <w:r>
          <w:rPr>
            <w:webHidden/>
          </w:rPr>
        </w:r>
        <w:r>
          <w:rPr>
            <w:webHidden/>
          </w:rPr>
          <w:fldChar w:fldCharType="separate"/>
        </w:r>
        <w:r w:rsidR="00B50C61">
          <w:rPr>
            <w:webHidden/>
          </w:rPr>
          <w:t>67</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53" w:history="1">
        <w:r w:rsidR="008A1744" w:rsidRPr="001B438B">
          <w:rPr>
            <w:rStyle w:val="Hyperlink"/>
          </w:rPr>
          <w:t>Figure 6.8.  Statewide Summary of Small Lake Results</w:t>
        </w:r>
        <w:r w:rsidR="008A1744">
          <w:rPr>
            <w:webHidden/>
          </w:rPr>
          <w:tab/>
        </w:r>
        <w:r>
          <w:rPr>
            <w:webHidden/>
          </w:rPr>
          <w:fldChar w:fldCharType="begin"/>
        </w:r>
        <w:r w:rsidR="008A1744">
          <w:rPr>
            <w:webHidden/>
          </w:rPr>
          <w:instrText xml:space="preserve"> PAGEREF _Toc271280153 \h </w:instrText>
        </w:r>
        <w:r>
          <w:rPr>
            <w:webHidden/>
          </w:rPr>
        </w:r>
        <w:r>
          <w:rPr>
            <w:webHidden/>
          </w:rPr>
          <w:fldChar w:fldCharType="separate"/>
        </w:r>
        <w:r w:rsidR="00B50C61">
          <w:rPr>
            <w:webHidden/>
          </w:rPr>
          <w:t>68</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54" w:history="1">
        <w:r w:rsidR="008A1744" w:rsidRPr="001B438B">
          <w:rPr>
            <w:rStyle w:val="Hyperlink"/>
          </w:rPr>
          <w:t>Figure 6.9.  Statewide Summary of Large Lake Sediment Results</w:t>
        </w:r>
        <w:r w:rsidR="008A1744">
          <w:rPr>
            <w:webHidden/>
          </w:rPr>
          <w:tab/>
        </w:r>
        <w:r>
          <w:rPr>
            <w:webHidden/>
          </w:rPr>
          <w:fldChar w:fldCharType="begin"/>
        </w:r>
        <w:r w:rsidR="008A1744">
          <w:rPr>
            <w:webHidden/>
          </w:rPr>
          <w:instrText xml:space="preserve"> PAGEREF _Toc271280154 \h </w:instrText>
        </w:r>
        <w:r>
          <w:rPr>
            <w:webHidden/>
          </w:rPr>
        </w:r>
        <w:r>
          <w:rPr>
            <w:webHidden/>
          </w:rPr>
          <w:fldChar w:fldCharType="separate"/>
        </w:r>
        <w:r w:rsidR="00B50C61">
          <w:rPr>
            <w:webHidden/>
          </w:rPr>
          <w:t>72</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55" w:history="1">
        <w:r w:rsidR="008A1744" w:rsidRPr="001B438B">
          <w:rPr>
            <w:rStyle w:val="Hyperlink"/>
          </w:rPr>
          <w:t>Figure 6.10.  Statewide Summary of Small Lake Sediment Results</w:t>
        </w:r>
        <w:r w:rsidR="008A1744">
          <w:rPr>
            <w:webHidden/>
          </w:rPr>
          <w:tab/>
        </w:r>
        <w:r>
          <w:rPr>
            <w:webHidden/>
          </w:rPr>
          <w:fldChar w:fldCharType="begin"/>
        </w:r>
        <w:r w:rsidR="008A1744">
          <w:rPr>
            <w:webHidden/>
          </w:rPr>
          <w:instrText xml:space="preserve"> PAGEREF _Toc271280155 \h </w:instrText>
        </w:r>
        <w:r>
          <w:rPr>
            <w:webHidden/>
          </w:rPr>
        </w:r>
        <w:r>
          <w:rPr>
            <w:webHidden/>
          </w:rPr>
          <w:fldChar w:fldCharType="separate"/>
        </w:r>
        <w:r w:rsidR="00B50C61">
          <w:rPr>
            <w:webHidden/>
          </w:rPr>
          <w:t>74</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56" w:history="1">
        <w:r w:rsidR="008A1744" w:rsidRPr="001B438B">
          <w:rPr>
            <w:rStyle w:val="Hyperlink"/>
          </w:rPr>
          <w:t>Figure 6.11.  Statewide Confined Aquifer Well Locations by Basin</w:t>
        </w:r>
        <w:r w:rsidR="008A1744">
          <w:rPr>
            <w:webHidden/>
          </w:rPr>
          <w:tab/>
        </w:r>
        <w:r>
          <w:rPr>
            <w:webHidden/>
          </w:rPr>
          <w:fldChar w:fldCharType="begin"/>
        </w:r>
        <w:r w:rsidR="008A1744">
          <w:rPr>
            <w:webHidden/>
          </w:rPr>
          <w:instrText xml:space="preserve"> PAGEREF _Toc271280156 \h </w:instrText>
        </w:r>
        <w:r>
          <w:rPr>
            <w:webHidden/>
          </w:rPr>
        </w:r>
        <w:r>
          <w:rPr>
            <w:webHidden/>
          </w:rPr>
          <w:fldChar w:fldCharType="separate"/>
        </w:r>
        <w:r w:rsidR="00B50C61">
          <w:rPr>
            <w:webHidden/>
          </w:rPr>
          <w:t>78</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57" w:history="1">
        <w:r w:rsidR="008A1744" w:rsidRPr="001B438B">
          <w:rPr>
            <w:rStyle w:val="Hyperlink"/>
          </w:rPr>
          <w:t>Figure 6.12.  Statewide Summary of Confined Aquifer Results</w:t>
        </w:r>
        <w:r w:rsidR="008A1744">
          <w:rPr>
            <w:webHidden/>
          </w:rPr>
          <w:tab/>
        </w:r>
        <w:r>
          <w:rPr>
            <w:webHidden/>
          </w:rPr>
          <w:fldChar w:fldCharType="begin"/>
        </w:r>
        <w:r w:rsidR="008A1744">
          <w:rPr>
            <w:webHidden/>
          </w:rPr>
          <w:instrText xml:space="preserve"> PAGEREF _Toc271280157 \h </w:instrText>
        </w:r>
        <w:r>
          <w:rPr>
            <w:webHidden/>
          </w:rPr>
        </w:r>
        <w:r>
          <w:rPr>
            <w:webHidden/>
          </w:rPr>
          <w:fldChar w:fldCharType="separate"/>
        </w:r>
        <w:r w:rsidR="00B50C61">
          <w:rPr>
            <w:webHidden/>
          </w:rPr>
          <w:t>79</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58" w:history="1">
        <w:r w:rsidR="008A1744" w:rsidRPr="001B438B">
          <w:rPr>
            <w:rStyle w:val="Hyperlink"/>
          </w:rPr>
          <w:t>Figure 6.13.  Statewide Unconfined Aquifer Well Locations by Basin</w:t>
        </w:r>
        <w:r w:rsidR="008A1744">
          <w:rPr>
            <w:webHidden/>
          </w:rPr>
          <w:tab/>
        </w:r>
        <w:r>
          <w:rPr>
            <w:webHidden/>
          </w:rPr>
          <w:fldChar w:fldCharType="begin"/>
        </w:r>
        <w:r w:rsidR="008A1744">
          <w:rPr>
            <w:webHidden/>
          </w:rPr>
          <w:instrText xml:space="preserve"> PAGEREF _Toc271280158 \h </w:instrText>
        </w:r>
        <w:r>
          <w:rPr>
            <w:webHidden/>
          </w:rPr>
        </w:r>
        <w:r>
          <w:rPr>
            <w:webHidden/>
          </w:rPr>
          <w:fldChar w:fldCharType="separate"/>
        </w:r>
        <w:r w:rsidR="00B50C61">
          <w:rPr>
            <w:webHidden/>
          </w:rPr>
          <w:t>82</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59" w:history="1">
        <w:r w:rsidR="008A1744" w:rsidRPr="001B438B">
          <w:rPr>
            <w:rStyle w:val="Hyperlink"/>
          </w:rPr>
          <w:t>Figure 6.14.  Statewide Summary of Unconfined Aquifer Results</w:t>
        </w:r>
        <w:r w:rsidR="008A1744">
          <w:rPr>
            <w:webHidden/>
          </w:rPr>
          <w:tab/>
        </w:r>
        <w:r>
          <w:rPr>
            <w:webHidden/>
          </w:rPr>
          <w:fldChar w:fldCharType="begin"/>
        </w:r>
        <w:r w:rsidR="008A1744">
          <w:rPr>
            <w:webHidden/>
          </w:rPr>
          <w:instrText xml:space="preserve"> PAGEREF _Toc271280159 \h </w:instrText>
        </w:r>
        <w:r>
          <w:rPr>
            <w:webHidden/>
          </w:rPr>
        </w:r>
        <w:r>
          <w:rPr>
            <w:webHidden/>
          </w:rPr>
          <w:fldChar w:fldCharType="separate"/>
        </w:r>
        <w:r w:rsidR="00B50C61">
          <w:rPr>
            <w:webHidden/>
          </w:rPr>
          <w:t>83</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60" w:history="1">
        <w:r w:rsidR="008A1744" w:rsidRPr="001B438B">
          <w:rPr>
            <w:rStyle w:val="Hyperlink"/>
          </w:rPr>
          <w:t>Figure 6.15.  Surface Water Trends for Nitrate + Nitrite, 1999–2008</w:t>
        </w:r>
        <w:r w:rsidR="008A1744">
          <w:rPr>
            <w:webHidden/>
          </w:rPr>
          <w:tab/>
        </w:r>
        <w:r>
          <w:rPr>
            <w:webHidden/>
          </w:rPr>
          <w:fldChar w:fldCharType="begin"/>
        </w:r>
        <w:r w:rsidR="008A1744">
          <w:rPr>
            <w:webHidden/>
          </w:rPr>
          <w:instrText xml:space="preserve"> PAGEREF _Toc271280160 \h </w:instrText>
        </w:r>
        <w:r>
          <w:rPr>
            <w:webHidden/>
          </w:rPr>
        </w:r>
        <w:r>
          <w:rPr>
            <w:webHidden/>
          </w:rPr>
          <w:fldChar w:fldCharType="separate"/>
        </w:r>
        <w:r w:rsidR="00B50C61">
          <w:rPr>
            <w:webHidden/>
          </w:rPr>
          <w:t>90</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61" w:history="1">
        <w:r w:rsidR="008A1744" w:rsidRPr="001B438B">
          <w:rPr>
            <w:rStyle w:val="Hyperlink"/>
          </w:rPr>
          <w:t>Figure 6.16.  Surface Water Trends for TKN, 1999–2008</w:t>
        </w:r>
        <w:r w:rsidR="008A1744">
          <w:rPr>
            <w:webHidden/>
          </w:rPr>
          <w:tab/>
        </w:r>
        <w:r>
          <w:rPr>
            <w:webHidden/>
          </w:rPr>
          <w:fldChar w:fldCharType="begin"/>
        </w:r>
        <w:r w:rsidR="008A1744">
          <w:rPr>
            <w:webHidden/>
          </w:rPr>
          <w:instrText xml:space="preserve"> PAGEREF _Toc271280161 \h </w:instrText>
        </w:r>
        <w:r>
          <w:rPr>
            <w:webHidden/>
          </w:rPr>
        </w:r>
        <w:r>
          <w:rPr>
            <w:webHidden/>
          </w:rPr>
          <w:fldChar w:fldCharType="separate"/>
        </w:r>
        <w:r w:rsidR="00B50C61">
          <w:rPr>
            <w:webHidden/>
          </w:rPr>
          <w:t>91</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62" w:history="1">
        <w:r w:rsidR="008A1744" w:rsidRPr="001B438B">
          <w:rPr>
            <w:rStyle w:val="Hyperlink"/>
          </w:rPr>
          <w:t>Figure 6.17.  Surface Water Trends for TP, 1999–2008</w:t>
        </w:r>
        <w:r w:rsidR="008A1744">
          <w:rPr>
            <w:webHidden/>
          </w:rPr>
          <w:tab/>
        </w:r>
        <w:r>
          <w:rPr>
            <w:webHidden/>
          </w:rPr>
          <w:fldChar w:fldCharType="begin"/>
        </w:r>
        <w:r w:rsidR="008A1744">
          <w:rPr>
            <w:webHidden/>
          </w:rPr>
          <w:instrText xml:space="preserve"> PAGEREF _Toc271280162 \h </w:instrText>
        </w:r>
        <w:r>
          <w:rPr>
            <w:webHidden/>
          </w:rPr>
        </w:r>
        <w:r>
          <w:rPr>
            <w:webHidden/>
          </w:rPr>
          <w:fldChar w:fldCharType="separate"/>
        </w:r>
        <w:r w:rsidR="00B50C61">
          <w:rPr>
            <w:webHidden/>
          </w:rPr>
          <w:t>92</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63" w:history="1">
        <w:r w:rsidR="008A1744" w:rsidRPr="001B438B">
          <w:rPr>
            <w:rStyle w:val="Hyperlink"/>
          </w:rPr>
          <w:t>Figure 6.18.  Surface Water Trends for TOC, 1999–2008</w:t>
        </w:r>
        <w:r w:rsidR="008A1744">
          <w:rPr>
            <w:webHidden/>
          </w:rPr>
          <w:tab/>
        </w:r>
        <w:r>
          <w:rPr>
            <w:webHidden/>
          </w:rPr>
          <w:fldChar w:fldCharType="begin"/>
        </w:r>
        <w:r w:rsidR="008A1744">
          <w:rPr>
            <w:webHidden/>
          </w:rPr>
          <w:instrText xml:space="preserve"> PAGEREF _Toc271280163 \h </w:instrText>
        </w:r>
        <w:r>
          <w:rPr>
            <w:webHidden/>
          </w:rPr>
        </w:r>
        <w:r>
          <w:rPr>
            <w:webHidden/>
          </w:rPr>
          <w:fldChar w:fldCharType="separate"/>
        </w:r>
        <w:r w:rsidR="00B50C61">
          <w:rPr>
            <w:webHidden/>
          </w:rPr>
          <w:t>93</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64" w:history="1">
        <w:r w:rsidR="008A1744" w:rsidRPr="001B438B">
          <w:rPr>
            <w:rStyle w:val="Hyperlink"/>
          </w:rPr>
          <w:t>Figure 6.19.  Surface Water Trends for Chlorophyll a, 1999–2008</w:t>
        </w:r>
        <w:r w:rsidR="008A1744">
          <w:rPr>
            <w:webHidden/>
          </w:rPr>
          <w:tab/>
        </w:r>
        <w:r>
          <w:rPr>
            <w:webHidden/>
          </w:rPr>
          <w:fldChar w:fldCharType="begin"/>
        </w:r>
        <w:r w:rsidR="008A1744">
          <w:rPr>
            <w:webHidden/>
          </w:rPr>
          <w:instrText xml:space="preserve"> PAGEREF _Toc271280164 \h </w:instrText>
        </w:r>
        <w:r>
          <w:rPr>
            <w:webHidden/>
          </w:rPr>
        </w:r>
        <w:r>
          <w:rPr>
            <w:webHidden/>
          </w:rPr>
          <w:fldChar w:fldCharType="separate"/>
        </w:r>
        <w:r w:rsidR="00B50C61">
          <w:rPr>
            <w:webHidden/>
          </w:rPr>
          <w:t>94</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65" w:history="1">
        <w:r w:rsidR="008A1744" w:rsidRPr="001B438B">
          <w:rPr>
            <w:rStyle w:val="Hyperlink"/>
          </w:rPr>
          <w:t>Figure 6.20.  Surface Water Trends for Fecal Coliform Bacteria, 1999–2008</w:t>
        </w:r>
        <w:r w:rsidR="008A1744">
          <w:rPr>
            <w:webHidden/>
          </w:rPr>
          <w:tab/>
        </w:r>
        <w:r>
          <w:rPr>
            <w:webHidden/>
          </w:rPr>
          <w:fldChar w:fldCharType="begin"/>
        </w:r>
        <w:r w:rsidR="008A1744">
          <w:rPr>
            <w:webHidden/>
          </w:rPr>
          <w:instrText xml:space="preserve"> PAGEREF _Toc271280165 \h </w:instrText>
        </w:r>
        <w:r>
          <w:rPr>
            <w:webHidden/>
          </w:rPr>
        </w:r>
        <w:r>
          <w:rPr>
            <w:webHidden/>
          </w:rPr>
          <w:fldChar w:fldCharType="separate"/>
        </w:r>
        <w:r w:rsidR="00B50C61">
          <w:rPr>
            <w:webHidden/>
          </w:rPr>
          <w:t>95</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66" w:history="1">
        <w:r w:rsidR="008A1744" w:rsidRPr="001B438B">
          <w:rPr>
            <w:rStyle w:val="Hyperlink"/>
          </w:rPr>
          <w:t>Figure 6.21.  Surface Water Trends for DO, 1999–2008</w:t>
        </w:r>
        <w:r w:rsidR="008A1744">
          <w:rPr>
            <w:webHidden/>
          </w:rPr>
          <w:tab/>
        </w:r>
        <w:r>
          <w:rPr>
            <w:webHidden/>
          </w:rPr>
          <w:fldChar w:fldCharType="begin"/>
        </w:r>
        <w:r w:rsidR="008A1744">
          <w:rPr>
            <w:webHidden/>
          </w:rPr>
          <w:instrText xml:space="preserve"> PAGEREF _Toc271280166 \h </w:instrText>
        </w:r>
        <w:r>
          <w:rPr>
            <w:webHidden/>
          </w:rPr>
        </w:r>
        <w:r>
          <w:rPr>
            <w:webHidden/>
          </w:rPr>
          <w:fldChar w:fldCharType="separate"/>
        </w:r>
        <w:r w:rsidR="00B50C61">
          <w:rPr>
            <w:webHidden/>
          </w:rPr>
          <w:t>96</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67" w:history="1">
        <w:r w:rsidR="008A1744" w:rsidRPr="001B438B">
          <w:rPr>
            <w:rStyle w:val="Hyperlink"/>
          </w:rPr>
          <w:t>Figure 6.22.  Ground Water Trends for Temperature, 1999–2008</w:t>
        </w:r>
        <w:r w:rsidR="008A1744">
          <w:rPr>
            <w:webHidden/>
          </w:rPr>
          <w:tab/>
        </w:r>
        <w:r>
          <w:rPr>
            <w:webHidden/>
          </w:rPr>
          <w:fldChar w:fldCharType="begin"/>
        </w:r>
        <w:r w:rsidR="008A1744">
          <w:rPr>
            <w:webHidden/>
          </w:rPr>
          <w:instrText xml:space="preserve"> PAGEREF _Toc271280167 \h </w:instrText>
        </w:r>
        <w:r>
          <w:rPr>
            <w:webHidden/>
          </w:rPr>
        </w:r>
        <w:r>
          <w:rPr>
            <w:webHidden/>
          </w:rPr>
          <w:fldChar w:fldCharType="separate"/>
        </w:r>
        <w:r w:rsidR="00B50C61">
          <w:rPr>
            <w:webHidden/>
          </w:rPr>
          <w:t>100</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68" w:history="1">
        <w:r w:rsidR="008A1744" w:rsidRPr="001B438B">
          <w:rPr>
            <w:rStyle w:val="Hyperlink"/>
          </w:rPr>
          <w:t>Figure 6.23.  Ground Water Trends for Specific Conductance, 1999–2008</w:t>
        </w:r>
        <w:r w:rsidR="008A1744">
          <w:rPr>
            <w:webHidden/>
          </w:rPr>
          <w:tab/>
        </w:r>
        <w:r>
          <w:rPr>
            <w:webHidden/>
          </w:rPr>
          <w:fldChar w:fldCharType="begin"/>
        </w:r>
        <w:r w:rsidR="008A1744">
          <w:rPr>
            <w:webHidden/>
          </w:rPr>
          <w:instrText xml:space="preserve"> PAGEREF _Toc271280168 \h </w:instrText>
        </w:r>
        <w:r>
          <w:rPr>
            <w:webHidden/>
          </w:rPr>
        </w:r>
        <w:r>
          <w:rPr>
            <w:webHidden/>
          </w:rPr>
          <w:fldChar w:fldCharType="separate"/>
        </w:r>
        <w:r w:rsidR="00B50C61">
          <w:rPr>
            <w:webHidden/>
          </w:rPr>
          <w:t>101</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69" w:history="1">
        <w:r w:rsidR="008A1744" w:rsidRPr="001B438B">
          <w:rPr>
            <w:rStyle w:val="Hyperlink"/>
          </w:rPr>
          <w:t>Figure 6.24.  Ground Water Trends for pH, 1999–2008</w:t>
        </w:r>
        <w:r w:rsidR="008A1744">
          <w:rPr>
            <w:webHidden/>
          </w:rPr>
          <w:tab/>
        </w:r>
        <w:r>
          <w:rPr>
            <w:webHidden/>
          </w:rPr>
          <w:fldChar w:fldCharType="begin"/>
        </w:r>
        <w:r w:rsidR="008A1744">
          <w:rPr>
            <w:webHidden/>
          </w:rPr>
          <w:instrText xml:space="preserve"> PAGEREF _Toc271280169 \h </w:instrText>
        </w:r>
        <w:r>
          <w:rPr>
            <w:webHidden/>
          </w:rPr>
        </w:r>
        <w:r>
          <w:rPr>
            <w:webHidden/>
          </w:rPr>
          <w:fldChar w:fldCharType="separate"/>
        </w:r>
        <w:r w:rsidR="00B50C61">
          <w:rPr>
            <w:webHidden/>
          </w:rPr>
          <w:t>102</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70" w:history="1">
        <w:r w:rsidR="008A1744" w:rsidRPr="001B438B">
          <w:rPr>
            <w:rStyle w:val="Hyperlink"/>
          </w:rPr>
          <w:t>Figure 6.25.  Ground Water Trends for Depth to Water, 1999–2008</w:t>
        </w:r>
        <w:r w:rsidR="008A1744">
          <w:rPr>
            <w:webHidden/>
          </w:rPr>
          <w:tab/>
        </w:r>
        <w:r>
          <w:rPr>
            <w:webHidden/>
          </w:rPr>
          <w:fldChar w:fldCharType="begin"/>
        </w:r>
        <w:r w:rsidR="008A1744">
          <w:rPr>
            <w:webHidden/>
          </w:rPr>
          <w:instrText xml:space="preserve"> PAGEREF _Toc271280170 \h </w:instrText>
        </w:r>
        <w:r>
          <w:rPr>
            <w:webHidden/>
          </w:rPr>
        </w:r>
        <w:r>
          <w:rPr>
            <w:webHidden/>
          </w:rPr>
          <w:fldChar w:fldCharType="separate"/>
        </w:r>
        <w:r w:rsidR="00B50C61">
          <w:rPr>
            <w:webHidden/>
          </w:rPr>
          <w:t>103</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71" w:history="1">
        <w:r w:rsidR="008A1744" w:rsidRPr="001B438B">
          <w:rPr>
            <w:rStyle w:val="Hyperlink"/>
          </w:rPr>
          <w:t>Figure 6.26.  Ground Water Trends for Total Dissolved Solids, 1999–2008</w:t>
        </w:r>
        <w:r w:rsidR="008A1744">
          <w:rPr>
            <w:webHidden/>
          </w:rPr>
          <w:tab/>
        </w:r>
        <w:r>
          <w:rPr>
            <w:webHidden/>
          </w:rPr>
          <w:fldChar w:fldCharType="begin"/>
        </w:r>
        <w:r w:rsidR="008A1744">
          <w:rPr>
            <w:webHidden/>
          </w:rPr>
          <w:instrText xml:space="preserve"> PAGEREF _Toc271280171 \h </w:instrText>
        </w:r>
        <w:r>
          <w:rPr>
            <w:webHidden/>
          </w:rPr>
        </w:r>
        <w:r>
          <w:rPr>
            <w:webHidden/>
          </w:rPr>
          <w:fldChar w:fldCharType="separate"/>
        </w:r>
        <w:r w:rsidR="00B50C61">
          <w:rPr>
            <w:webHidden/>
          </w:rPr>
          <w:t>104</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72" w:history="1">
        <w:r w:rsidR="008A1744" w:rsidRPr="001B438B">
          <w:rPr>
            <w:rStyle w:val="Hyperlink"/>
          </w:rPr>
          <w:t>Figure 6.27.  Ground Water Trends for Nitrate + Nitrite, 1999–2008</w:t>
        </w:r>
        <w:r w:rsidR="008A1744">
          <w:rPr>
            <w:webHidden/>
          </w:rPr>
          <w:tab/>
        </w:r>
        <w:r>
          <w:rPr>
            <w:webHidden/>
          </w:rPr>
          <w:fldChar w:fldCharType="begin"/>
        </w:r>
        <w:r w:rsidR="008A1744">
          <w:rPr>
            <w:webHidden/>
          </w:rPr>
          <w:instrText xml:space="preserve"> PAGEREF _Toc271280172 \h </w:instrText>
        </w:r>
        <w:r>
          <w:rPr>
            <w:webHidden/>
          </w:rPr>
        </w:r>
        <w:r>
          <w:rPr>
            <w:webHidden/>
          </w:rPr>
          <w:fldChar w:fldCharType="separate"/>
        </w:r>
        <w:r w:rsidR="00B50C61">
          <w:rPr>
            <w:webHidden/>
          </w:rPr>
          <w:t>105</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73" w:history="1">
        <w:r w:rsidR="008A1744" w:rsidRPr="001B438B">
          <w:rPr>
            <w:rStyle w:val="Hyperlink"/>
          </w:rPr>
          <w:t>Figure 6.28.  Ground Water Trends for Phosphorus, 1999–2008</w:t>
        </w:r>
        <w:r w:rsidR="008A1744">
          <w:rPr>
            <w:webHidden/>
          </w:rPr>
          <w:tab/>
        </w:r>
        <w:r>
          <w:rPr>
            <w:webHidden/>
          </w:rPr>
          <w:fldChar w:fldCharType="begin"/>
        </w:r>
        <w:r w:rsidR="008A1744">
          <w:rPr>
            <w:webHidden/>
          </w:rPr>
          <w:instrText xml:space="preserve"> PAGEREF _Toc271280173 \h </w:instrText>
        </w:r>
        <w:r>
          <w:rPr>
            <w:webHidden/>
          </w:rPr>
        </w:r>
        <w:r>
          <w:rPr>
            <w:webHidden/>
          </w:rPr>
          <w:fldChar w:fldCharType="separate"/>
        </w:r>
        <w:r w:rsidR="00B50C61">
          <w:rPr>
            <w:webHidden/>
          </w:rPr>
          <w:t>106</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74" w:history="1">
        <w:r w:rsidR="008A1744" w:rsidRPr="001B438B">
          <w:rPr>
            <w:rStyle w:val="Hyperlink"/>
          </w:rPr>
          <w:t>Figure 6.29.  Ground Water Trends for Potassium, 1999–2008</w:t>
        </w:r>
        <w:r w:rsidR="008A1744">
          <w:rPr>
            <w:webHidden/>
          </w:rPr>
          <w:tab/>
        </w:r>
        <w:r>
          <w:rPr>
            <w:webHidden/>
          </w:rPr>
          <w:fldChar w:fldCharType="begin"/>
        </w:r>
        <w:r w:rsidR="008A1744">
          <w:rPr>
            <w:webHidden/>
          </w:rPr>
          <w:instrText xml:space="preserve"> PAGEREF _Toc271280174 \h </w:instrText>
        </w:r>
        <w:r>
          <w:rPr>
            <w:webHidden/>
          </w:rPr>
        </w:r>
        <w:r>
          <w:rPr>
            <w:webHidden/>
          </w:rPr>
          <w:fldChar w:fldCharType="separate"/>
        </w:r>
        <w:r w:rsidR="00B50C61">
          <w:rPr>
            <w:webHidden/>
          </w:rPr>
          <w:t>107</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75" w:history="1">
        <w:r w:rsidR="008A1744" w:rsidRPr="001B438B">
          <w:rPr>
            <w:rStyle w:val="Hyperlink"/>
          </w:rPr>
          <w:t>Figure 6.30.  Ground Water Trends for Sulfate, 1999–2008</w:t>
        </w:r>
        <w:r w:rsidR="008A1744">
          <w:rPr>
            <w:webHidden/>
          </w:rPr>
          <w:tab/>
        </w:r>
        <w:r>
          <w:rPr>
            <w:webHidden/>
          </w:rPr>
          <w:fldChar w:fldCharType="begin"/>
        </w:r>
        <w:r w:rsidR="008A1744">
          <w:rPr>
            <w:webHidden/>
          </w:rPr>
          <w:instrText xml:space="preserve"> PAGEREF _Toc271280175 \h </w:instrText>
        </w:r>
        <w:r>
          <w:rPr>
            <w:webHidden/>
          </w:rPr>
        </w:r>
        <w:r>
          <w:rPr>
            <w:webHidden/>
          </w:rPr>
          <w:fldChar w:fldCharType="separate"/>
        </w:r>
        <w:r w:rsidR="00B50C61">
          <w:rPr>
            <w:webHidden/>
          </w:rPr>
          <w:t>108</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76" w:history="1">
        <w:r w:rsidR="008A1744" w:rsidRPr="001B438B">
          <w:rPr>
            <w:rStyle w:val="Hyperlink"/>
          </w:rPr>
          <w:t>Figure 6.31.  Ground Water Trends for Sodium, 1999–2008</w:t>
        </w:r>
        <w:r w:rsidR="008A1744">
          <w:rPr>
            <w:webHidden/>
          </w:rPr>
          <w:tab/>
        </w:r>
        <w:r>
          <w:rPr>
            <w:webHidden/>
          </w:rPr>
          <w:fldChar w:fldCharType="begin"/>
        </w:r>
        <w:r w:rsidR="008A1744">
          <w:rPr>
            <w:webHidden/>
          </w:rPr>
          <w:instrText xml:space="preserve"> PAGEREF _Toc271280176 \h </w:instrText>
        </w:r>
        <w:r>
          <w:rPr>
            <w:webHidden/>
          </w:rPr>
        </w:r>
        <w:r>
          <w:rPr>
            <w:webHidden/>
          </w:rPr>
          <w:fldChar w:fldCharType="separate"/>
        </w:r>
        <w:r w:rsidR="00B50C61">
          <w:rPr>
            <w:webHidden/>
          </w:rPr>
          <w:t>109</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77" w:history="1">
        <w:r w:rsidR="008A1744" w:rsidRPr="001B438B">
          <w:rPr>
            <w:rStyle w:val="Hyperlink"/>
          </w:rPr>
          <w:t>Figure 6.32.  Ground Water Trends for Chloride, 1999–2008</w:t>
        </w:r>
        <w:r w:rsidR="008A1744">
          <w:rPr>
            <w:webHidden/>
          </w:rPr>
          <w:tab/>
        </w:r>
        <w:r>
          <w:rPr>
            <w:webHidden/>
          </w:rPr>
          <w:fldChar w:fldCharType="begin"/>
        </w:r>
        <w:r w:rsidR="008A1744">
          <w:rPr>
            <w:webHidden/>
          </w:rPr>
          <w:instrText xml:space="preserve"> PAGEREF _Toc271280177 \h </w:instrText>
        </w:r>
        <w:r>
          <w:rPr>
            <w:webHidden/>
          </w:rPr>
        </w:r>
        <w:r>
          <w:rPr>
            <w:webHidden/>
          </w:rPr>
          <w:fldChar w:fldCharType="separate"/>
        </w:r>
        <w:r w:rsidR="00B50C61">
          <w:rPr>
            <w:webHidden/>
          </w:rPr>
          <w:t>110</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78" w:history="1">
        <w:r w:rsidR="008A1744" w:rsidRPr="001B438B">
          <w:rPr>
            <w:rStyle w:val="Hyperlink"/>
          </w:rPr>
          <w:t>Figure 6.33.  Ground Water Trends for Calcium, 1999–2008</w:t>
        </w:r>
        <w:r w:rsidR="008A1744">
          <w:rPr>
            <w:webHidden/>
          </w:rPr>
          <w:tab/>
        </w:r>
        <w:r>
          <w:rPr>
            <w:webHidden/>
          </w:rPr>
          <w:fldChar w:fldCharType="begin"/>
        </w:r>
        <w:r w:rsidR="008A1744">
          <w:rPr>
            <w:webHidden/>
          </w:rPr>
          <w:instrText xml:space="preserve"> PAGEREF _Toc271280178 \h </w:instrText>
        </w:r>
        <w:r>
          <w:rPr>
            <w:webHidden/>
          </w:rPr>
        </w:r>
        <w:r>
          <w:rPr>
            <w:webHidden/>
          </w:rPr>
          <w:fldChar w:fldCharType="separate"/>
        </w:r>
        <w:r w:rsidR="00B50C61">
          <w:rPr>
            <w:webHidden/>
          </w:rPr>
          <w:t>111</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79" w:history="1">
        <w:r w:rsidR="008A1744" w:rsidRPr="001B438B">
          <w:rPr>
            <w:rStyle w:val="Hyperlink"/>
          </w:rPr>
          <w:t>Figure 6.34.  Ground Water Trends for Magnesium, 1999–2008</w:t>
        </w:r>
        <w:r w:rsidR="008A1744">
          <w:rPr>
            <w:webHidden/>
          </w:rPr>
          <w:tab/>
        </w:r>
        <w:r>
          <w:rPr>
            <w:webHidden/>
          </w:rPr>
          <w:fldChar w:fldCharType="begin"/>
        </w:r>
        <w:r w:rsidR="008A1744">
          <w:rPr>
            <w:webHidden/>
          </w:rPr>
          <w:instrText xml:space="preserve"> PAGEREF _Toc271280179 \h </w:instrText>
        </w:r>
        <w:r>
          <w:rPr>
            <w:webHidden/>
          </w:rPr>
        </w:r>
        <w:r>
          <w:rPr>
            <w:webHidden/>
          </w:rPr>
          <w:fldChar w:fldCharType="separate"/>
        </w:r>
        <w:r w:rsidR="00B50C61">
          <w:rPr>
            <w:webHidden/>
          </w:rPr>
          <w:t>112</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80" w:history="1">
        <w:r w:rsidR="008A1744" w:rsidRPr="001B438B">
          <w:rPr>
            <w:rStyle w:val="Hyperlink"/>
          </w:rPr>
          <w:t>Figure 6.35.  Ground Water Trends for Alkalinity, 1999</w:t>
        </w:r>
        <w:r w:rsidR="008A1744" w:rsidRPr="001B438B">
          <w:rPr>
            <w:rStyle w:val="Hyperlink"/>
            <w:rFonts w:ascii="Times New Roman" w:hAnsi="Times New Roman"/>
          </w:rPr>
          <w:t>–</w:t>
        </w:r>
        <w:r w:rsidR="008A1744" w:rsidRPr="001B438B">
          <w:rPr>
            <w:rStyle w:val="Hyperlink"/>
          </w:rPr>
          <w:t>2008</w:t>
        </w:r>
        <w:r w:rsidR="008A1744">
          <w:rPr>
            <w:webHidden/>
          </w:rPr>
          <w:tab/>
        </w:r>
        <w:r>
          <w:rPr>
            <w:webHidden/>
          </w:rPr>
          <w:fldChar w:fldCharType="begin"/>
        </w:r>
        <w:r w:rsidR="008A1744">
          <w:rPr>
            <w:webHidden/>
          </w:rPr>
          <w:instrText xml:space="preserve"> PAGEREF _Toc271280180 \h </w:instrText>
        </w:r>
        <w:r>
          <w:rPr>
            <w:webHidden/>
          </w:rPr>
        </w:r>
        <w:r>
          <w:rPr>
            <w:webHidden/>
          </w:rPr>
          <w:fldChar w:fldCharType="separate"/>
        </w:r>
        <w:r w:rsidR="00B50C61">
          <w:rPr>
            <w:webHidden/>
          </w:rPr>
          <w:t>113</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81" w:history="1">
        <w:r w:rsidR="008A1744" w:rsidRPr="001B438B">
          <w:rPr>
            <w:rStyle w:val="Hyperlink"/>
          </w:rPr>
          <w:t>Figure 6.36.  Ground Water Trends for Total Coliform, 1999–2008</w:t>
        </w:r>
        <w:r w:rsidR="008A1744">
          <w:rPr>
            <w:webHidden/>
          </w:rPr>
          <w:tab/>
        </w:r>
        <w:r>
          <w:rPr>
            <w:webHidden/>
          </w:rPr>
          <w:fldChar w:fldCharType="begin"/>
        </w:r>
        <w:r w:rsidR="008A1744">
          <w:rPr>
            <w:webHidden/>
          </w:rPr>
          <w:instrText xml:space="preserve"> PAGEREF _Toc271280181 \h </w:instrText>
        </w:r>
        <w:r>
          <w:rPr>
            <w:webHidden/>
          </w:rPr>
        </w:r>
        <w:r>
          <w:rPr>
            <w:webHidden/>
          </w:rPr>
          <w:fldChar w:fldCharType="separate"/>
        </w:r>
        <w:r w:rsidR="00B50C61">
          <w:rPr>
            <w:webHidden/>
          </w:rPr>
          <w:t>114</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82" w:history="1">
        <w:r w:rsidR="008A1744" w:rsidRPr="001B438B">
          <w:rPr>
            <w:rStyle w:val="Hyperlink"/>
          </w:rPr>
          <w:t>Figure 6.37.  Ground Water Trends for Fecal Coliform, 1999–2008</w:t>
        </w:r>
        <w:r w:rsidR="008A1744">
          <w:rPr>
            <w:webHidden/>
          </w:rPr>
          <w:tab/>
        </w:r>
        <w:r>
          <w:rPr>
            <w:webHidden/>
          </w:rPr>
          <w:fldChar w:fldCharType="begin"/>
        </w:r>
        <w:r w:rsidR="008A1744">
          <w:rPr>
            <w:webHidden/>
          </w:rPr>
          <w:instrText xml:space="preserve"> PAGEREF _Toc271280182 \h </w:instrText>
        </w:r>
        <w:r>
          <w:rPr>
            <w:webHidden/>
          </w:rPr>
        </w:r>
        <w:r>
          <w:rPr>
            <w:webHidden/>
          </w:rPr>
          <w:fldChar w:fldCharType="separate"/>
        </w:r>
        <w:r w:rsidR="00B50C61">
          <w:rPr>
            <w:webHidden/>
          </w:rPr>
          <w:t>115</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83" w:history="1">
        <w:r w:rsidR="008A1744" w:rsidRPr="001B438B">
          <w:rPr>
            <w:rStyle w:val="Hyperlink"/>
          </w:rPr>
          <w:t>Figure 7.1.  Period of Record Assessment Flow Chart</w:t>
        </w:r>
        <w:r w:rsidR="008A1744">
          <w:rPr>
            <w:webHidden/>
          </w:rPr>
          <w:tab/>
        </w:r>
        <w:r>
          <w:rPr>
            <w:webHidden/>
          </w:rPr>
          <w:fldChar w:fldCharType="begin"/>
        </w:r>
        <w:r w:rsidR="008A1744">
          <w:rPr>
            <w:webHidden/>
          </w:rPr>
          <w:instrText xml:space="preserve"> PAGEREF _Toc271280183 \h </w:instrText>
        </w:r>
        <w:r>
          <w:rPr>
            <w:webHidden/>
          </w:rPr>
        </w:r>
        <w:r>
          <w:rPr>
            <w:webHidden/>
          </w:rPr>
          <w:fldChar w:fldCharType="separate"/>
        </w:r>
        <w:r w:rsidR="00B50C61">
          <w:rPr>
            <w:webHidden/>
          </w:rPr>
          <w:t>122</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84" w:history="1">
        <w:r w:rsidR="008A1744" w:rsidRPr="001B438B">
          <w:rPr>
            <w:rStyle w:val="Hyperlink"/>
          </w:rPr>
          <w:t>Figure 8.1.  Decision Tree for Delisting Based on Chlorophyll a or TSI</w:t>
        </w:r>
        <w:r w:rsidR="008A1744">
          <w:rPr>
            <w:webHidden/>
          </w:rPr>
          <w:tab/>
        </w:r>
        <w:r>
          <w:rPr>
            <w:webHidden/>
          </w:rPr>
          <w:fldChar w:fldCharType="begin"/>
        </w:r>
        <w:r w:rsidR="008A1744">
          <w:rPr>
            <w:webHidden/>
          </w:rPr>
          <w:instrText xml:space="preserve"> PAGEREF _Toc271280184 \h </w:instrText>
        </w:r>
        <w:r>
          <w:rPr>
            <w:webHidden/>
          </w:rPr>
        </w:r>
        <w:r>
          <w:rPr>
            <w:webHidden/>
          </w:rPr>
          <w:fldChar w:fldCharType="separate"/>
        </w:r>
        <w:r w:rsidR="00B50C61">
          <w:rPr>
            <w:webHidden/>
          </w:rPr>
          <w:t>130</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85" w:history="1">
        <w:r w:rsidR="008A1744" w:rsidRPr="001B438B">
          <w:rPr>
            <w:rStyle w:val="Hyperlink"/>
            <w:snapToGrid w:val="0"/>
          </w:rPr>
          <w:t>Figure 8.2.  Results of Florida’s Surface Water Quality Assessment for all Parameters (Excluding Mercury)</w:t>
        </w:r>
        <w:r w:rsidR="008A1744">
          <w:rPr>
            <w:webHidden/>
          </w:rPr>
          <w:tab/>
        </w:r>
        <w:r>
          <w:rPr>
            <w:webHidden/>
          </w:rPr>
          <w:fldChar w:fldCharType="begin"/>
        </w:r>
        <w:r w:rsidR="008A1744">
          <w:rPr>
            <w:webHidden/>
          </w:rPr>
          <w:instrText xml:space="preserve"> PAGEREF _Toc271280185 \h </w:instrText>
        </w:r>
        <w:r>
          <w:rPr>
            <w:webHidden/>
          </w:rPr>
        </w:r>
        <w:r>
          <w:rPr>
            <w:webHidden/>
          </w:rPr>
          <w:fldChar w:fldCharType="separate"/>
        </w:r>
        <w:r w:rsidR="00B50C61">
          <w:rPr>
            <w:webHidden/>
          </w:rPr>
          <w:t>131</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86" w:history="1">
        <w:r w:rsidR="008A1744" w:rsidRPr="001B438B">
          <w:rPr>
            <w:rStyle w:val="Hyperlink"/>
            <w:snapToGrid w:val="0"/>
          </w:rPr>
          <w:t>Figure 8.3.  Results of Florida’s Surface Water Quality Assessment for Mercury</w:t>
        </w:r>
        <w:r w:rsidR="008A1744">
          <w:rPr>
            <w:webHidden/>
          </w:rPr>
          <w:tab/>
        </w:r>
        <w:r>
          <w:rPr>
            <w:webHidden/>
          </w:rPr>
          <w:fldChar w:fldCharType="begin"/>
        </w:r>
        <w:r w:rsidR="008A1744">
          <w:rPr>
            <w:webHidden/>
          </w:rPr>
          <w:instrText xml:space="preserve"> PAGEREF _Toc271280186 \h </w:instrText>
        </w:r>
        <w:r>
          <w:rPr>
            <w:webHidden/>
          </w:rPr>
        </w:r>
        <w:r>
          <w:rPr>
            <w:webHidden/>
          </w:rPr>
          <w:fldChar w:fldCharType="separate"/>
        </w:r>
        <w:r w:rsidR="00B50C61">
          <w:rPr>
            <w:webHidden/>
          </w:rPr>
          <w:t>132</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87" w:history="1">
        <w:r w:rsidR="008A1744" w:rsidRPr="001B438B">
          <w:rPr>
            <w:rStyle w:val="Hyperlink"/>
          </w:rPr>
          <w:t>Figure 10.1.  Numbers of Primary MCL Exceedances in Samples from Public Water Systems and Private Wells for the Recent 2-Year Period</w:t>
        </w:r>
        <w:r w:rsidR="008A1744">
          <w:rPr>
            <w:webHidden/>
          </w:rPr>
          <w:tab/>
        </w:r>
        <w:r>
          <w:rPr>
            <w:webHidden/>
          </w:rPr>
          <w:fldChar w:fldCharType="begin"/>
        </w:r>
        <w:r w:rsidR="008A1744">
          <w:rPr>
            <w:webHidden/>
          </w:rPr>
          <w:instrText xml:space="preserve"> PAGEREF _Toc271280187 \h </w:instrText>
        </w:r>
        <w:r>
          <w:rPr>
            <w:webHidden/>
          </w:rPr>
        </w:r>
        <w:r>
          <w:rPr>
            <w:webHidden/>
          </w:rPr>
          <w:fldChar w:fldCharType="separate"/>
        </w:r>
        <w:r w:rsidR="00B50C61">
          <w:rPr>
            <w:webHidden/>
          </w:rPr>
          <w:t>147</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88" w:history="1">
        <w:r w:rsidR="008A1744" w:rsidRPr="001B438B">
          <w:rPr>
            <w:rStyle w:val="Hyperlink"/>
          </w:rPr>
          <w:t>Figure 10.2.  Median Concentrations of Nitrate + Nitrite in FDEP’s Spring Network (2001–06)</w:t>
        </w:r>
        <w:r w:rsidR="008A1744">
          <w:rPr>
            <w:webHidden/>
          </w:rPr>
          <w:tab/>
        </w:r>
        <w:r>
          <w:rPr>
            <w:webHidden/>
          </w:rPr>
          <w:fldChar w:fldCharType="begin"/>
        </w:r>
        <w:r w:rsidR="008A1744">
          <w:rPr>
            <w:webHidden/>
          </w:rPr>
          <w:instrText xml:space="preserve"> PAGEREF _Toc271280188 \h </w:instrText>
        </w:r>
        <w:r>
          <w:rPr>
            <w:webHidden/>
          </w:rPr>
        </w:r>
        <w:r>
          <w:rPr>
            <w:webHidden/>
          </w:rPr>
          <w:fldChar w:fldCharType="separate"/>
        </w:r>
        <w:r w:rsidR="00B50C61">
          <w:rPr>
            <w:webHidden/>
          </w:rPr>
          <w:t>159</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89" w:history="1">
        <w:r w:rsidR="008A1744" w:rsidRPr="001B438B">
          <w:rPr>
            <w:rStyle w:val="Hyperlink"/>
          </w:rPr>
          <w:t>Figure 10.3.  Median Orthophosphate Concentrations in the Spring Network, 2001–06</w:t>
        </w:r>
        <w:r w:rsidR="008A1744">
          <w:rPr>
            <w:webHidden/>
          </w:rPr>
          <w:tab/>
        </w:r>
        <w:r>
          <w:rPr>
            <w:webHidden/>
          </w:rPr>
          <w:fldChar w:fldCharType="begin"/>
        </w:r>
        <w:r w:rsidR="008A1744">
          <w:rPr>
            <w:webHidden/>
          </w:rPr>
          <w:instrText xml:space="preserve"> PAGEREF _Toc271280189 \h </w:instrText>
        </w:r>
        <w:r>
          <w:rPr>
            <w:webHidden/>
          </w:rPr>
        </w:r>
        <w:r>
          <w:rPr>
            <w:webHidden/>
          </w:rPr>
          <w:fldChar w:fldCharType="separate"/>
        </w:r>
        <w:r w:rsidR="00B50C61">
          <w:rPr>
            <w:webHidden/>
          </w:rPr>
          <w:t>160</w:t>
        </w:r>
        <w:r>
          <w:rPr>
            <w:webHidden/>
          </w:rPr>
          <w:fldChar w:fldCharType="end"/>
        </w:r>
      </w:hyperlink>
    </w:p>
    <w:p w:rsidR="008A1744" w:rsidRDefault="00A74EF3">
      <w:pPr>
        <w:pStyle w:val="TableofFigures"/>
        <w:rPr>
          <w:rFonts w:asciiTheme="minorHAnsi" w:eastAsiaTheme="minorEastAsia" w:hAnsiTheme="minorHAnsi" w:cstheme="minorBidi"/>
          <w:b w:val="0"/>
          <w:bCs w:val="0"/>
          <w:i w:val="0"/>
        </w:rPr>
      </w:pPr>
      <w:hyperlink w:anchor="_Toc271280190" w:history="1">
        <w:r w:rsidR="008A1744" w:rsidRPr="001B438B">
          <w:rPr>
            <w:rStyle w:val="Hyperlink"/>
            <w:snapToGrid w:val="0"/>
          </w:rPr>
          <w:t>Figure 11.1.  Agencies Responsible for Water Resource Coordination and Management in Florida</w:t>
        </w:r>
        <w:r w:rsidR="008A1744">
          <w:rPr>
            <w:webHidden/>
          </w:rPr>
          <w:tab/>
        </w:r>
        <w:r>
          <w:rPr>
            <w:webHidden/>
          </w:rPr>
          <w:fldChar w:fldCharType="begin"/>
        </w:r>
        <w:r w:rsidR="008A1744">
          <w:rPr>
            <w:webHidden/>
          </w:rPr>
          <w:instrText xml:space="preserve"> PAGEREF _Toc271280190 \h </w:instrText>
        </w:r>
        <w:r>
          <w:rPr>
            <w:webHidden/>
          </w:rPr>
        </w:r>
        <w:r>
          <w:rPr>
            <w:webHidden/>
          </w:rPr>
          <w:fldChar w:fldCharType="separate"/>
        </w:r>
        <w:r w:rsidR="00B50C61">
          <w:rPr>
            <w:webHidden/>
          </w:rPr>
          <w:t>179</w:t>
        </w:r>
        <w:r>
          <w:rPr>
            <w:webHidden/>
          </w:rPr>
          <w:fldChar w:fldCharType="end"/>
        </w:r>
      </w:hyperlink>
    </w:p>
    <w:p w:rsidR="00485094" w:rsidRDefault="00A74EF3" w:rsidP="00FE7836">
      <w:pPr>
        <w:pStyle w:val="TableofFigures"/>
      </w:pPr>
      <w:r>
        <w:rPr>
          <w:rFonts w:cs="Arial"/>
        </w:rPr>
        <w:fldChar w:fldCharType="end"/>
      </w:r>
    </w:p>
    <w:p w:rsidR="00485094" w:rsidRPr="000D1C65" w:rsidRDefault="00485094" w:rsidP="00A553DE">
      <w:pPr>
        <w:pStyle w:val="Bodytextreduced"/>
      </w:pPr>
      <w:r w:rsidRPr="003A4461">
        <w:br w:type="page"/>
      </w:r>
    </w:p>
    <w:p w:rsidR="00485094" w:rsidRDefault="00485094" w:rsidP="00B370E1">
      <w:pPr>
        <w:pStyle w:val="Heading1"/>
      </w:pPr>
      <w:bookmarkStart w:id="1" w:name="_Toc271279922"/>
      <w:bookmarkStart w:id="2" w:name="_Toc255822479"/>
      <w:bookmarkStart w:id="3" w:name="_Toc256082336"/>
      <w:bookmarkStart w:id="4" w:name="_Ref263768513"/>
      <w:bookmarkStart w:id="5" w:name="_Ref263768514"/>
      <w:bookmarkStart w:id="6" w:name="_Ref263768515"/>
      <w:bookmarkStart w:id="7" w:name="_Ref263768588"/>
      <w:r>
        <w:lastRenderedPageBreak/>
        <w:t>List of Acronyms and Abbreviations</w:t>
      </w:r>
      <w:bookmarkEnd w:id="1"/>
    </w:p>
    <w:p w:rsidR="00485094" w:rsidRPr="00612D89" w:rsidRDefault="00FC23B4" w:rsidP="00B370E1">
      <w:pPr>
        <w:rPr>
          <w:rFonts w:ascii="Arial" w:hAnsi="Arial" w:cs="Arial"/>
          <w:snapToGrid w:val="0"/>
          <w:sz w:val="22"/>
          <w:szCs w:val="22"/>
        </w:rPr>
      </w:pPr>
      <w:r w:rsidRPr="00647972">
        <w:rPr>
          <w:rFonts w:ascii="Symbol" w:hAnsi="Symbol" w:cs="Arial"/>
          <w:sz w:val="22"/>
          <w:szCs w:val="22"/>
        </w:rPr>
        <w:t></w:t>
      </w:r>
      <w:r w:rsidR="00485094" w:rsidRPr="00612D89">
        <w:rPr>
          <w:rFonts w:ascii="Arial" w:hAnsi="Arial" w:cs="Arial"/>
          <w:bCs/>
          <w:sz w:val="22"/>
          <w:szCs w:val="22"/>
        </w:rPr>
        <w:t>g</w:t>
      </w:r>
      <w:r w:rsidR="00485094" w:rsidRPr="00612D89">
        <w:rPr>
          <w:rFonts w:ascii="Arial" w:hAnsi="Arial" w:cs="Arial"/>
          <w:bCs/>
          <w:sz w:val="22"/>
          <w:szCs w:val="22"/>
        </w:rPr>
        <w:tab/>
      </w:r>
      <w:r w:rsidR="00485094" w:rsidRPr="00612D89">
        <w:rPr>
          <w:rFonts w:ascii="Arial" w:hAnsi="Arial" w:cs="Arial"/>
          <w:bCs/>
          <w:sz w:val="22"/>
          <w:szCs w:val="22"/>
        </w:rPr>
        <w:tab/>
        <w:t>Microgram</w:t>
      </w:r>
      <w:r w:rsidR="00485094" w:rsidRPr="00612D89">
        <w:rPr>
          <w:rFonts w:ascii="Arial" w:hAnsi="Arial" w:cs="Arial"/>
          <w:snapToGrid w:val="0"/>
          <w:sz w:val="22"/>
          <w:szCs w:val="22"/>
        </w:rPr>
        <w:t xml:space="preserve"> </w:t>
      </w:r>
    </w:p>
    <w:p w:rsidR="00485094" w:rsidRPr="008B7C73" w:rsidRDefault="00485094" w:rsidP="00B370E1">
      <w:pPr>
        <w:rPr>
          <w:rFonts w:ascii="Arial" w:hAnsi="Arial" w:cs="Arial"/>
          <w:sz w:val="22"/>
          <w:szCs w:val="22"/>
        </w:rPr>
      </w:pPr>
      <w:r w:rsidRPr="00647972">
        <w:rPr>
          <w:rFonts w:ascii="Symbol" w:hAnsi="Symbol" w:cs="Arial"/>
          <w:sz w:val="22"/>
          <w:szCs w:val="22"/>
        </w:rPr>
        <w:t></w:t>
      </w:r>
      <w:r w:rsidRPr="008B7C73">
        <w:rPr>
          <w:rFonts w:ascii="Arial" w:hAnsi="Arial" w:cs="Arial"/>
          <w:sz w:val="22"/>
          <w:szCs w:val="22"/>
        </w:rPr>
        <w:t xml:space="preserve">g/L </w:t>
      </w:r>
      <w:r>
        <w:rPr>
          <w:rFonts w:ascii="Arial" w:hAnsi="Arial" w:cs="Arial"/>
          <w:sz w:val="22"/>
          <w:szCs w:val="22"/>
        </w:rPr>
        <w:tab/>
      </w:r>
      <w:r>
        <w:rPr>
          <w:rFonts w:ascii="Arial" w:hAnsi="Arial" w:cs="Arial"/>
          <w:sz w:val="22"/>
          <w:szCs w:val="22"/>
        </w:rPr>
        <w:tab/>
        <w:t>Micrograms per Liter</w:t>
      </w:r>
    </w:p>
    <w:p w:rsidR="00485094" w:rsidRDefault="00FC23B4" w:rsidP="00B370E1">
      <w:pPr>
        <w:rPr>
          <w:rFonts w:ascii="Arial" w:hAnsi="Arial" w:cs="Arial"/>
          <w:sz w:val="22"/>
          <w:szCs w:val="22"/>
        </w:rPr>
      </w:pPr>
      <w:r w:rsidRPr="00647972">
        <w:rPr>
          <w:rFonts w:ascii="Symbol" w:hAnsi="Symbol" w:cs="Arial"/>
          <w:sz w:val="22"/>
          <w:szCs w:val="22"/>
        </w:rPr>
        <w:t></w:t>
      </w:r>
      <w:r w:rsidR="00485094" w:rsidRPr="008B7C73">
        <w:rPr>
          <w:rFonts w:ascii="Arial" w:hAnsi="Arial" w:cs="Arial"/>
          <w:sz w:val="22"/>
          <w:szCs w:val="22"/>
        </w:rPr>
        <w:t>S</w:t>
      </w:r>
      <w:r w:rsidR="00485094">
        <w:rPr>
          <w:rFonts w:ascii="Arial" w:hAnsi="Arial" w:cs="Arial"/>
          <w:sz w:val="22"/>
          <w:szCs w:val="22"/>
        </w:rPr>
        <w:tab/>
      </w:r>
      <w:r w:rsidR="00485094">
        <w:rPr>
          <w:rFonts w:ascii="Arial" w:hAnsi="Arial" w:cs="Arial"/>
          <w:sz w:val="22"/>
          <w:szCs w:val="22"/>
        </w:rPr>
        <w:tab/>
      </w:r>
      <w:proofErr w:type="spellStart"/>
      <w:r w:rsidR="00485094">
        <w:rPr>
          <w:rFonts w:ascii="Arial" w:hAnsi="Arial" w:cs="Arial"/>
          <w:sz w:val="22"/>
          <w:szCs w:val="22"/>
        </w:rPr>
        <w:t>MicroSiemen</w:t>
      </w:r>
      <w:proofErr w:type="spellEnd"/>
      <w:r w:rsidR="00485094" w:rsidRPr="008B7C73">
        <w:rPr>
          <w:rFonts w:ascii="Arial" w:hAnsi="Arial" w:cs="Arial"/>
          <w:sz w:val="22"/>
          <w:szCs w:val="22"/>
        </w:rPr>
        <w:t xml:space="preserve"> </w:t>
      </w:r>
    </w:p>
    <w:p w:rsidR="00485094" w:rsidRPr="008B7C73" w:rsidRDefault="00FC23B4" w:rsidP="00B370E1">
      <w:pPr>
        <w:rPr>
          <w:rFonts w:ascii="Arial" w:hAnsi="Arial" w:cs="Arial"/>
          <w:sz w:val="22"/>
          <w:szCs w:val="22"/>
        </w:rPr>
      </w:pPr>
      <w:r w:rsidRPr="00647972">
        <w:rPr>
          <w:rFonts w:ascii="Symbol" w:hAnsi="Symbol" w:cs="Arial"/>
          <w:sz w:val="22"/>
          <w:szCs w:val="22"/>
        </w:rPr>
        <w:t></w:t>
      </w:r>
      <w:r w:rsidR="00485094" w:rsidRPr="008B7C73">
        <w:rPr>
          <w:rFonts w:ascii="Arial" w:hAnsi="Arial" w:cs="Arial"/>
          <w:sz w:val="22"/>
          <w:szCs w:val="22"/>
        </w:rPr>
        <w:t xml:space="preserve">S/cm </w:t>
      </w:r>
      <w:r w:rsidR="00485094">
        <w:rPr>
          <w:rFonts w:ascii="Arial" w:hAnsi="Arial" w:cs="Arial"/>
          <w:sz w:val="22"/>
          <w:szCs w:val="22"/>
        </w:rPr>
        <w:tab/>
      </w:r>
      <w:r w:rsidR="00485094">
        <w:rPr>
          <w:rFonts w:ascii="Arial" w:hAnsi="Arial" w:cs="Arial"/>
          <w:sz w:val="22"/>
          <w:szCs w:val="22"/>
        </w:rPr>
        <w:tab/>
      </w:r>
      <w:proofErr w:type="spellStart"/>
      <w:r w:rsidR="00485094">
        <w:rPr>
          <w:rFonts w:ascii="Arial" w:hAnsi="Arial" w:cs="Arial"/>
          <w:sz w:val="22"/>
          <w:szCs w:val="22"/>
        </w:rPr>
        <w:t>M</w:t>
      </w:r>
      <w:r w:rsidR="00485094" w:rsidRPr="008B7C73">
        <w:rPr>
          <w:rFonts w:ascii="Arial" w:hAnsi="Arial" w:cs="Arial"/>
          <w:sz w:val="22"/>
          <w:szCs w:val="22"/>
        </w:rPr>
        <w:t>icroSiemens</w:t>
      </w:r>
      <w:proofErr w:type="spellEnd"/>
      <w:r w:rsidR="00485094" w:rsidRPr="008B7C73">
        <w:rPr>
          <w:rFonts w:ascii="Arial" w:hAnsi="Arial" w:cs="Arial"/>
          <w:sz w:val="22"/>
          <w:szCs w:val="22"/>
        </w:rPr>
        <w:t xml:space="preserve"> per </w:t>
      </w:r>
      <w:r w:rsidR="00485094">
        <w:rPr>
          <w:rFonts w:ascii="Arial" w:hAnsi="Arial" w:cs="Arial"/>
          <w:sz w:val="22"/>
          <w:szCs w:val="22"/>
        </w:rPr>
        <w:t>C</w:t>
      </w:r>
      <w:r w:rsidR="00485094" w:rsidRPr="008B7C73">
        <w:rPr>
          <w:rFonts w:ascii="Arial" w:hAnsi="Arial" w:cs="Arial"/>
          <w:sz w:val="22"/>
          <w:szCs w:val="22"/>
        </w:rPr>
        <w:t xml:space="preserve">entimeter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ALK </w:t>
      </w:r>
      <w:r>
        <w:rPr>
          <w:rFonts w:ascii="Arial" w:hAnsi="Arial" w:cs="Arial"/>
          <w:sz w:val="22"/>
          <w:szCs w:val="22"/>
        </w:rPr>
        <w:tab/>
      </w:r>
      <w:r>
        <w:rPr>
          <w:rFonts w:ascii="Arial" w:hAnsi="Arial" w:cs="Arial"/>
          <w:sz w:val="22"/>
          <w:szCs w:val="22"/>
        </w:rPr>
        <w:tab/>
      </w:r>
      <w:r w:rsidRPr="008B7C73">
        <w:rPr>
          <w:rFonts w:ascii="Arial" w:hAnsi="Arial" w:cs="Arial"/>
          <w:sz w:val="22"/>
          <w:szCs w:val="22"/>
        </w:rPr>
        <w:t>Alkalinity</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As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Arsenic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ASR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Aquifer Storage and Recovery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ATAC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Allocation Technical Advisory Committee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BGD </w:t>
      </w:r>
      <w:r>
        <w:rPr>
          <w:rFonts w:ascii="Arial" w:hAnsi="Arial" w:cs="Arial"/>
          <w:snapToGrid w:val="0"/>
          <w:sz w:val="22"/>
          <w:szCs w:val="22"/>
        </w:rPr>
        <w:tab/>
      </w:r>
      <w:r>
        <w:rPr>
          <w:rFonts w:ascii="Arial" w:hAnsi="Arial" w:cs="Arial"/>
          <w:snapToGrid w:val="0"/>
          <w:sz w:val="22"/>
          <w:szCs w:val="22"/>
        </w:rPr>
        <w:tab/>
        <w:t>B</w:t>
      </w:r>
      <w:r w:rsidRPr="008B7C73">
        <w:rPr>
          <w:rFonts w:ascii="Arial" w:hAnsi="Arial" w:cs="Arial"/>
          <w:snapToGrid w:val="0"/>
          <w:sz w:val="22"/>
          <w:szCs w:val="22"/>
        </w:rPr>
        <w:t xml:space="preserve">illion </w:t>
      </w:r>
      <w:r>
        <w:rPr>
          <w:rFonts w:ascii="Arial" w:hAnsi="Arial" w:cs="Arial"/>
          <w:snapToGrid w:val="0"/>
          <w:sz w:val="22"/>
          <w:szCs w:val="22"/>
        </w:rPr>
        <w:t>G</w:t>
      </w:r>
      <w:r w:rsidRPr="008B7C73">
        <w:rPr>
          <w:rFonts w:ascii="Arial" w:hAnsi="Arial" w:cs="Arial"/>
          <w:snapToGrid w:val="0"/>
          <w:sz w:val="22"/>
          <w:szCs w:val="22"/>
        </w:rPr>
        <w:t xml:space="preserve">allons per </w:t>
      </w:r>
      <w:r>
        <w:rPr>
          <w:rFonts w:ascii="Arial" w:hAnsi="Arial" w:cs="Arial"/>
          <w:snapToGrid w:val="0"/>
          <w:sz w:val="22"/>
          <w:szCs w:val="22"/>
        </w:rPr>
        <w:t>D</w:t>
      </w:r>
      <w:r w:rsidRPr="008B7C73">
        <w:rPr>
          <w:rFonts w:ascii="Arial" w:hAnsi="Arial" w:cs="Arial"/>
          <w:snapToGrid w:val="0"/>
          <w:sz w:val="22"/>
          <w:szCs w:val="22"/>
        </w:rPr>
        <w:t xml:space="preserve">ay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BioRecon </w:t>
      </w:r>
      <w:r>
        <w:rPr>
          <w:rFonts w:ascii="Arial" w:hAnsi="Arial" w:cs="Arial"/>
          <w:sz w:val="22"/>
          <w:szCs w:val="22"/>
        </w:rPr>
        <w:tab/>
      </w:r>
      <w:r w:rsidRPr="008B7C73">
        <w:rPr>
          <w:rFonts w:ascii="Arial" w:hAnsi="Arial" w:cs="Arial"/>
          <w:sz w:val="22"/>
          <w:szCs w:val="22"/>
        </w:rPr>
        <w:t xml:space="preserve">BioReconnaissance  </w:t>
      </w:r>
    </w:p>
    <w:p w:rsidR="00485094" w:rsidRPr="008B7C73" w:rsidRDefault="00485094" w:rsidP="00B370E1">
      <w:pPr>
        <w:rPr>
          <w:rFonts w:ascii="Arial" w:hAnsi="Arial" w:cs="Arial"/>
          <w:sz w:val="22"/>
          <w:szCs w:val="22"/>
        </w:rPr>
      </w:pPr>
      <w:r w:rsidRPr="008B7C73">
        <w:rPr>
          <w:rFonts w:ascii="Arial" w:hAnsi="Arial" w:cs="Arial"/>
          <w:sz w:val="22"/>
          <w:szCs w:val="22"/>
        </w:rPr>
        <w:t>BMAP</w:t>
      </w:r>
      <w:r>
        <w:rPr>
          <w:rFonts w:ascii="Arial" w:hAnsi="Arial" w:cs="Arial"/>
          <w:sz w:val="22"/>
          <w:szCs w:val="22"/>
        </w:rPr>
        <w:tab/>
      </w:r>
      <w:r w:rsidRPr="008B7C73">
        <w:rPr>
          <w:rFonts w:ascii="Arial" w:hAnsi="Arial" w:cs="Arial"/>
          <w:sz w:val="22"/>
          <w:szCs w:val="22"/>
        </w:rPr>
        <w:t xml:space="preserve"> </w:t>
      </w:r>
      <w:r>
        <w:rPr>
          <w:rFonts w:ascii="Arial" w:hAnsi="Arial" w:cs="Arial"/>
          <w:sz w:val="22"/>
          <w:szCs w:val="22"/>
        </w:rPr>
        <w:tab/>
      </w:r>
      <w:r w:rsidRPr="008B7C73">
        <w:rPr>
          <w:rFonts w:ascii="Arial" w:hAnsi="Arial" w:cs="Arial"/>
          <w:sz w:val="22"/>
          <w:szCs w:val="22"/>
        </w:rPr>
        <w:t xml:space="preserve">Basin Management Action Plan  </w:t>
      </w:r>
    </w:p>
    <w:p w:rsidR="00485094" w:rsidRPr="008B7C73" w:rsidRDefault="00485094" w:rsidP="00B370E1">
      <w:pPr>
        <w:rPr>
          <w:rFonts w:ascii="Arial" w:hAnsi="Arial" w:cs="Arial"/>
          <w:sz w:val="22"/>
          <w:szCs w:val="22"/>
        </w:rPr>
      </w:pPr>
      <w:r w:rsidRPr="008B7C73">
        <w:rPr>
          <w:rFonts w:ascii="Arial" w:hAnsi="Arial" w:cs="Arial"/>
          <w:sz w:val="22"/>
          <w:szCs w:val="22"/>
        </w:rPr>
        <w:t>BMP</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Best </w:t>
      </w:r>
      <w:r>
        <w:rPr>
          <w:rFonts w:ascii="Arial" w:hAnsi="Arial" w:cs="Arial"/>
          <w:sz w:val="22"/>
          <w:szCs w:val="22"/>
        </w:rPr>
        <w:t>M</w:t>
      </w:r>
      <w:r w:rsidRPr="008B7C73">
        <w:rPr>
          <w:rFonts w:ascii="Arial" w:hAnsi="Arial" w:cs="Arial"/>
          <w:sz w:val="22"/>
          <w:szCs w:val="22"/>
        </w:rPr>
        <w:t xml:space="preserve">anagement </w:t>
      </w:r>
      <w:r>
        <w:rPr>
          <w:rFonts w:ascii="Arial" w:hAnsi="Arial" w:cs="Arial"/>
          <w:sz w:val="22"/>
          <w:szCs w:val="22"/>
        </w:rPr>
        <w:t>P</w:t>
      </w:r>
      <w:r w:rsidRPr="008B7C73">
        <w:rPr>
          <w:rFonts w:ascii="Arial" w:hAnsi="Arial" w:cs="Arial"/>
          <w:sz w:val="22"/>
          <w:szCs w:val="22"/>
        </w:rPr>
        <w:t xml:space="preserve">ractice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BOD </w:t>
      </w:r>
      <w:r>
        <w:rPr>
          <w:rFonts w:ascii="Arial" w:hAnsi="Arial" w:cs="Arial"/>
          <w:sz w:val="22"/>
          <w:szCs w:val="22"/>
        </w:rPr>
        <w:tab/>
      </w:r>
      <w:r>
        <w:rPr>
          <w:rFonts w:ascii="Arial" w:hAnsi="Arial" w:cs="Arial"/>
          <w:sz w:val="22"/>
          <w:szCs w:val="22"/>
        </w:rPr>
        <w:tab/>
        <w:t>B</w:t>
      </w:r>
      <w:r w:rsidRPr="008B7C73">
        <w:rPr>
          <w:rFonts w:ascii="Arial" w:hAnsi="Arial" w:cs="Arial"/>
          <w:sz w:val="22"/>
          <w:szCs w:val="22"/>
        </w:rPr>
        <w:t xml:space="preserve">iological </w:t>
      </w:r>
      <w:r>
        <w:rPr>
          <w:rFonts w:ascii="Arial" w:hAnsi="Arial" w:cs="Arial"/>
          <w:sz w:val="22"/>
          <w:szCs w:val="22"/>
        </w:rPr>
        <w:t>O</w:t>
      </w:r>
      <w:r w:rsidRPr="008B7C73">
        <w:rPr>
          <w:rFonts w:ascii="Arial" w:hAnsi="Arial" w:cs="Arial"/>
          <w:sz w:val="22"/>
          <w:szCs w:val="22"/>
        </w:rPr>
        <w:t xml:space="preserve">xygen </w:t>
      </w:r>
      <w:r>
        <w:rPr>
          <w:rFonts w:ascii="Arial" w:hAnsi="Arial" w:cs="Arial"/>
          <w:sz w:val="22"/>
          <w:szCs w:val="22"/>
        </w:rPr>
        <w:t>D</w:t>
      </w:r>
      <w:r w:rsidRPr="008B7C73">
        <w:rPr>
          <w:rFonts w:ascii="Arial" w:hAnsi="Arial" w:cs="Arial"/>
          <w:sz w:val="22"/>
          <w:szCs w:val="22"/>
        </w:rPr>
        <w:t xml:space="preserve">emand </w:t>
      </w:r>
    </w:p>
    <w:p w:rsidR="00485094" w:rsidRPr="008B7C73" w:rsidRDefault="00485094" w:rsidP="00B370E1">
      <w:pPr>
        <w:rPr>
          <w:rFonts w:ascii="Arial" w:hAnsi="Arial" w:cs="Arial"/>
          <w:bCs/>
          <w:i/>
          <w:sz w:val="22"/>
          <w:szCs w:val="22"/>
        </w:rPr>
      </w:pPr>
      <w:r w:rsidRPr="008B7C73">
        <w:rPr>
          <w:rFonts w:ascii="Arial" w:hAnsi="Arial" w:cs="Arial"/>
          <w:sz w:val="22"/>
          <w:szCs w:val="22"/>
        </w:rPr>
        <w:t xml:space="preserve">BRACE </w:t>
      </w:r>
      <w:r>
        <w:rPr>
          <w:rFonts w:ascii="Arial" w:hAnsi="Arial" w:cs="Arial"/>
          <w:sz w:val="22"/>
          <w:szCs w:val="22"/>
        </w:rPr>
        <w:tab/>
      </w:r>
      <w:r w:rsidRPr="008B7C73">
        <w:rPr>
          <w:rFonts w:ascii="Arial" w:hAnsi="Arial" w:cs="Arial"/>
          <w:sz w:val="22"/>
          <w:szCs w:val="22"/>
        </w:rPr>
        <w:t xml:space="preserve">Bay Regional Atmospheric Chemistry Experiment  </w:t>
      </w:r>
    </w:p>
    <w:p w:rsidR="00485094" w:rsidRPr="008B7C73" w:rsidRDefault="00542E8A" w:rsidP="00B370E1">
      <w:pPr>
        <w:rPr>
          <w:rFonts w:ascii="Arial" w:hAnsi="Arial" w:cs="Arial"/>
          <w:sz w:val="22"/>
          <w:szCs w:val="22"/>
        </w:rPr>
      </w:pPr>
      <w:r>
        <w:rPr>
          <w:rFonts w:ascii="Arial" w:hAnsi="Arial" w:cs="Arial"/>
          <w:sz w:val="22"/>
          <w:szCs w:val="22"/>
        </w:rPr>
        <w:t>Ca</w:t>
      </w:r>
      <w:r w:rsidR="00485094" w:rsidRPr="008B7C73">
        <w:rPr>
          <w:rFonts w:ascii="Arial" w:hAnsi="Arial" w:cs="Arial"/>
          <w:sz w:val="22"/>
          <w:szCs w:val="22"/>
        </w:rPr>
        <w:t xml:space="preserve"> </w:t>
      </w:r>
      <w:r w:rsidR="00485094">
        <w:rPr>
          <w:rFonts w:ascii="Arial" w:hAnsi="Arial" w:cs="Arial"/>
          <w:sz w:val="22"/>
          <w:szCs w:val="22"/>
        </w:rPr>
        <w:tab/>
      </w:r>
      <w:r w:rsidR="00485094">
        <w:rPr>
          <w:rFonts w:ascii="Arial" w:hAnsi="Arial" w:cs="Arial"/>
          <w:sz w:val="22"/>
          <w:szCs w:val="22"/>
        </w:rPr>
        <w:tab/>
      </w:r>
      <w:r w:rsidR="00485094" w:rsidRPr="008B7C73">
        <w:rPr>
          <w:rFonts w:ascii="Arial" w:hAnsi="Arial" w:cs="Arial"/>
          <w:sz w:val="22"/>
          <w:szCs w:val="22"/>
        </w:rPr>
        <w:t>Calcium</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CaCO3 </w:t>
      </w:r>
      <w:r>
        <w:rPr>
          <w:rFonts w:ascii="Arial" w:hAnsi="Arial" w:cs="Arial"/>
          <w:sz w:val="22"/>
          <w:szCs w:val="22"/>
        </w:rPr>
        <w:tab/>
      </w:r>
      <w:r w:rsidRPr="008B7C73">
        <w:rPr>
          <w:rFonts w:ascii="Arial" w:hAnsi="Arial" w:cs="Arial"/>
          <w:sz w:val="22"/>
          <w:szCs w:val="22"/>
        </w:rPr>
        <w:t>Calcium Carbonate</w:t>
      </w:r>
    </w:p>
    <w:p w:rsidR="00485094" w:rsidRPr="008B7C73" w:rsidRDefault="00485094" w:rsidP="00B370E1">
      <w:pPr>
        <w:rPr>
          <w:rFonts w:ascii="Arial" w:hAnsi="Arial" w:cs="Arial"/>
          <w:sz w:val="22"/>
          <w:szCs w:val="22"/>
        </w:rPr>
      </w:pPr>
      <w:r w:rsidRPr="008B7C73">
        <w:rPr>
          <w:rFonts w:ascii="Arial" w:hAnsi="Arial" w:cs="Arial"/>
          <w:snapToGrid w:val="0"/>
          <w:sz w:val="22"/>
          <w:szCs w:val="22"/>
        </w:rPr>
        <w:t xml:space="preserve">CAMA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Coastal and Aquatic Managed Areas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CARL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Conservation and Recreation Lands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CBI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Compliance Biomonitoring Inspection  </w:t>
      </w:r>
    </w:p>
    <w:p w:rsidR="00485094" w:rsidRDefault="00485094" w:rsidP="00B370E1">
      <w:pPr>
        <w:rPr>
          <w:rFonts w:ascii="Arial" w:hAnsi="Arial" w:cs="Arial"/>
          <w:sz w:val="22"/>
          <w:szCs w:val="22"/>
        </w:rPr>
      </w:pPr>
      <w:r w:rsidRPr="008B7C73">
        <w:rPr>
          <w:rFonts w:ascii="Arial" w:hAnsi="Arial" w:cs="Arial"/>
          <w:sz w:val="22"/>
          <w:szCs w:val="22"/>
        </w:rPr>
        <w:t xml:space="preserve">CBIR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Community Budget Initiative Request  </w:t>
      </w:r>
    </w:p>
    <w:p w:rsidR="00485094" w:rsidRDefault="00485094" w:rsidP="00B370E1">
      <w:pPr>
        <w:rPr>
          <w:rFonts w:ascii="Arial" w:hAnsi="Arial" w:cs="Arial"/>
          <w:sz w:val="22"/>
          <w:szCs w:val="22"/>
        </w:rPr>
      </w:pPr>
      <w:r w:rsidRPr="008B7C73">
        <w:rPr>
          <w:rFonts w:ascii="Arial" w:hAnsi="Arial" w:cs="Arial"/>
          <w:sz w:val="22"/>
          <w:szCs w:val="22"/>
        </w:rPr>
        <w:t xml:space="preserve">CCMP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Comprehensive Conservation and Management Plan </w:t>
      </w:r>
    </w:p>
    <w:p w:rsidR="00485094" w:rsidRPr="008B7C73" w:rsidRDefault="00485094" w:rsidP="00B370E1">
      <w:pPr>
        <w:rPr>
          <w:rFonts w:ascii="Arial" w:hAnsi="Arial" w:cs="Arial"/>
          <w:sz w:val="22"/>
          <w:szCs w:val="22"/>
        </w:rPr>
      </w:pPr>
      <w:r w:rsidRPr="004853D4">
        <w:rPr>
          <w:rFonts w:ascii="Arial" w:hAnsi="Arial" w:cs="Arial"/>
          <w:sz w:val="22"/>
          <w:szCs w:val="22"/>
        </w:rPr>
        <w:t>CCUA</w:t>
      </w:r>
      <w:r>
        <w:rPr>
          <w:rFonts w:ascii="Arial" w:hAnsi="Arial" w:cs="Arial"/>
          <w:sz w:val="22"/>
          <w:szCs w:val="22"/>
        </w:rPr>
        <w:tab/>
      </w:r>
      <w:r>
        <w:rPr>
          <w:rFonts w:ascii="Arial" w:hAnsi="Arial" w:cs="Arial"/>
          <w:sz w:val="22"/>
          <w:szCs w:val="22"/>
        </w:rPr>
        <w:tab/>
        <w:t>Clay County Utility Authority</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CEI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Compliance Evaluation Inspection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CERCLA </w:t>
      </w:r>
      <w:r>
        <w:rPr>
          <w:rFonts w:ascii="Arial" w:hAnsi="Arial" w:cs="Arial"/>
          <w:sz w:val="22"/>
          <w:szCs w:val="22"/>
        </w:rPr>
        <w:tab/>
      </w:r>
      <w:r w:rsidRPr="008B7C73">
        <w:rPr>
          <w:rFonts w:ascii="Arial" w:hAnsi="Arial" w:cs="Arial"/>
          <w:sz w:val="22"/>
          <w:szCs w:val="22"/>
        </w:rPr>
        <w:t xml:space="preserve">Comprehensive Environmental Response Compensation and Liability Act </w:t>
      </w:r>
    </w:p>
    <w:p w:rsidR="00485094" w:rsidRPr="0093636F" w:rsidRDefault="00485094" w:rsidP="00B370E1">
      <w:pPr>
        <w:rPr>
          <w:rFonts w:ascii="Arial" w:hAnsi="Arial" w:cs="Arial"/>
          <w:sz w:val="22"/>
          <w:szCs w:val="22"/>
        </w:rPr>
      </w:pPr>
      <w:r w:rsidRPr="0093636F">
        <w:rPr>
          <w:rFonts w:ascii="Arial" w:hAnsi="Arial" w:cs="Arial"/>
          <w:sz w:val="22"/>
          <w:szCs w:val="22"/>
        </w:rPr>
        <w:t xml:space="preserve">CERP </w:t>
      </w:r>
      <w:r w:rsidRPr="0093636F">
        <w:rPr>
          <w:rFonts w:ascii="Arial" w:hAnsi="Arial" w:cs="Arial"/>
          <w:sz w:val="22"/>
          <w:szCs w:val="22"/>
        </w:rPr>
        <w:tab/>
      </w:r>
      <w:r w:rsidRPr="0093636F">
        <w:rPr>
          <w:rFonts w:ascii="Arial" w:hAnsi="Arial" w:cs="Arial"/>
          <w:sz w:val="22"/>
          <w:szCs w:val="22"/>
        </w:rPr>
        <w:tab/>
      </w:r>
      <w:r>
        <w:rPr>
          <w:rFonts w:ascii="Arial" w:hAnsi="Arial" w:cs="Arial"/>
          <w:sz w:val="22"/>
          <w:szCs w:val="22"/>
        </w:rPr>
        <w:t>Comprehensive Everglades Restoration Plan</w:t>
      </w:r>
      <w:r w:rsidRPr="0093636F">
        <w:rPr>
          <w:rFonts w:ascii="Arial" w:hAnsi="Arial" w:cs="Arial"/>
          <w:sz w:val="22"/>
          <w:szCs w:val="22"/>
        </w:rPr>
        <w:t xml:space="preserve">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cfs </w:t>
      </w:r>
      <w:r>
        <w:rPr>
          <w:rFonts w:ascii="Arial" w:hAnsi="Arial" w:cs="Arial"/>
          <w:snapToGrid w:val="0"/>
          <w:sz w:val="22"/>
          <w:szCs w:val="22"/>
        </w:rPr>
        <w:tab/>
      </w:r>
      <w:r>
        <w:rPr>
          <w:rFonts w:ascii="Arial" w:hAnsi="Arial" w:cs="Arial"/>
          <w:snapToGrid w:val="0"/>
          <w:sz w:val="22"/>
          <w:szCs w:val="22"/>
        </w:rPr>
        <w:tab/>
        <w:t>C</w:t>
      </w:r>
      <w:r w:rsidRPr="008B7C73">
        <w:rPr>
          <w:rFonts w:ascii="Arial" w:hAnsi="Arial" w:cs="Arial"/>
          <w:snapToGrid w:val="0"/>
          <w:sz w:val="22"/>
          <w:szCs w:val="22"/>
        </w:rPr>
        <w:t xml:space="preserve">ubic </w:t>
      </w:r>
      <w:r>
        <w:rPr>
          <w:rFonts w:ascii="Arial" w:hAnsi="Arial" w:cs="Arial"/>
          <w:snapToGrid w:val="0"/>
          <w:sz w:val="22"/>
          <w:szCs w:val="22"/>
        </w:rPr>
        <w:t>F</w:t>
      </w:r>
      <w:r w:rsidRPr="008B7C73">
        <w:rPr>
          <w:rFonts w:ascii="Arial" w:hAnsi="Arial" w:cs="Arial"/>
          <w:snapToGrid w:val="0"/>
          <w:sz w:val="22"/>
          <w:szCs w:val="22"/>
        </w:rPr>
        <w:t xml:space="preserve">eet per </w:t>
      </w:r>
      <w:r>
        <w:rPr>
          <w:rFonts w:ascii="Arial" w:hAnsi="Arial" w:cs="Arial"/>
          <w:snapToGrid w:val="0"/>
          <w:sz w:val="22"/>
          <w:szCs w:val="22"/>
        </w:rPr>
        <w:t>S</w:t>
      </w:r>
      <w:r w:rsidRPr="008B7C73">
        <w:rPr>
          <w:rFonts w:ascii="Arial" w:hAnsi="Arial" w:cs="Arial"/>
          <w:snapToGrid w:val="0"/>
          <w:sz w:val="22"/>
          <w:szCs w:val="22"/>
        </w:rPr>
        <w:t>econd</w:t>
      </w:r>
    </w:p>
    <w:p w:rsidR="00485094" w:rsidRPr="008B7C73" w:rsidRDefault="00542E8A" w:rsidP="00B370E1">
      <w:pPr>
        <w:rPr>
          <w:rFonts w:ascii="Arial" w:hAnsi="Arial" w:cs="Arial"/>
          <w:sz w:val="22"/>
          <w:szCs w:val="22"/>
        </w:rPr>
      </w:pPr>
      <w:proofErr w:type="spellStart"/>
      <w:r>
        <w:rPr>
          <w:rFonts w:ascii="Arial" w:hAnsi="Arial" w:cs="Arial"/>
          <w:sz w:val="22"/>
          <w:szCs w:val="22"/>
        </w:rPr>
        <w:t>Cl</w:t>
      </w:r>
      <w:proofErr w:type="spellEnd"/>
      <w:r w:rsidR="00485094" w:rsidRPr="008B7C73">
        <w:rPr>
          <w:rFonts w:ascii="Arial" w:hAnsi="Arial" w:cs="Arial"/>
          <w:sz w:val="22"/>
          <w:szCs w:val="22"/>
        </w:rPr>
        <w:t xml:space="preserve"> </w:t>
      </w:r>
      <w:r w:rsidR="00485094">
        <w:rPr>
          <w:rFonts w:ascii="Arial" w:hAnsi="Arial" w:cs="Arial"/>
          <w:sz w:val="22"/>
          <w:szCs w:val="22"/>
        </w:rPr>
        <w:tab/>
      </w:r>
      <w:r w:rsidR="00485094">
        <w:rPr>
          <w:rFonts w:ascii="Arial" w:hAnsi="Arial" w:cs="Arial"/>
          <w:sz w:val="22"/>
          <w:szCs w:val="22"/>
        </w:rPr>
        <w:tab/>
      </w:r>
      <w:r w:rsidR="00485094" w:rsidRPr="008B7C73">
        <w:rPr>
          <w:rFonts w:ascii="Arial" w:hAnsi="Arial" w:cs="Arial"/>
          <w:sz w:val="22"/>
          <w:szCs w:val="22"/>
        </w:rPr>
        <w:t>Chloride</w:t>
      </w:r>
    </w:p>
    <w:p w:rsidR="00485094" w:rsidRDefault="00485094" w:rsidP="00B370E1">
      <w:pPr>
        <w:rPr>
          <w:rFonts w:ascii="Arial" w:hAnsi="Arial" w:cs="Arial"/>
          <w:sz w:val="22"/>
          <w:szCs w:val="22"/>
        </w:rPr>
      </w:pPr>
      <w:r>
        <w:rPr>
          <w:rFonts w:ascii="Arial" w:hAnsi="Arial" w:cs="Arial"/>
          <w:sz w:val="22"/>
          <w:szCs w:val="22"/>
        </w:rPr>
        <w:t>cm</w:t>
      </w:r>
      <w:r>
        <w:rPr>
          <w:rFonts w:ascii="Arial" w:hAnsi="Arial" w:cs="Arial"/>
          <w:sz w:val="22"/>
          <w:szCs w:val="22"/>
        </w:rPr>
        <w:tab/>
      </w:r>
      <w:r>
        <w:rPr>
          <w:rFonts w:ascii="Arial" w:hAnsi="Arial" w:cs="Arial"/>
          <w:sz w:val="22"/>
          <w:szCs w:val="22"/>
        </w:rPr>
        <w:tab/>
        <w:t>Centimeter</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CSI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Compliance Sampling Inspection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CSO </w:t>
      </w:r>
      <w:r>
        <w:rPr>
          <w:rFonts w:ascii="Arial" w:hAnsi="Arial" w:cs="Arial"/>
          <w:sz w:val="22"/>
          <w:szCs w:val="22"/>
        </w:rPr>
        <w:tab/>
      </w:r>
      <w:r>
        <w:rPr>
          <w:rFonts w:ascii="Arial" w:hAnsi="Arial" w:cs="Arial"/>
          <w:sz w:val="22"/>
          <w:szCs w:val="22"/>
        </w:rPr>
        <w:tab/>
        <w:t>C</w:t>
      </w:r>
      <w:r w:rsidRPr="008B7C73">
        <w:rPr>
          <w:rFonts w:ascii="Arial" w:hAnsi="Arial" w:cs="Arial"/>
          <w:sz w:val="22"/>
          <w:szCs w:val="22"/>
        </w:rPr>
        <w:t xml:space="preserve">ombined </w:t>
      </w:r>
      <w:r>
        <w:rPr>
          <w:rFonts w:ascii="Arial" w:hAnsi="Arial" w:cs="Arial"/>
          <w:sz w:val="22"/>
          <w:szCs w:val="22"/>
        </w:rPr>
        <w:t>S</w:t>
      </w:r>
      <w:r w:rsidRPr="008B7C73">
        <w:rPr>
          <w:rFonts w:ascii="Arial" w:hAnsi="Arial" w:cs="Arial"/>
          <w:sz w:val="22"/>
          <w:szCs w:val="22"/>
        </w:rPr>
        <w:t xml:space="preserve">ewer </w:t>
      </w:r>
      <w:r>
        <w:rPr>
          <w:rFonts w:ascii="Arial" w:hAnsi="Arial" w:cs="Arial"/>
          <w:sz w:val="22"/>
          <w:szCs w:val="22"/>
        </w:rPr>
        <w:t>O</w:t>
      </w:r>
      <w:r w:rsidRPr="008B7C73">
        <w:rPr>
          <w:rFonts w:ascii="Arial" w:hAnsi="Arial" w:cs="Arial"/>
          <w:sz w:val="22"/>
          <w:szCs w:val="22"/>
        </w:rPr>
        <w:t xml:space="preserve">verflow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CWA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Clean Water Act  </w:t>
      </w:r>
    </w:p>
    <w:p w:rsidR="00485094" w:rsidRPr="008B7C73" w:rsidRDefault="00485094" w:rsidP="00B370E1">
      <w:pPr>
        <w:rPr>
          <w:rFonts w:ascii="Arial" w:hAnsi="Arial" w:cs="Arial"/>
          <w:sz w:val="22"/>
          <w:szCs w:val="22"/>
        </w:rPr>
      </w:pPr>
      <w:r w:rsidRPr="008B7C73">
        <w:rPr>
          <w:rFonts w:ascii="Arial" w:hAnsi="Arial" w:cs="Arial"/>
          <w:sz w:val="22"/>
          <w:szCs w:val="22"/>
        </w:rPr>
        <w:t>CWNS</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Clean Watersheds Needs Survey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CWSRF </w:t>
      </w:r>
      <w:r>
        <w:rPr>
          <w:rFonts w:ascii="Arial" w:hAnsi="Arial" w:cs="Arial"/>
          <w:sz w:val="22"/>
          <w:szCs w:val="22"/>
        </w:rPr>
        <w:tab/>
      </w:r>
      <w:r w:rsidRPr="008B7C73">
        <w:rPr>
          <w:rFonts w:ascii="Arial" w:hAnsi="Arial" w:cs="Arial"/>
          <w:sz w:val="22"/>
          <w:szCs w:val="22"/>
        </w:rPr>
        <w:t xml:space="preserve">Clean Water State Revolving Fund  </w:t>
      </w:r>
    </w:p>
    <w:p w:rsidR="00A75953" w:rsidRDefault="00A75953" w:rsidP="00B370E1">
      <w:pPr>
        <w:rPr>
          <w:rFonts w:ascii="Arial" w:hAnsi="Arial" w:cs="Arial"/>
          <w:snapToGrid w:val="0"/>
          <w:sz w:val="22"/>
          <w:szCs w:val="22"/>
        </w:rPr>
      </w:pPr>
      <w:r>
        <w:rPr>
          <w:rFonts w:ascii="Arial" w:hAnsi="Arial" w:cs="Arial"/>
          <w:snapToGrid w:val="0"/>
          <w:sz w:val="22"/>
          <w:szCs w:val="22"/>
        </w:rPr>
        <w:t>DEP</w:t>
      </w:r>
      <w:r>
        <w:rPr>
          <w:rFonts w:ascii="Arial" w:hAnsi="Arial" w:cs="Arial"/>
          <w:snapToGrid w:val="0"/>
          <w:sz w:val="22"/>
          <w:szCs w:val="22"/>
        </w:rPr>
        <w:tab/>
      </w:r>
      <w:r>
        <w:rPr>
          <w:rFonts w:ascii="Arial" w:hAnsi="Arial" w:cs="Arial"/>
          <w:snapToGrid w:val="0"/>
          <w:sz w:val="22"/>
          <w:szCs w:val="22"/>
        </w:rPr>
        <w:tab/>
        <w:t>Department of Environmental Protection</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DMR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Discharge Monitoring Report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DO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Dissolved </w:t>
      </w:r>
      <w:r>
        <w:rPr>
          <w:rFonts w:ascii="Arial" w:hAnsi="Arial" w:cs="Arial"/>
          <w:sz w:val="22"/>
          <w:szCs w:val="22"/>
        </w:rPr>
        <w:t>O</w:t>
      </w:r>
      <w:r w:rsidRPr="008B7C73">
        <w:rPr>
          <w:rFonts w:ascii="Arial" w:hAnsi="Arial" w:cs="Arial"/>
          <w:sz w:val="22"/>
          <w:szCs w:val="22"/>
        </w:rPr>
        <w:t xml:space="preserve">xygen </w:t>
      </w:r>
    </w:p>
    <w:p w:rsidR="00485094" w:rsidRPr="008B7C73" w:rsidRDefault="00485094" w:rsidP="00B370E1">
      <w:pPr>
        <w:rPr>
          <w:rFonts w:ascii="Arial" w:hAnsi="Arial" w:cs="Arial"/>
          <w:sz w:val="22"/>
          <w:szCs w:val="22"/>
        </w:rPr>
      </w:pPr>
      <w:r w:rsidRPr="0093636F">
        <w:rPr>
          <w:rFonts w:ascii="Arial" w:hAnsi="Arial" w:cs="Arial"/>
          <w:sz w:val="22"/>
          <w:szCs w:val="22"/>
        </w:rPr>
        <w:t xml:space="preserve">DSCP </w:t>
      </w:r>
      <w:r>
        <w:rPr>
          <w:rFonts w:ascii="Arial" w:hAnsi="Arial" w:cs="Arial"/>
          <w:sz w:val="22"/>
          <w:szCs w:val="22"/>
        </w:rPr>
        <w:tab/>
      </w:r>
      <w:r>
        <w:rPr>
          <w:rFonts w:ascii="Arial" w:hAnsi="Arial" w:cs="Arial"/>
          <w:sz w:val="22"/>
          <w:szCs w:val="22"/>
        </w:rPr>
        <w:tab/>
      </w:r>
      <w:proofErr w:type="spellStart"/>
      <w:r w:rsidRPr="0093636F">
        <w:rPr>
          <w:rFonts w:ascii="Arial" w:hAnsi="Arial" w:cs="Arial"/>
          <w:sz w:val="22"/>
          <w:szCs w:val="22"/>
        </w:rPr>
        <w:t>Drycleaning</w:t>
      </w:r>
      <w:proofErr w:type="spellEnd"/>
      <w:r w:rsidRPr="0093636F">
        <w:rPr>
          <w:rFonts w:ascii="Arial" w:hAnsi="Arial" w:cs="Arial"/>
          <w:sz w:val="22"/>
          <w:szCs w:val="22"/>
        </w:rPr>
        <w:t xml:space="preserve"> Solvent Cleanup Program </w:t>
      </w:r>
      <w:r w:rsidRPr="008B7C73">
        <w:rPr>
          <w:rFonts w:ascii="Arial" w:hAnsi="Arial" w:cs="Arial"/>
          <w:sz w:val="22"/>
          <w:szCs w:val="22"/>
        </w:rPr>
        <w:t xml:space="preserve">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DWMP </w:t>
      </w:r>
      <w:r>
        <w:rPr>
          <w:rFonts w:ascii="Arial" w:hAnsi="Arial" w:cs="Arial"/>
          <w:snapToGrid w:val="0"/>
          <w:sz w:val="22"/>
          <w:szCs w:val="22"/>
        </w:rPr>
        <w:tab/>
      </w:r>
      <w:r w:rsidRPr="008B7C73">
        <w:rPr>
          <w:rFonts w:ascii="Arial" w:hAnsi="Arial" w:cs="Arial"/>
          <w:snapToGrid w:val="0"/>
          <w:sz w:val="22"/>
          <w:szCs w:val="22"/>
        </w:rPr>
        <w:t xml:space="preserve">District Water Management Plan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EDB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Ethylene </w:t>
      </w:r>
      <w:r>
        <w:rPr>
          <w:rFonts w:ascii="Arial" w:hAnsi="Arial" w:cs="Arial"/>
          <w:sz w:val="22"/>
          <w:szCs w:val="22"/>
        </w:rPr>
        <w:t>D</w:t>
      </w:r>
      <w:r w:rsidRPr="008B7C73">
        <w:rPr>
          <w:rFonts w:ascii="Arial" w:hAnsi="Arial" w:cs="Arial"/>
          <w:sz w:val="22"/>
          <w:szCs w:val="22"/>
        </w:rPr>
        <w:t xml:space="preserve">ibromide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ELRA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Environmental Litigation Reform Act  </w:t>
      </w:r>
    </w:p>
    <w:p w:rsidR="00485094" w:rsidRPr="008B7C73" w:rsidRDefault="00485094" w:rsidP="00B370E1">
      <w:pPr>
        <w:rPr>
          <w:rFonts w:ascii="Arial" w:hAnsi="Arial" w:cs="Arial"/>
          <w:sz w:val="22"/>
          <w:szCs w:val="22"/>
        </w:rPr>
      </w:pPr>
      <w:r w:rsidRPr="0093636F">
        <w:rPr>
          <w:rFonts w:ascii="Arial" w:hAnsi="Arial" w:cs="Arial"/>
          <w:sz w:val="22"/>
        </w:rPr>
        <w:t xml:space="preserve">EMAP </w:t>
      </w:r>
      <w:r>
        <w:rPr>
          <w:rFonts w:ascii="Arial" w:hAnsi="Arial" w:cs="Arial"/>
          <w:sz w:val="22"/>
        </w:rPr>
        <w:tab/>
      </w:r>
      <w:r>
        <w:rPr>
          <w:rFonts w:ascii="Arial" w:hAnsi="Arial" w:cs="Arial"/>
          <w:sz w:val="22"/>
        </w:rPr>
        <w:tab/>
      </w:r>
      <w:r w:rsidRPr="0093636F">
        <w:rPr>
          <w:rFonts w:ascii="Arial" w:hAnsi="Arial" w:cs="Arial"/>
          <w:sz w:val="22"/>
        </w:rPr>
        <w:t xml:space="preserve">Environmental Monitoring and Assessment Program  </w:t>
      </w:r>
      <w:r w:rsidRPr="008B7C73">
        <w:rPr>
          <w:rFonts w:ascii="Arial" w:hAnsi="Arial" w:cs="Arial"/>
          <w:sz w:val="22"/>
          <w:szCs w:val="22"/>
        </w:rPr>
        <w:t xml:space="preserve">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EPA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U.S. Environmental Protection Agency  </w:t>
      </w:r>
    </w:p>
    <w:p w:rsidR="00485094" w:rsidRPr="008B7C73" w:rsidRDefault="00485094" w:rsidP="00B370E1">
      <w:pPr>
        <w:rPr>
          <w:rFonts w:ascii="Arial" w:hAnsi="Arial" w:cs="Arial"/>
          <w:sz w:val="22"/>
          <w:szCs w:val="22"/>
        </w:rPr>
      </w:pPr>
      <w:r w:rsidRPr="008B7C73">
        <w:rPr>
          <w:rFonts w:ascii="Arial" w:hAnsi="Arial" w:cs="Arial"/>
          <w:snapToGrid w:val="0"/>
          <w:sz w:val="22"/>
          <w:szCs w:val="22"/>
        </w:rPr>
        <w:t xml:space="preserve">ERP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Environmental Resource Permit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ESOC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Emerging Substances of Concern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F.A.C.</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Florida Administrative Code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FC </w:t>
      </w:r>
      <w:r>
        <w:rPr>
          <w:rFonts w:ascii="Arial" w:hAnsi="Arial" w:cs="Arial"/>
          <w:sz w:val="22"/>
          <w:szCs w:val="22"/>
        </w:rPr>
        <w:tab/>
      </w:r>
      <w:r>
        <w:rPr>
          <w:rFonts w:ascii="Arial" w:hAnsi="Arial" w:cs="Arial"/>
          <w:sz w:val="22"/>
          <w:szCs w:val="22"/>
        </w:rPr>
        <w:tab/>
      </w:r>
      <w:r w:rsidRPr="008B7C73">
        <w:rPr>
          <w:rFonts w:ascii="Arial" w:hAnsi="Arial" w:cs="Arial"/>
          <w:sz w:val="22"/>
          <w:szCs w:val="22"/>
        </w:rPr>
        <w:t>Fecal Coliform</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lastRenderedPageBreak/>
        <w:t xml:space="preserve">FDACS </w:t>
      </w:r>
      <w:r>
        <w:rPr>
          <w:rFonts w:ascii="Arial" w:hAnsi="Arial" w:cs="Arial"/>
          <w:snapToGrid w:val="0"/>
          <w:sz w:val="22"/>
          <w:szCs w:val="22"/>
        </w:rPr>
        <w:tab/>
      </w:r>
      <w:r w:rsidRPr="008B7C73">
        <w:rPr>
          <w:rFonts w:ascii="Arial" w:hAnsi="Arial" w:cs="Arial"/>
          <w:snapToGrid w:val="0"/>
          <w:sz w:val="22"/>
          <w:szCs w:val="22"/>
        </w:rPr>
        <w:t xml:space="preserve">Florida Department of Agriculture and Consumer Services  </w:t>
      </w:r>
    </w:p>
    <w:p w:rsidR="00485094" w:rsidRPr="008B7C73" w:rsidRDefault="00485094" w:rsidP="00B370E1">
      <w:pPr>
        <w:rPr>
          <w:rFonts w:ascii="Arial" w:hAnsi="Arial" w:cs="Arial"/>
          <w:sz w:val="22"/>
          <w:szCs w:val="22"/>
        </w:rPr>
      </w:pPr>
      <w:r w:rsidRPr="008B7C73">
        <w:rPr>
          <w:rFonts w:ascii="Arial" w:hAnsi="Arial" w:cs="Arial"/>
          <w:snapToGrid w:val="0"/>
          <w:sz w:val="22"/>
          <w:szCs w:val="22"/>
        </w:rPr>
        <w:t xml:space="preserve">FDCA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Florida Department of Community Affairs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FDEP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Florida Department of Environmental Protection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FDER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Florida Department of Environmental Regulation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FDOH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Florida Department of Health  </w:t>
      </w:r>
    </w:p>
    <w:p w:rsidR="00485094" w:rsidRDefault="00485094" w:rsidP="00B370E1">
      <w:pPr>
        <w:rPr>
          <w:rFonts w:ascii="Arial" w:hAnsi="Arial" w:cs="Arial"/>
          <w:snapToGrid w:val="0"/>
          <w:sz w:val="22"/>
          <w:szCs w:val="22"/>
        </w:rPr>
      </w:pPr>
      <w:r w:rsidRPr="008B7C73">
        <w:rPr>
          <w:rFonts w:ascii="Arial" w:hAnsi="Arial" w:cs="Arial"/>
          <w:snapToGrid w:val="0"/>
          <w:sz w:val="22"/>
          <w:szCs w:val="22"/>
        </w:rPr>
        <w:t xml:space="preserve">FDOT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Florida Department of Transportation </w:t>
      </w:r>
    </w:p>
    <w:p w:rsidR="00485094" w:rsidRPr="008B7C73" w:rsidRDefault="00485094" w:rsidP="00B370E1">
      <w:pPr>
        <w:rPr>
          <w:rFonts w:ascii="Arial" w:hAnsi="Arial" w:cs="Arial"/>
          <w:sz w:val="22"/>
          <w:szCs w:val="22"/>
        </w:rPr>
      </w:pPr>
      <w:r w:rsidRPr="008B7C73">
        <w:rPr>
          <w:rFonts w:ascii="Arial" w:hAnsi="Arial" w:cs="Arial"/>
          <w:snapToGrid w:val="0"/>
          <w:sz w:val="22"/>
          <w:szCs w:val="22"/>
        </w:rPr>
        <w:t xml:space="preserve">FGS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Florida Geological Survey  </w:t>
      </w:r>
    </w:p>
    <w:p w:rsidR="00485094" w:rsidRPr="008B7C73" w:rsidRDefault="00485094" w:rsidP="00B370E1">
      <w:pPr>
        <w:rPr>
          <w:rFonts w:ascii="Arial" w:hAnsi="Arial" w:cs="Arial"/>
          <w:snapToGrid w:val="0"/>
          <w:sz w:val="22"/>
          <w:szCs w:val="22"/>
        </w:rPr>
      </w:pPr>
      <w:r w:rsidRPr="008B7C73">
        <w:rPr>
          <w:rFonts w:ascii="Arial" w:hAnsi="Arial" w:cs="Arial"/>
          <w:sz w:val="22"/>
          <w:szCs w:val="22"/>
        </w:rPr>
        <w:t xml:space="preserve">FL STORET </w:t>
      </w:r>
      <w:r>
        <w:rPr>
          <w:rFonts w:ascii="Arial" w:hAnsi="Arial" w:cs="Arial"/>
          <w:sz w:val="22"/>
          <w:szCs w:val="22"/>
        </w:rPr>
        <w:tab/>
      </w:r>
      <w:r w:rsidRPr="0093636F">
        <w:rPr>
          <w:rFonts w:ascii="Arial" w:hAnsi="Arial" w:cs="Arial"/>
          <w:sz w:val="22"/>
          <w:szCs w:val="22"/>
        </w:rPr>
        <w:t>F</w:t>
      </w:r>
      <w:r>
        <w:rPr>
          <w:rFonts w:ascii="Arial" w:hAnsi="Arial" w:cs="Arial"/>
          <w:sz w:val="22"/>
          <w:szCs w:val="22"/>
        </w:rPr>
        <w:t>lorida Storage and Retrieval (database)</w:t>
      </w:r>
      <w:r w:rsidRPr="0093636F">
        <w:rPr>
          <w:rFonts w:ascii="Arial" w:hAnsi="Arial" w:cs="Arial"/>
          <w:sz w:val="22"/>
          <w:szCs w:val="22"/>
        </w:rPr>
        <w:t xml:space="preserve"> </w:t>
      </w:r>
    </w:p>
    <w:p w:rsidR="00485094" w:rsidRPr="008B7C73" w:rsidRDefault="00485094" w:rsidP="00B370E1">
      <w:pPr>
        <w:rPr>
          <w:rFonts w:ascii="Arial" w:hAnsi="Arial" w:cs="Arial"/>
          <w:bCs/>
          <w:sz w:val="22"/>
          <w:szCs w:val="22"/>
        </w:rPr>
      </w:pPr>
      <w:r w:rsidRPr="008B7C73">
        <w:rPr>
          <w:rFonts w:ascii="Arial" w:hAnsi="Arial" w:cs="Arial"/>
          <w:bCs/>
          <w:sz w:val="22"/>
          <w:szCs w:val="22"/>
        </w:rPr>
        <w:t>FMRI</w:t>
      </w:r>
      <w:r w:rsidRPr="008B7C73">
        <w:rPr>
          <w:rFonts w:ascii="Arial" w:hAnsi="Arial" w:cs="Arial"/>
          <w:sz w:val="22"/>
          <w:szCs w:val="22"/>
        </w:rPr>
        <w:t xml:space="preserve"> </w:t>
      </w:r>
      <w:r>
        <w:rPr>
          <w:rFonts w:ascii="Arial" w:hAnsi="Arial" w:cs="Arial"/>
          <w:sz w:val="22"/>
          <w:szCs w:val="22"/>
        </w:rPr>
        <w:tab/>
      </w:r>
      <w:r>
        <w:rPr>
          <w:rFonts w:ascii="Arial" w:hAnsi="Arial" w:cs="Arial"/>
          <w:sz w:val="22"/>
          <w:szCs w:val="22"/>
        </w:rPr>
        <w:tab/>
      </w:r>
      <w:r w:rsidRPr="008B7C73">
        <w:rPr>
          <w:rFonts w:ascii="Arial" w:hAnsi="Arial" w:cs="Arial"/>
          <w:bCs/>
          <w:sz w:val="22"/>
          <w:szCs w:val="22"/>
        </w:rPr>
        <w:t xml:space="preserve">Florida Marine Research Institute  </w:t>
      </w:r>
    </w:p>
    <w:p w:rsidR="00485094" w:rsidRPr="008B7C73" w:rsidRDefault="00485094" w:rsidP="00B370E1">
      <w:pPr>
        <w:rPr>
          <w:rFonts w:ascii="Arial" w:hAnsi="Arial" w:cs="Arial"/>
          <w:sz w:val="22"/>
          <w:szCs w:val="22"/>
        </w:rPr>
      </w:pPr>
      <w:r w:rsidRPr="008B7C73">
        <w:rPr>
          <w:rFonts w:ascii="Arial" w:hAnsi="Arial" w:cs="Arial"/>
          <w:sz w:val="22"/>
          <w:szCs w:val="22"/>
        </w:rPr>
        <w:t>F.S.</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Florida Statutes  </w:t>
      </w:r>
    </w:p>
    <w:p w:rsidR="00485094" w:rsidRDefault="00485094" w:rsidP="00B370E1">
      <w:pPr>
        <w:rPr>
          <w:rFonts w:ascii="Arial" w:hAnsi="Arial" w:cs="Arial"/>
          <w:snapToGrid w:val="0"/>
          <w:sz w:val="22"/>
          <w:szCs w:val="22"/>
        </w:rPr>
      </w:pPr>
      <w:r w:rsidRPr="008B7C73">
        <w:rPr>
          <w:rFonts w:ascii="Arial" w:hAnsi="Arial" w:cs="Arial"/>
          <w:snapToGrid w:val="0"/>
          <w:sz w:val="22"/>
          <w:szCs w:val="22"/>
        </w:rPr>
        <w:t xml:space="preserve">FWC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Florida Fish and Wildlife Conservation Commission  </w:t>
      </w:r>
    </w:p>
    <w:p w:rsidR="00485094" w:rsidRPr="0093636F" w:rsidRDefault="00485094" w:rsidP="00B370E1">
      <w:pPr>
        <w:rPr>
          <w:rFonts w:ascii="Arial" w:hAnsi="Arial" w:cs="Arial"/>
          <w:sz w:val="22"/>
          <w:szCs w:val="22"/>
        </w:rPr>
      </w:pPr>
      <w:r w:rsidRPr="0093636F">
        <w:rPr>
          <w:rFonts w:ascii="Arial" w:hAnsi="Arial" w:cs="Arial"/>
          <w:sz w:val="22"/>
          <w:szCs w:val="22"/>
        </w:rPr>
        <w:t xml:space="preserve">FWCI </w:t>
      </w:r>
      <w:r w:rsidRPr="0093636F">
        <w:rPr>
          <w:rFonts w:ascii="Arial" w:hAnsi="Arial" w:cs="Arial"/>
          <w:sz w:val="22"/>
          <w:szCs w:val="22"/>
        </w:rPr>
        <w:tab/>
      </w:r>
      <w:r w:rsidRPr="0093636F">
        <w:rPr>
          <w:rFonts w:ascii="Arial" w:hAnsi="Arial" w:cs="Arial"/>
          <w:sz w:val="22"/>
          <w:szCs w:val="22"/>
        </w:rPr>
        <w:tab/>
        <w:t xml:space="preserve">Florida Wetland Condition Index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FWRA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Florida Watershed Restoration Act  </w:t>
      </w:r>
    </w:p>
    <w:p w:rsidR="00485094" w:rsidRPr="008B7C73" w:rsidRDefault="00485094" w:rsidP="00B370E1">
      <w:pPr>
        <w:rPr>
          <w:rFonts w:ascii="Arial" w:hAnsi="Arial" w:cs="Arial"/>
          <w:sz w:val="22"/>
          <w:szCs w:val="22"/>
        </w:rPr>
      </w:pPr>
      <w:r w:rsidRPr="008B7C73">
        <w:rPr>
          <w:rFonts w:ascii="Arial" w:hAnsi="Arial" w:cs="Arial"/>
          <w:color w:val="000000"/>
          <w:sz w:val="22"/>
          <w:szCs w:val="22"/>
        </w:rPr>
        <w:t>FWRI</w:t>
      </w:r>
      <w:r w:rsidRPr="008B7C73">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Fish and </w:t>
      </w:r>
      <w:r w:rsidRPr="008B7C73">
        <w:rPr>
          <w:rFonts w:ascii="Arial" w:hAnsi="Arial" w:cs="Arial"/>
          <w:sz w:val="22"/>
          <w:szCs w:val="22"/>
        </w:rPr>
        <w:t xml:space="preserve">Wildlife Research Institute </w:t>
      </w:r>
      <w:r w:rsidRPr="008B7C73">
        <w:rPr>
          <w:rFonts w:ascii="Arial" w:hAnsi="Arial" w:cs="Arial"/>
          <w:color w:val="000000"/>
          <w:sz w:val="22"/>
          <w:szCs w:val="22"/>
        </w:rPr>
        <w:t xml:space="preserve">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FWVSS </w:t>
      </w:r>
      <w:r>
        <w:rPr>
          <w:rFonts w:ascii="Arial" w:hAnsi="Arial" w:cs="Arial"/>
          <w:sz w:val="22"/>
          <w:szCs w:val="22"/>
        </w:rPr>
        <w:tab/>
      </w:r>
      <w:r w:rsidRPr="008B7C73">
        <w:rPr>
          <w:rFonts w:ascii="Arial" w:hAnsi="Arial" w:cs="Arial"/>
          <w:sz w:val="22"/>
          <w:szCs w:val="22"/>
        </w:rPr>
        <w:t xml:space="preserve">Foodborne, Waterborne, and Vectorborne Disease Surveillance System  </w:t>
      </w:r>
    </w:p>
    <w:p w:rsidR="00485094" w:rsidRPr="008B7C73" w:rsidRDefault="00485094" w:rsidP="00B370E1">
      <w:pPr>
        <w:rPr>
          <w:rFonts w:ascii="Arial" w:hAnsi="Arial" w:cs="Arial"/>
          <w:bCs/>
          <w:sz w:val="22"/>
          <w:szCs w:val="22"/>
        </w:rPr>
      </w:pPr>
      <w:r w:rsidRPr="008B7C73">
        <w:rPr>
          <w:rFonts w:ascii="Arial" w:hAnsi="Arial" w:cs="Arial"/>
          <w:bCs/>
          <w:sz w:val="22"/>
          <w:szCs w:val="22"/>
        </w:rPr>
        <w:t xml:space="preserve">FY </w:t>
      </w:r>
      <w:r>
        <w:rPr>
          <w:rFonts w:ascii="Arial" w:hAnsi="Arial" w:cs="Arial"/>
          <w:bCs/>
          <w:sz w:val="22"/>
          <w:szCs w:val="22"/>
        </w:rPr>
        <w:tab/>
      </w:r>
      <w:r>
        <w:rPr>
          <w:rFonts w:ascii="Arial" w:hAnsi="Arial" w:cs="Arial"/>
          <w:bCs/>
          <w:sz w:val="22"/>
          <w:szCs w:val="22"/>
        </w:rPr>
        <w:tab/>
      </w:r>
      <w:r w:rsidRPr="008B7C73">
        <w:rPr>
          <w:rFonts w:ascii="Arial" w:hAnsi="Arial" w:cs="Arial"/>
          <w:bCs/>
          <w:sz w:val="22"/>
          <w:szCs w:val="22"/>
        </w:rPr>
        <w:t xml:space="preserve">Fiscal year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FYI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Fifth Year Inspection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GIS </w:t>
      </w:r>
      <w:r>
        <w:rPr>
          <w:rFonts w:ascii="Arial" w:hAnsi="Arial" w:cs="Arial"/>
          <w:sz w:val="22"/>
          <w:szCs w:val="22"/>
        </w:rPr>
        <w:tab/>
      </w:r>
      <w:r>
        <w:rPr>
          <w:rFonts w:ascii="Arial" w:hAnsi="Arial" w:cs="Arial"/>
          <w:sz w:val="22"/>
          <w:szCs w:val="22"/>
        </w:rPr>
        <w:tab/>
        <w:t>Geographic Information System</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GRTS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Generalized Random Tessellation Stratified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GWTV </w:t>
      </w:r>
      <w:r>
        <w:rPr>
          <w:rFonts w:ascii="Arial" w:hAnsi="Arial" w:cs="Arial"/>
          <w:sz w:val="22"/>
          <w:szCs w:val="22"/>
        </w:rPr>
        <w:tab/>
      </w:r>
      <w:r w:rsidRPr="008B7C73">
        <w:rPr>
          <w:rFonts w:ascii="Arial" w:hAnsi="Arial" w:cs="Arial"/>
          <w:sz w:val="22"/>
          <w:szCs w:val="22"/>
        </w:rPr>
        <w:t xml:space="preserve">Ground Water Temporal Variability  </w:t>
      </w:r>
    </w:p>
    <w:p w:rsidR="007C2526" w:rsidRPr="008B7C73" w:rsidRDefault="007C2526" w:rsidP="007C2526">
      <w:pPr>
        <w:rPr>
          <w:rFonts w:ascii="Arial" w:hAnsi="Arial" w:cs="Arial"/>
          <w:color w:val="008000"/>
          <w:sz w:val="22"/>
          <w:szCs w:val="22"/>
        </w:rPr>
      </w:pPr>
      <w:r w:rsidRPr="008B7C73">
        <w:rPr>
          <w:rFonts w:ascii="Arial" w:hAnsi="Arial" w:cs="Arial"/>
          <w:snapToGrid w:val="0"/>
          <w:sz w:val="22"/>
          <w:szCs w:val="22"/>
        </w:rPr>
        <w:t xml:space="preserve">HAB </w:t>
      </w:r>
      <w:r>
        <w:rPr>
          <w:rFonts w:ascii="Arial" w:hAnsi="Arial" w:cs="Arial"/>
          <w:snapToGrid w:val="0"/>
          <w:sz w:val="22"/>
          <w:szCs w:val="22"/>
        </w:rPr>
        <w:tab/>
      </w:r>
      <w:r>
        <w:rPr>
          <w:rFonts w:ascii="Arial" w:hAnsi="Arial" w:cs="Arial"/>
          <w:snapToGrid w:val="0"/>
          <w:sz w:val="22"/>
          <w:szCs w:val="22"/>
        </w:rPr>
        <w:tab/>
        <w:t>H</w:t>
      </w:r>
      <w:r w:rsidRPr="008B7C73">
        <w:rPr>
          <w:rFonts w:ascii="Arial" w:hAnsi="Arial" w:cs="Arial"/>
          <w:snapToGrid w:val="0"/>
          <w:sz w:val="22"/>
          <w:szCs w:val="22"/>
        </w:rPr>
        <w:t xml:space="preserve">armful </w:t>
      </w:r>
      <w:r>
        <w:rPr>
          <w:rFonts w:ascii="Arial" w:hAnsi="Arial" w:cs="Arial"/>
          <w:snapToGrid w:val="0"/>
          <w:sz w:val="22"/>
          <w:szCs w:val="22"/>
        </w:rPr>
        <w:t>A</w:t>
      </w:r>
      <w:r w:rsidRPr="008B7C73">
        <w:rPr>
          <w:rFonts w:ascii="Arial" w:hAnsi="Arial" w:cs="Arial"/>
          <w:snapToGrid w:val="0"/>
          <w:sz w:val="22"/>
          <w:szCs w:val="22"/>
        </w:rPr>
        <w:t xml:space="preserve">lgal </w:t>
      </w:r>
      <w:r>
        <w:rPr>
          <w:rFonts w:ascii="Arial" w:hAnsi="Arial" w:cs="Arial"/>
          <w:snapToGrid w:val="0"/>
          <w:sz w:val="22"/>
          <w:szCs w:val="22"/>
        </w:rPr>
        <w:t>B</w:t>
      </w:r>
      <w:r w:rsidRPr="008B7C73">
        <w:rPr>
          <w:rFonts w:ascii="Arial" w:hAnsi="Arial" w:cs="Arial"/>
          <w:snapToGrid w:val="0"/>
          <w:sz w:val="22"/>
          <w:szCs w:val="22"/>
        </w:rPr>
        <w:t xml:space="preserve">loom  </w:t>
      </w:r>
    </w:p>
    <w:p w:rsidR="00485094" w:rsidRPr="008B7C73" w:rsidRDefault="00485094" w:rsidP="00B370E1">
      <w:pPr>
        <w:rPr>
          <w:rFonts w:ascii="Arial" w:hAnsi="Arial" w:cs="Arial"/>
          <w:color w:val="008000"/>
          <w:sz w:val="22"/>
          <w:szCs w:val="22"/>
        </w:rPr>
      </w:pPr>
      <w:r w:rsidRPr="008B7C73">
        <w:rPr>
          <w:rFonts w:ascii="Arial" w:hAnsi="Arial" w:cs="Arial"/>
          <w:snapToGrid w:val="0"/>
          <w:sz w:val="22"/>
          <w:szCs w:val="22"/>
        </w:rPr>
        <w:t>HAB</w:t>
      </w:r>
      <w:r w:rsidR="007C2526">
        <w:rPr>
          <w:rFonts w:ascii="Arial" w:hAnsi="Arial" w:cs="Arial"/>
          <w:snapToGrid w:val="0"/>
          <w:sz w:val="22"/>
          <w:szCs w:val="22"/>
        </w:rPr>
        <w:t>SOS</w:t>
      </w:r>
      <w:r w:rsidRPr="008B7C73">
        <w:rPr>
          <w:rFonts w:ascii="Arial" w:hAnsi="Arial" w:cs="Arial"/>
          <w:snapToGrid w:val="0"/>
          <w:sz w:val="22"/>
          <w:szCs w:val="22"/>
        </w:rPr>
        <w:t xml:space="preserve"> </w:t>
      </w:r>
      <w:r>
        <w:rPr>
          <w:rFonts w:ascii="Arial" w:hAnsi="Arial" w:cs="Arial"/>
          <w:snapToGrid w:val="0"/>
          <w:sz w:val="22"/>
          <w:szCs w:val="22"/>
        </w:rPr>
        <w:tab/>
        <w:t>H</w:t>
      </w:r>
      <w:r w:rsidRPr="008B7C73">
        <w:rPr>
          <w:rFonts w:ascii="Arial" w:hAnsi="Arial" w:cs="Arial"/>
          <w:snapToGrid w:val="0"/>
          <w:sz w:val="22"/>
          <w:szCs w:val="22"/>
        </w:rPr>
        <w:t xml:space="preserve">armful </w:t>
      </w:r>
      <w:r>
        <w:rPr>
          <w:rFonts w:ascii="Arial" w:hAnsi="Arial" w:cs="Arial"/>
          <w:snapToGrid w:val="0"/>
          <w:sz w:val="22"/>
          <w:szCs w:val="22"/>
        </w:rPr>
        <w:t>A</w:t>
      </w:r>
      <w:r w:rsidRPr="008B7C73">
        <w:rPr>
          <w:rFonts w:ascii="Arial" w:hAnsi="Arial" w:cs="Arial"/>
          <w:snapToGrid w:val="0"/>
          <w:sz w:val="22"/>
          <w:szCs w:val="22"/>
        </w:rPr>
        <w:t xml:space="preserve">lgal </w:t>
      </w:r>
      <w:r>
        <w:rPr>
          <w:rFonts w:ascii="Arial" w:hAnsi="Arial" w:cs="Arial"/>
          <w:snapToGrid w:val="0"/>
          <w:sz w:val="22"/>
          <w:szCs w:val="22"/>
        </w:rPr>
        <w:t>B</w:t>
      </w:r>
      <w:r w:rsidRPr="008B7C73">
        <w:rPr>
          <w:rFonts w:ascii="Arial" w:hAnsi="Arial" w:cs="Arial"/>
          <w:snapToGrid w:val="0"/>
          <w:sz w:val="22"/>
          <w:szCs w:val="22"/>
        </w:rPr>
        <w:t xml:space="preserve">loom </w:t>
      </w:r>
      <w:r w:rsidR="007C2526">
        <w:rPr>
          <w:rFonts w:ascii="Arial" w:hAnsi="Arial" w:cs="Arial"/>
          <w:snapToGrid w:val="0"/>
          <w:sz w:val="22"/>
          <w:szCs w:val="22"/>
        </w:rPr>
        <w:t>Observing System</w:t>
      </w:r>
      <w:r w:rsidRPr="008B7C73">
        <w:rPr>
          <w:rFonts w:ascii="Arial" w:hAnsi="Arial" w:cs="Arial"/>
          <w:snapToGrid w:val="0"/>
          <w:sz w:val="22"/>
          <w:szCs w:val="22"/>
        </w:rPr>
        <w:t xml:space="preserve"> </w:t>
      </w:r>
    </w:p>
    <w:p w:rsidR="00485094" w:rsidRDefault="00485094" w:rsidP="00B370E1">
      <w:pPr>
        <w:rPr>
          <w:rFonts w:ascii="Arial" w:hAnsi="Arial" w:cs="Arial"/>
          <w:snapToGrid w:val="0"/>
          <w:sz w:val="22"/>
          <w:szCs w:val="22"/>
        </w:rPr>
      </w:pPr>
      <w:r w:rsidRPr="008B7C73">
        <w:rPr>
          <w:rFonts w:ascii="Arial" w:hAnsi="Arial" w:cs="Arial"/>
          <w:snapToGrid w:val="0"/>
          <w:sz w:val="22"/>
          <w:szCs w:val="22"/>
        </w:rPr>
        <w:t xml:space="preserve">HUC </w:t>
      </w:r>
      <w:r>
        <w:rPr>
          <w:rFonts w:ascii="Arial" w:hAnsi="Arial" w:cs="Arial"/>
          <w:snapToGrid w:val="0"/>
          <w:sz w:val="22"/>
          <w:szCs w:val="22"/>
        </w:rPr>
        <w:tab/>
      </w:r>
      <w:r>
        <w:rPr>
          <w:rFonts w:ascii="Arial" w:hAnsi="Arial" w:cs="Arial"/>
          <w:snapToGrid w:val="0"/>
          <w:sz w:val="22"/>
          <w:szCs w:val="22"/>
        </w:rPr>
        <w:tab/>
        <w:t>H</w:t>
      </w:r>
      <w:r w:rsidRPr="008B7C73">
        <w:rPr>
          <w:rFonts w:ascii="Arial" w:hAnsi="Arial" w:cs="Arial"/>
          <w:snapToGrid w:val="0"/>
          <w:sz w:val="22"/>
          <w:szCs w:val="22"/>
        </w:rPr>
        <w:t xml:space="preserve">ydrologic </w:t>
      </w:r>
      <w:r>
        <w:rPr>
          <w:rFonts w:ascii="Arial" w:hAnsi="Arial" w:cs="Arial"/>
          <w:snapToGrid w:val="0"/>
          <w:sz w:val="22"/>
          <w:szCs w:val="22"/>
        </w:rPr>
        <w:t>U</w:t>
      </w:r>
      <w:r w:rsidRPr="008B7C73">
        <w:rPr>
          <w:rFonts w:ascii="Arial" w:hAnsi="Arial" w:cs="Arial"/>
          <w:snapToGrid w:val="0"/>
          <w:sz w:val="22"/>
          <w:szCs w:val="22"/>
        </w:rPr>
        <w:t xml:space="preserve">nit </w:t>
      </w:r>
      <w:r>
        <w:rPr>
          <w:rFonts w:ascii="Arial" w:hAnsi="Arial" w:cs="Arial"/>
          <w:snapToGrid w:val="0"/>
          <w:sz w:val="22"/>
          <w:szCs w:val="22"/>
        </w:rPr>
        <w:t>C</w:t>
      </w:r>
      <w:r w:rsidRPr="008B7C73">
        <w:rPr>
          <w:rFonts w:ascii="Arial" w:hAnsi="Arial" w:cs="Arial"/>
          <w:snapToGrid w:val="0"/>
          <w:sz w:val="22"/>
          <w:szCs w:val="22"/>
        </w:rPr>
        <w:t xml:space="preserve">ode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IBI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Impact Bioassessment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IMAP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Inshore Marine Monitoring and Assessment Program  </w:t>
      </w:r>
    </w:p>
    <w:p w:rsidR="00161289" w:rsidRDefault="00161289" w:rsidP="00B370E1">
      <w:pPr>
        <w:rPr>
          <w:rFonts w:ascii="Arial" w:hAnsi="Arial" w:cs="Arial"/>
          <w:sz w:val="22"/>
          <w:szCs w:val="22"/>
        </w:rPr>
      </w:pPr>
      <w:r>
        <w:rPr>
          <w:rFonts w:ascii="Arial" w:hAnsi="Arial" w:cs="Arial"/>
          <w:sz w:val="22"/>
          <w:szCs w:val="22"/>
        </w:rPr>
        <w:t>IMC</w:t>
      </w:r>
      <w:r>
        <w:rPr>
          <w:rFonts w:ascii="Arial" w:hAnsi="Arial" w:cs="Arial"/>
          <w:sz w:val="22"/>
          <w:szCs w:val="22"/>
        </w:rPr>
        <w:tab/>
      </w:r>
      <w:r>
        <w:rPr>
          <w:rFonts w:ascii="Arial" w:hAnsi="Arial" w:cs="Arial"/>
          <w:sz w:val="22"/>
          <w:szCs w:val="22"/>
        </w:rPr>
        <w:tab/>
        <w:t>International Minerals and Chemicals Corporation</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ISD </w:t>
      </w:r>
      <w:r>
        <w:rPr>
          <w:rFonts w:ascii="Arial" w:hAnsi="Arial" w:cs="Arial"/>
          <w:sz w:val="22"/>
          <w:szCs w:val="22"/>
        </w:rPr>
        <w:tab/>
      </w:r>
      <w:r>
        <w:rPr>
          <w:rFonts w:ascii="Arial" w:hAnsi="Arial" w:cs="Arial"/>
          <w:sz w:val="22"/>
          <w:szCs w:val="22"/>
        </w:rPr>
        <w:tab/>
      </w:r>
      <w:r w:rsidRPr="008B7C73">
        <w:rPr>
          <w:rFonts w:ascii="Arial" w:hAnsi="Arial" w:cs="Arial"/>
          <w:sz w:val="22"/>
          <w:szCs w:val="22"/>
        </w:rPr>
        <w:t>Insufficient Data</w:t>
      </w:r>
    </w:p>
    <w:p w:rsidR="00485094" w:rsidRPr="008B7C73" w:rsidRDefault="00485094" w:rsidP="00B370E1">
      <w:pPr>
        <w:rPr>
          <w:rFonts w:ascii="Arial" w:hAnsi="Arial" w:cs="Arial"/>
          <w:snapToGrid w:val="0"/>
          <w:sz w:val="22"/>
          <w:szCs w:val="22"/>
        </w:rPr>
      </w:pPr>
      <w:r>
        <w:rPr>
          <w:rFonts w:ascii="Arial" w:hAnsi="Arial" w:cs="Arial"/>
          <w:snapToGrid w:val="0"/>
          <w:sz w:val="22"/>
          <w:szCs w:val="22"/>
        </w:rPr>
        <w:t>IWR</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Impaired Surface Waters Rule </w:t>
      </w:r>
    </w:p>
    <w:p w:rsidR="007C2526" w:rsidRDefault="007C2526" w:rsidP="00B370E1">
      <w:pPr>
        <w:rPr>
          <w:rFonts w:ascii="Arial" w:hAnsi="Arial" w:cs="Arial"/>
          <w:sz w:val="22"/>
          <w:szCs w:val="22"/>
        </w:rPr>
      </w:pPr>
      <w:r>
        <w:rPr>
          <w:rFonts w:ascii="Arial" w:hAnsi="Arial" w:cs="Arial"/>
          <w:sz w:val="22"/>
          <w:szCs w:val="22"/>
        </w:rPr>
        <w:t>IWRM</w:t>
      </w:r>
      <w:r>
        <w:rPr>
          <w:rFonts w:ascii="Arial" w:hAnsi="Arial" w:cs="Arial"/>
          <w:sz w:val="22"/>
          <w:szCs w:val="22"/>
        </w:rPr>
        <w:tab/>
      </w:r>
      <w:r>
        <w:rPr>
          <w:rFonts w:ascii="Arial" w:hAnsi="Arial" w:cs="Arial"/>
          <w:sz w:val="22"/>
          <w:szCs w:val="22"/>
        </w:rPr>
        <w:tab/>
        <w:t>Integrated Water Resources Monitoring</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K </w:t>
      </w:r>
      <w:r>
        <w:rPr>
          <w:rFonts w:ascii="Arial" w:hAnsi="Arial" w:cs="Arial"/>
          <w:sz w:val="22"/>
          <w:szCs w:val="22"/>
        </w:rPr>
        <w:tab/>
      </w:r>
      <w:r>
        <w:rPr>
          <w:rFonts w:ascii="Arial" w:hAnsi="Arial" w:cs="Arial"/>
          <w:sz w:val="22"/>
          <w:szCs w:val="22"/>
        </w:rPr>
        <w:tab/>
      </w:r>
      <w:r w:rsidRPr="008B7C73">
        <w:rPr>
          <w:rFonts w:ascii="Arial" w:hAnsi="Arial" w:cs="Arial"/>
          <w:sz w:val="22"/>
          <w:szCs w:val="22"/>
        </w:rPr>
        <w:t>Potassium</w:t>
      </w:r>
    </w:p>
    <w:p w:rsidR="00485094" w:rsidRPr="008B7C73" w:rsidRDefault="00485094" w:rsidP="00B370E1">
      <w:pPr>
        <w:rPr>
          <w:rFonts w:ascii="Arial" w:hAnsi="Arial" w:cs="Arial"/>
          <w:snapToGrid w:val="0"/>
          <w:sz w:val="22"/>
          <w:szCs w:val="22"/>
        </w:rPr>
      </w:pPr>
      <w:r>
        <w:rPr>
          <w:rFonts w:ascii="Arial" w:hAnsi="Arial" w:cs="Arial"/>
          <w:snapToGrid w:val="0"/>
          <w:sz w:val="22"/>
          <w:szCs w:val="22"/>
        </w:rPr>
        <w:t>k</w:t>
      </w:r>
      <w:r w:rsidRPr="008B7C73">
        <w:rPr>
          <w:rFonts w:ascii="Arial" w:hAnsi="Arial" w:cs="Arial"/>
          <w:snapToGrid w:val="0"/>
          <w:sz w:val="22"/>
          <w:szCs w:val="22"/>
        </w:rPr>
        <w:t>g</w:t>
      </w:r>
      <w:r>
        <w:rPr>
          <w:rFonts w:ascii="Arial" w:hAnsi="Arial" w:cs="Arial"/>
          <w:snapToGrid w:val="0"/>
          <w:sz w:val="22"/>
          <w:szCs w:val="22"/>
        </w:rPr>
        <w:tab/>
      </w:r>
      <w:r>
        <w:rPr>
          <w:rFonts w:ascii="Arial" w:hAnsi="Arial" w:cs="Arial"/>
          <w:snapToGrid w:val="0"/>
          <w:sz w:val="22"/>
          <w:szCs w:val="22"/>
        </w:rPr>
        <w:tab/>
        <w:t>Kilogram</w:t>
      </w:r>
    </w:p>
    <w:p w:rsidR="00485094" w:rsidRDefault="00485094" w:rsidP="00B370E1">
      <w:pPr>
        <w:rPr>
          <w:rFonts w:ascii="Arial" w:hAnsi="Arial" w:cs="Arial"/>
          <w:sz w:val="22"/>
          <w:szCs w:val="22"/>
        </w:rPr>
      </w:pPr>
      <w:r>
        <w:rPr>
          <w:rFonts w:ascii="Arial" w:hAnsi="Arial" w:cs="Arial"/>
          <w:sz w:val="22"/>
          <w:szCs w:val="22"/>
        </w:rPr>
        <w:t xml:space="preserve">L </w:t>
      </w:r>
      <w:r>
        <w:rPr>
          <w:rFonts w:ascii="Arial" w:hAnsi="Arial" w:cs="Arial"/>
          <w:sz w:val="22"/>
          <w:szCs w:val="22"/>
        </w:rPr>
        <w:tab/>
      </w:r>
      <w:r>
        <w:rPr>
          <w:rFonts w:ascii="Arial" w:hAnsi="Arial" w:cs="Arial"/>
          <w:sz w:val="22"/>
          <w:szCs w:val="22"/>
        </w:rPr>
        <w:tab/>
        <w:t>Liter</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LVI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Lake Vegetation Index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MCL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Maximum Contaminant Level  </w:t>
      </w:r>
    </w:p>
    <w:p w:rsidR="00485094" w:rsidRPr="008B7C73" w:rsidRDefault="00485094" w:rsidP="00B370E1">
      <w:pPr>
        <w:rPr>
          <w:rFonts w:ascii="Arial" w:hAnsi="Arial" w:cs="Arial"/>
          <w:snapToGrid w:val="0"/>
          <w:sz w:val="22"/>
          <w:szCs w:val="22"/>
        </w:rPr>
      </w:pPr>
      <w:r>
        <w:rPr>
          <w:rFonts w:ascii="Arial" w:hAnsi="Arial" w:cs="Arial"/>
          <w:snapToGrid w:val="0"/>
          <w:sz w:val="22"/>
          <w:szCs w:val="22"/>
        </w:rPr>
        <w:t>m</w:t>
      </w:r>
      <w:r w:rsidRPr="008B7C73">
        <w:rPr>
          <w:rFonts w:ascii="Arial" w:hAnsi="Arial" w:cs="Arial"/>
          <w:snapToGrid w:val="0"/>
          <w:sz w:val="22"/>
          <w:szCs w:val="22"/>
        </w:rPr>
        <w:t>g</w:t>
      </w:r>
      <w:r>
        <w:rPr>
          <w:rFonts w:ascii="Arial" w:hAnsi="Arial" w:cs="Arial"/>
          <w:snapToGrid w:val="0"/>
          <w:sz w:val="22"/>
          <w:szCs w:val="22"/>
        </w:rPr>
        <w:tab/>
      </w:r>
      <w:r>
        <w:rPr>
          <w:rFonts w:ascii="Arial" w:hAnsi="Arial" w:cs="Arial"/>
          <w:snapToGrid w:val="0"/>
          <w:sz w:val="22"/>
          <w:szCs w:val="22"/>
        </w:rPr>
        <w:tab/>
        <w:t>Milligram</w:t>
      </w:r>
    </w:p>
    <w:p w:rsidR="00485094" w:rsidRPr="008B7C73" w:rsidRDefault="00FC23B4" w:rsidP="00B370E1">
      <w:pPr>
        <w:rPr>
          <w:rFonts w:ascii="Arial" w:hAnsi="Arial" w:cs="Arial"/>
          <w:sz w:val="22"/>
          <w:szCs w:val="22"/>
        </w:rPr>
      </w:pPr>
      <w:r>
        <w:rPr>
          <w:rFonts w:ascii="Arial" w:hAnsi="Arial" w:cs="Arial"/>
          <w:sz w:val="22"/>
          <w:szCs w:val="22"/>
        </w:rPr>
        <w:t>Mg</w:t>
      </w:r>
      <w:r w:rsidR="00485094" w:rsidRPr="008B7C73">
        <w:rPr>
          <w:rFonts w:ascii="Arial" w:hAnsi="Arial" w:cs="Arial"/>
          <w:sz w:val="22"/>
          <w:szCs w:val="22"/>
        </w:rPr>
        <w:t xml:space="preserve"> </w:t>
      </w:r>
      <w:r w:rsidR="00485094">
        <w:rPr>
          <w:rFonts w:ascii="Arial" w:hAnsi="Arial" w:cs="Arial"/>
          <w:sz w:val="22"/>
          <w:szCs w:val="22"/>
        </w:rPr>
        <w:tab/>
      </w:r>
      <w:r w:rsidR="00485094">
        <w:rPr>
          <w:rFonts w:ascii="Arial" w:hAnsi="Arial" w:cs="Arial"/>
          <w:sz w:val="22"/>
          <w:szCs w:val="22"/>
        </w:rPr>
        <w:tab/>
      </w:r>
      <w:r w:rsidR="00485094" w:rsidRPr="008B7C73">
        <w:rPr>
          <w:rFonts w:ascii="Arial" w:hAnsi="Arial" w:cs="Arial"/>
          <w:sz w:val="22"/>
          <w:szCs w:val="22"/>
        </w:rPr>
        <w:t>Magnesium</w:t>
      </w:r>
    </w:p>
    <w:p w:rsidR="00485094" w:rsidRDefault="00485094" w:rsidP="00B370E1">
      <w:pPr>
        <w:rPr>
          <w:rFonts w:ascii="Arial" w:hAnsi="Arial" w:cs="Arial"/>
          <w:snapToGrid w:val="0"/>
          <w:sz w:val="22"/>
          <w:szCs w:val="22"/>
        </w:rPr>
      </w:pPr>
      <w:r w:rsidRPr="008B7C73">
        <w:rPr>
          <w:rFonts w:ascii="Arial" w:hAnsi="Arial" w:cs="Arial"/>
          <w:snapToGrid w:val="0"/>
          <w:sz w:val="22"/>
          <w:szCs w:val="22"/>
        </w:rPr>
        <w:t xml:space="preserve">MGD </w:t>
      </w:r>
      <w:r>
        <w:rPr>
          <w:rFonts w:ascii="Arial" w:hAnsi="Arial" w:cs="Arial"/>
          <w:snapToGrid w:val="0"/>
          <w:sz w:val="22"/>
          <w:szCs w:val="22"/>
        </w:rPr>
        <w:tab/>
      </w:r>
      <w:r>
        <w:rPr>
          <w:rFonts w:ascii="Arial" w:hAnsi="Arial" w:cs="Arial"/>
          <w:snapToGrid w:val="0"/>
          <w:sz w:val="22"/>
          <w:szCs w:val="22"/>
        </w:rPr>
        <w:tab/>
      </w:r>
      <w:r>
        <w:rPr>
          <w:rFonts w:ascii="Arial" w:hAnsi="Arial" w:cs="Arial"/>
          <w:sz w:val="22"/>
          <w:szCs w:val="22"/>
        </w:rPr>
        <w:t>M</w:t>
      </w:r>
      <w:r w:rsidRPr="008B7C73">
        <w:rPr>
          <w:rFonts w:ascii="Arial" w:hAnsi="Arial" w:cs="Arial"/>
          <w:snapToGrid w:val="0"/>
          <w:sz w:val="22"/>
          <w:szCs w:val="22"/>
        </w:rPr>
        <w:t xml:space="preserve">illion </w:t>
      </w:r>
      <w:r>
        <w:rPr>
          <w:rFonts w:ascii="Arial" w:hAnsi="Arial" w:cs="Arial"/>
          <w:snapToGrid w:val="0"/>
          <w:sz w:val="22"/>
          <w:szCs w:val="22"/>
        </w:rPr>
        <w:t>G</w:t>
      </w:r>
      <w:r w:rsidRPr="008B7C73">
        <w:rPr>
          <w:rFonts w:ascii="Arial" w:hAnsi="Arial" w:cs="Arial"/>
          <w:snapToGrid w:val="0"/>
          <w:sz w:val="22"/>
          <w:szCs w:val="22"/>
        </w:rPr>
        <w:t xml:space="preserve">allons per </w:t>
      </w:r>
      <w:r>
        <w:rPr>
          <w:rFonts w:ascii="Arial" w:hAnsi="Arial" w:cs="Arial"/>
          <w:snapToGrid w:val="0"/>
          <w:sz w:val="22"/>
          <w:szCs w:val="22"/>
        </w:rPr>
        <w:t>D</w:t>
      </w:r>
      <w:r w:rsidRPr="008B7C73">
        <w:rPr>
          <w:rFonts w:ascii="Arial" w:hAnsi="Arial" w:cs="Arial"/>
          <w:snapToGrid w:val="0"/>
          <w:sz w:val="22"/>
          <w:szCs w:val="22"/>
        </w:rPr>
        <w:t xml:space="preserve">ay </w:t>
      </w:r>
    </w:p>
    <w:p w:rsidR="00485094" w:rsidRPr="008B7C73" w:rsidRDefault="00485094" w:rsidP="00B370E1">
      <w:pPr>
        <w:rPr>
          <w:rFonts w:ascii="Arial" w:hAnsi="Arial" w:cs="Arial"/>
          <w:sz w:val="22"/>
          <w:szCs w:val="22"/>
        </w:rPr>
      </w:pPr>
      <w:r w:rsidRPr="008B7C73">
        <w:rPr>
          <w:rFonts w:ascii="Arial" w:hAnsi="Arial" w:cs="Arial"/>
          <w:sz w:val="22"/>
          <w:szCs w:val="22"/>
        </w:rPr>
        <w:t>mg/L</w:t>
      </w:r>
      <w:r>
        <w:rPr>
          <w:rFonts w:ascii="Arial" w:hAnsi="Arial" w:cs="Arial"/>
          <w:sz w:val="22"/>
          <w:szCs w:val="22"/>
        </w:rPr>
        <w:tab/>
      </w:r>
      <w:r>
        <w:rPr>
          <w:rFonts w:ascii="Arial" w:hAnsi="Arial" w:cs="Arial"/>
          <w:sz w:val="22"/>
          <w:szCs w:val="22"/>
        </w:rPr>
        <w:tab/>
        <w:t>Milligrams per Liter</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mL</w:t>
      </w:r>
      <w:r>
        <w:rPr>
          <w:rFonts w:ascii="Arial" w:hAnsi="Arial" w:cs="Arial"/>
          <w:snapToGrid w:val="0"/>
          <w:sz w:val="22"/>
          <w:szCs w:val="22"/>
        </w:rPr>
        <w:tab/>
      </w:r>
      <w:r>
        <w:rPr>
          <w:rFonts w:ascii="Arial" w:hAnsi="Arial" w:cs="Arial"/>
          <w:snapToGrid w:val="0"/>
          <w:sz w:val="22"/>
          <w:szCs w:val="22"/>
        </w:rPr>
        <w:tab/>
        <w:t>Milliliter</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MML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Mote Marine Laboratory </w:t>
      </w:r>
    </w:p>
    <w:p w:rsidR="00485094" w:rsidRPr="008B7C73" w:rsidRDefault="00485094" w:rsidP="00B370E1">
      <w:pPr>
        <w:rPr>
          <w:rFonts w:ascii="Arial" w:hAnsi="Arial" w:cs="Arial"/>
          <w:sz w:val="22"/>
          <w:szCs w:val="22"/>
        </w:rPr>
      </w:pPr>
      <w:r w:rsidRPr="008B7C73">
        <w:rPr>
          <w:rFonts w:ascii="Arial" w:hAnsi="Arial" w:cs="Arial"/>
          <w:sz w:val="22"/>
          <w:szCs w:val="22"/>
        </w:rPr>
        <w:t>MS4</w:t>
      </w:r>
      <w:r>
        <w:rPr>
          <w:rFonts w:ascii="Arial" w:hAnsi="Arial" w:cs="Arial"/>
          <w:sz w:val="22"/>
          <w:szCs w:val="22"/>
        </w:rPr>
        <w:tab/>
      </w:r>
      <w:r>
        <w:rPr>
          <w:rFonts w:ascii="Arial" w:hAnsi="Arial" w:cs="Arial"/>
          <w:sz w:val="22"/>
          <w:szCs w:val="22"/>
        </w:rPr>
        <w:tab/>
        <w:t>M</w:t>
      </w:r>
      <w:r w:rsidRPr="008B7C73">
        <w:rPr>
          <w:rFonts w:ascii="Arial" w:hAnsi="Arial" w:cs="Arial"/>
          <w:sz w:val="22"/>
          <w:szCs w:val="22"/>
        </w:rPr>
        <w:t xml:space="preserve">unicipal </w:t>
      </w:r>
      <w:r>
        <w:rPr>
          <w:rFonts w:ascii="Arial" w:hAnsi="Arial" w:cs="Arial"/>
          <w:sz w:val="22"/>
          <w:szCs w:val="22"/>
        </w:rPr>
        <w:t>S</w:t>
      </w:r>
      <w:r w:rsidRPr="008B7C73">
        <w:rPr>
          <w:rFonts w:ascii="Arial" w:hAnsi="Arial" w:cs="Arial"/>
          <w:sz w:val="22"/>
          <w:szCs w:val="22"/>
        </w:rPr>
        <w:t xml:space="preserve">eparate </w:t>
      </w:r>
      <w:r>
        <w:rPr>
          <w:rFonts w:ascii="Arial" w:hAnsi="Arial" w:cs="Arial"/>
          <w:sz w:val="22"/>
          <w:szCs w:val="22"/>
        </w:rPr>
        <w:t>S</w:t>
      </w:r>
      <w:r w:rsidRPr="008B7C73">
        <w:rPr>
          <w:rFonts w:ascii="Arial" w:hAnsi="Arial" w:cs="Arial"/>
          <w:sz w:val="22"/>
          <w:szCs w:val="22"/>
        </w:rPr>
        <w:t xml:space="preserve">torm </w:t>
      </w:r>
      <w:r>
        <w:rPr>
          <w:rFonts w:ascii="Arial" w:hAnsi="Arial" w:cs="Arial"/>
          <w:sz w:val="22"/>
          <w:szCs w:val="22"/>
        </w:rPr>
        <w:t>S</w:t>
      </w:r>
      <w:r w:rsidRPr="008B7C73">
        <w:rPr>
          <w:rFonts w:ascii="Arial" w:hAnsi="Arial" w:cs="Arial"/>
          <w:sz w:val="22"/>
          <w:szCs w:val="22"/>
        </w:rPr>
        <w:t xml:space="preserve">ewer </w:t>
      </w:r>
      <w:r>
        <w:rPr>
          <w:rFonts w:ascii="Arial" w:hAnsi="Arial" w:cs="Arial"/>
          <w:sz w:val="22"/>
          <w:szCs w:val="22"/>
        </w:rPr>
        <w:t>S</w:t>
      </w:r>
      <w:r w:rsidRPr="008B7C73">
        <w:rPr>
          <w:rFonts w:ascii="Arial" w:hAnsi="Arial" w:cs="Arial"/>
          <w:sz w:val="22"/>
          <w:szCs w:val="22"/>
        </w:rPr>
        <w:t xml:space="preserve">ystem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MSSW </w:t>
      </w:r>
      <w:r>
        <w:rPr>
          <w:rFonts w:ascii="Arial" w:hAnsi="Arial" w:cs="Arial"/>
          <w:snapToGrid w:val="0"/>
          <w:sz w:val="22"/>
          <w:szCs w:val="22"/>
        </w:rPr>
        <w:tab/>
      </w:r>
      <w:r w:rsidRPr="008B7C73">
        <w:rPr>
          <w:rFonts w:ascii="Arial" w:hAnsi="Arial" w:cs="Arial"/>
          <w:snapToGrid w:val="0"/>
          <w:sz w:val="22"/>
          <w:szCs w:val="22"/>
        </w:rPr>
        <w:t xml:space="preserve">Management and Storage of Surface Water </w:t>
      </w:r>
    </w:p>
    <w:p w:rsidR="00FC23B4" w:rsidRPr="008B7C73" w:rsidRDefault="00FC23B4" w:rsidP="00FC23B4">
      <w:pPr>
        <w:rPr>
          <w:rFonts w:ascii="Arial" w:hAnsi="Arial" w:cs="Arial"/>
          <w:sz w:val="22"/>
          <w:szCs w:val="22"/>
        </w:rPr>
      </w:pPr>
      <w:r>
        <w:rPr>
          <w:rFonts w:ascii="Arial" w:hAnsi="Arial" w:cs="Arial"/>
          <w:sz w:val="22"/>
          <w:szCs w:val="22"/>
        </w:rPr>
        <w:t>NO</w:t>
      </w:r>
      <w:r w:rsidRPr="0093750F">
        <w:rPr>
          <w:rFonts w:ascii="Arial" w:hAnsi="Arial" w:cs="Arial"/>
          <w:sz w:val="22"/>
          <w:szCs w:val="22"/>
          <w:vertAlign w:val="subscript"/>
        </w:rPr>
        <w:t>X</w:t>
      </w:r>
      <w:r>
        <w:rPr>
          <w:rFonts w:ascii="Arial" w:hAnsi="Arial" w:cs="Arial"/>
          <w:sz w:val="22"/>
          <w:szCs w:val="22"/>
        </w:rPr>
        <w:tab/>
      </w:r>
      <w:r>
        <w:rPr>
          <w:rFonts w:ascii="Arial" w:hAnsi="Arial" w:cs="Arial"/>
          <w:sz w:val="22"/>
          <w:szCs w:val="22"/>
        </w:rPr>
        <w:tab/>
      </w:r>
      <w:r w:rsidR="007C2526">
        <w:rPr>
          <w:rFonts w:ascii="Arial" w:hAnsi="Arial" w:cs="Arial"/>
          <w:sz w:val="22"/>
          <w:szCs w:val="22"/>
        </w:rPr>
        <w:t>Nitrate + Nitrite</w:t>
      </w:r>
    </w:p>
    <w:p w:rsidR="00485094" w:rsidRDefault="00485094" w:rsidP="00B370E1">
      <w:pPr>
        <w:rPr>
          <w:rFonts w:ascii="Arial" w:hAnsi="Arial" w:cs="Arial"/>
          <w:sz w:val="22"/>
          <w:szCs w:val="22"/>
        </w:rPr>
      </w:pPr>
      <w:r w:rsidRPr="008B7C73">
        <w:rPr>
          <w:rFonts w:ascii="Arial" w:hAnsi="Arial" w:cs="Arial"/>
          <w:sz w:val="22"/>
          <w:szCs w:val="22"/>
        </w:rPr>
        <w:t xml:space="preserve">N </w:t>
      </w:r>
      <w:r>
        <w:rPr>
          <w:rFonts w:ascii="Arial" w:hAnsi="Arial" w:cs="Arial"/>
          <w:sz w:val="22"/>
          <w:szCs w:val="22"/>
        </w:rPr>
        <w:tab/>
      </w:r>
      <w:r>
        <w:rPr>
          <w:rFonts w:ascii="Arial" w:hAnsi="Arial" w:cs="Arial"/>
          <w:sz w:val="22"/>
          <w:szCs w:val="22"/>
        </w:rPr>
        <w:tab/>
        <w:t>Nitrogen</w:t>
      </w:r>
    </w:p>
    <w:p w:rsidR="00485094" w:rsidRPr="008B7C73" w:rsidRDefault="00FC23B4" w:rsidP="00B370E1">
      <w:pPr>
        <w:rPr>
          <w:rFonts w:ascii="Arial" w:hAnsi="Arial" w:cs="Arial"/>
          <w:sz w:val="22"/>
          <w:szCs w:val="22"/>
        </w:rPr>
      </w:pPr>
      <w:r>
        <w:rPr>
          <w:rFonts w:ascii="Arial" w:hAnsi="Arial" w:cs="Arial"/>
          <w:sz w:val="22"/>
          <w:szCs w:val="22"/>
        </w:rPr>
        <w:t>Na</w:t>
      </w:r>
      <w:r w:rsidR="00485094" w:rsidRPr="008B7C73">
        <w:rPr>
          <w:rFonts w:ascii="Arial" w:hAnsi="Arial" w:cs="Arial"/>
          <w:sz w:val="22"/>
          <w:szCs w:val="22"/>
        </w:rPr>
        <w:t xml:space="preserve"> </w:t>
      </w:r>
      <w:r w:rsidR="00485094">
        <w:rPr>
          <w:rFonts w:ascii="Arial" w:hAnsi="Arial" w:cs="Arial"/>
          <w:sz w:val="22"/>
          <w:szCs w:val="22"/>
        </w:rPr>
        <w:tab/>
      </w:r>
      <w:r w:rsidR="00485094">
        <w:rPr>
          <w:rFonts w:ascii="Arial" w:hAnsi="Arial" w:cs="Arial"/>
          <w:sz w:val="22"/>
          <w:szCs w:val="22"/>
        </w:rPr>
        <w:tab/>
      </w:r>
      <w:r w:rsidR="00485094" w:rsidRPr="008B7C73">
        <w:rPr>
          <w:rFonts w:ascii="Arial" w:hAnsi="Arial" w:cs="Arial"/>
          <w:sz w:val="22"/>
          <w:szCs w:val="22"/>
        </w:rPr>
        <w:t>Sodium</w:t>
      </w:r>
    </w:p>
    <w:p w:rsidR="00485094" w:rsidRPr="008B7C73" w:rsidRDefault="00485094" w:rsidP="00B370E1">
      <w:pPr>
        <w:rPr>
          <w:rFonts w:ascii="Arial" w:hAnsi="Arial" w:cs="Arial"/>
          <w:sz w:val="22"/>
          <w:szCs w:val="22"/>
        </w:rPr>
      </w:pPr>
      <w:r w:rsidRPr="008B7C73">
        <w:rPr>
          <w:rFonts w:ascii="Arial" w:hAnsi="Arial" w:cs="Arial"/>
          <w:sz w:val="22"/>
          <w:szCs w:val="22"/>
        </w:rPr>
        <w:t>NEEPP</w:t>
      </w:r>
      <w:r>
        <w:rPr>
          <w:rFonts w:ascii="Arial" w:hAnsi="Arial" w:cs="Arial"/>
          <w:sz w:val="22"/>
          <w:szCs w:val="22"/>
        </w:rPr>
        <w:tab/>
      </w:r>
      <w:r w:rsidRPr="004853D4">
        <w:rPr>
          <w:rFonts w:ascii="Arial" w:hAnsi="Arial" w:cs="Arial"/>
          <w:sz w:val="22"/>
          <w:szCs w:val="22"/>
        </w:rPr>
        <w:t>Northern Everglades and Estuaries Protection Program</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NELAC </w:t>
      </w:r>
      <w:r>
        <w:rPr>
          <w:rFonts w:ascii="Arial" w:hAnsi="Arial" w:cs="Arial"/>
          <w:sz w:val="22"/>
          <w:szCs w:val="22"/>
        </w:rPr>
        <w:tab/>
      </w:r>
      <w:r w:rsidRPr="008B7C73">
        <w:rPr>
          <w:rFonts w:ascii="Arial" w:hAnsi="Arial" w:cs="Arial"/>
          <w:sz w:val="22"/>
          <w:szCs w:val="22"/>
        </w:rPr>
        <w:t xml:space="preserve">National Environmental Laboratory Accreditation Conference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NEP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National Estuary Program  </w:t>
      </w:r>
    </w:p>
    <w:p w:rsidR="00485094" w:rsidRPr="008B7C73" w:rsidRDefault="00485094" w:rsidP="00B370E1">
      <w:pPr>
        <w:rPr>
          <w:rFonts w:ascii="Arial" w:hAnsi="Arial" w:cs="Arial"/>
          <w:sz w:val="22"/>
          <w:szCs w:val="22"/>
        </w:rPr>
      </w:pPr>
      <w:r w:rsidRPr="008B7C73">
        <w:rPr>
          <w:rFonts w:ascii="Arial" w:hAnsi="Arial" w:cs="Arial"/>
          <w:sz w:val="22"/>
          <w:szCs w:val="22"/>
        </w:rPr>
        <w:t>NHD</w:t>
      </w:r>
      <w:r>
        <w:rPr>
          <w:rFonts w:ascii="Arial" w:hAnsi="Arial" w:cs="Arial"/>
          <w:sz w:val="22"/>
          <w:szCs w:val="22"/>
        </w:rPr>
        <w:tab/>
      </w:r>
      <w:r>
        <w:rPr>
          <w:rFonts w:ascii="Arial" w:hAnsi="Arial" w:cs="Arial"/>
          <w:sz w:val="22"/>
          <w:szCs w:val="22"/>
        </w:rPr>
        <w:tab/>
      </w:r>
      <w:r w:rsidRPr="008B7C73">
        <w:rPr>
          <w:rFonts w:ascii="Arial" w:hAnsi="Arial" w:cs="Arial"/>
          <w:sz w:val="22"/>
          <w:szCs w:val="22"/>
        </w:rPr>
        <w:t>National Hydrography Dataset</w:t>
      </w:r>
    </w:p>
    <w:p w:rsidR="00485094" w:rsidRDefault="00485094" w:rsidP="00B370E1">
      <w:pPr>
        <w:rPr>
          <w:rFonts w:ascii="Arial" w:hAnsi="Arial" w:cs="Arial"/>
          <w:snapToGrid w:val="0"/>
          <w:sz w:val="22"/>
          <w:szCs w:val="22"/>
        </w:rPr>
      </w:pPr>
      <w:r w:rsidRPr="008B7C73">
        <w:rPr>
          <w:rFonts w:ascii="Arial" w:hAnsi="Arial" w:cs="Arial"/>
          <w:snapToGrid w:val="0"/>
          <w:sz w:val="22"/>
          <w:szCs w:val="22"/>
        </w:rPr>
        <w:t>NOAA</w:t>
      </w:r>
      <w:r>
        <w:rPr>
          <w:rFonts w:ascii="Arial" w:hAnsi="Arial" w:cs="Arial"/>
          <w:snapToGrid w:val="0"/>
          <w:sz w:val="22"/>
          <w:szCs w:val="22"/>
        </w:rPr>
        <w:tab/>
      </w:r>
      <w:r>
        <w:rPr>
          <w:rFonts w:ascii="Arial" w:hAnsi="Arial" w:cs="Arial"/>
          <w:snapToGrid w:val="0"/>
          <w:sz w:val="22"/>
          <w:szCs w:val="22"/>
        </w:rPr>
        <w:tab/>
        <w:t>National Oceanic and Atmospheric Administration</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NOI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Notice of Intent </w:t>
      </w:r>
    </w:p>
    <w:p w:rsidR="00485094" w:rsidRPr="008B7C73" w:rsidRDefault="00485094" w:rsidP="00B370E1">
      <w:pPr>
        <w:rPr>
          <w:rStyle w:val="BodytextChar1"/>
          <w:rFonts w:cs="Arial"/>
          <w:sz w:val="22"/>
          <w:szCs w:val="22"/>
        </w:rPr>
      </w:pPr>
      <w:r w:rsidRPr="008B7C73">
        <w:rPr>
          <w:rFonts w:ascii="Arial" w:hAnsi="Arial" w:cs="Arial"/>
          <w:sz w:val="22"/>
          <w:szCs w:val="22"/>
        </w:rPr>
        <w:t xml:space="preserve">NOV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Notice of Violation  </w:t>
      </w:r>
    </w:p>
    <w:p w:rsidR="00485094" w:rsidRPr="008B7C73" w:rsidRDefault="00485094" w:rsidP="00B370E1">
      <w:pPr>
        <w:rPr>
          <w:rFonts w:ascii="Arial" w:hAnsi="Arial" w:cs="Arial"/>
          <w:bCs/>
          <w:i/>
          <w:sz w:val="22"/>
          <w:szCs w:val="22"/>
        </w:rPr>
      </w:pPr>
      <w:r w:rsidRPr="008B7C73">
        <w:rPr>
          <w:rFonts w:ascii="Arial" w:hAnsi="Arial" w:cs="Arial"/>
          <w:sz w:val="22"/>
          <w:szCs w:val="22"/>
        </w:rPr>
        <w:t xml:space="preserve">NPDES </w:t>
      </w:r>
      <w:r>
        <w:rPr>
          <w:rFonts w:ascii="Arial" w:hAnsi="Arial" w:cs="Arial"/>
          <w:sz w:val="22"/>
          <w:szCs w:val="22"/>
        </w:rPr>
        <w:tab/>
      </w:r>
      <w:r w:rsidRPr="008B7C73">
        <w:rPr>
          <w:rFonts w:ascii="Arial" w:hAnsi="Arial" w:cs="Arial"/>
          <w:sz w:val="22"/>
          <w:szCs w:val="22"/>
        </w:rPr>
        <w:t xml:space="preserve">National Pollutant Discharge Elimination System  </w:t>
      </w:r>
    </w:p>
    <w:p w:rsidR="007C2526" w:rsidRDefault="007C2526" w:rsidP="00B370E1">
      <w:pPr>
        <w:rPr>
          <w:rFonts w:ascii="Arial" w:hAnsi="Arial" w:cs="Arial"/>
          <w:sz w:val="22"/>
          <w:szCs w:val="22"/>
        </w:rPr>
      </w:pPr>
      <w:r>
        <w:rPr>
          <w:rFonts w:ascii="Arial" w:hAnsi="Arial" w:cs="Arial"/>
          <w:sz w:val="22"/>
          <w:szCs w:val="22"/>
        </w:rPr>
        <w:t>NPL</w:t>
      </w:r>
      <w:r>
        <w:rPr>
          <w:rFonts w:ascii="Arial" w:hAnsi="Arial" w:cs="Arial"/>
          <w:sz w:val="22"/>
          <w:szCs w:val="22"/>
        </w:rPr>
        <w:tab/>
      </w:r>
      <w:r>
        <w:rPr>
          <w:rFonts w:ascii="Arial" w:hAnsi="Arial" w:cs="Arial"/>
          <w:sz w:val="22"/>
          <w:szCs w:val="22"/>
        </w:rPr>
        <w:tab/>
        <w:t>National Priorities List</w:t>
      </w:r>
    </w:p>
    <w:p w:rsidR="00485094" w:rsidRPr="008B7C73" w:rsidRDefault="00485094" w:rsidP="00B370E1">
      <w:pPr>
        <w:rPr>
          <w:rFonts w:ascii="Arial" w:hAnsi="Arial" w:cs="Arial"/>
          <w:sz w:val="22"/>
          <w:szCs w:val="22"/>
        </w:rPr>
      </w:pPr>
      <w:r>
        <w:rPr>
          <w:rFonts w:ascii="Arial" w:hAnsi="Arial" w:cs="Arial"/>
          <w:sz w:val="22"/>
          <w:szCs w:val="22"/>
        </w:rPr>
        <w:t>NRDC</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Natural Resources Defense Council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NSP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Neurotoxic Shellfish Poisoning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lastRenderedPageBreak/>
        <w:t xml:space="preserve">NSTP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National Status and Trends Program  </w:t>
      </w:r>
    </w:p>
    <w:p w:rsidR="00485094" w:rsidRPr="008B7C73" w:rsidRDefault="00485094" w:rsidP="00B370E1">
      <w:pPr>
        <w:rPr>
          <w:rFonts w:ascii="Arial" w:hAnsi="Arial" w:cs="Arial"/>
          <w:sz w:val="22"/>
          <w:szCs w:val="22"/>
        </w:rPr>
      </w:pPr>
      <w:r w:rsidRPr="008B7C73">
        <w:rPr>
          <w:rFonts w:ascii="Arial" w:hAnsi="Arial" w:cs="Arial"/>
          <w:sz w:val="22"/>
          <w:szCs w:val="22"/>
        </w:rPr>
        <w:t>NWFWMD</w:t>
      </w:r>
      <w:r>
        <w:rPr>
          <w:rFonts w:ascii="Arial" w:hAnsi="Arial" w:cs="Arial"/>
          <w:sz w:val="22"/>
          <w:szCs w:val="22"/>
        </w:rPr>
        <w:tab/>
        <w:t>Northwest Florida Water Management District</w:t>
      </w:r>
    </w:p>
    <w:p w:rsidR="00485094" w:rsidRPr="00504865" w:rsidRDefault="00485094" w:rsidP="00B370E1">
      <w:pPr>
        <w:rPr>
          <w:rFonts w:ascii="Arial" w:hAnsi="Arial" w:cs="Arial"/>
          <w:sz w:val="22"/>
          <w:szCs w:val="22"/>
        </w:rPr>
      </w:pPr>
      <w:r w:rsidRPr="00504865">
        <w:rPr>
          <w:rFonts w:ascii="Arial" w:hAnsi="Arial" w:cs="Arial"/>
          <w:sz w:val="22"/>
          <w:szCs w:val="22"/>
        </w:rPr>
        <w:t>OAWP</w:t>
      </w:r>
      <w:r w:rsidRPr="00504865">
        <w:rPr>
          <w:rFonts w:ascii="Arial" w:hAnsi="Arial" w:cs="Arial"/>
          <w:sz w:val="22"/>
          <w:szCs w:val="22"/>
        </w:rPr>
        <w:tab/>
      </w:r>
      <w:r w:rsidRPr="00504865">
        <w:rPr>
          <w:rFonts w:ascii="Arial" w:hAnsi="Arial" w:cs="Arial"/>
          <w:sz w:val="22"/>
          <w:szCs w:val="22"/>
        </w:rPr>
        <w:tab/>
        <w:t>Office of Agricultural Water Policy</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OFW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Outstanding Florida Water</w:t>
      </w:r>
      <w:r>
        <w:rPr>
          <w:rFonts w:ascii="Arial" w:hAnsi="Arial" w:cs="Arial"/>
          <w:snapToGrid w:val="0"/>
          <w:sz w:val="22"/>
          <w:szCs w:val="22"/>
        </w:rPr>
        <w:t xml:space="preserve"> </w:t>
      </w:r>
      <w:r w:rsidRPr="008B7C73">
        <w:rPr>
          <w:rFonts w:ascii="Arial" w:hAnsi="Arial" w:cs="Arial"/>
          <w:snapToGrid w:val="0"/>
          <w:sz w:val="22"/>
          <w:szCs w:val="22"/>
        </w:rPr>
        <w:t xml:space="preserve"> </w:t>
      </w:r>
    </w:p>
    <w:p w:rsidR="00485094" w:rsidRPr="008B7C73" w:rsidRDefault="00485094" w:rsidP="00B370E1">
      <w:pPr>
        <w:rPr>
          <w:rFonts w:ascii="Arial" w:hAnsi="Arial" w:cs="Arial"/>
          <w:sz w:val="22"/>
          <w:szCs w:val="22"/>
        </w:rPr>
      </w:pPr>
      <w:r w:rsidRPr="008B7C73">
        <w:rPr>
          <w:rFonts w:ascii="Arial" w:hAnsi="Arial" w:cs="Arial"/>
          <w:sz w:val="22"/>
          <w:szCs w:val="22"/>
        </w:rPr>
        <w:t>P</w:t>
      </w:r>
      <w:r>
        <w:rPr>
          <w:rFonts w:ascii="Arial" w:hAnsi="Arial" w:cs="Arial"/>
          <w:sz w:val="22"/>
          <w:szCs w:val="22"/>
        </w:rPr>
        <w:tab/>
      </w:r>
      <w:r>
        <w:rPr>
          <w:rFonts w:ascii="Arial" w:hAnsi="Arial" w:cs="Arial"/>
          <w:sz w:val="22"/>
          <w:szCs w:val="22"/>
        </w:rPr>
        <w:tab/>
        <w:t>Phosphorus</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P-2000</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Preservation 2000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PAHs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Polynuclear Aromatic Hydrocarbons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PAI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Performance Audit Inspection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Pb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Lead </w:t>
      </w:r>
    </w:p>
    <w:p w:rsidR="00174ED1" w:rsidRDefault="00174ED1" w:rsidP="00B370E1">
      <w:pPr>
        <w:rPr>
          <w:rFonts w:ascii="Arial" w:hAnsi="Arial" w:cs="Arial"/>
          <w:sz w:val="22"/>
          <w:szCs w:val="22"/>
        </w:rPr>
      </w:pPr>
      <w:r>
        <w:rPr>
          <w:rFonts w:ascii="Arial" w:hAnsi="Arial" w:cs="Arial"/>
          <w:sz w:val="22"/>
          <w:szCs w:val="22"/>
        </w:rPr>
        <w:t>PBS&amp;J</w:t>
      </w:r>
      <w:r>
        <w:rPr>
          <w:rFonts w:ascii="Arial" w:hAnsi="Arial" w:cs="Arial"/>
          <w:sz w:val="22"/>
          <w:szCs w:val="22"/>
        </w:rPr>
        <w:tab/>
      </w:r>
      <w:r>
        <w:rPr>
          <w:rFonts w:ascii="Arial" w:hAnsi="Arial" w:cs="Arial"/>
          <w:sz w:val="22"/>
          <w:szCs w:val="22"/>
        </w:rPr>
        <w:tab/>
        <w:t xml:space="preserve">Post, Buckley, </w:t>
      </w:r>
      <w:proofErr w:type="spellStart"/>
      <w:r>
        <w:rPr>
          <w:rFonts w:ascii="Arial" w:hAnsi="Arial" w:cs="Arial"/>
          <w:sz w:val="22"/>
          <w:szCs w:val="22"/>
        </w:rPr>
        <w:t>Schuh</w:t>
      </w:r>
      <w:proofErr w:type="spellEnd"/>
      <w:r>
        <w:rPr>
          <w:rFonts w:ascii="Arial" w:hAnsi="Arial" w:cs="Arial"/>
          <w:sz w:val="22"/>
          <w:szCs w:val="22"/>
        </w:rPr>
        <w:t xml:space="preserve">, and Jernigan, </w:t>
      </w:r>
      <w:r w:rsidR="00161289">
        <w:rPr>
          <w:rFonts w:ascii="Arial" w:hAnsi="Arial" w:cs="Arial"/>
          <w:sz w:val="22"/>
          <w:szCs w:val="22"/>
        </w:rPr>
        <w:t>Incorporated</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PCBs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Polychlorinated Biphenyls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PCE </w:t>
      </w:r>
      <w:r>
        <w:rPr>
          <w:rFonts w:ascii="Arial" w:hAnsi="Arial" w:cs="Arial"/>
          <w:sz w:val="22"/>
          <w:szCs w:val="22"/>
        </w:rPr>
        <w:tab/>
      </w:r>
      <w:r>
        <w:rPr>
          <w:rFonts w:ascii="Arial" w:hAnsi="Arial" w:cs="Arial"/>
          <w:sz w:val="22"/>
          <w:szCs w:val="22"/>
        </w:rPr>
        <w:tab/>
        <w:t>T</w:t>
      </w:r>
      <w:r w:rsidRPr="008B7C73">
        <w:rPr>
          <w:rFonts w:ascii="Arial" w:hAnsi="Arial" w:cs="Arial"/>
          <w:sz w:val="22"/>
          <w:szCs w:val="22"/>
        </w:rPr>
        <w:t xml:space="preserve">etrachloroethylene   </w:t>
      </w:r>
    </w:p>
    <w:p w:rsidR="00485094" w:rsidRPr="008B7C73" w:rsidRDefault="00485094" w:rsidP="00B370E1">
      <w:pPr>
        <w:rPr>
          <w:rFonts w:ascii="Arial" w:hAnsi="Arial" w:cs="Arial"/>
          <w:sz w:val="22"/>
          <w:szCs w:val="22"/>
        </w:rPr>
      </w:pPr>
      <w:r w:rsidRPr="008B7C73">
        <w:rPr>
          <w:rFonts w:ascii="Arial" w:hAnsi="Arial" w:cs="Arial"/>
          <w:sz w:val="22"/>
          <w:szCs w:val="22"/>
        </w:rPr>
        <w:t>PCU</w:t>
      </w:r>
      <w:r>
        <w:rPr>
          <w:rFonts w:ascii="Arial" w:hAnsi="Arial" w:cs="Arial"/>
          <w:sz w:val="22"/>
          <w:szCs w:val="22"/>
        </w:rPr>
        <w:tab/>
      </w:r>
      <w:r>
        <w:rPr>
          <w:rFonts w:ascii="Arial" w:hAnsi="Arial" w:cs="Arial"/>
          <w:sz w:val="22"/>
          <w:szCs w:val="22"/>
        </w:rPr>
        <w:tab/>
        <w:t>Platinum Cobalt Unit</w:t>
      </w:r>
    </w:p>
    <w:p w:rsidR="00485094" w:rsidRPr="008B7C73" w:rsidRDefault="00485094" w:rsidP="00B370E1">
      <w:pPr>
        <w:rPr>
          <w:rFonts w:ascii="Arial" w:hAnsi="Arial" w:cs="Arial"/>
          <w:sz w:val="22"/>
          <w:szCs w:val="22"/>
        </w:rPr>
      </w:pPr>
      <w:r w:rsidRPr="008B7C73">
        <w:rPr>
          <w:rFonts w:ascii="Arial" w:hAnsi="Arial" w:cs="Arial"/>
          <w:snapToGrid w:val="0"/>
          <w:color w:val="000000"/>
          <w:sz w:val="22"/>
          <w:szCs w:val="22"/>
        </w:rPr>
        <w:t xml:space="preserve">PEC </w:t>
      </w:r>
      <w:r>
        <w:rPr>
          <w:rFonts w:ascii="Arial" w:hAnsi="Arial" w:cs="Arial"/>
          <w:snapToGrid w:val="0"/>
          <w:color w:val="000000"/>
          <w:sz w:val="22"/>
          <w:szCs w:val="22"/>
        </w:rPr>
        <w:tab/>
      </w:r>
      <w:r>
        <w:rPr>
          <w:rFonts w:ascii="Arial" w:hAnsi="Arial" w:cs="Arial"/>
          <w:snapToGrid w:val="0"/>
          <w:color w:val="000000"/>
          <w:sz w:val="22"/>
          <w:szCs w:val="22"/>
        </w:rPr>
        <w:tab/>
      </w:r>
      <w:r w:rsidRPr="008B7C73">
        <w:rPr>
          <w:rFonts w:ascii="Arial" w:hAnsi="Arial" w:cs="Arial"/>
          <w:snapToGrid w:val="0"/>
          <w:color w:val="000000"/>
          <w:sz w:val="22"/>
          <w:szCs w:val="22"/>
        </w:rPr>
        <w:t xml:space="preserve">Probable Effects Concentration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PLRG </w:t>
      </w:r>
      <w:r>
        <w:rPr>
          <w:rFonts w:ascii="Arial" w:hAnsi="Arial" w:cs="Arial"/>
          <w:snapToGrid w:val="0"/>
          <w:sz w:val="22"/>
          <w:szCs w:val="22"/>
        </w:rPr>
        <w:tab/>
      </w:r>
      <w:r>
        <w:rPr>
          <w:rFonts w:ascii="Arial" w:hAnsi="Arial" w:cs="Arial"/>
          <w:snapToGrid w:val="0"/>
          <w:sz w:val="22"/>
          <w:szCs w:val="22"/>
        </w:rPr>
        <w:tab/>
        <w:t>P</w:t>
      </w:r>
      <w:r w:rsidRPr="008B7C73">
        <w:rPr>
          <w:rFonts w:ascii="Arial" w:hAnsi="Arial" w:cs="Arial"/>
          <w:snapToGrid w:val="0"/>
          <w:sz w:val="22"/>
          <w:szCs w:val="22"/>
        </w:rPr>
        <w:t xml:space="preserve">ollutant </w:t>
      </w:r>
      <w:r>
        <w:rPr>
          <w:rFonts w:ascii="Arial" w:hAnsi="Arial" w:cs="Arial"/>
          <w:snapToGrid w:val="0"/>
          <w:sz w:val="22"/>
          <w:szCs w:val="22"/>
        </w:rPr>
        <w:t>L</w:t>
      </w:r>
      <w:r w:rsidRPr="008B7C73">
        <w:rPr>
          <w:rFonts w:ascii="Arial" w:hAnsi="Arial" w:cs="Arial"/>
          <w:snapToGrid w:val="0"/>
          <w:sz w:val="22"/>
          <w:szCs w:val="22"/>
        </w:rPr>
        <w:t xml:space="preserve">oad </w:t>
      </w:r>
      <w:r>
        <w:rPr>
          <w:rFonts w:ascii="Arial" w:hAnsi="Arial" w:cs="Arial"/>
          <w:snapToGrid w:val="0"/>
          <w:sz w:val="22"/>
          <w:szCs w:val="22"/>
        </w:rPr>
        <w:t>R</w:t>
      </w:r>
      <w:r w:rsidRPr="008B7C73">
        <w:rPr>
          <w:rFonts w:ascii="Arial" w:hAnsi="Arial" w:cs="Arial"/>
          <w:snapToGrid w:val="0"/>
          <w:sz w:val="22"/>
          <w:szCs w:val="22"/>
        </w:rPr>
        <w:t xml:space="preserve">eduction </w:t>
      </w:r>
      <w:r>
        <w:rPr>
          <w:rFonts w:ascii="Arial" w:hAnsi="Arial" w:cs="Arial"/>
          <w:snapToGrid w:val="0"/>
          <w:sz w:val="22"/>
          <w:szCs w:val="22"/>
        </w:rPr>
        <w:t>G</w:t>
      </w:r>
      <w:r w:rsidRPr="008B7C73">
        <w:rPr>
          <w:rFonts w:ascii="Arial" w:hAnsi="Arial" w:cs="Arial"/>
          <w:snapToGrid w:val="0"/>
          <w:sz w:val="22"/>
          <w:szCs w:val="22"/>
        </w:rPr>
        <w:t xml:space="preserve">oal  </w:t>
      </w:r>
    </w:p>
    <w:p w:rsidR="00485094" w:rsidRPr="008B7C73" w:rsidRDefault="00485094" w:rsidP="00B370E1">
      <w:pPr>
        <w:rPr>
          <w:rFonts w:ascii="Arial" w:hAnsi="Arial" w:cs="Arial"/>
          <w:sz w:val="22"/>
          <w:szCs w:val="22"/>
        </w:rPr>
      </w:pPr>
      <w:r w:rsidRPr="008B7C73">
        <w:rPr>
          <w:rFonts w:ascii="Arial" w:hAnsi="Arial" w:cs="Arial"/>
          <w:snapToGrid w:val="0"/>
          <w:sz w:val="22"/>
          <w:szCs w:val="22"/>
        </w:rPr>
        <w:t xml:space="preserve">ppb </w:t>
      </w:r>
      <w:r>
        <w:rPr>
          <w:rFonts w:ascii="Arial" w:hAnsi="Arial" w:cs="Arial"/>
          <w:snapToGrid w:val="0"/>
          <w:sz w:val="22"/>
          <w:szCs w:val="22"/>
        </w:rPr>
        <w:tab/>
      </w:r>
      <w:r>
        <w:rPr>
          <w:rFonts w:ascii="Arial" w:hAnsi="Arial" w:cs="Arial"/>
          <w:snapToGrid w:val="0"/>
          <w:sz w:val="22"/>
          <w:szCs w:val="22"/>
        </w:rPr>
        <w:tab/>
        <w:t>P</w:t>
      </w:r>
      <w:r w:rsidRPr="008B7C73">
        <w:rPr>
          <w:rFonts w:ascii="Arial" w:hAnsi="Arial" w:cs="Arial"/>
          <w:snapToGrid w:val="0"/>
          <w:sz w:val="22"/>
          <w:szCs w:val="22"/>
        </w:rPr>
        <w:t xml:space="preserve">arts per </w:t>
      </w:r>
      <w:r>
        <w:rPr>
          <w:rFonts w:ascii="Arial" w:hAnsi="Arial" w:cs="Arial"/>
          <w:snapToGrid w:val="0"/>
          <w:sz w:val="22"/>
          <w:szCs w:val="22"/>
        </w:rPr>
        <w:t>B</w:t>
      </w:r>
      <w:r w:rsidRPr="008B7C73">
        <w:rPr>
          <w:rFonts w:ascii="Arial" w:hAnsi="Arial" w:cs="Arial"/>
          <w:snapToGrid w:val="0"/>
          <w:sz w:val="22"/>
          <w:szCs w:val="22"/>
        </w:rPr>
        <w:t>illion</w:t>
      </w:r>
    </w:p>
    <w:p w:rsidR="00E22C45" w:rsidRDefault="00E22C45" w:rsidP="00B370E1">
      <w:pPr>
        <w:rPr>
          <w:rFonts w:ascii="Arial" w:hAnsi="Arial" w:cs="Arial"/>
          <w:sz w:val="22"/>
          <w:szCs w:val="22"/>
        </w:rPr>
      </w:pPr>
      <w:r>
        <w:rPr>
          <w:rFonts w:ascii="Arial" w:hAnsi="Arial" w:cs="Arial"/>
          <w:sz w:val="22"/>
          <w:szCs w:val="22"/>
        </w:rPr>
        <w:t>ppt</w:t>
      </w:r>
      <w:r>
        <w:rPr>
          <w:rFonts w:ascii="Arial" w:hAnsi="Arial" w:cs="Arial"/>
          <w:sz w:val="22"/>
          <w:szCs w:val="22"/>
        </w:rPr>
        <w:tab/>
      </w:r>
      <w:r>
        <w:rPr>
          <w:rFonts w:ascii="Arial" w:hAnsi="Arial" w:cs="Arial"/>
          <w:sz w:val="22"/>
          <w:szCs w:val="22"/>
        </w:rPr>
        <w:tab/>
        <w:t>Parts per Thousand</w:t>
      </w:r>
    </w:p>
    <w:p w:rsidR="00E22C45" w:rsidRDefault="00E22C45" w:rsidP="00B370E1">
      <w:pPr>
        <w:rPr>
          <w:rFonts w:ascii="Arial" w:hAnsi="Arial" w:cs="Arial"/>
          <w:sz w:val="22"/>
          <w:szCs w:val="22"/>
        </w:rPr>
      </w:pPr>
      <w:proofErr w:type="spellStart"/>
      <w:r>
        <w:rPr>
          <w:rFonts w:ascii="Arial" w:hAnsi="Arial" w:cs="Arial"/>
          <w:sz w:val="22"/>
          <w:szCs w:val="22"/>
        </w:rPr>
        <w:t>psu</w:t>
      </w:r>
      <w:proofErr w:type="spellEnd"/>
      <w:r>
        <w:rPr>
          <w:rFonts w:ascii="Arial" w:hAnsi="Arial" w:cs="Arial"/>
          <w:sz w:val="22"/>
          <w:szCs w:val="22"/>
        </w:rPr>
        <w:tab/>
      </w:r>
      <w:r>
        <w:rPr>
          <w:rFonts w:ascii="Arial" w:hAnsi="Arial" w:cs="Arial"/>
          <w:sz w:val="22"/>
          <w:szCs w:val="22"/>
        </w:rPr>
        <w:tab/>
        <w:t>Practical Salinity Unit</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PWS </w:t>
      </w:r>
      <w:r>
        <w:rPr>
          <w:rFonts w:ascii="Arial" w:hAnsi="Arial" w:cs="Arial"/>
          <w:sz w:val="22"/>
          <w:szCs w:val="22"/>
        </w:rPr>
        <w:tab/>
      </w:r>
      <w:r>
        <w:rPr>
          <w:rFonts w:ascii="Arial" w:hAnsi="Arial" w:cs="Arial"/>
          <w:sz w:val="22"/>
          <w:szCs w:val="22"/>
        </w:rPr>
        <w:tab/>
        <w:t>P</w:t>
      </w:r>
      <w:r w:rsidRPr="008B7C73">
        <w:rPr>
          <w:rFonts w:ascii="Arial" w:hAnsi="Arial" w:cs="Arial"/>
          <w:sz w:val="22"/>
          <w:szCs w:val="22"/>
        </w:rPr>
        <w:t xml:space="preserve">ublic </w:t>
      </w:r>
      <w:r>
        <w:rPr>
          <w:rFonts w:ascii="Arial" w:hAnsi="Arial" w:cs="Arial"/>
          <w:sz w:val="22"/>
          <w:szCs w:val="22"/>
        </w:rPr>
        <w:t>W</w:t>
      </w:r>
      <w:r w:rsidRPr="008B7C73">
        <w:rPr>
          <w:rFonts w:ascii="Arial" w:hAnsi="Arial" w:cs="Arial"/>
          <w:sz w:val="22"/>
          <w:szCs w:val="22"/>
        </w:rPr>
        <w:t xml:space="preserve">ater </w:t>
      </w:r>
      <w:r>
        <w:rPr>
          <w:rFonts w:ascii="Arial" w:hAnsi="Arial" w:cs="Arial"/>
          <w:sz w:val="22"/>
          <w:szCs w:val="22"/>
        </w:rPr>
        <w:t>S</w:t>
      </w:r>
      <w:r w:rsidRPr="008B7C73">
        <w:rPr>
          <w:rFonts w:ascii="Arial" w:hAnsi="Arial" w:cs="Arial"/>
          <w:sz w:val="22"/>
          <w:szCs w:val="22"/>
        </w:rPr>
        <w:t xml:space="preserve">ystem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QA </w:t>
      </w:r>
      <w:r>
        <w:rPr>
          <w:rFonts w:ascii="Arial" w:hAnsi="Arial" w:cs="Arial"/>
          <w:sz w:val="22"/>
          <w:szCs w:val="22"/>
        </w:rPr>
        <w:tab/>
      </w:r>
      <w:r>
        <w:rPr>
          <w:rFonts w:ascii="Arial" w:hAnsi="Arial" w:cs="Arial"/>
          <w:sz w:val="22"/>
          <w:szCs w:val="22"/>
        </w:rPr>
        <w:tab/>
        <w:t>Q</w:t>
      </w:r>
      <w:r w:rsidRPr="008B7C73">
        <w:rPr>
          <w:rFonts w:ascii="Arial" w:hAnsi="Arial" w:cs="Arial"/>
          <w:sz w:val="22"/>
          <w:szCs w:val="22"/>
        </w:rPr>
        <w:t xml:space="preserve">uality </w:t>
      </w:r>
      <w:r>
        <w:rPr>
          <w:rFonts w:ascii="Arial" w:hAnsi="Arial" w:cs="Arial"/>
          <w:sz w:val="22"/>
          <w:szCs w:val="22"/>
        </w:rPr>
        <w:t>A</w:t>
      </w:r>
      <w:r w:rsidRPr="008B7C73">
        <w:rPr>
          <w:rFonts w:ascii="Arial" w:hAnsi="Arial" w:cs="Arial"/>
          <w:sz w:val="22"/>
          <w:szCs w:val="22"/>
        </w:rPr>
        <w:t xml:space="preserve">ssurance  </w:t>
      </w:r>
    </w:p>
    <w:p w:rsidR="00485094" w:rsidRPr="008B7C73" w:rsidRDefault="00485094" w:rsidP="00B370E1">
      <w:pPr>
        <w:rPr>
          <w:rFonts w:ascii="Arial" w:hAnsi="Arial" w:cs="Arial"/>
          <w:sz w:val="22"/>
          <w:szCs w:val="22"/>
        </w:rPr>
      </w:pPr>
      <w:r w:rsidRPr="008B7C73">
        <w:rPr>
          <w:rFonts w:ascii="Arial" w:hAnsi="Arial" w:cs="Arial"/>
          <w:sz w:val="22"/>
          <w:szCs w:val="22"/>
        </w:rPr>
        <w:t>QA/QC</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Quality </w:t>
      </w:r>
      <w:r>
        <w:rPr>
          <w:rFonts w:ascii="Arial" w:hAnsi="Arial" w:cs="Arial"/>
          <w:sz w:val="22"/>
          <w:szCs w:val="22"/>
        </w:rPr>
        <w:t>A</w:t>
      </w:r>
      <w:r w:rsidRPr="008B7C73">
        <w:rPr>
          <w:rFonts w:ascii="Arial" w:hAnsi="Arial" w:cs="Arial"/>
          <w:sz w:val="22"/>
          <w:szCs w:val="22"/>
        </w:rPr>
        <w:t>ssurance/</w:t>
      </w:r>
      <w:r>
        <w:rPr>
          <w:rFonts w:ascii="Arial" w:hAnsi="Arial" w:cs="Arial"/>
          <w:sz w:val="22"/>
          <w:szCs w:val="22"/>
        </w:rPr>
        <w:t>Q</w:t>
      </w:r>
      <w:r w:rsidRPr="008B7C73">
        <w:rPr>
          <w:rFonts w:ascii="Arial" w:hAnsi="Arial" w:cs="Arial"/>
          <w:sz w:val="22"/>
          <w:szCs w:val="22"/>
        </w:rPr>
        <w:t xml:space="preserve">uality </w:t>
      </w:r>
      <w:r>
        <w:rPr>
          <w:rFonts w:ascii="Arial" w:hAnsi="Arial" w:cs="Arial"/>
          <w:sz w:val="22"/>
          <w:szCs w:val="22"/>
        </w:rPr>
        <w:t>C</w:t>
      </w:r>
      <w:r w:rsidRPr="008B7C73">
        <w:rPr>
          <w:rFonts w:ascii="Arial" w:hAnsi="Arial" w:cs="Arial"/>
          <w:sz w:val="22"/>
          <w:szCs w:val="22"/>
        </w:rPr>
        <w:t xml:space="preserve">ontrol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rNHD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re-leveled National Hydrography Dataset   </w:t>
      </w:r>
    </w:p>
    <w:p w:rsidR="00485094" w:rsidRPr="008B7C73" w:rsidRDefault="00485094" w:rsidP="00B370E1">
      <w:pPr>
        <w:rPr>
          <w:rFonts w:ascii="Arial" w:hAnsi="Arial" w:cs="Arial"/>
          <w:sz w:val="22"/>
          <w:szCs w:val="22"/>
        </w:rPr>
      </w:pPr>
      <w:r w:rsidRPr="007C2526">
        <w:rPr>
          <w:rFonts w:ascii="Arial" w:hAnsi="Arial" w:cs="Arial"/>
          <w:sz w:val="22"/>
          <w:szCs w:val="22"/>
        </w:rPr>
        <w:t>S</w:t>
      </w:r>
      <w:r w:rsidR="00FC23B4" w:rsidRPr="007C2526">
        <w:rPr>
          <w:rFonts w:ascii="Arial" w:hAnsi="Arial" w:cs="Arial"/>
          <w:sz w:val="22"/>
          <w:szCs w:val="22"/>
        </w:rPr>
        <w:t>O</w:t>
      </w:r>
      <w:r w:rsidR="00FC23B4" w:rsidRPr="007C2526">
        <w:rPr>
          <w:rFonts w:ascii="Arial" w:hAnsi="Arial" w:cs="Arial"/>
          <w:sz w:val="22"/>
          <w:szCs w:val="22"/>
          <w:vertAlign w:val="subscript"/>
        </w:rPr>
        <w:t>4</w:t>
      </w:r>
      <w:r w:rsidRPr="007C2526">
        <w:rPr>
          <w:rFonts w:ascii="Arial" w:hAnsi="Arial" w:cs="Arial"/>
          <w:sz w:val="22"/>
          <w:szCs w:val="22"/>
        </w:rPr>
        <w:t xml:space="preserve"> </w:t>
      </w:r>
      <w:r w:rsidRPr="007C2526">
        <w:rPr>
          <w:rFonts w:ascii="Arial" w:hAnsi="Arial" w:cs="Arial"/>
          <w:sz w:val="22"/>
          <w:szCs w:val="22"/>
        </w:rPr>
        <w:tab/>
      </w:r>
      <w:r w:rsidRPr="007C2526">
        <w:rPr>
          <w:rFonts w:ascii="Arial" w:hAnsi="Arial" w:cs="Arial"/>
          <w:sz w:val="22"/>
          <w:szCs w:val="22"/>
        </w:rPr>
        <w:tab/>
        <w:t>Sulfate</w:t>
      </w:r>
    </w:p>
    <w:p w:rsidR="00485094" w:rsidRPr="008B7C73" w:rsidRDefault="00485094" w:rsidP="00B370E1">
      <w:pPr>
        <w:rPr>
          <w:rFonts w:ascii="Arial" w:hAnsi="Arial" w:cs="Arial"/>
          <w:bCs/>
          <w:sz w:val="22"/>
          <w:szCs w:val="22"/>
        </w:rPr>
      </w:pPr>
      <w:r w:rsidRPr="008B7C73">
        <w:rPr>
          <w:rFonts w:ascii="Arial" w:hAnsi="Arial" w:cs="Arial"/>
          <w:bCs/>
          <w:sz w:val="22"/>
          <w:szCs w:val="22"/>
        </w:rPr>
        <w:t xml:space="preserve">SB </w:t>
      </w:r>
      <w:r>
        <w:rPr>
          <w:rFonts w:ascii="Arial" w:hAnsi="Arial" w:cs="Arial"/>
          <w:bCs/>
          <w:sz w:val="22"/>
          <w:szCs w:val="22"/>
        </w:rPr>
        <w:tab/>
      </w:r>
      <w:r>
        <w:rPr>
          <w:rFonts w:ascii="Arial" w:hAnsi="Arial" w:cs="Arial"/>
          <w:bCs/>
          <w:sz w:val="22"/>
          <w:szCs w:val="22"/>
        </w:rPr>
        <w:tab/>
      </w:r>
      <w:r w:rsidRPr="008B7C73">
        <w:rPr>
          <w:rFonts w:ascii="Arial" w:hAnsi="Arial" w:cs="Arial"/>
          <w:bCs/>
          <w:sz w:val="22"/>
          <w:szCs w:val="22"/>
        </w:rPr>
        <w:t xml:space="preserve">Senate Bill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SC </w:t>
      </w:r>
      <w:r>
        <w:rPr>
          <w:rFonts w:ascii="Arial" w:hAnsi="Arial" w:cs="Arial"/>
          <w:sz w:val="22"/>
          <w:szCs w:val="22"/>
        </w:rPr>
        <w:tab/>
      </w:r>
      <w:r>
        <w:rPr>
          <w:rFonts w:ascii="Arial" w:hAnsi="Arial" w:cs="Arial"/>
          <w:sz w:val="22"/>
          <w:szCs w:val="22"/>
        </w:rPr>
        <w:tab/>
      </w:r>
      <w:r w:rsidRPr="008B7C73">
        <w:rPr>
          <w:rFonts w:ascii="Arial" w:hAnsi="Arial" w:cs="Arial"/>
          <w:sz w:val="22"/>
          <w:szCs w:val="22"/>
        </w:rPr>
        <w:t>Specific Conductance</w:t>
      </w:r>
    </w:p>
    <w:p w:rsidR="00485094" w:rsidRPr="008B7C73" w:rsidRDefault="00485094" w:rsidP="00B370E1">
      <w:pPr>
        <w:rPr>
          <w:rFonts w:ascii="Arial" w:hAnsi="Arial" w:cs="Arial"/>
          <w:sz w:val="22"/>
          <w:szCs w:val="22"/>
        </w:rPr>
      </w:pPr>
      <w:r w:rsidRPr="00881E17">
        <w:rPr>
          <w:rFonts w:ascii="Arial" w:hAnsi="Arial" w:cs="Arial"/>
          <w:sz w:val="22"/>
          <w:szCs w:val="22"/>
        </w:rPr>
        <w:t xml:space="preserve">SCI </w:t>
      </w:r>
      <w:r>
        <w:rPr>
          <w:rFonts w:ascii="Arial" w:hAnsi="Arial" w:cs="Arial"/>
          <w:sz w:val="22"/>
          <w:szCs w:val="22"/>
        </w:rPr>
        <w:tab/>
      </w:r>
      <w:r>
        <w:rPr>
          <w:rFonts w:ascii="Arial" w:hAnsi="Arial" w:cs="Arial"/>
          <w:sz w:val="22"/>
          <w:szCs w:val="22"/>
        </w:rPr>
        <w:tab/>
      </w:r>
      <w:r w:rsidRPr="00881E17">
        <w:rPr>
          <w:rFonts w:ascii="Arial" w:hAnsi="Arial" w:cs="Arial"/>
          <w:sz w:val="22"/>
          <w:szCs w:val="22"/>
        </w:rPr>
        <w:t xml:space="preserve">Stream Condition Index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SFWMD </w:t>
      </w:r>
      <w:r>
        <w:rPr>
          <w:rFonts w:ascii="Arial" w:hAnsi="Arial" w:cs="Arial"/>
          <w:sz w:val="22"/>
          <w:szCs w:val="22"/>
        </w:rPr>
        <w:tab/>
      </w:r>
      <w:r w:rsidRPr="008B7C73">
        <w:rPr>
          <w:rFonts w:ascii="Arial" w:hAnsi="Arial" w:cs="Arial"/>
          <w:sz w:val="22"/>
          <w:szCs w:val="22"/>
        </w:rPr>
        <w:t>South Florida Water Management District</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SJRWMD </w:t>
      </w:r>
      <w:r>
        <w:rPr>
          <w:rFonts w:ascii="Arial" w:hAnsi="Arial" w:cs="Arial"/>
          <w:sz w:val="22"/>
          <w:szCs w:val="22"/>
        </w:rPr>
        <w:tab/>
      </w:r>
      <w:r w:rsidRPr="008B7C73">
        <w:rPr>
          <w:rFonts w:ascii="Arial" w:hAnsi="Arial" w:cs="Arial"/>
          <w:sz w:val="22"/>
          <w:szCs w:val="22"/>
        </w:rPr>
        <w:t>St. Johns River Water Management District</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SK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Seasonal Kendall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SOCs </w:t>
      </w:r>
      <w:r>
        <w:rPr>
          <w:rFonts w:ascii="Arial" w:hAnsi="Arial" w:cs="Arial"/>
          <w:sz w:val="22"/>
          <w:szCs w:val="22"/>
        </w:rPr>
        <w:tab/>
      </w:r>
      <w:r>
        <w:rPr>
          <w:rFonts w:ascii="Arial" w:hAnsi="Arial" w:cs="Arial"/>
          <w:sz w:val="22"/>
          <w:szCs w:val="22"/>
        </w:rPr>
        <w:tab/>
        <w:t>S</w:t>
      </w:r>
      <w:r w:rsidRPr="008B7C73">
        <w:rPr>
          <w:rFonts w:ascii="Arial" w:hAnsi="Arial" w:cs="Arial"/>
          <w:sz w:val="22"/>
          <w:szCs w:val="22"/>
        </w:rPr>
        <w:t xml:space="preserve">ynthetic </w:t>
      </w:r>
      <w:r>
        <w:rPr>
          <w:rFonts w:ascii="Arial" w:hAnsi="Arial" w:cs="Arial"/>
          <w:sz w:val="22"/>
          <w:szCs w:val="22"/>
        </w:rPr>
        <w:t>O</w:t>
      </w:r>
      <w:r w:rsidRPr="008B7C73">
        <w:rPr>
          <w:rFonts w:ascii="Arial" w:hAnsi="Arial" w:cs="Arial"/>
          <w:sz w:val="22"/>
          <w:szCs w:val="22"/>
        </w:rPr>
        <w:t xml:space="preserve">rganic </w:t>
      </w:r>
      <w:r>
        <w:rPr>
          <w:rFonts w:ascii="Arial" w:hAnsi="Arial" w:cs="Arial"/>
          <w:sz w:val="22"/>
          <w:szCs w:val="22"/>
        </w:rPr>
        <w:t>C</w:t>
      </w:r>
      <w:r w:rsidRPr="008B7C73">
        <w:rPr>
          <w:rFonts w:ascii="Arial" w:hAnsi="Arial" w:cs="Arial"/>
          <w:sz w:val="22"/>
          <w:szCs w:val="22"/>
        </w:rPr>
        <w:t xml:space="preserve">hemicals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SOP </w:t>
      </w:r>
      <w:r>
        <w:rPr>
          <w:rFonts w:ascii="Arial" w:hAnsi="Arial" w:cs="Arial"/>
          <w:sz w:val="22"/>
          <w:szCs w:val="22"/>
        </w:rPr>
        <w:tab/>
      </w:r>
      <w:r>
        <w:rPr>
          <w:rFonts w:ascii="Arial" w:hAnsi="Arial" w:cs="Arial"/>
          <w:sz w:val="22"/>
          <w:szCs w:val="22"/>
        </w:rPr>
        <w:tab/>
        <w:t xml:space="preserve">Standard Operating Procedure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SOR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Save Our Rivers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SRF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State Revolving Fund </w:t>
      </w:r>
    </w:p>
    <w:p w:rsidR="00485094" w:rsidRPr="008B7C73" w:rsidRDefault="00485094" w:rsidP="00B370E1">
      <w:pPr>
        <w:rPr>
          <w:rFonts w:ascii="Arial" w:hAnsi="Arial" w:cs="Arial"/>
          <w:sz w:val="22"/>
          <w:szCs w:val="22"/>
        </w:rPr>
      </w:pPr>
      <w:r w:rsidRPr="008B7C73">
        <w:rPr>
          <w:rFonts w:ascii="Arial" w:hAnsi="Arial" w:cs="Arial"/>
          <w:sz w:val="22"/>
          <w:szCs w:val="22"/>
        </w:rPr>
        <w:t>SRWMD</w:t>
      </w:r>
      <w:r>
        <w:rPr>
          <w:rFonts w:ascii="Arial" w:hAnsi="Arial" w:cs="Arial"/>
          <w:sz w:val="22"/>
          <w:szCs w:val="22"/>
        </w:rPr>
        <w:tab/>
        <w:t>Suwannee River Water Management District</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SSACs</w:t>
      </w:r>
      <w:r>
        <w:rPr>
          <w:rFonts w:ascii="Arial" w:hAnsi="Arial" w:cs="Arial"/>
          <w:snapToGrid w:val="0"/>
          <w:sz w:val="22"/>
          <w:szCs w:val="22"/>
        </w:rPr>
        <w:t xml:space="preserve"> </w:t>
      </w:r>
      <w:r>
        <w:rPr>
          <w:rFonts w:ascii="Arial" w:hAnsi="Arial" w:cs="Arial"/>
          <w:snapToGrid w:val="0"/>
          <w:sz w:val="22"/>
          <w:szCs w:val="22"/>
        </w:rPr>
        <w:tab/>
        <w:t>S</w:t>
      </w:r>
      <w:r w:rsidRPr="008B7C73">
        <w:rPr>
          <w:rFonts w:ascii="Arial" w:hAnsi="Arial" w:cs="Arial"/>
          <w:snapToGrid w:val="0"/>
          <w:sz w:val="22"/>
          <w:szCs w:val="22"/>
        </w:rPr>
        <w:t>ite-</w:t>
      </w:r>
      <w:r>
        <w:rPr>
          <w:rFonts w:ascii="Arial" w:hAnsi="Arial" w:cs="Arial"/>
          <w:snapToGrid w:val="0"/>
          <w:sz w:val="22"/>
          <w:szCs w:val="22"/>
        </w:rPr>
        <w:t>S</w:t>
      </w:r>
      <w:r w:rsidRPr="008B7C73">
        <w:rPr>
          <w:rFonts w:ascii="Arial" w:hAnsi="Arial" w:cs="Arial"/>
          <w:snapToGrid w:val="0"/>
          <w:sz w:val="22"/>
          <w:szCs w:val="22"/>
        </w:rPr>
        <w:t xml:space="preserve">pecific </w:t>
      </w:r>
      <w:r>
        <w:rPr>
          <w:rFonts w:ascii="Arial" w:hAnsi="Arial" w:cs="Arial"/>
          <w:snapToGrid w:val="0"/>
          <w:sz w:val="22"/>
          <w:szCs w:val="22"/>
        </w:rPr>
        <w:t>A</w:t>
      </w:r>
      <w:r w:rsidRPr="008B7C73">
        <w:rPr>
          <w:rFonts w:ascii="Arial" w:hAnsi="Arial" w:cs="Arial"/>
          <w:snapToGrid w:val="0"/>
          <w:sz w:val="22"/>
          <w:szCs w:val="22"/>
        </w:rPr>
        <w:t xml:space="preserve">lternative </w:t>
      </w:r>
      <w:r>
        <w:rPr>
          <w:rFonts w:ascii="Arial" w:hAnsi="Arial" w:cs="Arial"/>
          <w:snapToGrid w:val="0"/>
          <w:sz w:val="22"/>
          <w:szCs w:val="22"/>
        </w:rPr>
        <w:t>C</w:t>
      </w:r>
      <w:r w:rsidRPr="008B7C73">
        <w:rPr>
          <w:rFonts w:ascii="Arial" w:hAnsi="Arial" w:cs="Arial"/>
          <w:snapToGrid w:val="0"/>
          <w:sz w:val="22"/>
          <w:szCs w:val="22"/>
        </w:rPr>
        <w:t xml:space="preserve">riteria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STA</w:t>
      </w:r>
      <w:r>
        <w:rPr>
          <w:rFonts w:ascii="Arial" w:hAnsi="Arial" w:cs="Arial"/>
          <w:snapToGrid w:val="0"/>
          <w:sz w:val="22"/>
          <w:szCs w:val="22"/>
        </w:rPr>
        <w:tab/>
      </w:r>
      <w:r>
        <w:rPr>
          <w:rFonts w:ascii="Arial" w:hAnsi="Arial" w:cs="Arial"/>
          <w:snapToGrid w:val="0"/>
          <w:sz w:val="22"/>
          <w:szCs w:val="22"/>
        </w:rPr>
        <w:tab/>
        <w:t>S</w:t>
      </w:r>
      <w:r w:rsidRPr="008B7C73">
        <w:rPr>
          <w:rFonts w:ascii="Arial" w:hAnsi="Arial" w:cs="Arial"/>
          <w:snapToGrid w:val="0"/>
          <w:sz w:val="22"/>
          <w:szCs w:val="22"/>
        </w:rPr>
        <w:t xml:space="preserve">tormwater </w:t>
      </w:r>
      <w:r>
        <w:rPr>
          <w:rFonts w:ascii="Arial" w:hAnsi="Arial" w:cs="Arial"/>
          <w:snapToGrid w:val="0"/>
          <w:sz w:val="22"/>
          <w:szCs w:val="22"/>
        </w:rPr>
        <w:t>T</w:t>
      </w:r>
      <w:r w:rsidRPr="008B7C73">
        <w:rPr>
          <w:rFonts w:ascii="Arial" w:hAnsi="Arial" w:cs="Arial"/>
          <w:snapToGrid w:val="0"/>
          <w:sz w:val="22"/>
          <w:szCs w:val="22"/>
        </w:rPr>
        <w:t xml:space="preserve">reatment </w:t>
      </w:r>
      <w:r>
        <w:rPr>
          <w:rFonts w:ascii="Arial" w:hAnsi="Arial" w:cs="Arial"/>
          <w:snapToGrid w:val="0"/>
          <w:sz w:val="22"/>
          <w:szCs w:val="22"/>
        </w:rPr>
        <w:t>Area</w:t>
      </w:r>
      <w:r w:rsidRPr="008B7C73">
        <w:rPr>
          <w:rFonts w:ascii="Arial" w:hAnsi="Arial" w:cs="Arial"/>
          <w:snapToGrid w:val="0"/>
          <w:sz w:val="22"/>
          <w:szCs w:val="22"/>
        </w:rPr>
        <w:t xml:space="preserve">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STAG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State and Tribal Assistance Grant  </w:t>
      </w:r>
    </w:p>
    <w:p w:rsidR="007C2526" w:rsidRDefault="007C2526" w:rsidP="00B370E1">
      <w:pPr>
        <w:rPr>
          <w:rFonts w:ascii="Arial" w:hAnsi="Arial" w:cs="Arial"/>
          <w:sz w:val="22"/>
          <w:szCs w:val="22"/>
        </w:rPr>
      </w:pPr>
      <w:r>
        <w:rPr>
          <w:rFonts w:ascii="Arial" w:hAnsi="Arial" w:cs="Arial"/>
          <w:sz w:val="22"/>
          <w:szCs w:val="22"/>
        </w:rPr>
        <w:t>STCM</w:t>
      </w:r>
      <w:r>
        <w:rPr>
          <w:rFonts w:ascii="Arial" w:hAnsi="Arial" w:cs="Arial"/>
          <w:sz w:val="22"/>
          <w:szCs w:val="22"/>
        </w:rPr>
        <w:tab/>
      </w:r>
      <w:r>
        <w:rPr>
          <w:rFonts w:ascii="Arial" w:hAnsi="Arial" w:cs="Arial"/>
          <w:sz w:val="22"/>
          <w:szCs w:val="22"/>
        </w:rPr>
        <w:tab/>
        <w:t>Storage Tank Contamination Monitoring</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STORET </w:t>
      </w:r>
      <w:r>
        <w:rPr>
          <w:rFonts w:ascii="Arial" w:hAnsi="Arial" w:cs="Arial"/>
          <w:sz w:val="22"/>
          <w:szCs w:val="22"/>
        </w:rPr>
        <w:tab/>
      </w:r>
      <w:r w:rsidRPr="008B7C73">
        <w:rPr>
          <w:rFonts w:ascii="Arial" w:hAnsi="Arial" w:cs="Arial"/>
          <w:sz w:val="22"/>
          <w:szCs w:val="22"/>
        </w:rPr>
        <w:t xml:space="preserve">Storage and Retrieval </w:t>
      </w:r>
    </w:p>
    <w:p w:rsidR="00485094" w:rsidRPr="00881E17" w:rsidRDefault="00485094" w:rsidP="00B370E1">
      <w:pPr>
        <w:rPr>
          <w:rFonts w:ascii="Arial" w:hAnsi="Arial" w:cs="Arial"/>
          <w:sz w:val="22"/>
          <w:szCs w:val="22"/>
        </w:rPr>
      </w:pPr>
      <w:r w:rsidRPr="00881E17">
        <w:rPr>
          <w:rFonts w:ascii="Arial" w:hAnsi="Arial" w:cs="Arial"/>
          <w:sz w:val="22"/>
          <w:szCs w:val="22"/>
        </w:rPr>
        <w:t>SWAPP</w:t>
      </w:r>
      <w:r w:rsidRPr="00881E17">
        <w:rPr>
          <w:rFonts w:ascii="Arial" w:hAnsi="Arial" w:cs="Arial"/>
          <w:sz w:val="22"/>
          <w:szCs w:val="22"/>
        </w:rPr>
        <w:tab/>
        <w:t>Source Water Assessment and Protection Program</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SWFWMD </w:t>
      </w:r>
      <w:r>
        <w:rPr>
          <w:rFonts w:ascii="Arial" w:hAnsi="Arial" w:cs="Arial"/>
          <w:sz w:val="22"/>
          <w:szCs w:val="22"/>
        </w:rPr>
        <w:tab/>
      </w:r>
      <w:r w:rsidRPr="008B7C73">
        <w:rPr>
          <w:rFonts w:ascii="Arial" w:hAnsi="Arial" w:cs="Arial"/>
          <w:sz w:val="22"/>
          <w:szCs w:val="22"/>
        </w:rPr>
        <w:t>Southwest Florida Water Management District</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SWIM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z w:val="22"/>
          <w:szCs w:val="22"/>
        </w:rPr>
        <w:t xml:space="preserve">Surface Water Improvement and Management  </w:t>
      </w:r>
      <w:r w:rsidRPr="008B7C73">
        <w:rPr>
          <w:rFonts w:ascii="Arial" w:hAnsi="Arial" w:cs="Arial"/>
          <w:snapToGrid w:val="0"/>
          <w:sz w:val="22"/>
          <w:szCs w:val="22"/>
        </w:rPr>
        <w:t xml:space="preserve">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TAC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Technical Advisory Committee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TC </w:t>
      </w:r>
      <w:r>
        <w:rPr>
          <w:rFonts w:ascii="Arial" w:hAnsi="Arial" w:cs="Arial"/>
          <w:sz w:val="22"/>
          <w:szCs w:val="22"/>
        </w:rPr>
        <w:tab/>
      </w:r>
      <w:r>
        <w:rPr>
          <w:rFonts w:ascii="Arial" w:hAnsi="Arial" w:cs="Arial"/>
          <w:sz w:val="22"/>
          <w:szCs w:val="22"/>
        </w:rPr>
        <w:tab/>
        <w:t>T</w:t>
      </w:r>
      <w:r w:rsidRPr="008B7C73">
        <w:rPr>
          <w:rFonts w:ascii="Arial" w:hAnsi="Arial" w:cs="Arial"/>
          <w:sz w:val="22"/>
          <w:szCs w:val="22"/>
        </w:rPr>
        <w:t>otal Coliform</w:t>
      </w:r>
    </w:p>
    <w:p w:rsidR="00485094" w:rsidRPr="008B7C73" w:rsidRDefault="00542E8A" w:rsidP="00B370E1">
      <w:pPr>
        <w:rPr>
          <w:rFonts w:ascii="Arial" w:hAnsi="Arial" w:cs="Arial"/>
          <w:sz w:val="22"/>
          <w:szCs w:val="22"/>
        </w:rPr>
      </w:pPr>
      <w:r>
        <w:rPr>
          <w:rFonts w:ascii="Arial" w:hAnsi="Arial" w:cs="Arial"/>
          <w:sz w:val="22"/>
          <w:szCs w:val="22"/>
        </w:rPr>
        <w:t>T</w:t>
      </w:r>
      <w:r w:rsidR="00485094" w:rsidRPr="008B7C73">
        <w:rPr>
          <w:rFonts w:ascii="Arial" w:hAnsi="Arial" w:cs="Arial"/>
          <w:sz w:val="22"/>
          <w:szCs w:val="22"/>
        </w:rPr>
        <w:t>CE</w:t>
      </w:r>
      <w:r w:rsidR="00485094">
        <w:rPr>
          <w:rFonts w:ascii="Arial" w:hAnsi="Arial" w:cs="Arial"/>
          <w:sz w:val="22"/>
          <w:szCs w:val="22"/>
        </w:rPr>
        <w:tab/>
      </w:r>
      <w:r w:rsidR="00485094">
        <w:rPr>
          <w:rFonts w:ascii="Arial" w:hAnsi="Arial" w:cs="Arial"/>
          <w:sz w:val="22"/>
          <w:szCs w:val="22"/>
        </w:rPr>
        <w:tab/>
        <w:t>T</w:t>
      </w:r>
      <w:r w:rsidR="00485094" w:rsidRPr="008B7C73">
        <w:rPr>
          <w:rFonts w:ascii="Arial" w:hAnsi="Arial" w:cs="Arial"/>
          <w:sz w:val="22"/>
          <w:szCs w:val="22"/>
        </w:rPr>
        <w:t xml:space="preserve">richloroethylene  </w:t>
      </w:r>
    </w:p>
    <w:p w:rsidR="00485094" w:rsidRPr="008B7C73" w:rsidRDefault="00542E8A" w:rsidP="00B370E1">
      <w:pPr>
        <w:rPr>
          <w:rFonts w:ascii="Arial" w:hAnsi="Arial" w:cs="Arial"/>
          <w:sz w:val="22"/>
          <w:szCs w:val="22"/>
        </w:rPr>
      </w:pPr>
      <w:r>
        <w:rPr>
          <w:rFonts w:ascii="Arial" w:hAnsi="Arial" w:cs="Arial"/>
          <w:sz w:val="22"/>
          <w:szCs w:val="22"/>
        </w:rPr>
        <w:t>T</w:t>
      </w:r>
      <w:r w:rsidR="00485094" w:rsidRPr="008B7C73">
        <w:rPr>
          <w:rFonts w:ascii="Arial" w:hAnsi="Arial" w:cs="Arial"/>
          <w:sz w:val="22"/>
          <w:szCs w:val="22"/>
        </w:rPr>
        <w:t xml:space="preserve">DS </w:t>
      </w:r>
      <w:r w:rsidR="00485094">
        <w:rPr>
          <w:rFonts w:ascii="Arial" w:hAnsi="Arial" w:cs="Arial"/>
          <w:sz w:val="22"/>
          <w:szCs w:val="22"/>
        </w:rPr>
        <w:tab/>
      </w:r>
      <w:r w:rsidR="00485094">
        <w:rPr>
          <w:rFonts w:ascii="Arial" w:hAnsi="Arial" w:cs="Arial"/>
          <w:sz w:val="22"/>
          <w:szCs w:val="22"/>
        </w:rPr>
        <w:tab/>
      </w:r>
      <w:r w:rsidR="00485094" w:rsidRPr="008B7C73">
        <w:rPr>
          <w:rFonts w:ascii="Arial" w:hAnsi="Arial" w:cs="Arial"/>
          <w:sz w:val="22"/>
          <w:szCs w:val="22"/>
        </w:rPr>
        <w:t>Total Dissolved Solids</w:t>
      </w:r>
    </w:p>
    <w:p w:rsidR="00485094" w:rsidRPr="008B7C73" w:rsidRDefault="00485094" w:rsidP="00B370E1">
      <w:pPr>
        <w:rPr>
          <w:rFonts w:ascii="Arial" w:hAnsi="Arial" w:cs="Arial"/>
          <w:snapToGrid w:val="0"/>
          <w:color w:val="000000"/>
          <w:sz w:val="22"/>
          <w:szCs w:val="22"/>
        </w:rPr>
      </w:pPr>
      <w:r w:rsidRPr="008B7C73">
        <w:rPr>
          <w:rFonts w:ascii="Arial" w:hAnsi="Arial" w:cs="Arial"/>
          <w:snapToGrid w:val="0"/>
          <w:color w:val="000000"/>
          <w:sz w:val="22"/>
          <w:szCs w:val="22"/>
        </w:rPr>
        <w:t xml:space="preserve">TEC </w:t>
      </w:r>
      <w:r>
        <w:rPr>
          <w:rFonts w:ascii="Arial" w:hAnsi="Arial" w:cs="Arial"/>
          <w:snapToGrid w:val="0"/>
          <w:color w:val="000000"/>
          <w:sz w:val="22"/>
          <w:szCs w:val="22"/>
        </w:rPr>
        <w:tab/>
      </w:r>
      <w:r>
        <w:rPr>
          <w:rFonts w:ascii="Arial" w:hAnsi="Arial" w:cs="Arial"/>
          <w:snapToGrid w:val="0"/>
          <w:color w:val="000000"/>
          <w:sz w:val="22"/>
          <w:szCs w:val="22"/>
        </w:rPr>
        <w:tab/>
      </w:r>
      <w:r w:rsidRPr="008B7C73">
        <w:rPr>
          <w:rFonts w:ascii="Arial" w:hAnsi="Arial" w:cs="Arial"/>
          <w:snapToGrid w:val="0"/>
          <w:color w:val="000000"/>
          <w:sz w:val="22"/>
          <w:szCs w:val="22"/>
        </w:rPr>
        <w:t xml:space="preserve">Threshold Effects Concentration  </w:t>
      </w:r>
    </w:p>
    <w:p w:rsidR="00485094" w:rsidRPr="008B7C73" w:rsidRDefault="00485094" w:rsidP="00B370E1">
      <w:pPr>
        <w:rPr>
          <w:rFonts w:ascii="Arial" w:hAnsi="Arial" w:cs="Arial"/>
          <w:sz w:val="22"/>
          <w:szCs w:val="22"/>
        </w:rPr>
      </w:pPr>
      <w:r w:rsidRPr="008B7C73">
        <w:rPr>
          <w:rFonts w:ascii="Arial" w:hAnsi="Arial" w:cs="Arial"/>
          <w:sz w:val="22"/>
          <w:szCs w:val="22"/>
        </w:rPr>
        <w:t>Th-232</w:t>
      </w:r>
      <w:r>
        <w:rPr>
          <w:rFonts w:ascii="Arial" w:hAnsi="Arial" w:cs="Arial"/>
          <w:sz w:val="22"/>
          <w:szCs w:val="22"/>
        </w:rPr>
        <w:tab/>
      </w:r>
      <w:r>
        <w:rPr>
          <w:rFonts w:ascii="Arial" w:hAnsi="Arial" w:cs="Arial"/>
          <w:sz w:val="22"/>
          <w:szCs w:val="22"/>
        </w:rPr>
        <w:tab/>
        <w:t>T</w:t>
      </w:r>
      <w:r w:rsidRPr="008B7C73">
        <w:rPr>
          <w:rFonts w:ascii="Arial" w:hAnsi="Arial" w:cs="Arial"/>
          <w:sz w:val="22"/>
          <w:szCs w:val="22"/>
        </w:rPr>
        <w:t xml:space="preserve">horium-232   </w:t>
      </w:r>
    </w:p>
    <w:p w:rsidR="00485094" w:rsidRPr="008B7C73" w:rsidRDefault="00485094" w:rsidP="00B370E1">
      <w:pPr>
        <w:rPr>
          <w:rFonts w:ascii="Arial" w:hAnsi="Arial" w:cs="Arial"/>
          <w:sz w:val="22"/>
          <w:szCs w:val="22"/>
        </w:rPr>
      </w:pPr>
      <w:r w:rsidRPr="008B7C73">
        <w:rPr>
          <w:rFonts w:ascii="Arial" w:hAnsi="Arial" w:cs="Arial"/>
          <w:sz w:val="22"/>
          <w:szCs w:val="22"/>
        </w:rPr>
        <w:t>THMs</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Trihalomethanes  </w:t>
      </w:r>
    </w:p>
    <w:p w:rsidR="00485094" w:rsidRPr="008B7C73" w:rsidRDefault="00485094" w:rsidP="00B370E1">
      <w:pPr>
        <w:rPr>
          <w:rFonts w:ascii="Arial" w:hAnsi="Arial" w:cs="Arial"/>
          <w:sz w:val="22"/>
          <w:szCs w:val="22"/>
        </w:rPr>
      </w:pPr>
      <w:r w:rsidRPr="008B7C73">
        <w:rPr>
          <w:rFonts w:ascii="Arial" w:hAnsi="Arial" w:cs="Arial"/>
          <w:sz w:val="22"/>
          <w:szCs w:val="22"/>
        </w:rPr>
        <w:t>TKN</w:t>
      </w:r>
      <w:r>
        <w:rPr>
          <w:rFonts w:ascii="Arial" w:hAnsi="Arial" w:cs="Arial"/>
          <w:sz w:val="22"/>
          <w:szCs w:val="22"/>
        </w:rPr>
        <w:tab/>
      </w:r>
      <w:r>
        <w:rPr>
          <w:rFonts w:ascii="Arial" w:hAnsi="Arial" w:cs="Arial"/>
          <w:sz w:val="22"/>
          <w:szCs w:val="22"/>
        </w:rPr>
        <w:tab/>
        <w:t>Total Kjeldahl Nitrogen</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TMDL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Total Maximum Daily Load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TN </w:t>
      </w:r>
      <w:r>
        <w:rPr>
          <w:rFonts w:ascii="Arial" w:hAnsi="Arial" w:cs="Arial"/>
          <w:sz w:val="22"/>
          <w:szCs w:val="22"/>
        </w:rPr>
        <w:tab/>
      </w:r>
      <w:r>
        <w:rPr>
          <w:rFonts w:ascii="Arial" w:hAnsi="Arial" w:cs="Arial"/>
          <w:sz w:val="22"/>
          <w:szCs w:val="22"/>
        </w:rPr>
        <w:tab/>
        <w:t>Total Nitrogen</w:t>
      </w:r>
    </w:p>
    <w:p w:rsidR="00485094" w:rsidRPr="008B7C73" w:rsidRDefault="00485094" w:rsidP="00B370E1">
      <w:pPr>
        <w:rPr>
          <w:rFonts w:ascii="Arial" w:hAnsi="Arial" w:cs="Arial"/>
          <w:sz w:val="22"/>
          <w:szCs w:val="22"/>
        </w:rPr>
      </w:pPr>
      <w:r w:rsidRPr="008B7C73">
        <w:rPr>
          <w:rFonts w:ascii="Arial" w:hAnsi="Arial" w:cs="Arial"/>
          <w:sz w:val="22"/>
          <w:szCs w:val="22"/>
        </w:rPr>
        <w:t>TOC</w:t>
      </w:r>
      <w:r>
        <w:rPr>
          <w:rFonts w:ascii="Arial" w:hAnsi="Arial" w:cs="Arial"/>
          <w:sz w:val="22"/>
          <w:szCs w:val="22"/>
        </w:rPr>
        <w:tab/>
      </w:r>
      <w:r>
        <w:rPr>
          <w:rFonts w:ascii="Arial" w:hAnsi="Arial" w:cs="Arial"/>
          <w:sz w:val="22"/>
          <w:szCs w:val="22"/>
        </w:rPr>
        <w:tab/>
        <w:t>Total Organic Carbon</w:t>
      </w:r>
    </w:p>
    <w:p w:rsidR="00485094" w:rsidRPr="008B7C73" w:rsidRDefault="00485094" w:rsidP="00B370E1">
      <w:pPr>
        <w:rPr>
          <w:rFonts w:ascii="Arial" w:hAnsi="Arial" w:cs="Arial"/>
          <w:sz w:val="22"/>
          <w:szCs w:val="22"/>
        </w:rPr>
      </w:pPr>
      <w:r w:rsidRPr="008B7C73">
        <w:rPr>
          <w:rFonts w:ascii="Arial" w:hAnsi="Arial" w:cs="Arial"/>
          <w:sz w:val="22"/>
          <w:szCs w:val="22"/>
        </w:rPr>
        <w:lastRenderedPageBreak/>
        <w:t>TP</w:t>
      </w:r>
      <w:r>
        <w:rPr>
          <w:rFonts w:ascii="Arial" w:hAnsi="Arial" w:cs="Arial"/>
          <w:sz w:val="22"/>
          <w:szCs w:val="22"/>
        </w:rPr>
        <w:tab/>
      </w:r>
      <w:r>
        <w:rPr>
          <w:rFonts w:ascii="Arial" w:hAnsi="Arial" w:cs="Arial"/>
          <w:sz w:val="22"/>
          <w:szCs w:val="22"/>
        </w:rPr>
        <w:tab/>
        <w:t>Total Phosphorus</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TSI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Trophic State Index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TSS </w:t>
      </w:r>
      <w:r>
        <w:rPr>
          <w:rFonts w:ascii="Arial" w:hAnsi="Arial" w:cs="Arial"/>
          <w:snapToGrid w:val="0"/>
          <w:sz w:val="22"/>
          <w:szCs w:val="22"/>
        </w:rPr>
        <w:tab/>
      </w:r>
      <w:r>
        <w:rPr>
          <w:rFonts w:ascii="Arial" w:hAnsi="Arial" w:cs="Arial"/>
          <w:snapToGrid w:val="0"/>
          <w:sz w:val="22"/>
          <w:szCs w:val="22"/>
        </w:rPr>
        <w:tab/>
        <w:t>T</w:t>
      </w:r>
      <w:r w:rsidRPr="008B7C73">
        <w:rPr>
          <w:rFonts w:ascii="Arial" w:hAnsi="Arial" w:cs="Arial"/>
          <w:snapToGrid w:val="0"/>
          <w:sz w:val="22"/>
          <w:szCs w:val="22"/>
        </w:rPr>
        <w:t xml:space="preserve">otal </w:t>
      </w:r>
      <w:r>
        <w:rPr>
          <w:rFonts w:ascii="Arial" w:hAnsi="Arial" w:cs="Arial"/>
          <w:snapToGrid w:val="0"/>
          <w:sz w:val="22"/>
          <w:szCs w:val="22"/>
        </w:rPr>
        <w:t>S</w:t>
      </w:r>
      <w:r w:rsidRPr="008B7C73">
        <w:rPr>
          <w:rFonts w:ascii="Arial" w:hAnsi="Arial" w:cs="Arial"/>
          <w:snapToGrid w:val="0"/>
          <w:sz w:val="22"/>
          <w:szCs w:val="22"/>
        </w:rPr>
        <w:t xml:space="preserve">uspended </w:t>
      </w:r>
      <w:r>
        <w:rPr>
          <w:rFonts w:ascii="Arial" w:hAnsi="Arial" w:cs="Arial"/>
          <w:snapToGrid w:val="0"/>
          <w:sz w:val="22"/>
          <w:szCs w:val="22"/>
        </w:rPr>
        <w:t>S</w:t>
      </w:r>
      <w:r w:rsidRPr="008B7C73">
        <w:rPr>
          <w:rFonts w:ascii="Arial" w:hAnsi="Arial" w:cs="Arial"/>
          <w:snapToGrid w:val="0"/>
          <w:sz w:val="22"/>
          <w:szCs w:val="22"/>
        </w:rPr>
        <w:t xml:space="preserve">olids  </w:t>
      </w:r>
    </w:p>
    <w:p w:rsidR="007C2526" w:rsidRPr="008B7C73" w:rsidRDefault="007C2526" w:rsidP="007C2526">
      <w:pPr>
        <w:rPr>
          <w:rFonts w:ascii="Arial" w:hAnsi="Arial" w:cs="Arial"/>
          <w:sz w:val="22"/>
          <w:szCs w:val="22"/>
        </w:rPr>
      </w:pPr>
      <w:r w:rsidRPr="008B7C73">
        <w:rPr>
          <w:rFonts w:ascii="Arial" w:hAnsi="Arial" w:cs="Arial"/>
          <w:sz w:val="22"/>
          <w:szCs w:val="22"/>
        </w:rPr>
        <w:t xml:space="preserve">TV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Temporal Variability  </w:t>
      </w:r>
    </w:p>
    <w:p w:rsidR="00485094" w:rsidRPr="008B7C73" w:rsidRDefault="00485094" w:rsidP="00B370E1">
      <w:pPr>
        <w:rPr>
          <w:rFonts w:ascii="Arial" w:hAnsi="Arial" w:cs="Arial"/>
          <w:sz w:val="22"/>
          <w:szCs w:val="22"/>
        </w:rPr>
      </w:pPr>
      <w:r w:rsidRPr="008B7C73">
        <w:rPr>
          <w:rFonts w:ascii="Arial" w:hAnsi="Arial" w:cs="Arial"/>
          <w:sz w:val="22"/>
          <w:szCs w:val="22"/>
        </w:rPr>
        <w:t>U-238</w:t>
      </w:r>
      <w:r>
        <w:rPr>
          <w:rFonts w:ascii="Arial" w:hAnsi="Arial" w:cs="Arial"/>
          <w:sz w:val="22"/>
          <w:szCs w:val="22"/>
        </w:rPr>
        <w:tab/>
      </w:r>
      <w:r>
        <w:rPr>
          <w:rFonts w:ascii="Arial" w:hAnsi="Arial" w:cs="Arial"/>
          <w:sz w:val="22"/>
          <w:szCs w:val="22"/>
        </w:rPr>
        <w:tab/>
        <w:t>U</w:t>
      </w:r>
      <w:r w:rsidRPr="008B7C73">
        <w:rPr>
          <w:rFonts w:ascii="Arial" w:hAnsi="Arial" w:cs="Arial"/>
          <w:sz w:val="22"/>
          <w:szCs w:val="22"/>
        </w:rPr>
        <w:t xml:space="preserve">ranium-238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UF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University of Florida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UF-IFAS </w:t>
      </w:r>
      <w:r>
        <w:rPr>
          <w:rFonts w:ascii="Arial" w:hAnsi="Arial" w:cs="Arial"/>
          <w:sz w:val="22"/>
          <w:szCs w:val="22"/>
        </w:rPr>
        <w:tab/>
      </w:r>
      <w:r w:rsidRPr="008B7C73">
        <w:rPr>
          <w:rFonts w:ascii="Arial" w:hAnsi="Arial" w:cs="Arial"/>
          <w:sz w:val="22"/>
          <w:szCs w:val="22"/>
        </w:rPr>
        <w:t xml:space="preserve">University of Florida Institute of Food and Agricultural Sciences  </w:t>
      </w:r>
    </w:p>
    <w:p w:rsidR="00485094" w:rsidRPr="00504865" w:rsidRDefault="00485094" w:rsidP="00B370E1">
      <w:pPr>
        <w:rPr>
          <w:rFonts w:ascii="Arial" w:eastAsia="Arial Unicode MS" w:hAnsi="Arial" w:cs="Arial"/>
          <w:sz w:val="22"/>
          <w:szCs w:val="22"/>
        </w:rPr>
      </w:pPr>
      <w:r w:rsidRPr="00504865">
        <w:rPr>
          <w:rFonts w:ascii="Arial" w:hAnsi="Arial" w:cs="Arial"/>
          <w:sz w:val="22"/>
          <w:szCs w:val="22"/>
        </w:rPr>
        <w:t>UIC</w:t>
      </w:r>
      <w:r w:rsidRPr="00504865">
        <w:rPr>
          <w:rFonts w:ascii="Arial" w:hAnsi="Arial" w:cs="Arial"/>
          <w:sz w:val="22"/>
          <w:szCs w:val="22"/>
        </w:rPr>
        <w:tab/>
      </w:r>
      <w:r w:rsidRPr="00504865">
        <w:rPr>
          <w:rFonts w:ascii="Arial" w:hAnsi="Arial" w:cs="Arial"/>
          <w:sz w:val="22"/>
          <w:szCs w:val="22"/>
        </w:rPr>
        <w:tab/>
        <w:t>Underground Injection Control</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UMAM </w:t>
      </w:r>
      <w:r>
        <w:rPr>
          <w:rFonts w:ascii="Arial" w:hAnsi="Arial" w:cs="Arial"/>
          <w:snapToGrid w:val="0"/>
          <w:sz w:val="22"/>
          <w:szCs w:val="22"/>
        </w:rPr>
        <w:tab/>
      </w:r>
      <w:r w:rsidRPr="008B7C73">
        <w:rPr>
          <w:rFonts w:ascii="Arial" w:hAnsi="Arial" w:cs="Arial"/>
          <w:snapToGrid w:val="0"/>
          <w:sz w:val="22"/>
          <w:szCs w:val="22"/>
        </w:rPr>
        <w:t xml:space="preserve">Uniform Mitigation Assessment Method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U.S.C. </w:t>
      </w:r>
      <w:r>
        <w:rPr>
          <w:rFonts w:ascii="Arial" w:hAnsi="Arial" w:cs="Arial"/>
          <w:sz w:val="22"/>
          <w:szCs w:val="22"/>
        </w:rPr>
        <w:t xml:space="preserve"> </w:t>
      </w:r>
      <w:r>
        <w:rPr>
          <w:rFonts w:ascii="Arial" w:hAnsi="Arial" w:cs="Arial"/>
          <w:sz w:val="22"/>
          <w:szCs w:val="22"/>
        </w:rPr>
        <w:tab/>
        <w:t>U.S. Code</w:t>
      </w:r>
    </w:p>
    <w:p w:rsidR="00485094" w:rsidRPr="008B7C73" w:rsidRDefault="00485094" w:rsidP="00B370E1">
      <w:pPr>
        <w:rPr>
          <w:rFonts w:ascii="Arial" w:hAnsi="Arial" w:cs="Arial"/>
          <w:sz w:val="22"/>
          <w:szCs w:val="22"/>
        </w:rPr>
      </w:pPr>
      <w:r w:rsidRPr="008B7C73">
        <w:rPr>
          <w:rFonts w:ascii="Arial" w:hAnsi="Arial" w:cs="Arial"/>
          <w:snapToGrid w:val="0"/>
          <w:sz w:val="22"/>
          <w:szCs w:val="22"/>
        </w:rPr>
        <w:t xml:space="preserve">USGS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U.S. Geological Survey </w:t>
      </w:r>
    </w:p>
    <w:p w:rsidR="00485094" w:rsidRPr="008B7C73" w:rsidRDefault="00485094" w:rsidP="00B370E1">
      <w:pPr>
        <w:rPr>
          <w:rFonts w:ascii="Arial" w:hAnsi="Arial" w:cs="Arial"/>
          <w:sz w:val="22"/>
          <w:szCs w:val="22"/>
        </w:rPr>
      </w:pPr>
      <w:r w:rsidRPr="008B7C73">
        <w:rPr>
          <w:rFonts w:ascii="Arial" w:hAnsi="Arial" w:cs="Arial"/>
          <w:snapToGrid w:val="0"/>
          <w:sz w:val="22"/>
          <w:szCs w:val="22"/>
        </w:rPr>
        <w:t xml:space="preserve">VISA </w:t>
      </w:r>
      <w:r>
        <w:rPr>
          <w:rFonts w:ascii="Arial" w:hAnsi="Arial" w:cs="Arial"/>
          <w:snapToGrid w:val="0"/>
          <w:sz w:val="22"/>
          <w:szCs w:val="22"/>
        </w:rPr>
        <w:tab/>
      </w:r>
      <w:r>
        <w:rPr>
          <w:rFonts w:ascii="Arial" w:hAnsi="Arial" w:cs="Arial"/>
          <w:snapToGrid w:val="0"/>
          <w:sz w:val="22"/>
          <w:szCs w:val="22"/>
        </w:rPr>
        <w:tab/>
        <w:t>Very Intense Study Area</w:t>
      </w:r>
      <w:r w:rsidRPr="008B7C73">
        <w:rPr>
          <w:rFonts w:ascii="Arial" w:hAnsi="Arial" w:cs="Arial"/>
          <w:snapToGrid w:val="0"/>
          <w:sz w:val="22"/>
          <w:szCs w:val="22"/>
        </w:rPr>
        <w:t xml:space="preserve">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VOCs </w:t>
      </w:r>
      <w:r>
        <w:rPr>
          <w:rFonts w:ascii="Arial" w:hAnsi="Arial" w:cs="Arial"/>
          <w:sz w:val="22"/>
          <w:szCs w:val="22"/>
        </w:rPr>
        <w:tab/>
      </w:r>
      <w:r>
        <w:rPr>
          <w:rFonts w:ascii="Arial" w:hAnsi="Arial" w:cs="Arial"/>
          <w:sz w:val="22"/>
          <w:szCs w:val="22"/>
        </w:rPr>
        <w:tab/>
        <w:t>V</w:t>
      </w:r>
      <w:r w:rsidRPr="008B7C73">
        <w:rPr>
          <w:rFonts w:ascii="Arial" w:hAnsi="Arial" w:cs="Arial"/>
          <w:sz w:val="22"/>
          <w:szCs w:val="22"/>
        </w:rPr>
        <w:t xml:space="preserve">olatile </w:t>
      </w:r>
      <w:r>
        <w:rPr>
          <w:rFonts w:ascii="Arial" w:hAnsi="Arial" w:cs="Arial"/>
          <w:sz w:val="22"/>
          <w:szCs w:val="22"/>
        </w:rPr>
        <w:t>O</w:t>
      </w:r>
      <w:r w:rsidRPr="008B7C73">
        <w:rPr>
          <w:rFonts w:ascii="Arial" w:hAnsi="Arial" w:cs="Arial"/>
          <w:sz w:val="22"/>
          <w:szCs w:val="22"/>
        </w:rPr>
        <w:t xml:space="preserve">rganic </w:t>
      </w:r>
      <w:r>
        <w:rPr>
          <w:rFonts w:ascii="Arial" w:hAnsi="Arial" w:cs="Arial"/>
          <w:sz w:val="22"/>
          <w:szCs w:val="22"/>
        </w:rPr>
        <w:t>C</w:t>
      </w:r>
      <w:r w:rsidRPr="008B7C73">
        <w:rPr>
          <w:rFonts w:ascii="Arial" w:hAnsi="Arial" w:cs="Arial"/>
          <w:sz w:val="22"/>
          <w:szCs w:val="22"/>
        </w:rPr>
        <w:t xml:space="preserve">ompounds  </w:t>
      </w:r>
    </w:p>
    <w:p w:rsidR="00485094" w:rsidRPr="008B7C73" w:rsidRDefault="00485094" w:rsidP="00B370E1">
      <w:pPr>
        <w:rPr>
          <w:rFonts w:ascii="Arial" w:hAnsi="Arial" w:cs="Arial"/>
          <w:sz w:val="22"/>
          <w:szCs w:val="22"/>
        </w:rPr>
      </w:pPr>
      <w:r w:rsidRPr="008B7C73">
        <w:rPr>
          <w:rFonts w:ascii="Arial" w:hAnsi="Arial" w:cs="Arial"/>
          <w:sz w:val="22"/>
          <w:szCs w:val="22"/>
        </w:rPr>
        <w:t>WBID</w:t>
      </w:r>
      <w:r>
        <w:rPr>
          <w:rFonts w:ascii="Arial" w:hAnsi="Arial" w:cs="Arial"/>
          <w:sz w:val="22"/>
          <w:szCs w:val="22"/>
        </w:rPr>
        <w:tab/>
      </w:r>
      <w:r w:rsidRPr="008B7C73">
        <w:rPr>
          <w:rFonts w:ascii="Arial" w:hAnsi="Arial" w:cs="Arial"/>
          <w:sz w:val="22"/>
          <w:szCs w:val="22"/>
        </w:rPr>
        <w:t xml:space="preserve"> </w:t>
      </w:r>
      <w:r>
        <w:rPr>
          <w:rFonts w:ascii="Arial" w:hAnsi="Arial" w:cs="Arial"/>
          <w:sz w:val="22"/>
          <w:szCs w:val="22"/>
        </w:rPr>
        <w:tab/>
        <w:t>Waterbody I</w:t>
      </w:r>
      <w:r w:rsidRPr="008B7C73">
        <w:rPr>
          <w:rFonts w:ascii="Arial" w:hAnsi="Arial" w:cs="Arial"/>
          <w:sz w:val="22"/>
          <w:szCs w:val="22"/>
        </w:rPr>
        <w:t xml:space="preserve">dentification </w:t>
      </w:r>
      <w:r>
        <w:rPr>
          <w:rFonts w:ascii="Arial" w:hAnsi="Arial" w:cs="Arial"/>
          <w:sz w:val="22"/>
          <w:szCs w:val="22"/>
        </w:rPr>
        <w:t>N</w:t>
      </w:r>
      <w:r w:rsidRPr="008B7C73">
        <w:rPr>
          <w:rFonts w:ascii="Arial" w:hAnsi="Arial" w:cs="Arial"/>
          <w:sz w:val="22"/>
          <w:szCs w:val="22"/>
        </w:rPr>
        <w:t xml:space="preserve">umber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WHO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World Health Organization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WL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Water Level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WQBELs </w:t>
      </w:r>
      <w:r>
        <w:rPr>
          <w:rFonts w:ascii="Arial" w:hAnsi="Arial" w:cs="Arial"/>
          <w:snapToGrid w:val="0"/>
          <w:sz w:val="22"/>
          <w:szCs w:val="22"/>
        </w:rPr>
        <w:tab/>
        <w:t>W</w:t>
      </w:r>
      <w:r w:rsidRPr="008B7C73">
        <w:rPr>
          <w:rFonts w:ascii="Arial" w:hAnsi="Arial" w:cs="Arial"/>
          <w:snapToGrid w:val="0"/>
          <w:sz w:val="22"/>
          <w:szCs w:val="22"/>
        </w:rPr>
        <w:t xml:space="preserve">ater </w:t>
      </w:r>
      <w:r>
        <w:rPr>
          <w:rFonts w:ascii="Arial" w:hAnsi="Arial" w:cs="Arial"/>
          <w:snapToGrid w:val="0"/>
          <w:sz w:val="22"/>
          <w:szCs w:val="22"/>
        </w:rPr>
        <w:t>Q</w:t>
      </w:r>
      <w:r w:rsidRPr="008B7C73">
        <w:rPr>
          <w:rFonts w:ascii="Arial" w:hAnsi="Arial" w:cs="Arial"/>
          <w:snapToGrid w:val="0"/>
          <w:sz w:val="22"/>
          <w:szCs w:val="22"/>
        </w:rPr>
        <w:t>uality–</w:t>
      </w:r>
      <w:r>
        <w:rPr>
          <w:rFonts w:ascii="Arial" w:hAnsi="Arial" w:cs="Arial"/>
          <w:snapToGrid w:val="0"/>
          <w:sz w:val="22"/>
          <w:szCs w:val="22"/>
        </w:rPr>
        <w:t>B</w:t>
      </w:r>
      <w:r w:rsidRPr="008B7C73">
        <w:rPr>
          <w:rFonts w:ascii="Arial" w:hAnsi="Arial" w:cs="Arial"/>
          <w:snapToGrid w:val="0"/>
          <w:sz w:val="22"/>
          <w:szCs w:val="22"/>
        </w:rPr>
        <w:t xml:space="preserve">ased </w:t>
      </w:r>
      <w:r>
        <w:rPr>
          <w:rFonts w:ascii="Arial" w:hAnsi="Arial" w:cs="Arial"/>
          <w:snapToGrid w:val="0"/>
          <w:sz w:val="22"/>
          <w:szCs w:val="22"/>
        </w:rPr>
        <w:t>Effluent L</w:t>
      </w:r>
      <w:r w:rsidRPr="008B7C73">
        <w:rPr>
          <w:rFonts w:ascii="Arial" w:hAnsi="Arial" w:cs="Arial"/>
          <w:snapToGrid w:val="0"/>
          <w:sz w:val="22"/>
          <w:szCs w:val="22"/>
        </w:rPr>
        <w:t xml:space="preserve">imitations </w:t>
      </w:r>
    </w:p>
    <w:p w:rsidR="00485094" w:rsidRDefault="00485094" w:rsidP="00B370E1">
      <w:pPr>
        <w:rPr>
          <w:rFonts w:ascii="Arial" w:hAnsi="Arial" w:cs="Arial"/>
          <w:snapToGrid w:val="0"/>
          <w:sz w:val="22"/>
          <w:szCs w:val="22"/>
        </w:rPr>
      </w:pPr>
      <w:r w:rsidRPr="008B7C73">
        <w:rPr>
          <w:rFonts w:ascii="Arial" w:hAnsi="Arial" w:cs="Arial"/>
          <w:snapToGrid w:val="0"/>
          <w:sz w:val="22"/>
          <w:szCs w:val="22"/>
        </w:rPr>
        <w:t xml:space="preserve">WQI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Water Quality Inspection</w:t>
      </w:r>
    </w:p>
    <w:p w:rsidR="00485094" w:rsidRPr="008B7C73" w:rsidRDefault="00485094" w:rsidP="00B370E1">
      <w:pPr>
        <w:rPr>
          <w:rFonts w:ascii="Arial" w:hAnsi="Arial" w:cs="Arial"/>
          <w:sz w:val="22"/>
          <w:szCs w:val="22"/>
        </w:rPr>
      </w:pPr>
      <w:r w:rsidRPr="008B7C73">
        <w:rPr>
          <w:rFonts w:ascii="Arial" w:hAnsi="Arial" w:cs="Arial"/>
          <w:color w:val="333333"/>
          <w:sz w:val="22"/>
          <w:szCs w:val="22"/>
        </w:rPr>
        <w:t>WSRP</w:t>
      </w:r>
      <w:r w:rsidRPr="008B7C73">
        <w:rPr>
          <w:rFonts w:ascii="Arial" w:hAnsi="Arial" w:cs="Arial"/>
          <w:sz w:val="22"/>
          <w:szCs w:val="22"/>
        </w:rPr>
        <w:t xml:space="preserve"> </w:t>
      </w:r>
      <w:r>
        <w:rPr>
          <w:rFonts w:ascii="Arial" w:hAnsi="Arial" w:cs="Arial"/>
          <w:sz w:val="22"/>
          <w:szCs w:val="22"/>
        </w:rPr>
        <w:tab/>
      </w:r>
      <w:r w:rsidRPr="00881E17">
        <w:rPr>
          <w:rFonts w:ascii="Arial" w:hAnsi="Arial" w:cs="Arial"/>
          <w:sz w:val="22"/>
          <w:szCs w:val="22"/>
        </w:rPr>
        <w:t xml:space="preserve">Water Supply Restoration Program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WWTF </w:t>
      </w:r>
      <w:r>
        <w:rPr>
          <w:rFonts w:ascii="Arial" w:hAnsi="Arial" w:cs="Arial"/>
          <w:sz w:val="22"/>
          <w:szCs w:val="22"/>
        </w:rPr>
        <w:tab/>
        <w:t>Wastewater Treatment Facility</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XSI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Toxic Sampling Inspection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  </w:t>
      </w:r>
    </w:p>
    <w:p w:rsidR="00485094" w:rsidRDefault="00485094" w:rsidP="00EA3D58">
      <w:pPr>
        <w:pStyle w:val="Heading1"/>
        <w:sectPr w:rsidR="00485094" w:rsidSect="004637F9">
          <w:headerReference w:type="default" r:id="rId11"/>
          <w:pgSz w:w="12240" w:h="15840" w:code="1"/>
          <w:pgMar w:top="1440" w:right="1440" w:bottom="1440" w:left="1440" w:header="720" w:footer="720" w:gutter="0"/>
          <w:paperSrc w:first="261"/>
          <w:pgNumType w:fmt="lowerRoman"/>
          <w:cols w:space="720"/>
          <w:docGrid w:linePitch="360"/>
        </w:sectPr>
      </w:pPr>
    </w:p>
    <w:p w:rsidR="00FC6EE0" w:rsidRDefault="00FC6EE0" w:rsidP="00FC6EE0">
      <w:pPr>
        <w:pStyle w:val="Bodytextreduced"/>
      </w:pPr>
      <w:bookmarkStart w:id="8" w:name="_Toc271279923"/>
    </w:p>
    <w:p w:rsidR="00485094" w:rsidRPr="005351D1" w:rsidRDefault="00485094" w:rsidP="00EA3D58">
      <w:pPr>
        <w:pStyle w:val="Heading1"/>
      </w:pPr>
      <w:r w:rsidRPr="005351D1">
        <w:t>Executive Summary</w:t>
      </w:r>
      <w:bookmarkEnd w:id="2"/>
      <w:bookmarkEnd w:id="3"/>
      <w:bookmarkEnd w:id="4"/>
      <w:bookmarkEnd w:id="5"/>
      <w:bookmarkEnd w:id="6"/>
      <w:bookmarkEnd w:id="7"/>
      <w:bookmarkEnd w:id="8"/>
    </w:p>
    <w:p w:rsidR="00485094" w:rsidRDefault="00485094" w:rsidP="00EA3D58">
      <w:pPr>
        <w:pStyle w:val="Bodytext"/>
        <w:rPr>
          <w:b/>
          <w:snapToGrid w:val="0"/>
          <w:szCs w:val="22"/>
        </w:rPr>
      </w:pPr>
    </w:p>
    <w:p w:rsidR="00485094" w:rsidRPr="00173D87" w:rsidRDefault="00485094" w:rsidP="00227965">
      <w:pPr>
        <w:pStyle w:val="Bodytext"/>
        <w:rPr>
          <w:b/>
          <w:snapToGrid w:val="0"/>
          <w:sz w:val="28"/>
          <w:szCs w:val="28"/>
        </w:rPr>
      </w:pPr>
      <w:r w:rsidRPr="00173D87">
        <w:rPr>
          <w:b/>
          <w:snapToGrid w:val="0"/>
          <w:sz w:val="28"/>
          <w:szCs w:val="28"/>
        </w:rPr>
        <w:t>Purpose and Contents</w:t>
      </w:r>
    </w:p>
    <w:p w:rsidR="00485094" w:rsidRDefault="00485094" w:rsidP="00560F0C">
      <w:pPr>
        <w:pStyle w:val="Bodytext"/>
      </w:pPr>
      <w:r>
        <w:t>This report, which is called the state’s Integrated Report because it addresses the reporting requirements of Sections 305(b) and 303(d) of the federal Clean Water Act (CWA), provides an overview of Florida’s surface water and ground water quality.  Section 305(b) requires each state to report to the U.S. Environmental Protection Agency (EPA) on the condition of its surface waters, and Section 303(d) requires each state to report</w:t>
      </w:r>
      <w:r w:rsidRPr="0074147C">
        <w:t xml:space="preserve"> on </w:t>
      </w:r>
      <w:r>
        <w:t xml:space="preserve">its impaired waterbodies (those not meeting water quality standards).  Using the information from all the states, the EPA provides Congress with a national inventory of water quality conditions and also develops priorities for future federal actions to protect and restore aquatic resources.  </w:t>
      </w:r>
    </w:p>
    <w:p w:rsidR="00485094" w:rsidRDefault="00485094" w:rsidP="00560F0C">
      <w:pPr>
        <w:pStyle w:val="Bodytext"/>
      </w:pPr>
    </w:p>
    <w:p w:rsidR="00485094" w:rsidRDefault="00485094" w:rsidP="00560F0C">
      <w:pPr>
        <w:pStyle w:val="Bodytext"/>
      </w:pPr>
      <w:r>
        <w:t xml:space="preserve">In preparing this report, the Florida Department of Environmental Protection (FDEP) assessed a wide variety of available water quality data, including data from FDEP’s Ambient Monitoring Networks (the “Status” and “Trend” monitoring networks), Total Maximum Daily Load (TMDL) Program data that are stored in the Florida Storage and Retrieval (STORET) </w:t>
      </w:r>
      <w:r w:rsidR="00EE4CFE">
        <w:t xml:space="preserve">database </w:t>
      </w:r>
      <w:r>
        <w:t xml:space="preserve">and used to identify impaired waters, and Ground Water Program data.   </w:t>
      </w:r>
    </w:p>
    <w:p w:rsidR="00485094" w:rsidRDefault="00485094" w:rsidP="00512DF2">
      <w:pPr>
        <w:pStyle w:val="Bodytextreduced"/>
      </w:pPr>
    </w:p>
    <w:p w:rsidR="00485094" w:rsidRPr="00173D87" w:rsidRDefault="00485094" w:rsidP="00227965">
      <w:pPr>
        <w:pStyle w:val="Bodytext"/>
        <w:rPr>
          <w:b/>
          <w:snapToGrid w:val="0"/>
          <w:sz w:val="28"/>
          <w:szCs w:val="28"/>
        </w:rPr>
      </w:pPr>
      <w:bookmarkStart w:id="9" w:name="_Toc452181105"/>
      <w:bookmarkStart w:id="10" w:name="_Toc490373209"/>
      <w:bookmarkStart w:id="11" w:name="_Toc67394377"/>
      <w:bookmarkStart w:id="12" w:name="_Toc68672494"/>
      <w:bookmarkStart w:id="13" w:name="_Toc74537761"/>
      <w:bookmarkStart w:id="14" w:name="_Toc74537914"/>
      <w:bookmarkStart w:id="15" w:name="_Toc78886286"/>
      <w:bookmarkStart w:id="16" w:name="_Toc130807333"/>
      <w:r w:rsidRPr="00173D87">
        <w:rPr>
          <w:b/>
          <w:snapToGrid w:val="0"/>
          <w:sz w:val="28"/>
          <w:szCs w:val="28"/>
        </w:rPr>
        <w:t>Statewide Status and Trend Monitoring Program for Surface and Ground Water</w:t>
      </w:r>
    </w:p>
    <w:p w:rsidR="00485094" w:rsidRDefault="00485094" w:rsidP="00512DF2">
      <w:pPr>
        <w:pStyle w:val="Bodytextreduced"/>
      </w:pPr>
    </w:p>
    <w:p w:rsidR="00485094" w:rsidRDefault="00485094" w:rsidP="00EA3D58">
      <w:pPr>
        <w:spacing w:after="120"/>
        <w:rPr>
          <w:rFonts w:ascii="Arial" w:hAnsi="Arial" w:cs="Arial"/>
          <w:sz w:val="22"/>
          <w:szCs w:val="22"/>
        </w:rPr>
      </w:pPr>
      <w:r>
        <w:rPr>
          <w:rFonts w:ascii="Arial" w:hAnsi="Arial" w:cs="Arial"/>
          <w:sz w:val="22"/>
          <w:szCs w:val="22"/>
        </w:rPr>
        <w:t>The Status Monitoring Network uses an EPA-designed probabilistic monitoring network to estimate the water quality of 100% of the sampleable fresh waters in the state with known confidence.  This report presents both a statewide summary (</w:t>
      </w:r>
      <w:hyperlink w:anchor="_Chapter_6:_" w:history="1">
        <w:r w:rsidRPr="00CA461C">
          <w:rPr>
            <w:rStyle w:val="Hyperlink"/>
            <w:rFonts w:ascii="Arial" w:hAnsi="Arial" w:cs="Arial"/>
            <w:sz w:val="22"/>
            <w:szCs w:val="22"/>
          </w:rPr>
          <w:t>Chapter 6</w:t>
        </w:r>
      </w:hyperlink>
      <w:r>
        <w:rPr>
          <w:rFonts w:ascii="Arial" w:hAnsi="Arial" w:cs="Arial"/>
          <w:sz w:val="22"/>
          <w:szCs w:val="22"/>
        </w:rPr>
        <w:t>) and basin-level summaries (</w:t>
      </w:r>
      <w:r w:rsidRPr="004941C9">
        <w:rPr>
          <w:rFonts w:ascii="Arial" w:hAnsi="Arial" w:cs="Arial"/>
          <w:sz w:val="22"/>
          <w:szCs w:val="22"/>
        </w:rPr>
        <w:t xml:space="preserve">see </w:t>
      </w:r>
      <w:r w:rsidRPr="007844E8">
        <w:rPr>
          <w:rFonts w:ascii="Arial" w:hAnsi="Arial" w:cs="Arial"/>
          <w:b/>
          <w:sz w:val="22"/>
          <w:szCs w:val="22"/>
        </w:rPr>
        <w:t>Appendices A</w:t>
      </w:r>
      <w:r>
        <w:rPr>
          <w:rFonts w:ascii="Arial" w:hAnsi="Arial" w:cs="Arial"/>
          <w:sz w:val="22"/>
          <w:szCs w:val="22"/>
        </w:rPr>
        <w:t xml:space="preserve"> and </w:t>
      </w:r>
      <w:r w:rsidRPr="007844E8">
        <w:rPr>
          <w:rFonts w:ascii="Arial" w:hAnsi="Arial" w:cs="Arial"/>
          <w:b/>
          <w:sz w:val="22"/>
          <w:szCs w:val="22"/>
        </w:rPr>
        <w:t>C</w:t>
      </w:r>
      <w:r>
        <w:rPr>
          <w:rFonts w:ascii="Arial" w:hAnsi="Arial" w:cs="Arial"/>
          <w:sz w:val="22"/>
          <w:szCs w:val="22"/>
        </w:rPr>
        <w:t>) of a 5-year cycle (2004–08)</w:t>
      </w:r>
      <w:r w:rsidRPr="00B06A8B">
        <w:rPr>
          <w:rFonts w:ascii="Arial" w:hAnsi="Arial" w:cs="Arial"/>
          <w:sz w:val="22"/>
          <w:szCs w:val="22"/>
        </w:rPr>
        <w:t>.</w:t>
      </w:r>
      <w:r>
        <w:rPr>
          <w:rFonts w:ascii="Arial" w:hAnsi="Arial" w:cs="Arial"/>
          <w:sz w:val="22"/>
          <w:szCs w:val="22"/>
        </w:rPr>
        <w:t xml:space="preserve">  The state’s surface and ground water resources are predominantly in good condition based on the indicators assessed.  Streams are the sole water resource to have multiple indicators—</w:t>
      </w:r>
      <w:r w:rsidRPr="00D8156C">
        <w:rPr>
          <w:rFonts w:ascii="Arial" w:hAnsi="Arial" w:cs="Arial"/>
          <w:sz w:val="22"/>
          <w:szCs w:val="22"/>
        </w:rPr>
        <w:t xml:space="preserve"> </w:t>
      </w:r>
      <w:r>
        <w:rPr>
          <w:rFonts w:ascii="Arial" w:hAnsi="Arial" w:cs="Arial"/>
          <w:sz w:val="22"/>
          <w:szCs w:val="22"/>
        </w:rPr>
        <w:t xml:space="preserve">chlorophyll </w:t>
      </w:r>
      <w:r w:rsidRPr="007A3BEC">
        <w:rPr>
          <w:rFonts w:ascii="Arial" w:hAnsi="Arial" w:cs="Arial"/>
          <w:i/>
          <w:sz w:val="22"/>
          <w:szCs w:val="22"/>
        </w:rPr>
        <w:t>a</w:t>
      </w:r>
      <w:r>
        <w:rPr>
          <w:rFonts w:ascii="Arial" w:hAnsi="Arial" w:cs="Arial"/>
          <w:sz w:val="22"/>
          <w:szCs w:val="22"/>
        </w:rPr>
        <w:t xml:space="preserve">, fecal coliform, and dissolved oxygen (DO)—fall below 80% attainment, but many state streams naturally do not meet the applicable DO and fecal coliform criteria.  Regional results provide a more focused estimate of the water quality condition in watersheds, and regional attainment differences may result from different land uses, alterations of the resource, geology, or other natural conditions.  </w:t>
      </w:r>
    </w:p>
    <w:p w:rsidR="00485094" w:rsidRDefault="00485094" w:rsidP="00EA3D58">
      <w:pPr>
        <w:spacing w:after="120"/>
        <w:rPr>
          <w:rFonts w:ascii="Arial" w:hAnsi="Arial" w:cs="Arial"/>
          <w:sz w:val="22"/>
          <w:szCs w:val="22"/>
        </w:rPr>
      </w:pPr>
      <w:r>
        <w:rPr>
          <w:rFonts w:ascii="Arial" w:hAnsi="Arial" w:cs="Arial"/>
          <w:sz w:val="22"/>
          <w:szCs w:val="22"/>
        </w:rPr>
        <w:t xml:space="preserve">An analysis of data from the Trend Monitoring Network, which consists of 76 surface water stations (e.g., rivers and streams) and 47 ground water wells located throughout Florida, did not identify any  general surface water trends (when present, they were indicator specific) but identified some ground water trends that imply changes in water sources, water levels, or matrix interactions.  The ground water wells show positive trends for saltwater encroachment indicators (calcium, sodium, chloride, and potassium) and for rock-matrix indicators (calcium, magnesium, potassium, and alkalinity) with an associated decrease in pH.  These ground water results corroborate those presented in FDEP’s </w:t>
      </w:r>
      <w:r w:rsidRPr="00D8156C">
        <w:rPr>
          <w:rFonts w:ascii="Arial" w:hAnsi="Arial" w:cs="Arial"/>
          <w:i/>
          <w:sz w:val="22"/>
          <w:szCs w:val="22"/>
        </w:rPr>
        <w:t>Florida Geological Survey Special Bulletin No. 69</w:t>
      </w:r>
      <w:r>
        <w:rPr>
          <w:rFonts w:ascii="Arial" w:hAnsi="Arial" w:cs="Arial"/>
          <w:sz w:val="22"/>
          <w:szCs w:val="22"/>
        </w:rPr>
        <w:t xml:space="preserve"> (Copeland, 2009) and are considered the primary concern for the state’s ground waters.</w:t>
      </w:r>
    </w:p>
    <w:bookmarkEnd w:id="9"/>
    <w:bookmarkEnd w:id="10"/>
    <w:bookmarkEnd w:id="11"/>
    <w:bookmarkEnd w:id="12"/>
    <w:bookmarkEnd w:id="13"/>
    <w:bookmarkEnd w:id="14"/>
    <w:bookmarkEnd w:id="15"/>
    <w:bookmarkEnd w:id="16"/>
    <w:p w:rsidR="00485094" w:rsidRDefault="00485094" w:rsidP="00512DF2">
      <w:pPr>
        <w:pStyle w:val="Bodytextreduced"/>
      </w:pPr>
    </w:p>
    <w:p w:rsidR="00485094" w:rsidRPr="00173D87" w:rsidRDefault="00485094" w:rsidP="00227965">
      <w:pPr>
        <w:rPr>
          <w:snapToGrid w:val="0"/>
          <w:sz w:val="28"/>
          <w:szCs w:val="28"/>
        </w:rPr>
      </w:pPr>
      <w:r w:rsidRPr="00173D87">
        <w:rPr>
          <w:rFonts w:ascii="Arial" w:hAnsi="Arial"/>
          <w:b/>
          <w:snapToGrid w:val="0"/>
          <w:sz w:val="28"/>
          <w:szCs w:val="28"/>
        </w:rPr>
        <w:t xml:space="preserve">Summary of </w:t>
      </w:r>
      <w:r>
        <w:rPr>
          <w:rFonts w:ascii="Arial" w:hAnsi="Arial"/>
          <w:b/>
          <w:snapToGrid w:val="0"/>
          <w:sz w:val="28"/>
          <w:szCs w:val="28"/>
        </w:rPr>
        <w:t>Water Quality Standards Attainment</w:t>
      </w:r>
      <w:r w:rsidRPr="00173D87">
        <w:rPr>
          <w:rFonts w:ascii="Arial" w:hAnsi="Arial"/>
          <w:b/>
          <w:snapToGrid w:val="0"/>
          <w:sz w:val="28"/>
          <w:szCs w:val="28"/>
        </w:rPr>
        <w:t xml:space="preserve"> for </w:t>
      </w:r>
      <w:r>
        <w:rPr>
          <w:rFonts w:ascii="Arial" w:hAnsi="Arial"/>
          <w:b/>
          <w:snapToGrid w:val="0"/>
          <w:sz w:val="28"/>
          <w:szCs w:val="28"/>
        </w:rPr>
        <w:t xml:space="preserve">Assessed </w:t>
      </w:r>
      <w:r w:rsidRPr="00173D87">
        <w:rPr>
          <w:rFonts w:ascii="Arial" w:hAnsi="Arial"/>
          <w:b/>
          <w:snapToGrid w:val="0"/>
          <w:sz w:val="28"/>
          <w:szCs w:val="28"/>
        </w:rPr>
        <w:t>Rivers/Streams, Lakes, Estuaries, and Coastal Waters</w:t>
      </w:r>
    </w:p>
    <w:p w:rsidR="00485094" w:rsidRDefault="00485094" w:rsidP="00512DF2">
      <w:pPr>
        <w:pStyle w:val="Bodytextreduced"/>
      </w:pPr>
    </w:p>
    <w:p w:rsidR="00485094" w:rsidRDefault="00485094" w:rsidP="00194011">
      <w:pPr>
        <w:pStyle w:val="Bodytext"/>
        <w:rPr>
          <w:snapToGrid w:val="0"/>
        </w:rPr>
      </w:pPr>
      <w:r>
        <w:rPr>
          <w:snapToGrid w:val="0"/>
        </w:rPr>
        <w:t xml:space="preserve">For the determination of use support, FDEP assessed 23,922 miles of rivers and streams, 1,471,139 acres of lakes, 2,661 square miles of estuaries, and 6,699 square miles of coastal waters using the methodology in the Impaired Surface Waters Rule (Chapter 62-303, Florida </w:t>
      </w:r>
      <w:r>
        <w:rPr>
          <w:snapToGrid w:val="0"/>
        </w:rPr>
        <w:lastRenderedPageBreak/>
        <w:t>Administrative Code [F.A.C.]) for the identification of impaired waters.  The table below lists the assessment results for the different waterbody types (</w:t>
      </w:r>
      <w:r w:rsidRPr="00B04102">
        <w:rPr>
          <w:snapToGrid w:val="0"/>
        </w:rPr>
        <w:t xml:space="preserve">rivers/streams, lakes, estuaries, and coastal </w:t>
      </w:r>
      <w:r>
        <w:rPr>
          <w:snapToGrid w:val="0"/>
        </w:rPr>
        <w:t>waters).</w:t>
      </w:r>
    </w:p>
    <w:p w:rsidR="00485094" w:rsidRDefault="00485094" w:rsidP="00194011">
      <w:pPr>
        <w:pStyle w:val="Bodytext"/>
        <w:rPr>
          <w:snapToGrid w:val="0"/>
        </w:rPr>
      </w:pPr>
    </w:p>
    <w:p w:rsidR="00485094" w:rsidRPr="00964CBD" w:rsidRDefault="00485094" w:rsidP="00964CBD">
      <w:pPr>
        <w:jc w:val="center"/>
        <w:rPr>
          <w:rFonts w:ascii="Arial" w:hAnsi="Arial" w:cs="Arial"/>
          <w:b/>
          <w:i/>
          <w:sz w:val="20"/>
          <w:szCs w:val="20"/>
        </w:rPr>
      </w:pPr>
      <w:r w:rsidRPr="00964CBD">
        <w:rPr>
          <w:rFonts w:ascii="Arial" w:hAnsi="Arial" w:cs="Arial"/>
          <w:b/>
          <w:i/>
          <w:sz w:val="20"/>
          <w:szCs w:val="20"/>
        </w:rPr>
        <w:t>Size of Surface Waters Assigned to Each EPA Integrated Report Category</w:t>
      </w:r>
    </w:p>
    <w:p w:rsidR="00485094" w:rsidRDefault="005C7479" w:rsidP="003976C8">
      <w:pPr>
        <w:pStyle w:val="TabledescriptionBF"/>
      </w:pPr>
      <w:r>
        <w:t xml:space="preserve">This is a 10-column table.  </w:t>
      </w:r>
      <w:r w:rsidR="00485094">
        <w:t>Column 1 lists the waterbody type, Columns 2 through 6 list the number of each waterbody type in Categories 2 through 5, respectively, Column 7 lists the number with no data, Column 8 lists the number with insufficient data, Column 9 lists the number of total waters assessed, and Column 10 lists the total number in the state.</w:t>
      </w:r>
    </w:p>
    <w:p w:rsidR="00485094" w:rsidRDefault="00485094" w:rsidP="003976C8">
      <w:pPr>
        <w:pStyle w:val="Bodytext"/>
        <w:rPr>
          <w:sz w:val="16"/>
          <w:szCs w:val="16"/>
        </w:rPr>
      </w:pPr>
    </w:p>
    <w:p w:rsidR="00485094" w:rsidRDefault="00485094" w:rsidP="003976C8">
      <w:pPr>
        <w:pStyle w:val="Bodytext"/>
        <w:rPr>
          <w:sz w:val="16"/>
          <w:szCs w:val="16"/>
        </w:rPr>
      </w:pPr>
      <w:r w:rsidRPr="00945371">
        <w:rPr>
          <w:b/>
          <w:sz w:val="16"/>
          <w:szCs w:val="16"/>
        </w:rPr>
        <w:t>Note:</w:t>
      </w:r>
      <w:r>
        <w:rPr>
          <w:sz w:val="16"/>
          <w:szCs w:val="16"/>
        </w:rPr>
        <w:t xml:space="preserve">  There are no waters in EPA Category 1 (attaining all designated uses) because FDEP does not sample for all criteria.  Category 2 comprises waters attaining all the criteria that were sampled for.</w:t>
      </w:r>
    </w:p>
    <w:p w:rsidR="00485094" w:rsidRDefault="00485094" w:rsidP="003976C8">
      <w:pPr>
        <w:pStyle w:val="Bodytext"/>
        <w:rPr>
          <w:sz w:val="16"/>
          <w:szCs w:val="16"/>
        </w:rPr>
      </w:pPr>
    </w:p>
    <w:p w:rsidR="00485094" w:rsidRPr="006B65A3" w:rsidRDefault="00485094" w:rsidP="003976C8">
      <w:pPr>
        <w:pStyle w:val="Bodytext"/>
        <w:rPr>
          <w:sz w:val="16"/>
          <w:szCs w:val="16"/>
        </w:rPr>
      </w:pPr>
      <w:r>
        <w:rPr>
          <w:b/>
          <w:sz w:val="16"/>
          <w:szCs w:val="16"/>
        </w:rPr>
        <w:t xml:space="preserve">* </w:t>
      </w:r>
      <w:r w:rsidRPr="006B65A3">
        <w:rPr>
          <w:sz w:val="16"/>
          <w:szCs w:val="16"/>
        </w:rPr>
        <w:t>The EPA’s Integrated Report categories are as follows:</w:t>
      </w:r>
    </w:p>
    <w:p w:rsidR="00485094" w:rsidRPr="006B65A3" w:rsidRDefault="00485094" w:rsidP="003976C8">
      <w:pPr>
        <w:pStyle w:val="Bodytext"/>
        <w:ind w:left="900" w:hanging="360"/>
        <w:rPr>
          <w:sz w:val="16"/>
          <w:szCs w:val="16"/>
        </w:rPr>
      </w:pPr>
      <w:r w:rsidRPr="006B65A3">
        <w:rPr>
          <w:sz w:val="16"/>
          <w:szCs w:val="16"/>
        </w:rPr>
        <w:t>1—Attains all designated uses;</w:t>
      </w:r>
    </w:p>
    <w:p w:rsidR="00485094" w:rsidRPr="006B65A3" w:rsidRDefault="00485094" w:rsidP="003976C8">
      <w:pPr>
        <w:pStyle w:val="Bodytext"/>
        <w:ind w:left="900" w:hanging="360"/>
        <w:rPr>
          <w:sz w:val="16"/>
          <w:szCs w:val="16"/>
        </w:rPr>
      </w:pPr>
      <w:r w:rsidRPr="006B65A3">
        <w:rPr>
          <w:sz w:val="16"/>
          <w:szCs w:val="16"/>
        </w:rPr>
        <w:t>2—Attains some designated uses;</w:t>
      </w:r>
    </w:p>
    <w:p w:rsidR="00485094" w:rsidRPr="006B65A3" w:rsidRDefault="00485094" w:rsidP="003976C8">
      <w:pPr>
        <w:pStyle w:val="Bodytext"/>
        <w:ind w:left="900" w:hanging="360"/>
        <w:rPr>
          <w:sz w:val="16"/>
          <w:szCs w:val="16"/>
        </w:rPr>
      </w:pPr>
      <w:r w:rsidRPr="006B65A3">
        <w:rPr>
          <w:sz w:val="16"/>
          <w:szCs w:val="16"/>
        </w:rPr>
        <w:t>3a—No data and information are available to determine if any designated use is attained;</w:t>
      </w:r>
    </w:p>
    <w:p w:rsidR="00485094" w:rsidRPr="006B65A3" w:rsidRDefault="00485094" w:rsidP="003976C8">
      <w:pPr>
        <w:pStyle w:val="Bodytext"/>
        <w:ind w:left="900" w:hanging="360"/>
        <w:rPr>
          <w:sz w:val="16"/>
          <w:szCs w:val="16"/>
        </w:rPr>
      </w:pPr>
      <w:r w:rsidRPr="006B65A3">
        <w:rPr>
          <w:sz w:val="16"/>
          <w:szCs w:val="16"/>
        </w:rPr>
        <w:t>3b—Some data and information are available, but they are insufficient for determining if any designated use is attained;</w:t>
      </w:r>
    </w:p>
    <w:p w:rsidR="00485094" w:rsidRPr="006B65A3" w:rsidRDefault="00485094" w:rsidP="003976C8">
      <w:pPr>
        <w:pStyle w:val="Bodytext"/>
        <w:ind w:left="900" w:hanging="360"/>
        <w:rPr>
          <w:sz w:val="16"/>
          <w:szCs w:val="16"/>
        </w:rPr>
      </w:pPr>
      <w:r w:rsidRPr="006B65A3">
        <w:rPr>
          <w:sz w:val="16"/>
          <w:szCs w:val="16"/>
        </w:rPr>
        <w:t>3c—Meets Planning List criteria and is potentially impaired for one or more designated uses;</w:t>
      </w:r>
    </w:p>
    <w:p w:rsidR="00485094" w:rsidRPr="006B65A3" w:rsidRDefault="00485094" w:rsidP="003976C8">
      <w:pPr>
        <w:pStyle w:val="Bodytext"/>
        <w:ind w:left="900" w:hanging="360"/>
        <w:rPr>
          <w:sz w:val="16"/>
          <w:szCs w:val="16"/>
        </w:rPr>
      </w:pPr>
      <w:r w:rsidRPr="006B65A3">
        <w:rPr>
          <w:sz w:val="16"/>
          <w:szCs w:val="16"/>
        </w:rPr>
        <w:t>3d—Meets Verified List criteria and is potentially impaired for one or more designated uses;</w:t>
      </w:r>
    </w:p>
    <w:p w:rsidR="00485094" w:rsidRPr="006B65A3" w:rsidRDefault="00485094" w:rsidP="003976C8">
      <w:pPr>
        <w:pStyle w:val="Bodytext"/>
        <w:ind w:left="900" w:hanging="360"/>
        <w:rPr>
          <w:sz w:val="16"/>
          <w:szCs w:val="16"/>
        </w:rPr>
      </w:pPr>
      <w:r w:rsidRPr="006B65A3">
        <w:rPr>
          <w:sz w:val="16"/>
          <w:szCs w:val="16"/>
        </w:rPr>
        <w:t>4a—Impaired for one or more designated uses and the TMDL is complete;</w:t>
      </w:r>
    </w:p>
    <w:p w:rsidR="00485094" w:rsidRPr="006B65A3" w:rsidRDefault="00485094" w:rsidP="003976C8">
      <w:pPr>
        <w:pStyle w:val="Bodytext"/>
        <w:ind w:left="900" w:hanging="360"/>
        <w:rPr>
          <w:sz w:val="16"/>
          <w:szCs w:val="16"/>
        </w:rPr>
      </w:pPr>
      <w:r w:rsidRPr="006B65A3">
        <w:rPr>
          <w:sz w:val="16"/>
          <w:szCs w:val="16"/>
        </w:rPr>
        <w:t xml:space="preserve">4b—Impaired for one or more designated uses, but no TMDL is required because an existing or proposed pollutant control mechanism provides reasonable assurance that the water will attain standards in the future; </w:t>
      </w:r>
    </w:p>
    <w:p w:rsidR="00485094" w:rsidRPr="006B65A3" w:rsidRDefault="00485094" w:rsidP="003976C8">
      <w:pPr>
        <w:pStyle w:val="Bodytext"/>
        <w:ind w:left="900" w:hanging="360"/>
        <w:rPr>
          <w:sz w:val="16"/>
          <w:szCs w:val="16"/>
        </w:rPr>
      </w:pPr>
      <w:r w:rsidRPr="006B65A3">
        <w:rPr>
          <w:sz w:val="16"/>
          <w:szCs w:val="16"/>
        </w:rPr>
        <w:t xml:space="preserve">4c—Impaired for one or more designated uses but no TMDL is required because the impairment is not caused by a pollutant; </w:t>
      </w:r>
    </w:p>
    <w:p w:rsidR="00485094" w:rsidRDefault="00485094" w:rsidP="003976C8">
      <w:pPr>
        <w:pStyle w:val="Bodytext"/>
        <w:ind w:left="900" w:hanging="360"/>
        <w:rPr>
          <w:sz w:val="16"/>
          <w:szCs w:val="16"/>
        </w:rPr>
      </w:pPr>
      <w:r>
        <w:rPr>
          <w:sz w:val="16"/>
          <w:szCs w:val="16"/>
        </w:rPr>
        <w:t>4d</w:t>
      </w:r>
      <w:r w:rsidRPr="006B65A3">
        <w:rPr>
          <w:sz w:val="16"/>
          <w:szCs w:val="16"/>
        </w:rPr>
        <w:t>—</w:t>
      </w:r>
      <w:r w:rsidRPr="007001D2">
        <w:rPr>
          <w:sz w:val="16"/>
          <w:szCs w:val="16"/>
        </w:rPr>
        <w:t>No causative pollutant has been identified</w:t>
      </w:r>
      <w:r>
        <w:rPr>
          <w:sz w:val="16"/>
          <w:szCs w:val="16"/>
        </w:rPr>
        <w:t>;</w:t>
      </w:r>
    </w:p>
    <w:p w:rsidR="00485094" w:rsidRDefault="00485094" w:rsidP="003976C8">
      <w:pPr>
        <w:pStyle w:val="Bodytext"/>
        <w:ind w:left="900" w:hanging="360"/>
        <w:rPr>
          <w:sz w:val="16"/>
          <w:szCs w:val="16"/>
        </w:rPr>
      </w:pPr>
      <w:r>
        <w:rPr>
          <w:sz w:val="16"/>
          <w:szCs w:val="16"/>
        </w:rPr>
        <w:t>4e</w:t>
      </w:r>
      <w:r w:rsidRPr="006B65A3">
        <w:rPr>
          <w:sz w:val="16"/>
          <w:szCs w:val="16"/>
        </w:rPr>
        <w:t>—</w:t>
      </w:r>
      <w:r w:rsidRPr="007001D2">
        <w:rPr>
          <w:sz w:val="16"/>
          <w:szCs w:val="16"/>
        </w:rPr>
        <w:t>Impaired, but recently completed or ongoing restoration activities should restore the designated uses of the waterbody</w:t>
      </w:r>
      <w:r>
        <w:rPr>
          <w:sz w:val="16"/>
          <w:szCs w:val="16"/>
        </w:rPr>
        <w:t>; and</w:t>
      </w:r>
    </w:p>
    <w:p w:rsidR="00485094" w:rsidRPr="003A4461" w:rsidRDefault="00485094" w:rsidP="003976C8">
      <w:pPr>
        <w:pStyle w:val="Bodytext"/>
        <w:ind w:left="900" w:hanging="360"/>
        <w:rPr>
          <w:rFonts w:cs="Arial"/>
          <w:szCs w:val="22"/>
        </w:rPr>
      </w:pPr>
      <w:r w:rsidRPr="006B65A3">
        <w:rPr>
          <w:sz w:val="16"/>
          <w:szCs w:val="16"/>
        </w:rPr>
        <w:t>5—Water quality standards are not attained and a TMDL is required.</w:t>
      </w:r>
    </w:p>
    <w:tbl>
      <w:tblPr>
        <w:tblW w:w="11290" w:type="dxa"/>
        <w:jc w:val="center"/>
        <w:tblInd w:w="2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1342"/>
        <w:gridCol w:w="1050"/>
        <w:gridCol w:w="1170"/>
        <w:gridCol w:w="1208"/>
        <w:gridCol w:w="1170"/>
        <w:gridCol w:w="1080"/>
        <w:gridCol w:w="990"/>
        <w:gridCol w:w="1170"/>
        <w:gridCol w:w="1024"/>
        <w:gridCol w:w="1086"/>
      </w:tblGrid>
      <w:tr w:rsidR="00485094" w:rsidRPr="00B501CB" w:rsidTr="007352DD">
        <w:trPr>
          <w:trHeight w:val="247"/>
          <w:jc w:val="center"/>
        </w:trPr>
        <w:tc>
          <w:tcPr>
            <w:tcW w:w="1342" w:type="dxa"/>
            <w:tcBorders>
              <w:bottom w:val="double" w:sz="4" w:space="0" w:color="auto"/>
            </w:tcBorders>
            <w:shd w:val="clear" w:color="auto" w:fill="BDFFFF"/>
            <w:vAlign w:val="bottom"/>
          </w:tcPr>
          <w:p w:rsidR="00485094" w:rsidRDefault="00485094" w:rsidP="00D845BC">
            <w:pPr>
              <w:pStyle w:val="TableText"/>
              <w:jc w:val="center"/>
              <w:rPr>
                <w:b/>
                <w:i/>
                <w:sz w:val="16"/>
                <w:szCs w:val="16"/>
              </w:rPr>
            </w:pPr>
            <w:r w:rsidRPr="00B501CB">
              <w:rPr>
                <w:b/>
                <w:i/>
                <w:sz w:val="16"/>
                <w:szCs w:val="16"/>
              </w:rPr>
              <w:t xml:space="preserve">Waterbody </w:t>
            </w:r>
          </w:p>
          <w:p w:rsidR="00485094" w:rsidRPr="00B501CB" w:rsidRDefault="00485094" w:rsidP="00D845BC">
            <w:pPr>
              <w:pStyle w:val="TableText"/>
              <w:jc w:val="center"/>
              <w:rPr>
                <w:b/>
                <w:i/>
                <w:sz w:val="16"/>
                <w:szCs w:val="16"/>
              </w:rPr>
            </w:pPr>
            <w:r w:rsidRPr="00B501CB">
              <w:rPr>
                <w:b/>
                <w:i/>
                <w:sz w:val="16"/>
                <w:szCs w:val="16"/>
              </w:rPr>
              <w:t>Type</w:t>
            </w:r>
          </w:p>
        </w:tc>
        <w:tc>
          <w:tcPr>
            <w:tcW w:w="1050" w:type="dxa"/>
            <w:tcBorders>
              <w:bottom w:val="double" w:sz="4" w:space="0" w:color="auto"/>
            </w:tcBorders>
            <w:shd w:val="clear" w:color="auto" w:fill="BDFFFF"/>
            <w:vAlign w:val="bottom"/>
          </w:tcPr>
          <w:p w:rsidR="00485094" w:rsidRPr="00B501CB" w:rsidRDefault="00485094" w:rsidP="00D845BC">
            <w:pPr>
              <w:pStyle w:val="TableText"/>
              <w:jc w:val="center"/>
              <w:rPr>
                <w:b/>
                <w:i/>
                <w:sz w:val="16"/>
                <w:szCs w:val="16"/>
              </w:rPr>
            </w:pPr>
            <w:r w:rsidRPr="00B501CB">
              <w:rPr>
                <w:b/>
                <w:i/>
                <w:sz w:val="16"/>
                <w:szCs w:val="16"/>
              </w:rPr>
              <w:t>Category 2*</w:t>
            </w:r>
          </w:p>
        </w:tc>
        <w:tc>
          <w:tcPr>
            <w:tcW w:w="1170" w:type="dxa"/>
            <w:tcBorders>
              <w:bottom w:val="double" w:sz="4" w:space="0" w:color="auto"/>
            </w:tcBorders>
            <w:shd w:val="clear" w:color="auto" w:fill="BDFFFF"/>
            <w:vAlign w:val="bottom"/>
          </w:tcPr>
          <w:p w:rsidR="00485094" w:rsidRPr="00B501CB" w:rsidRDefault="00485094" w:rsidP="00D845BC">
            <w:pPr>
              <w:pStyle w:val="TableText"/>
              <w:jc w:val="center"/>
              <w:rPr>
                <w:b/>
                <w:i/>
                <w:sz w:val="16"/>
                <w:szCs w:val="16"/>
              </w:rPr>
            </w:pPr>
            <w:r w:rsidRPr="00B501CB">
              <w:rPr>
                <w:b/>
                <w:i/>
                <w:sz w:val="16"/>
                <w:szCs w:val="16"/>
              </w:rPr>
              <w:t>Categories 3c and 3d (Planning List)*</w:t>
            </w:r>
          </w:p>
        </w:tc>
        <w:tc>
          <w:tcPr>
            <w:tcW w:w="1208" w:type="dxa"/>
            <w:tcBorders>
              <w:bottom w:val="double" w:sz="4" w:space="0" w:color="auto"/>
            </w:tcBorders>
            <w:shd w:val="clear" w:color="auto" w:fill="BDFFFF"/>
            <w:vAlign w:val="bottom"/>
          </w:tcPr>
          <w:p w:rsidR="00485094" w:rsidRPr="00B501CB" w:rsidRDefault="00485094" w:rsidP="00D845BC">
            <w:pPr>
              <w:pStyle w:val="TableText"/>
              <w:jc w:val="center"/>
              <w:rPr>
                <w:b/>
                <w:i/>
                <w:sz w:val="16"/>
                <w:szCs w:val="16"/>
              </w:rPr>
            </w:pPr>
            <w:r w:rsidRPr="00B501CB">
              <w:rPr>
                <w:b/>
                <w:i/>
                <w:sz w:val="16"/>
                <w:szCs w:val="16"/>
              </w:rPr>
              <w:t>Categories 4a, 4b, 4c*</w:t>
            </w:r>
          </w:p>
        </w:tc>
        <w:tc>
          <w:tcPr>
            <w:tcW w:w="1170" w:type="dxa"/>
            <w:tcBorders>
              <w:bottom w:val="double" w:sz="4" w:space="0" w:color="auto"/>
            </w:tcBorders>
            <w:shd w:val="clear" w:color="auto" w:fill="BDFFFF"/>
            <w:vAlign w:val="bottom"/>
          </w:tcPr>
          <w:p w:rsidR="00485094" w:rsidRPr="00B501CB" w:rsidRDefault="00485094" w:rsidP="00D845BC">
            <w:pPr>
              <w:pStyle w:val="TableText"/>
              <w:jc w:val="center"/>
              <w:rPr>
                <w:b/>
                <w:i/>
                <w:sz w:val="16"/>
                <w:szCs w:val="16"/>
              </w:rPr>
            </w:pPr>
            <w:r w:rsidRPr="00B501CB">
              <w:rPr>
                <w:b/>
                <w:i/>
                <w:sz w:val="16"/>
                <w:szCs w:val="16"/>
              </w:rPr>
              <w:t>Categories 4d, 4e*</w:t>
            </w:r>
          </w:p>
        </w:tc>
        <w:tc>
          <w:tcPr>
            <w:tcW w:w="1080" w:type="dxa"/>
            <w:tcBorders>
              <w:bottom w:val="double" w:sz="4" w:space="0" w:color="auto"/>
            </w:tcBorders>
            <w:shd w:val="clear" w:color="auto" w:fill="BDFFFF"/>
            <w:vAlign w:val="bottom"/>
          </w:tcPr>
          <w:p w:rsidR="00485094" w:rsidRPr="00B501CB" w:rsidRDefault="00485094" w:rsidP="00D845BC">
            <w:pPr>
              <w:pStyle w:val="TableText"/>
              <w:jc w:val="center"/>
              <w:rPr>
                <w:b/>
                <w:i/>
                <w:sz w:val="16"/>
                <w:szCs w:val="16"/>
              </w:rPr>
            </w:pPr>
            <w:r w:rsidRPr="00B501CB">
              <w:rPr>
                <w:b/>
                <w:i/>
                <w:sz w:val="16"/>
                <w:szCs w:val="16"/>
              </w:rPr>
              <w:t>Categor</w:t>
            </w:r>
            <w:r>
              <w:rPr>
                <w:b/>
                <w:i/>
                <w:sz w:val="16"/>
                <w:szCs w:val="16"/>
              </w:rPr>
              <w:t>y</w:t>
            </w:r>
            <w:r w:rsidRPr="00B501CB">
              <w:rPr>
                <w:b/>
                <w:i/>
                <w:sz w:val="16"/>
                <w:szCs w:val="16"/>
              </w:rPr>
              <w:t xml:space="preserve"> 5*</w:t>
            </w:r>
          </w:p>
        </w:tc>
        <w:tc>
          <w:tcPr>
            <w:tcW w:w="990" w:type="dxa"/>
            <w:tcBorders>
              <w:bottom w:val="double" w:sz="4" w:space="0" w:color="auto"/>
            </w:tcBorders>
            <w:shd w:val="clear" w:color="auto" w:fill="BDFFFF"/>
            <w:vAlign w:val="bottom"/>
          </w:tcPr>
          <w:p w:rsidR="00485094" w:rsidRPr="00B501CB" w:rsidRDefault="00485094" w:rsidP="00D845BC">
            <w:pPr>
              <w:pStyle w:val="TableText"/>
              <w:jc w:val="center"/>
              <w:rPr>
                <w:b/>
                <w:i/>
                <w:sz w:val="16"/>
                <w:szCs w:val="16"/>
              </w:rPr>
            </w:pPr>
            <w:r w:rsidRPr="00B501CB">
              <w:rPr>
                <w:b/>
                <w:i/>
                <w:sz w:val="16"/>
                <w:szCs w:val="16"/>
              </w:rPr>
              <w:t>No</w:t>
            </w:r>
            <w:r>
              <w:rPr>
                <w:b/>
                <w:i/>
                <w:sz w:val="16"/>
                <w:szCs w:val="16"/>
              </w:rPr>
              <w:t xml:space="preserve"> </w:t>
            </w:r>
            <w:r w:rsidRPr="00B501CB">
              <w:rPr>
                <w:b/>
                <w:i/>
                <w:sz w:val="16"/>
                <w:szCs w:val="16"/>
              </w:rPr>
              <w:t>Data</w:t>
            </w:r>
            <w:r>
              <w:rPr>
                <w:b/>
                <w:i/>
                <w:sz w:val="16"/>
                <w:szCs w:val="16"/>
              </w:rPr>
              <w:t xml:space="preserve"> (Category 3a)</w:t>
            </w:r>
            <w:r w:rsidRPr="00B501CB">
              <w:rPr>
                <w:b/>
                <w:i/>
                <w:sz w:val="16"/>
                <w:szCs w:val="16"/>
              </w:rPr>
              <w:t>*</w:t>
            </w:r>
          </w:p>
        </w:tc>
        <w:tc>
          <w:tcPr>
            <w:tcW w:w="1170" w:type="dxa"/>
            <w:tcBorders>
              <w:bottom w:val="double" w:sz="4" w:space="0" w:color="auto"/>
            </w:tcBorders>
            <w:shd w:val="clear" w:color="auto" w:fill="BDFFFF"/>
            <w:vAlign w:val="bottom"/>
          </w:tcPr>
          <w:p w:rsidR="00485094" w:rsidRPr="00B501CB" w:rsidRDefault="00485094" w:rsidP="00D845BC">
            <w:pPr>
              <w:pStyle w:val="TableText"/>
              <w:jc w:val="center"/>
              <w:rPr>
                <w:b/>
                <w:i/>
                <w:sz w:val="16"/>
                <w:szCs w:val="16"/>
              </w:rPr>
            </w:pPr>
            <w:r w:rsidRPr="00B501CB">
              <w:rPr>
                <w:b/>
                <w:i/>
                <w:sz w:val="16"/>
                <w:szCs w:val="16"/>
              </w:rPr>
              <w:t>Insufficient Data</w:t>
            </w:r>
            <w:r>
              <w:rPr>
                <w:b/>
                <w:i/>
                <w:sz w:val="16"/>
                <w:szCs w:val="16"/>
              </w:rPr>
              <w:t xml:space="preserve"> (Category 3b)</w:t>
            </w:r>
            <w:r w:rsidRPr="00B501CB">
              <w:rPr>
                <w:b/>
                <w:i/>
                <w:sz w:val="16"/>
                <w:szCs w:val="16"/>
              </w:rPr>
              <w:t>*</w:t>
            </w:r>
          </w:p>
        </w:tc>
        <w:tc>
          <w:tcPr>
            <w:tcW w:w="1024" w:type="dxa"/>
            <w:tcBorders>
              <w:bottom w:val="double" w:sz="4" w:space="0" w:color="auto"/>
            </w:tcBorders>
            <w:shd w:val="clear" w:color="auto" w:fill="BDFFFF"/>
            <w:vAlign w:val="bottom"/>
          </w:tcPr>
          <w:p w:rsidR="00485094" w:rsidRPr="00B501CB" w:rsidRDefault="00485094" w:rsidP="00D845BC">
            <w:pPr>
              <w:pStyle w:val="TableText"/>
              <w:jc w:val="center"/>
              <w:rPr>
                <w:b/>
                <w:i/>
                <w:sz w:val="16"/>
                <w:szCs w:val="16"/>
              </w:rPr>
            </w:pPr>
            <w:r w:rsidRPr="00B501CB">
              <w:rPr>
                <w:b/>
                <w:i/>
                <w:sz w:val="16"/>
                <w:szCs w:val="16"/>
              </w:rPr>
              <w:t>Total Waters Assessed</w:t>
            </w:r>
            <w:r>
              <w:rPr>
                <w:b/>
                <w:i/>
                <w:sz w:val="16"/>
                <w:szCs w:val="16"/>
              </w:rPr>
              <w:t xml:space="preserve"> for at Least 1 Parameter</w:t>
            </w:r>
          </w:p>
        </w:tc>
        <w:tc>
          <w:tcPr>
            <w:tcW w:w="1086" w:type="dxa"/>
            <w:tcBorders>
              <w:bottom w:val="double" w:sz="4" w:space="0" w:color="auto"/>
            </w:tcBorders>
            <w:shd w:val="clear" w:color="auto" w:fill="BDFFFF"/>
            <w:vAlign w:val="bottom"/>
          </w:tcPr>
          <w:p w:rsidR="00485094" w:rsidRPr="00B501CB" w:rsidRDefault="00485094" w:rsidP="00D845BC">
            <w:pPr>
              <w:pStyle w:val="TableText"/>
              <w:jc w:val="center"/>
              <w:rPr>
                <w:b/>
                <w:i/>
                <w:sz w:val="16"/>
                <w:szCs w:val="16"/>
              </w:rPr>
            </w:pPr>
            <w:r w:rsidRPr="00B501CB">
              <w:rPr>
                <w:b/>
                <w:i/>
                <w:sz w:val="16"/>
                <w:szCs w:val="16"/>
              </w:rPr>
              <w:t>Total in State</w:t>
            </w:r>
          </w:p>
        </w:tc>
      </w:tr>
      <w:tr w:rsidR="00485094" w:rsidRPr="00B501CB" w:rsidTr="007352DD">
        <w:trPr>
          <w:trHeight w:val="247"/>
          <w:jc w:val="center"/>
        </w:trPr>
        <w:tc>
          <w:tcPr>
            <w:tcW w:w="1342" w:type="dxa"/>
            <w:tcBorders>
              <w:top w:val="double" w:sz="4" w:space="0" w:color="auto"/>
            </w:tcBorders>
            <w:shd w:val="clear" w:color="auto" w:fill="FFFFCC"/>
            <w:vAlign w:val="center"/>
          </w:tcPr>
          <w:p w:rsidR="00485094" w:rsidRPr="00B501CB" w:rsidRDefault="00485094" w:rsidP="00D845BC">
            <w:pPr>
              <w:pStyle w:val="TableText"/>
              <w:jc w:val="center"/>
              <w:rPr>
                <w:sz w:val="16"/>
                <w:szCs w:val="16"/>
              </w:rPr>
            </w:pPr>
            <w:r w:rsidRPr="00B501CB">
              <w:rPr>
                <w:sz w:val="16"/>
                <w:szCs w:val="16"/>
              </w:rPr>
              <w:t>Rivers/</w:t>
            </w:r>
          </w:p>
          <w:p w:rsidR="00485094" w:rsidRPr="00B501CB" w:rsidRDefault="00485094" w:rsidP="00D845BC">
            <w:pPr>
              <w:pStyle w:val="TableText"/>
              <w:jc w:val="center"/>
              <w:rPr>
                <w:sz w:val="16"/>
                <w:szCs w:val="16"/>
              </w:rPr>
            </w:pPr>
            <w:r w:rsidRPr="00B501CB">
              <w:rPr>
                <w:sz w:val="16"/>
                <w:szCs w:val="16"/>
              </w:rPr>
              <w:t>Streams</w:t>
            </w:r>
          </w:p>
          <w:p w:rsidR="00485094" w:rsidRPr="00B501CB" w:rsidRDefault="00485094" w:rsidP="00D845BC">
            <w:pPr>
              <w:pStyle w:val="TableText"/>
              <w:jc w:val="center"/>
              <w:rPr>
                <w:sz w:val="16"/>
                <w:szCs w:val="16"/>
              </w:rPr>
            </w:pPr>
            <w:r w:rsidRPr="00B501CB">
              <w:rPr>
                <w:sz w:val="16"/>
                <w:szCs w:val="16"/>
              </w:rPr>
              <w:t>(miles)</w:t>
            </w:r>
          </w:p>
        </w:tc>
        <w:tc>
          <w:tcPr>
            <w:tcW w:w="1050" w:type="dxa"/>
            <w:tcBorders>
              <w:top w:val="double" w:sz="4" w:space="0" w:color="auto"/>
            </w:tcBorders>
            <w:vAlign w:val="center"/>
          </w:tcPr>
          <w:p w:rsidR="00485094" w:rsidRPr="00B501CB" w:rsidRDefault="00485094" w:rsidP="00D845BC">
            <w:pPr>
              <w:pStyle w:val="TableText"/>
              <w:jc w:val="center"/>
              <w:rPr>
                <w:sz w:val="16"/>
                <w:szCs w:val="16"/>
              </w:rPr>
            </w:pPr>
            <w:r w:rsidRPr="00B501CB">
              <w:rPr>
                <w:sz w:val="16"/>
                <w:szCs w:val="16"/>
              </w:rPr>
              <w:t>919</w:t>
            </w:r>
          </w:p>
        </w:tc>
        <w:tc>
          <w:tcPr>
            <w:tcW w:w="1170" w:type="dxa"/>
            <w:tcBorders>
              <w:top w:val="double" w:sz="4" w:space="0" w:color="auto"/>
            </w:tcBorders>
            <w:vAlign w:val="center"/>
          </w:tcPr>
          <w:p w:rsidR="00485094" w:rsidRPr="00B501CB" w:rsidRDefault="00485094" w:rsidP="00D845BC">
            <w:pPr>
              <w:pStyle w:val="TableText"/>
              <w:jc w:val="center"/>
              <w:rPr>
                <w:sz w:val="16"/>
                <w:szCs w:val="16"/>
              </w:rPr>
            </w:pPr>
            <w:r w:rsidRPr="00B501CB">
              <w:rPr>
                <w:sz w:val="16"/>
                <w:szCs w:val="16"/>
              </w:rPr>
              <w:t>2,354</w:t>
            </w:r>
          </w:p>
        </w:tc>
        <w:tc>
          <w:tcPr>
            <w:tcW w:w="1208" w:type="dxa"/>
            <w:tcBorders>
              <w:top w:val="double" w:sz="4" w:space="0" w:color="auto"/>
            </w:tcBorders>
            <w:vAlign w:val="center"/>
          </w:tcPr>
          <w:p w:rsidR="00485094" w:rsidRPr="001725EE" w:rsidRDefault="00485094" w:rsidP="00D845BC">
            <w:pPr>
              <w:pStyle w:val="TableText"/>
              <w:jc w:val="center"/>
              <w:rPr>
                <w:sz w:val="16"/>
                <w:szCs w:val="16"/>
              </w:rPr>
            </w:pPr>
            <w:r w:rsidRPr="001725EE">
              <w:rPr>
                <w:sz w:val="16"/>
                <w:szCs w:val="16"/>
              </w:rPr>
              <w:t>658</w:t>
            </w:r>
          </w:p>
        </w:tc>
        <w:tc>
          <w:tcPr>
            <w:tcW w:w="1170" w:type="dxa"/>
            <w:tcBorders>
              <w:top w:val="double" w:sz="4" w:space="0" w:color="auto"/>
            </w:tcBorders>
            <w:vAlign w:val="center"/>
          </w:tcPr>
          <w:p w:rsidR="00485094" w:rsidRPr="001725EE" w:rsidRDefault="00485094" w:rsidP="00D845BC">
            <w:pPr>
              <w:pStyle w:val="TableText"/>
              <w:jc w:val="center"/>
              <w:rPr>
                <w:sz w:val="16"/>
                <w:szCs w:val="16"/>
              </w:rPr>
            </w:pPr>
            <w:r w:rsidRPr="001725EE">
              <w:rPr>
                <w:sz w:val="16"/>
                <w:szCs w:val="16"/>
              </w:rPr>
              <w:t>2,193</w:t>
            </w:r>
          </w:p>
        </w:tc>
        <w:tc>
          <w:tcPr>
            <w:tcW w:w="1080" w:type="dxa"/>
            <w:tcBorders>
              <w:top w:val="double" w:sz="4" w:space="0" w:color="auto"/>
            </w:tcBorders>
            <w:vAlign w:val="center"/>
          </w:tcPr>
          <w:p w:rsidR="00485094" w:rsidRPr="001725EE" w:rsidRDefault="00485094" w:rsidP="00D845BC">
            <w:pPr>
              <w:pStyle w:val="TableText"/>
              <w:jc w:val="center"/>
              <w:rPr>
                <w:sz w:val="16"/>
                <w:szCs w:val="16"/>
              </w:rPr>
            </w:pPr>
            <w:r w:rsidRPr="001725EE">
              <w:rPr>
                <w:sz w:val="16"/>
                <w:szCs w:val="16"/>
              </w:rPr>
              <w:t>7,796</w:t>
            </w:r>
          </w:p>
        </w:tc>
        <w:tc>
          <w:tcPr>
            <w:tcW w:w="990" w:type="dxa"/>
            <w:tcBorders>
              <w:top w:val="double" w:sz="4" w:space="0" w:color="auto"/>
            </w:tcBorders>
            <w:vAlign w:val="center"/>
          </w:tcPr>
          <w:p w:rsidR="00485094" w:rsidRPr="001725EE" w:rsidRDefault="00485094" w:rsidP="00D845BC">
            <w:pPr>
              <w:pStyle w:val="TableText"/>
              <w:jc w:val="center"/>
              <w:rPr>
                <w:sz w:val="16"/>
                <w:szCs w:val="16"/>
              </w:rPr>
            </w:pPr>
            <w:r w:rsidRPr="001725EE">
              <w:rPr>
                <w:sz w:val="16"/>
                <w:szCs w:val="16"/>
              </w:rPr>
              <w:t>7,695</w:t>
            </w:r>
          </w:p>
        </w:tc>
        <w:tc>
          <w:tcPr>
            <w:tcW w:w="1170" w:type="dxa"/>
            <w:tcBorders>
              <w:top w:val="double" w:sz="4" w:space="0" w:color="auto"/>
            </w:tcBorders>
            <w:vAlign w:val="center"/>
          </w:tcPr>
          <w:p w:rsidR="00485094" w:rsidRPr="001725EE" w:rsidRDefault="00485094" w:rsidP="00D845BC">
            <w:pPr>
              <w:pStyle w:val="TableText"/>
              <w:jc w:val="center"/>
              <w:rPr>
                <w:sz w:val="16"/>
                <w:szCs w:val="16"/>
              </w:rPr>
            </w:pPr>
            <w:r w:rsidRPr="001725EE">
              <w:rPr>
                <w:sz w:val="16"/>
                <w:szCs w:val="16"/>
              </w:rPr>
              <w:t>2,308</w:t>
            </w:r>
          </w:p>
        </w:tc>
        <w:tc>
          <w:tcPr>
            <w:tcW w:w="1024" w:type="dxa"/>
            <w:tcBorders>
              <w:top w:val="double" w:sz="4" w:space="0" w:color="auto"/>
            </w:tcBorders>
            <w:vAlign w:val="center"/>
          </w:tcPr>
          <w:p w:rsidR="00485094" w:rsidRPr="001725EE" w:rsidRDefault="00485094" w:rsidP="00D845BC">
            <w:pPr>
              <w:pStyle w:val="TableText"/>
              <w:jc w:val="center"/>
              <w:rPr>
                <w:sz w:val="16"/>
                <w:szCs w:val="16"/>
              </w:rPr>
            </w:pPr>
            <w:r>
              <w:rPr>
                <w:sz w:val="16"/>
                <w:szCs w:val="16"/>
              </w:rPr>
              <w:t>13,919</w:t>
            </w:r>
          </w:p>
        </w:tc>
        <w:tc>
          <w:tcPr>
            <w:tcW w:w="1086" w:type="dxa"/>
            <w:tcBorders>
              <w:top w:val="double" w:sz="4" w:space="0" w:color="auto"/>
            </w:tcBorders>
            <w:vAlign w:val="center"/>
          </w:tcPr>
          <w:p w:rsidR="00485094" w:rsidRPr="00B501CB" w:rsidRDefault="00485094" w:rsidP="00D845BC">
            <w:pPr>
              <w:pStyle w:val="TableText"/>
              <w:jc w:val="center"/>
              <w:rPr>
                <w:sz w:val="16"/>
                <w:szCs w:val="16"/>
              </w:rPr>
            </w:pPr>
            <w:r w:rsidRPr="00B501CB">
              <w:rPr>
                <w:sz w:val="16"/>
                <w:szCs w:val="16"/>
              </w:rPr>
              <w:t>23,922</w:t>
            </w:r>
          </w:p>
        </w:tc>
      </w:tr>
      <w:tr w:rsidR="00485094" w:rsidRPr="00B501CB" w:rsidTr="007352DD">
        <w:trPr>
          <w:trHeight w:val="247"/>
          <w:jc w:val="center"/>
        </w:trPr>
        <w:tc>
          <w:tcPr>
            <w:tcW w:w="1342" w:type="dxa"/>
            <w:shd w:val="clear" w:color="auto" w:fill="FFFFCC"/>
            <w:vAlign w:val="center"/>
          </w:tcPr>
          <w:p w:rsidR="00485094" w:rsidRPr="00B501CB" w:rsidRDefault="00485094" w:rsidP="00D845BC">
            <w:pPr>
              <w:pStyle w:val="TableText"/>
              <w:jc w:val="center"/>
              <w:rPr>
                <w:sz w:val="16"/>
                <w:szCs w:val="16"/>
              </w:rPr>
            </w:pPr>
            <w:r w:rsidRPr="00B501CB">
              <w:rPr>
                <w:sz w:val="16"/>
                <w:szCs w:val="16"/>
              </w:rPr>
              <w:t xml:space="preserve">Lakes </w:t>
            </w:r>
          </w:p>
          <w:p w:rsidR="00485094" w:rsidRPr="00B501CB" w:rsidRDefault="00485094" w:rsidP="00D845BC">
            <w:pPr>
              <w:pStyle w:val="TableText"/>
              <w:jc w:val="center"/>
              <w:rPr>
                <w:sz w:val="16"/>
                <w:szCs w:val="16"/>
              </w:rPr>
            </w:pPr>
            <w:r w:rsidRPr="00B501CB">
              <w:rPr>
                <w:sz w:val="16"/>
                <w:szCs w:val="16"/>
              </w:rPr>
              <w:t>(acres)</w:t>
            </w:r>
          </w:p>
        </w:tc>
        <w:tc>
          <w:tcPr>
            <w:tcW w:w="1050" w:type="dxa"/>
            <w:vAlign w:val="center"/>
          </w:tcPr>
          <w:p w:rsidR="00485094" w:rsidRPr="00B501CB" w:rsidRDefault="00485094" w:rsidP="00D845BC">
            <w:pPr>
              <w:pStyle w:val="TableText"/>
              <w:jc w:val="center"/>
              <w:rPr>
                <w:sz w:val="16"/>
                <w:szCs w:val="16"/>
              </w:rPr>
            </w:pPr>
            <w:r w:rsidRPr="00B501CB">
              <w:rPr>
                <w:sz w:val="16"/>
                <w:szCs w:val="16"/>
              </w:rPr>
              <w:t>59,2</w:t>
            </w:r>
            <w:r>
              <w:rPr>
                <w:sz w:val="16"/>
                <w:szCs w:val="16"/>
              </w:rPr>
              <w:t>2</w:t>
            </w:r>
            <w:r w:rsidRPr="00B501CB">
              <w:rPr>
                <w:sz w:val="16"/>
                <w:szCs w:val="16"/>
              </w:rPr>
              <w:t>7</w:t>
            </w:r>
          </w:p>
        </w:tc>
        <w:tc>
          <w:tcPr>
            <w:tcW w:w="1170" w:type="dxa"/>
            <w:vAlign w:val="center"/>
          </w:tcPr>
          <w:p w:rsidR="00485094" w:rsidRPr="00B501CB" w:rsidRDefault="00485094" w:rsidP="00D845BC">
            <w:pPr>
              <w:pStyle w:val="TableText"/>
              <w:jc w:val="center"/>
              <w:rPr>
                <w:sz w:val="16"/>
                <w:szCs w:val="16"/>
              </w:rPr>
            </w:pPr>
            <w:r w:rsidRPr="00B501CB">
              <w:rPr>
                <w:sz w:val="16"/>
                <w:szCs w:val="16"/>
              </w:rPr>
              <w:t>58,540</w:t>
            </w:r>
          </w:p>
        </w:tc>
        <w:tc>
          <w:tcPr>
            <w:tcW w:w="1208" w:type="dxa"/>
            <w:vAlign w:val="center"/>
          </w:tcPr>
          <w:p w:rsidR="00485094" w:rsidRPr="001725EE" w:rsidRDefault="00485094" w:rsidP="00D845BC">
            <w:pPr>
              <w:pStyle w:val="TableText"/>
              <w:jc w:val="center"/>
              <w:rPr>
                <w:sz w:val="16"/>
                <w:szCs w:val="16"/>
              </w:rPr>
            </w:pPr>
            <w:r w:rsidRPr="001725EE">
              <w:rPr>
                <w:sz w:val="16"/>
                <w:szCs w:val="16"/>
              </w:rPr>
              <w:t>84,908</w:t>
            </w:r>
          </w:p>
        </w:tc>
        <w:tc>
          <w:tcPr>
            <w:tcW w:w="1170" w:type="dxa"/>
            <w:vAlign w:val="center"/>
          </w:tcPr>
          <w:p w:rsidR="00485094" w:rsidRPr="001725EE" w:rsidRDefault="00485094" w:rsidP="00D845BC">
            <w:pPr>
              <w:pStyle w:val="TableText"/>
              <w:jc w:val="center"/>
              <w:rPr>
                <w:sz w:val="16"/>
                <w:szCs w:val="16"/>
              </w:rPr>
            </w:pPr>
            <w:r w:rsidRPr="001725EE">
              <w:rPr>
                <w:sz w:val="16"/>
                <w:szCs w:val="16"/>
              </w:rPr>
              <w:t>9,380</w:t>
            </w:r>
          </w:p>
        </w:tc>
        <w:tc>
          <w:tcPr>
            <w:tcW w:w="1080" w:type="dxa"/>
            <w:vAlign w:val="center"/>
          </w:tcPr>
          <w:p w:rsidR="00485094" w:rsidRPr="001725EE" w:rsidRDefault="00485094" w:rsidP="00D845BC">
            <w:pPr>
              <w:pStyle w:val="TableText"/>
              <w:jc w:val="center"/>
              <w:rPr>
                <w:sz w:val="16"/>
                <w:szCs w:val="16"/>
              </w:rPr>
            </w:pPr>
            <w:r w:rsidRPr="001725EE">
              <w:rPr>
                <w:sz w:val="16"/>
                <w:szCs w:val="16"/>
              </w:rPr>
              <w:t>991,576</w:t>
            </w:r>
          </w:p>
        </w:tc>
        <w:tc>
          <w:tcPr>
            <w:tcW w:w="990" w:type="dxa"/>
            <w:vAlign w:val="center"/>
          </w:tcPr>
          <w:p w:rsidR="00485094" w:rsidRPr="001725EE" w:rsidRDefault="00485094" w:rsidP="00D845BC">
            <w:pPr>
              <w:pStyle w:val="TableText"/>
              <w:jc w:val="center"/>
              <w:rPr>
                <w:sz w:val="16"/>
                <w:szCs w:val="16"/>
              </w:rPr>
            </w:pPr>
            <w:r w:rsidRPr="001725EE">
              <w:rPr>
                <w:sz w:val="16"/>
                <w:szCs w:val="16"/>
              </w:rPr>
              <w:t>177,693</w:t>
            </w:r>
          </w:p>
        </w:tc>
        <w:tc>
          <w:tcPr>
            <w:tcW w:w="1170" w:type="dxa"/>
            <w:vAlign w:val="center"/>
          </w:tcPr>
          <w:p w:rsidR="00485094" w:rsidRPr="001725EE" w:rsidRDefault="00485094" w:rsidP="00D845BC">
            <w:pPr>
              <w:pStyle w:val="TableText"/>
              <w:jc w:val="center"/>
              <w:rPr>
                <w:sz w:val="16"/>
                <w:szCs w:val="16"/>
              </w:rPr>
            </w:pPr>
            <w:r w:rsidRPr="001725EE">
              <w:rPr>
                <w:sz w:val="16"/>
                <w:szCs w:val="16"/>
              </w:rPr>
              <w:t>89,814</w:t>
            </w:r>
          </w:p>
        </w:tc>
        <w:tc>
          <w:tcPr>
            <w:tcW w:w="1024" w:type="dxa"/>
            <w:vAlign w:val="center"/>
          </w:tcPr>
          <w:p w:rsidR="00485094" w:rsidRPr="001725EE" w:rsidRDefault="00485094" w:rsidP="00D845BC">
            <w:pPr>
              <w:pStyle w:val="TableText"/>
              <w:jc w:val="center"/>
              <w:rPr>
                <w:sz w:val="16"/>
                <w:szCs w:val="16"/>
              </w:rPr>
            </w:pPr>
            <w:r>
              <w:rPr>
                <w:sz w:val="16"/>
                <w:szCs w:val="16"/>
              </w:rPr>
              <w:t>1,203,632</w:t>
            </w:r>
          </w:p>
        </w:tc>
        <w:tc>
          <w:tcPr>
            <w:tcW w:w="1086" w:type="dxa"/>
            <w:vAlign w:val="center"/>
          </w:tcPr>
          <w:p w:rsidR="00485094" w:rsidRPr="00B501CB" w:rsidRDefault="00485094" w:rsidP="00D845BC">
            <w:pPr>
              <w:pStyle w:val="TableText"/>
              <w:jc w:val="center"/>
              <w:rPr>
                <w:sz w:val="16"/>
                <w:szCs w:val="16"/>
              </w:rPr>
            </w:pPr>
            <w:r w:rsidRPr="00B501CB">
              <w:rPr>
                <w:sz w:val="16"/>
                <w:szCs w:val="16"/>
              </w:rPr>
              <w:t>1,471,139</w:t>
            </w:r>
          </w:p>
        </w:tc>
      </w:tr>
      <w:tr w:rsidR="00485094" w:rsidRPr="00B501CB" w:rsidTr="007352DD">
        <w:trPr>
          <w:trHeight w:val="247"/>
          <w:jc w:val="center"/>
        </w:trPr>
        <w:tc>
          <w:tcPr>
            <w:tcW w:w="1342" w:type="dxa"/>
            <w:shd w:val="clear" w:color="auto" w:fill="FFFFCC"/>
            <w:vAlign w:val="center"/>
          </w:tcPr>
          <w:p w:rsidR="00485094" w:rsidRDefault="00485094" w:rsidP="00D845BC">
            <w:pPr>
              <w:pStyle w:val="TableText"/>
              <w:jc w:val="center"/>
              <w:rPr>
                <w:sz w:val="16"/>
                <w:szCs w:val="16"/>
              </w:rPr>
            </w:pPr>
            <w:r w:rsidRPr="00B501CB">
              <w:rPr>
                <w:sz w:val="16"/>
                <w:szCs w:val="16"/>
              </w:rPr>
              <w:t xml:space="preserve">Estuaries </w:t>
            </w:r>
          </w:p>
          <w:p w:rsidR="00485094" w:rsidRPr="00B501CB" w:rsidRDefault="00485094" w:rsidP="00D845BC">
            <w:pPr>
              <w:pStyle w:val="TableText"/>
              <w:jc w:val="center"/>
              <w:rPr>
                <w:sz w:val="16"/>
                <w:szCs w:val="16"/>
              </w:rPr>
            </w:pPr>
            <w:r w:rsidRPr="00B501CB">
              <w:rPr>
                <w:sz w:val="16"/>
                <w:szCs w:val="16"/>
              </w:rPr>
              <w:t>(square miles)</w:t>
            </w:r>
          </w:p>
        </w:tc>
        <w:tc>
          <w:tcPr>
            <w:tcW w:w="1050" w:type="dxa"/>
            <w:vAlign w:val="center"/>
          </w:tcPr>
          <w:p w:rsidR="00485094" w:rsidRPr="00B501CB" w:rsidRDefault="00485094" w:rsidP="00D845BC">
            <w:pPr>
              <w:pStyle w:val="TableText"/>
              <w:jc w:val="center"/>
              <w:rPr>
                <w:sz w:val="16"/>
                <w:szCs w:val="16"/>
              </w:rPr>
            </w:pPr>
            <w:r w:rsidRPr="00B501CB">
              <w:rPr>
                <w:sz w:val="16"/>
                <w:szCs w:val="16"/>
              </w:rPr>
              <w:t>23</w:t>
            </w:r>
          </w:p>
        </w:tc>
        <w:tc>
          <w:tcPr>
            <w:tcW w:w="1170" w:type="dxa"/>
            <w:vAlign w:val="center"/>
          </w:tcPr>
          <w:p w:rsidR="00485094" w:rsidRPr="00B501CB" w:rsidRDefault="00485094" w:rsidP="00D845BC">
            <w:pPr>
              <w:pStyle w:val="TableText"/>
              <w:jc w:val="center"/>
              <w:rPr>
                <w:sz w:val="16"/>
                <w:szCs w:val="16"/>
              </w:rPr>
            </w:pPr>
            <w:r w:rsidRPr="00B501CB">
              <w:rPr>
                <w:sz w:val="16"/>
                <w:szCs w:val="16"/>
              </w:rPr>
              <w:t>58</w:t>
            </w:r>
          </w:p>
        </w:tc>
        <w:tc>
          <w:tcPr>
            <w:tcW w:w="1208" w:type="dxa"/>
            <w:vAlign w:val="center"/>
          </w:tcPr>
          <w:p w:rsidR="00485094" w:rsidRPr="00B501CB" w:rsidRDefault="00485094" w:rsidP="00D845BC">
            <w:pPr>
              <w:pStyle w:val="TableText"/>
              <w:jc w:val="center"/>
              <w:rPr>
                <w:sz w:val="16"/>
                <w:szCs w:val="16"/>
              </w:rPr>
            </w:pPr>
            <w:r w:rsidRPr="00B501CB">
              <w:rPr>
                <w:sz w:val="16"/>
                <w:szCs w:val="16"/>
              </w:rPr>
              <w:t>0</w:t>
            </w:r>
          </w:p>
        </w:tc>
        <w:tc>
          <w:tcPr>
            <w:tcW w:w="1170" w:type="dxa"/>
            <w:vAlign w:val="center"/>
          </w:tcPr>
          <w:p w:rsidR="00485094" w:rsidRPr="00B501CB" w:rsidRDefault="00485094" w:rsidP="00D845BC">
            <w:pPr>
              <w:pStyle w:val="TableText"/>
              <w:jc w:val="center"/>
              <w:rPr>
                <w:sz w:val="16"/>
                <w:szCs w:val="16"/>
              </w:rPr>
            </w:pPr>
            <w:r w:rsidRPr="00B501CB">
              <w:rPr>
                <w:sz w:val="16"/>
                <w:szCs w:val="16"/>
              </w:rPr>
              <w:t>0</w:t>
            </w:r>
          </w:p>
        </w:tc>
        <w:tc>
          <w:tcPr>
            <w:tcW w:w="1080" w:type="dxa"/>
            <w:vAlign w:val="center"/>
          </w:tcPr>
          <w:p w:rsidR="00485094" w:rsidRPr="00B501CB" w:rsidRDefault="00485094" w:rsidP="00D845BC">
            <w:pPr>
              <w:pStyle w:val="TableText"/>
              <w:jc w:val="center"/>
              <w:rPr>
                <w:sz w:val="16"/>
                <w:szCs w:val="16"/>
              </w:rPr>
            </w:pPr>
            <w:r w:rsidRPr="00B501CB">
              <w:rPr>
                <w:sz w:val="16"/>
                <w:szCs w:val="16"/>
              </w:rPr>
              <w:t>2,573</w:t>
            </w:r>
          </w:p>
        </w:tc>
        <w:tc>
          <w:tcPr>
            <w:tcW w:w="990" w:type="dxa"/>
            <w:vAlign w:val="center"/>
          </w:tcPr>
          <w:p w:rsidR="00485094" w:rsidRPr="00B501CB" w:rsidRDefault="00485094" w:rsidP="00D845BC">
            <w:pPr>
              <w:pStyle w:val="TableText"/>
              <w:jc w:val="center"/>
              <w:rPr>
                <w:sz w:val="16"/>
                <w:szCs w:val="16"/>
              </w:rPr>
            </w:pPr>
            <w:r w:rsidRPr="00B501CB">
              <w:rPr>
                <w:sz w:val="16"/>
                <w:szCs w:val="16"/>
              </w:rPr>
              <w:t>184</w:t>
            </w:r>
          </w:p>
        </w:tc>
        <w:tc>
          <w:tcPr>
            <w:tcW w:w="1170" w:type="dxa"/>
            <w:vAlign w:val="center"/>
          </w:tcPr>
          <w:p w:rsidR="00485094" w:rsidRPr="00B501CB" w:rsidRDefault="00485094" w:rsidP="00D845BC">
            <w:pPr>
              <w:pStyle w:val="TableText"/>
              <w:jc w:val="center"/>
              <w:rPr>
                <w:sz w:val="16"/>
                <w:szCs w:val="16"/>
              </w:rPr>
            </w:pPr>
            <w:r w:rsidRPr="00B501CB">
              <w:rPr>
                <w:sz w:val="16"/>
                <w:szCs w:val="16"/>
              </w:rPr>
              <w:t>4</w:t>
            </w:r>
          </w:p>
        </w:tc>
        <w:tc>
          <w:tcPr>
            <w:tcW w:w="1024" w:type="dxa"/>
            <w:vAlign w:val="center"/>
          </w:tcPr>
          <w:p w:rsidR="00485094" w:rsidRPr="00B501CB" w:rsidRDefault="00485094" w:rsidP="00D845BC">
            <w:pPr>
              <w:pStyle w:val="TableText"/>
              <w:jc w:val="center"/>
              <w:rPr>
                <w:sz w:val="16"/>
                <w:szCs w:val="16"/>
              </w:rPr>
            </w:pPr>
            <w:r>
              <w:rPr>
                <w:sz w:val="16"/>
                <w:szCs w:val="16"/>
              </w:rPr>
              <w:t>2,473</w:t>
            </w:r>
          </w:p>
        </w:tc>
        <w:tc>
          <w:tcPr>
            <w:tcW w:w="1086" w:type="dxa"/>
            <w:vAlign w:val="center"/>
          </w:tcPr>
          <w:p w:rsidR="00485094" w:rsidRPr="00B501CB" w:rsidRDefault="00485094" w:rsidP="00D845BC">
            <w:pPr>
              <w:pStyle w:val="TableText"/>
              <w:jc w:val="center"/>
              <w:rPr>
                <w:sz w:val="16"/>
                <w:szCs w:val="16"/>
              </w:rPr>
            </w:pPr>
            <w:r w:rsidRPr="00B501CB">
              <w:rPr>
                <w:sz w:val="16"/>
                <w:szCs w:val="16"/>
              </w:rPr>
              <w:t>2,661</w:t>
            </w:r>
          </w:p>
        </w:tc>
      </w:tr>
      <w:tr w:rsidR="00485094" w:rsidRPr="00B501CB" w:rsidTr="007352DD">
        <w:trPr>
          <w:trHeight w:val="247"/>
          <w:jc w:val="center"/>
        </w:trPr>
        <w:tc>
          <w:tcPr>
            <w:tcW w:w="1342" w:type="dxa"/>
            <w:shd w:val="clear" w:color="auto" w:fill="FFFFCC"/>
            <w:vAlign w:val="center"/>
          </w:tcPr>
          <w:p w:rsidR="00485094" w:rsidRPr="00B501CB" w:rsidRDefault="00485094" w:rsidP="00D845BC">
            <w:pPr>
              <w:pStyle w:val="TableText"/>
              <w:jc w:val="center"/>
              <w:rPr>
                <w:sz w:val="16"/>
                <w:szCs w:val="16"/>
              </w:rPr>
            </w:pPr>
            <w:r w:rsidRPr="00B501CB">
              <w:rPr>
                <w:sz w:val="16"/>
                <w:szCs w:val="16"/>
              </w:rPr>
              <w:t xml:space="preserve">Coastal </w:t>
            </w:r>
          </w:p>
          <w:p w:rsidR="00485094" w:rsidRPr="00B501CB" w:rsidRDefault="00485094" w:rsidP="00D845BC">
            <w:pPr>
              <w:pStyle w:val="TableText"/>
              <w:jc w:val="center"/>
              <w:rPr>
                <w:sz w:val="16"/>
                <w:szCs w:val="16"/>
              </w:rPr>
            </w:pPr>
            <w:r w:rsidRPr="00B501CB">
              <w:rPr>
                <w:sz w:val="16"/>
                <w:szCs w:val="16"/>
              </w:rPr>
              <w:t xml:space="preserve">Waters </w:t>
            </w:r>
          </w:p>
          <w:p w:rsidR="00485094" w:rsidRPr="00B501CB" w:rsidRDefault="00485094" w:rsidP="00D845BC">
            <w:pPr>
              <w:pStyle w:val="TableText"/>
              <w:jc w:val="center"/>
              <w:rPr>
                <w:sz w:val="16"/>
                <w:szCs w:val="16"/>
              </w:rPr>
            </w:pPr>
            <w:r w:rsidRPr="00B501CB">
              <w:rPr>
                <w:sz w:val="16"/>
                <w:szCs w:val="16"/>
              </w:rPr>
              <w:t>(square miles)</w:t>
            </w:r>
          </w:p>
        </w:tc>
        <w:tc>
          <w:tcPr>
            <w:tcW w:w="1050" w:type="dxa"/>
            <w:vAlign w:val="center"/>
          </w:tcPr>
          <w:p w:rsidR="00485094" w:rsidRPr="00B501CB" w:rsidRDefault="00485094" w:rsidP="00D845BC">
            <w:pPr>
              <w:pStyle w:val="TableText"/>
              <w:jc w:val="center"/>
              <w:rPr>
                <w:sz w:val="16"/>
                <w:szCs w:val="16"/>
              </w:rPr>
            </w:pPr>
            <w:r w:rsidRPr="00B501CB">
              <w:rPr>
                <w:sz w:val="16"/>
                <w:szCs w:val="16"/>
              </w:rPr>
              <w:t>0</w:t>
            </w:r>
          </w:p>
        </w:tc>
        <w:tc>
          <w:tcPr>
            <w:tcW w:w="1170" w:type="dxa"/>
            <w:vAlign w:val="center"/>
          </w:tcPr>
          <w:p w:rsidR="00485094" w:rsidRPr="00B501CB" w:rsidRDefault="00485094" w:rsidP="00D845BC">
            <w:pPr>
              <w:pStyle w:val="TableText"/>
              <w:jc w:val="center"/>
              <w:rPr>
                <w:sz w:val="16"/>
                <w:szCs w:val="16"/>
              </w:rPr>
            </w:pPr>
            <w:r w:rsidRPr="00B501CB">
              <w:rPr>
                <w:sz w:val="16"/>
                <w:szCs w:val="16"/>
              </w:rPr>
              <w:t>0</w:t>
            </w:r>
          </w:p>
        </w:tc>
        <w:tc>
          <w:tcPr>
            <w:tcW w:w="1208" w:type="dxa"/>
            <w:vAlign w:val="center"/>
          </w:tcPr>
          <w:p w:rsidR="00485094" w:rsidRPr="00B501CB" w:rsidRDefault="00485094" w:rsidP="00D845BC">
            <w:pPr>
              <w:pStyle w:val="TableText"/>
              <w:jc w:val="center"/>
              <w:rPr>
                <w:sz w:val="16"/>
                <w:szCs w:val="16"/>
              </w:rPr>
            </w:pPr>
            <w:r w:rsidRPr="00B501CB">
              <w:rPr>
                <w:sz w:val="16"/>
                <w:szCs w:val="16"/>
              </w:rPr>
              <w:t>0</w:t>
            </w:r>
          </w:p>
        </w:tc>
        <w:tc>
          <w:tcPr>
            <w:tcW w:w="1170" w:type="dxa"/>
            <w:vAlign w:val="center"/>
          </w:tcPr>
          <w:p w:rsidR="00485094" w:rsidRPr="00B501CB" w:rsidRDefault="00485094" w:rsidP="00D845BC">
            <w:pPr>
              <w:pStyle w:val="TableText"/>
              <w:jc w:val="center"/>
              <w:rPr>
                <w:sz w:val="16"/>
                <w:szCs w:val="16"/>
              </w:rPr>
            </w:pPr>
            <w:r w:rsidRPr="00B501CB">
              <w:rPr>
                <w:sz w:val="16"/>
                <w:szCs w:val="16"/>
              </w:rPr>
              <w:t>0</w:t>
            </w:r>
          </w:p>
        </w:tc>
        <w:tc>
          <w:tcPr>
            <w:tcW w:w="1080" w:type="dxa"/>
            <w:vAlign w:val="center"/>
          </w:tcPr>
          <w:p w:rsidR="00485094" w:rsidRPr="00B501CB" w:rsidRDefault="00485094" w:rsidP="00D845BC">
            <w:pPr>
              <w:pStyle w:val="TableText"/>
              <w:jc w:val="center"/>
              <w:rPr>
                <w:sz w:val="16"/>
                <w:szCs w:val="16"/>
              </w:rPr>
            </w:pPr>
            <w:r w:rsidRPr="00B501CB">
              <w:rPr>
                <w:sz w:val="16"/>
                <w:szCs w:val="16"/>
              </w:rPr>
              <w:t>6,699</w:t>
            </w:r>
          </w:p>
        </w:tc>
        <w:tc>
          <w:tcPr>
            <w:tcW w:w="990" w:type="dxa"/>
            <w:vAlign w:val="center"/>
          </w:tcPr>
          <w:p w:rsidR="00485094" w:rsidRPr="00B501CB" w:rsidRDefault="00485094" w:rsidP="00D845BC">
            <w:pPr>
              <w:pStyle w:val="TableText"/>
              <w:jc w:val="center"/>
              <w:rPr>
                <w:sz w:val="16"/>
                <w:szCs w:val="16"/>
              </w:rPr>
            </w:pPr>
            <w:r w:rsidRPr="00B501CB">
              <w:rPr>
                <w:sz w:val="16"/>
                <w:szCs w:val="16"/>
              </w:rPr>
              <w:t>0</w:t>
            </w:r>
          </w:p>
        </w:tc>
        <w:tc>
          <w:tcPr>
            <w:tcW w:w="1170" w:type="dxa"/>
            <w:vAlign w:val="center"/>
          </w:tcPr>
          <w:p w:rsidR="00485094" w:rsidRPr="00B501CB" w:rsidRDefault="00485094" w:rsidP="00D845BC">
            <w:pPr>
              <w:pStyle w:val="TableText"/>
              <w:jc w:val="center"/>
              <w:rPr>
                <w:sz w:val="16"/>
                <w:szCs w:val="16"/>
              </w:rPr>
            </w:pPr>
            <w:r w:rsidRPr="00B501CB">
              <w:rPr>
                <w:sz w:val="16"/>
                <w:szCs w:val="16"/>
              </w:rPr>
              <w:t>0</w:t>
            </w:r>
          </w:p>
        </w:tc>
        <w:tc>
          <w:tcPr>
            <w:tcW w:w="1024" w:type="dxa"/>
            <w:vAlign w:val="center"/>
          </w:tcPr>
          <w:p w:rsidR="00485094" w:rsidRPr="00B501CB" w:rsidRDefault="00485094" w:rsidP="00D845BC">
            <w:pPr>
              <w:pStyle w:val="TableText"/>
              <w:jc w:val="center"/>
              <w:rPr>
                <w:sz w:val="16"/>
                <w:szCs w:val="16"/>
              </w:rPr>
            </w:pPr>
            <w:r w:rsidRPr="00B501CB">
              <w:rPr>
                <w:sz w:val="16"/>
                <w:szCs w:val="16"/>
              </w:rPr>
              <w:t>6,699</w:t>
            </w:r>
          </w:p>
        </w:tc>
        <w:tc>
          <w:tcPr>
            <w:tcW w:w="1086" w:type="dxa"/>
            <w:vAlign w:val="center"/>
          </w:tcPr>
          <w:p w:rsidR="00485094" w:rsidRPr="00B501CB" w:rsidRDefault="00485094" w:rsidP="00D845BC">
            <w:pPr>
              <w:pStyle w:val="TableText"/>
              <w:jc w:val="center"/>
              <w:rPr>
                <w:sz w:val="16"/>
                <w:szCs w:val="16"/>
              </w:rPr>
            </w:pPr>
            <w:r w:rsidRPr="00B501CB">
              <w:rPr>
                <w:sz w:val="16"/>
                <w:szCs w:val="16"/>
              </w:rPr>
              <w:t>6,699</w:t>
            </w:r>
          </w:p>
        </w:tc>
      </w:tr>
    </w:tbl>
    <w:p w:rsidR="00485094" w:rsidRDefault="00485094" w:rsidP="003976C8">
      <w:pPr>
        <w:pStyle w:val="Bodytext"/>
        <w:rPr>
          <w:sz w:val="16"/>
          <w:szCs w:val="16"/>
        </w:rPr>
      </w:pPr>
    </w:p>
    <w:p w:rsidR="00485094" w:rsidRDefault="00485094" w:rsidP="00227965">
      <w:pPr>
        <w:pStyle w:val="Bodytextreduced"/>
      </w:pPr>
      <w:bookmarkStart w:id="17" w:name="_Toc452181113"/>
      <w:bookmarkStart w:id="18" w:name="_Toc490373222"/>
      <w:bookmarkStart w:id="19" w:name="_Toc67394386"/>
      <w:bookmarkStart w:id="20" w:name="_Toc74537769"/>
      <w:bookmarkStart w:id="21" w:name="_Toc74537895"/>
      <w:bookmarkStart w:id="22" w:name="_Toc74537922"/>
      <w:bookmarkStart w:id="23" w:name="_Toc74538235"/>
      <w:bookmarkStart w:id="24" w:name="_Toc78886294"/>
      <w:bookmarkStart w:id="25" w:name="_Toc130807337"/>
    </w:p>
    <w:p w:rsidR="00485094" w:rsidRPr="00173D87" w:rsidRDefault="00485094" w:rsidP="00EA3D58">
      <w:pPr>
        <w:pStyle w:val="Bodytext"/>
        <w:rPr>
          <w:rFonts w:cs="Arial"/>
          <w:b/>
          <w:sz w:val="28"/>
          <w:szCs w:val="28"/>
        </w:rPr>
      </w:pPr>
      <w:r w:rsidRPr="00173D87">
        <w:rPr>
          <w:rFonts w:cs="Arial"/>
          <w:b/>
          <w:sz w:val="28"/>
          <w:szCs w:val="28"/>
        </w:rPr>
        <w:t>Ground Water Protection Program</w:t>
      </w:r>
    </w:p>
    <w:p w:rsidR="00485094" w:rsidRDefault="00485094" w:rsidP="00512DF2">
      <w:pPr>
        <w:pStyle w:val="Bodytextreduced"/>
      </w:pPr>
    </w:p>
    <w:p w:rsidR="00485094" w:rsidRDefault="00485094" w:rsidP="00DA4EA9">
      <w:pPr>
        <w:pStyle w:val="Bodytext"/>
      </w:pPr>
      <w:r>
        <w:t xml:space="preserve">Available ground water monitoring program data were assessed to determine the overall quality of ground water relative to several categories of </w:t>
      </w:r>
      <w:r w:rsidRPr="00380A2E">
        <w:t>primary ground water M</w:t>
      </w:r>
      <w:r>
        <w:t xml:space="preserve">aximum </w:t>
      </w:r>
      <w:r w:rsidRPr="00380A2E">
        <w:t>C</w:t>
      </w:r>
      <w:r>
        <w:t>ontaminant Levels (MC</w:t>
      </w:r>
      <w:r w:rsidRPr="00380A2E">
        <w:t>L</w:t>
      </w:r>
      <w:r>
        <w:t>s)</w:t>
      </w:r>
      <w:r w:rsidRPr="00380A2E">
        <w:t xml:space="preserve">.  </w:t>
      </w:r>
      <w:r>
        <w:t xml:space="preserve">The results, which are summarized in </w:t>
      </w:r>
      <w:r w:rsidRPr="00D76772">
        <w:rPr>
          <w:b/>
          <w:i/>
        </w:rPr>
        <w:t xml:space="preserve">Table </w:t>
      </w:r>
      <w:r>
        <w:rPr>
          <w:b/>
          <w:i/>
        </w:rPr>
        <w:t xml:space="preserve">10.1 </w:t>
      </w:r>
      <w:r w:rsidRPr="007F74BF">
        <w:t>in</w:t>
      </w:r>
      <w:r>
        <w:rPr>
          <w:b/>
          <w:i/>
        </w:rPr>
        <w:t xml:space="preserve"> </w:t>
      </w:r>
      <w:hyperlink w:anchor="_Chapter_10:_" w:history="1">
        <w:r w:rsidRPr="00664A18">
          <w:rPr>
            <w:rStyle w:val="Hyperlink"/>
          </w:rPr>
          <w:t>Chapter 10</w:t>
        </w:r>
      </w:hyperlink>
      <w:r>
        <w:rPr>
          <w:b/>
          <w:i/>
        </w:rPr>
        <w:t>,</w:t>
      </w:r>
      <w:r>
        <w:t xml:space="preserve"> indicate that bacteria (as total coliform) and salinity (as sodium) were </w:t>
      </w:r>
      <w:r w:rsidRPr="005B0A81">
        <w:t>the analyte group</w:t>
      </w:r>
      <w:r>
        <w:t>s</w:t>
      </w:r>
      <w:r w:rsidRPr="005B0A81">
        <w:t xml:space="preserve"> with the </w:t>
      </w:r>
      <w:r>
        <w:t>highest percentage of exceedances of the MCLs.  The Everglades, Everglades West Coast, Ochlockonee–St. Marks, and Southeast Coast–Biscayne Bay Basins have the highest number of wells exceeding the MCL for total coliform.  However, c</w:t>
      </w:r>
      <w:r w:rsidRPr="005B0A81">
        <w:t>oliform</w:t>
      </w:r>
      <w:r>
        <w:t xml:space="preserve"> bacteria</w:t>
      </w:r>
      <w:r w:rsidRPr="005B0A81">
        <w:t xml:space="preserve"> can commonly reflect conditions in the well rather than the aquifer when associated with well construction or inadequate maintenance issues, </w:t>
      </w:r>
      <w:r>
        <w:t xml:space="preserve">and </w:t>
      </w:r>
      <w:r w:rsidRPr="005B0A81">
        <w:t xml:space="preserve">so these results should be scrutinized.  The statewide assessment shows that </w:t>
      </w:r>
      <w:r>
        <w:t xml:space="preserve">data from the past 2 years were similar to the 2000–07 median in the number of samples achieving the MCL (84% compared with 81%).  </w:t>
      </w:r>
      <w:r w:rsidRPr="006E16DB">
        <w:rPr>
          <w:b/>
          <w:i/>
        </w:rPr>
        <w:t>Table 10.1</w:t>
      </w:r>
      <w:r>
        <w:t xml:space="preserve"> shows the basins with the highest number of wells achieving the MCL.  </w:t>
      </w:r>
    </w:p>
    <w:bookmarkEnd w:id="17"/>
    <w:bookmarkEnd w:id="18"/>
    <w:bookmarkEnd w:id="19"/>
    <w:bookmarkEnd w:id="20"/>
    <w:bookmarkEnd w:id="21"/>
    <w:bookmarkEnd w:id="22"/>
    <w:bookmarkEnd w:id="23"/>
    <w:bookmarkEnd w:id="24"/>
    <w:bookmarkEnd w:id="25"/>
    <w:p w:rsidR="00485094" w:rsidRPr="0064329B" w:rsidRDefault="00485094">
      <w:pPr>
        <w:rPr>
          <w:rFonts w:ascii="Arial" w:hAnsi="Arial" w:cs="Arial"/>
          <w:b/>
          <w:sz w:val="16"/>
          <w:szCs w:val="16"/>
        </w:rPr>
      </w:pPr>
    </w:p>
    <w:p w:rsidR="00485094" w:rsidRPr="00173D87" w:rsidRDefault="00485094" w:rsidP="00EA3D58">
      <w:pPr>
        <w:rPr>
          <w:rFonts w:ascii="Arial" w:hAnsi="Arial" w:cs="Arial"/>
          <w:b/>
          <w:sz w:val="28"/>
          <w:szCs w:val="28"/>
        </w:rPr>
      </w:pPr>
      <w:r w:rsidRPr="00173D87">
        <w:rPr>
          <w:rFonts w:ascii="Arial" w:hAnsi="Arial" w:cs="Arial"/>
          <w:b/>
          <w:sz w:val="28"/>
          <w:szCs w:val="28"/>
        </w:rPr>
        <w:lastRenderedPageBreak/>
        <w:t>Conclu</w:t>
      </w:r>
      <w:r w:rsidRPr="00173D87">
        <w:rPr>
          <w:rFonts w:ascii="Arial" w:hAnsi="Arial" w:cs="Arial"/>
          <w:b/>
          <w:bCs/>
          <w:sz w:val="28"/>
          <w:szCs w:val="28"/>
        </w:rPr>
        <w:t>s</w:t>
      </w:r>
      <w:r w:rsidRPr="00173D87">
        <w:rPr>
          <w:rFonts w:ascii="Arial" w:hAnsi="Arial" w:cs="Arial"/>
          <w:b/>
          <w:sz w:val="28"/>
          <w:szCs w:val="28"/>
        </w:rPr>
        <w:t>ion</w:t>
      </w:r>
    </w:p>
    <w:p w:rsidR="00485094" w:rsidRDefault="00485094" w:rsidP="00512DF2">
      <w:pPr>
        <w:pStyle w:val="Bodytextreduced"/>
      </w:pPr>
    </w:p>
    <w:p w:rsidR="00485094" w:rsidRDefault="00485094" w:rsidP="00D04777">
      <w:pPr>
        <w:pStyle w:val="Bodytext"/>
      </w:pPr>
      <w:r>
        <w:t>Since the passage of the CWA, FDEP has made t</w:t>
      </w:r>
      <w:r w:rsidRPr="00850CAE">
        <w:t xml:space="preserve">remendous progress </w:t>
      </w:r>
      <w:r>
        <w:t xml:space="preserve">statewide </w:t>
      </w:r>
      <w:r w:rsidRPr="00850CAE">
        <w:t xml:space="preserve">in </w:t>
      </w:r>
      <w:r>
        <w:t xml:space="preserve">identifying and </w:t>
      </w:r>
      <w:r w:rsidRPr="00850CAE">
        <w:t xml:space="preserve">addressing </w:t>
      </w:r>
      <w:r>
        <w:t>surface and ground water contamination</w:t>
      </w:r>
      <w:r w:rsidRPr="00850CAE">
        <w:t xml:space="preserve">.  However, </w:t>
      </w:r>
      <w:r>
        <w:t>much more work remains to be done, especially in the face of</w:t>
      </w:r>
      <w:r w:rsidRPr="00850CAE">
        <w:t xml:space="preserve"> </w:t>
      </w:r>
      <w:r>
        <w:t>Florida’s continued</w:t>
      </w:r>
      <w:r w:rsidRPr="00850CAE">
        <w:t xml:space="preserve"> rapid population growth</w:t>
      </w:r>
      <w:r>
        <w:t xml:space="preserve">.  </w:t>
      </w:r>
    </w:p>
    <w:p w:rsidR="00485094" w:rsidRDefault="00485094" w:rsidP="00D04777">
      <w:pPr>
        <w:pStyle w:val="Bodytext"/>
      </w:pPr>
    </w:p>
    <w:p w:rsidR="00485094" w:rsidRDefault="00485094" w:rsidP="00D04777">
      <w:pPr>
        <w:pStyle w:val="Bodytext"/>
      </w:pPr>
      <w:r w:rsidRPr="00DC1473">
        <w:t xml:space="preserve">In cooperation with other agencies and stakeholders, FDEP </w:t>
      </w:r>
      <w:r>
        <w:t>continues to implement</w:t>
      </w:r>
      <w:r w:rsidRPr="00DC1473">
        <w:t xml:space="preserve"> </w:t>
      </w:r>
      <w:r>
        <w:t xml:space="preserve">numerous </w:t>
      </w:r>
      <w:r w:rsidRPr="00DC1473">
        <w:t xml:space="preserve">programs and activities to </w:t>
      </w:r>
      <w:r>
        <w:t xml:space="preserve">continue its goal of </w:t>
      </w:r>
      <w:r w:rsidRPr="00DC1473">
        <w:t>protect</w:t>
      </w:r>
      <w:r>
        <w:t>ing, managing,</w:t>
      </w:r>
      <w:r w:rsidRPr="00DC1473">
        <w:t xml:space="preserve"> and restor</w:t>
      </w:r>
      <w:r>
        <w:t>ing</w:t>
      </w:r>
      <w:r w:rsidRPr="00DC1473">
        <w:t xml:space="preserve"> </w:t>
      </w:r>
      <w:r>
        <w:t xml:space="preserve">the state’s surface </w:t>
      </w:r>
      <w:r w:rsidRPr="00DC1473">
        <w:t xml:space="preserve">water quality, </w:t>
      </w:r>
      <w:r>
        <w:t xml:space="preserve">aquatic </w:t>
      </w:r>
      <w:r w:rsidRPr="00DC1473">
        <w:t>habitat</w:t>
      </w:r>
      <w:r>
        <w:t>s,</w:t>
      </w:r>
      <w:r w:rsidRPr="00DC1473">
        <w:t xml:space="preserve"> </w:t>
      </w:r>
      <w:r>
        <w:t xml:space="preserve">and </w:t>
      </w:r>
      <w:r w:rsidRPr="00DC1473">
        <w:t>aquatic life, a</w:t>
      </w:r>
      <w:r>
        <w:t>s well as</w:t>
      </w:r>
      <w:r w:rsidRPr="00DC1473">
        <w:t xml:space="preserve"> potable water supplies</w:t>
      </w:r>
      <w:r>
        <w:t xml:space="preserve"> (see </w:t>
      </w:r>
      <w:hyperlink w:anchor="_Chapter_11:_" w:history="1">
        <w:r w:rsidRPr="00CA461C">
          <w:rPr>
            <w:rStyle w:val="Hyperlink"/>
          </w:rPr>
          <w:t>Chapter 11</w:t>
        </w:r>
      </w:hyperlink>
      <w:r>
        <w:t>)</w:t>
      </w:r>
      <w:r w:rsidRPr="00DC1473">
        <w:t>.</w:t>
      </w:r>
      <w:r>
        <w:t xml:space="preserve">  It has also </w:t>
      </w:r>
      <w:r w:rsidRPr="00DC1473">
        <w:t xml:space="preserve">identified </w:t>
      </w:r>
      <w:r>
        <w:t xml:space="preserve">a number of ongoing and emerging issues of concern (see </w:t>
      </w:r>
      <w:hyperlink w:anchor="_Chapter_3:_" w:history="1">
        <w:r w:rsidRPr="00CA461C">
          <w:rPr>
            <w:rStyle w:val="Hyperlink"/>
            <w:rFonts w:cs="Arial"/>
            <w:szCs w:val="22"/>
          </w:rPr>
          <w:t>Chapter 3</w:t>
        </w:r>
      </w:hyperlink>
      <w:r>
        <w:t>); FDEP’s current initiatives to address these issues include the following:</w:t>
      </w:r>
    </w:p>
    <w:p w:rsidR="00485094" w:rsidRDefault="00485094" w:rsidP="00EA3D58">
      <w:pPr>
        <w:rPr>
          <w:rFonts w:ascii="Arial" w:hAnsi="Arial" w:cs="Arial"/>
          <w:sz w:val="22"/>
          <w:szCs w:val="22"/>
        </w:rPr>
      </w:pPr>
    </w:p>
    <w:p w:rsidR="00485094" w:rsidRPr="009434AD" w:rsidRDefault="00485094" w:rsidP="009434AD">
      <w:pPr>
        <w:pStyle w:val="ListBullet"/>
      </w:pPr>
      <w:r w:rsidRPr="009434AD">
        <w:t xml:space="preserve">The development of numeric criteria to </w:t>
      </w:r>
      <w:r>
        <w:t xml:space="preserve">address </w:t>
      </w:r>
      <w:r w:rsidRPr="009434AD">
        <w:t xml:space="preserve">nutrient </w:t>
      </w:r>
      <w:r>
        <w:t>impairment</w:t>
      </w:r>
      <w:r w:rsidRPr="009434AD">
        <w:t xml:space="preserve"> of surface waters</w:t>
      </w:r>
      <w:r>
        <w:t>,</w:t>
      </w:r>
      <w:r w:rsidRPr="009434AD">
        <w:t xml:space="preserve"> caused by </w:t>
      </w:r>
      <w:r>
        <w:t xml:space="preserve">a variety of sources, including septic tanks, </w:t>
      </w:r>
      <w:r w:rsidRPr="009434AD">
        <w:t>higher fertilizer use</w:t>
      </w:r>
      <w:r>
        <w:t>,</w:t>
      </w:r>
      <w:r w:rsidRPr="009434AD">
        <w:t xml:space="preserve"> and increased number of residential landscapes accompanying </w:t>
      </w:r>
      <w:r>
        <w:t>the state’s</w:t>
      </w:r>
      <w:r w:rsidRPr="009434AD">
        <w:t xml:space="preserve"> growing population.</w:t>
      </w:r>
    </w:p>
    <w:p w:rsidR="00485094" w:rsidRPr="009434AD" w:rsidRDefault="00485094" w:rsidP="009434AD">
      <w:pPr>
        <w:pStyle w:val="ListBullet"/>
      </w:pPr>
      <w:r w:rsidRPr="009434AD">
        <w:t>An update of the state’s Stormwater Rule to</w:t>
      </w:r>
      <w:r>
        <w:t xml:space="preserve"> further</w:t>
      </w:r>
      <w:r w:rsidRPr="009434AD">
        <w:t xml:space="preserve"> reduce</w:t>
      </w:r>
      <w:r>
        <w:t xml:space="preserve"> </w:t>
      </w:r>
      <w:r w:rsidRPr="009434AD">
        <w:t>nutrient contamination in urban stormwater.</w:t>
      </w:r>
    </w:p>
    <w:p w:rsidR="00485094" w:rsidRPr="009434AD" w:rsidRDefault="00485094" w:rsidP="009434AD">
      <w:pPr>
        <w:pStyle w:val="ListBullet"/>
      </w:pPr>
      <w:r w:rsidRPr="009434AD">
        <w:t xml:space="preserve">The continued development and implementation of best management practices (BMPs) to </w:t>
      </w:r>
      <w:r>
        <w:t>further reduce</w:t>
      </w:r>
      <w:r w:rsidRPr="009434AD">
        <w:t xml:space="preserve"> contamination from agricultural runoff.</w:t>
      </w:r>
    </w:p>
    <w:p w:rsidR="00485094" w:rsidRPr="009434AD" w:rsidRDefault="00485094" w:rsidP="009434AD">
      <w:pPr>
        <w:pStyle w:val="ListBullet"/>
        <w:rPr>
          <w:szCs w:val="22"/>
        </w:rPr>
      </w:pPr>
      <w:r>
        <w:t>Continued</w:t>
      </w:r>
      <w:r w:rsidRPr="009434AD">
        <w:t xml:space="preserve"> monitoring and investigation of increased nitrate concentrations in springs that cause the overgrowth of aquatic plants—including blue-green algae, which </w:t>
      </w:r>
      <w:r>
        <w:t>can</w:t>
      </w:r>
      <w:r w:rsidRPr="009434AD">
        <w:t xml:space="preserve"> produce toxins</w:t>
      </w:r>
      <w:r>
        <w:t xml:space="preserve"> that affect humans and wildlife</w:t>
      </w:r>
      <w:r w:rsidRPr="009434AD">
        <w:t>.</w:t>
      </w:r>
    </w:p>
    <w:p w:rsidR="00485094" w:rsidRPr="009434AD" w:rsidRDefault="00485094" w:rsidP="009434AD">
      <w:pPr>
        <w:pStyle w:val="ListBullet"/>
        <w:rPr>
          <w:szCs w:val="22"/>
        </w:rPr>
      </w:pPr>
      <w:r w:rsidRPr="009434AD">
        <w:t xml:space="preserve">Scientific studies to quantify the reductions needed to address </w:t>
      </w:r>
      <w:r>
        <w:t xml:space="preserve">the </w:t>
      </w:r>
      <w:r w:rsidRPr="009434AD">
        <w:t>mercury impairment</w:t>
      </w:r>
      <w:r>
        <w:t xml:space="preserve"> of </w:t>
      </w:r>
      <w:r w:rsidRPr="009434AD">
        <w:t>surface waters statewide.</w:t>
      </w:r>
    </w:p>
    <w:p w:rsidR="00485094" w:rsidRPr="009434AD" w:rsidRDefault="00485094" w:rsidP="009434AD">
      <w:pPr>
        <w:pStyle w:val="ListBullet"/>
        <w:rPr>
          <w:szCs w:val="22"/>
        </w:rPr>
      </w:pPr>
      <w:r w:rsidRPr="009434AD">
        <w:t xml:space="preserve">The creation of a multiagency, statewide working group to address </w:t>
      </w:r>
      <w:r>
        <w:t xml:space="preserve">increased </w:t>
      </w:r>
      <w:r w:rsidRPr="009434AD">
        <w:t xml:space="preserve">saltwater intrusion and encroachment into freshwater supplies. </w:t>
      </w:r>
    </w:p>
    <w:p w:rsidR="00485094" w:rsidRPr="009434AD" w:rsidRDefault="00485094" w:rsidP="009434AD">
      <w:pPr>
        <w:pStyle w:val="ListBullet"/>
      </w:pPr>
      <w:r w:rsidRPr="009434AD">
        <w:t>An ongoing study to identify the best locations for potable water wells that will minimize the potential for arsenic contamination</w:t>
      </w:r>
      <w:r>
        <w:t>, which is a problem in a number of areas in the state</w:t>
      </w:r>
      <w:r w:rsidRPr="009434AD">
        <w:t>.</w:t>
      </w:r>
    </w:p>
    <w:p w:rsidR="00485094" w:rsidRPr="009434AD" w:rsidRDefault="00485094" w:rsidP="009434AD">
      <w:pPr>
        <w:pStyle w:val="ListBullet"/>
        <w:rPr>
          <w:szCs w:val="22"/>
        </w:rPr>
      </w:pPr>
      <w:r w:rsidRPr="009434AD">
        <w:t xml:space="preserve">The development of strategies for effectively addressing Emerging Substances of Concern (ESOC), which are man-made chemicals in many consumer goods such as pharmaceuticals and personal care products that </w:t>
      </w:r>
      <w:r>
        <w:t>have been found in</w:t>
      </w:r>
      <w:r w:rsidRPr="009434AD">
        <w:t xml:space="preserve"> water, soils, and the air.  </w:t>
      </w:r>
    </w:p>
    <w:p w:rsidR="00485094" w:rsidRPr="009434AD" w:rsidRDefault="00485094" w:rsidP="009434AD">
      <w:pPr>
        <w:pStyle w:val="ListBullet"/>
        <w:rPr>
          <w:szCs w:val="22"/>
        </w:rPr>
      </w:pPr>
      <w:r w:rsidRPr="009434AD">
        <w:t xml:space="preserve">The study of potential impacts on the state’s aquatic resources linked to </w:t>
      </w:r>
      <w:r>
        <w:t xml:space="preserve">the </w:t>
      </w:r>
      <w:r w:rsidRPr="009434AD">
        <w:t>increased acidification of</w:t>
      </w:r>
      <w:r>
        <w:t xml:space="preserve"> the nation’s coastal waters.</w:t>
      </w:r>
    </w:p>
    <w:p w:rsidR="00485094" w:rsidRPr="009434AD" w:rsidRDefault="00485094" w:rsidP="009434AD">
      <w:pPr>
        <w:pStyle w:val="ListBullet"/>
      </w:pPr>
      <w:r w:rsidRPr="009434AD">
        <w:t xml:space="preserve">The revision of fecal coliform criteria and methods </w:t>
      </w:r>
      <w:r>
        <w:t>to assess</w:t>
      </w:r>
      <w:r w:rsidRPr="009434AD">
        <w:t xml:space="preserve"> human health issues at beaches and shellfish-harvesting areas more rapid</w:t>
      </w:r>
      <w:r>
        <w:t>ly and accurately</w:t>
      </w:r>
      <w:r w:rsidRPr="009434AD">
        <w:t xml:space="preserve">.  </w:t>
      </w:r>
    </w:p>
    <w:p w:rsidR="00485094" w:rsidRPr="009434AD" w:rsidRDefault="00485094" w:rsidP="009434AD">
      <w:pPr>
        <w:pStyle w:val="ListBullet"/>
      </w:pPr>
      <w:r w:rsidRPr="009434AD">
        <w:t>The revision of DO criteria to more clearly define “natural conditions” and to better understand the natural variability of DO and nutrient levels in freshwater aquatic systems statewide.</w:t>
      </w:r>
    </w:p>
    <w:p w:rsidR="00485094" w:rsidRDefault="00485094"/>
    <w:p w:rsidR="00485094" w:rsidRDefault="00485094">
      <w:pPr>
        <w:sectPr w:rsidR="00485094" w:rsidSect="004637F9">
          <w:pgSz w:w="12240" w:h="15840" w:code="1"/>
          <w:pgMar w:top="1440" w:right="1440" w:bottom="1440" w:left="1440" w:header="720" w:footer="720" w:gutter="0"/>
          <w:paperSrc w:first="261"/>
          <w:pgNumType w:fmt="lowerRoman"/>
          <w:cols w:space="720"/>
          <w:docGrid w:linePitch="360"/>
        </w:sectPr>
      </w:pPr>
    </w:p>
    <w:p w:rsidR="00FC6EE0" w:rsidRDefault="00FC6EE0" w:rsidP="00FC6EE0">
      <w:pPr>
        <w:pStyle w:val="Bodytextreduced"/>
      </w:pPr>
      <w:bookmarkStart w:id="26" w:name="_Toc255822480"/>
      <w:bookmarkStart w:id="27" w:name="_Toc271279924"/>
    </w:p>
    <w:p w:rsidR="00485094" w:rsidRPr="00DF1487" w:rsidRDefault="00485094" w:rsidP="00DF1487">
      <w:pPr>
        <w:pStyle w:val="Heading1"/>
      </w:pPr>
      <w:r w:rsidRPr="00DF1487">
        <w:t>Chapter 1:  Introduction</w:t>
      </w:r>
      <w:bookmarkEnd w:id="26"/>
      <w:bookmarkEnd w:id="27"/>
    </w:p>
    <w:p w:rsidR="00485094" w:rsidRDefault="00485094" w:rsidP="003E3BEB">
      <w:pPr>
        <w:pStyle w:val="Bodytextreduced"/>
        <w:rPr>
          <w:snapToGrid w:val="0"/>
        </w:rPr>
      </w:pPr>
      <w:bookmarkStart w:id="28" w:name="_Toc74537756"/>
      <w:bookmarkStart w:id="29" w:name="_Toc74537891"/>
      <w:bookmarkStart w:id="30" w:name="_Toc74537909"/>
      <w:bookmarkStart w:id="31" w:name="_Toc74538231"/>
      <w:bookmarkStart w:id="32" w:name="_Toc78886281"/>
      <w:bookmarkStart w:id="33" w:name="_Toc255822481"/>
      <w:bookmarkStart w:id="34" w:name="_Toc67394374"/>
    </w:p>
    <w:p w:rsidR="00485094" w:rsidRDefault="00A74EF3" w:rsidP="004A09CC">
      <w:pPr>
        <w:pStyle w:val="Heading2"/>
        <w:rPr>
          <w:snapToGrid w:val="0"/>
        </w:rPr>
      </w:pPr>
      <w:r>
        <w:rPr>
          <w:noProof/>
        </w:rPr>
        <w:pict>
          <v:shape id="_x0000_s1034" type="#_x0000_t202" alt="Text Box: Contents&#10;&#10;• Chapter 1 provides background information on the federal assessment and reporting requirements and how they are integrated into Florida’s watershed management approach.  &#10;• Chapter 2 contains background information on the state’s population, surface water and ground water resources, climate, and hydrogeology.  &#10;• Chapter 3 summarizes Florida’s water resource management program to monitor and protect surface and ground water resources, discusses ongoing efforts to understand and address major water quality and public health issues, and summarizes ongoing state concerns and initiatives.&#10;• Chapter 4 discusses Florida’s general approach to monitoring surface water and ground water.&#10;• Chapter 5 describes the statewide Status and Trend Monitoring Networks.  These surface and ground water ambient monitoring programs allow estimates of the percentage of waters statewide that meet/do not meet water quality thresholds for their designated uses, or track changes in water quality over time.&#10;•  Chapter 6 summarizes the results of the Status Monitoring Network from 2004 through 2008, as well as long-term trends in surface and ground water quality.&#10;• Chapter 7 describes the Strategic Monitoring design. &#10;• Chapter 8 summarizes the significant surface water quality findings for Strategic Monitoring and the attainment of designated uses for rivers and streams, lakes, estuaries, and coastal waters.&#10;• Chapter 9 discusses the state’s ground water monitoring programs.&#10;• Chapter 10 presents significant ground water quality findings, summarizes ground water contaminant sources, and characterizes ground water–surface water interactions.  Evaluating ground water resources is particularly important because 90% of the state’s drinking water supplies come from ground water.  &#10;• The Appendices, which are in a separate document, provide background information and supporting data.&#10;&#10;" style="position:absolute;margin-left:-2.8pt;margin-top:9.15pt;width:286.5pt;height:561.55pt;z-index:-251673088;mso-wrap-distance-right:21.6pt;mso-width-relative:margin;mso-height-relative:margin" wrapcoords="-466 -233 -466 21367 -175 21571 21658 21571 21600 -29 21192 -233 -466 -233" fillcolor="#ffc">
            <v:shadow on="t" opacity=".5" offset="-6pt,-6pt"/>
            <v:textbox style="mso-next-textbox:#_x0000_s1034">
              <w:txbxContent>
                <w:p w:rsidR="00A75953" w:rsidRDefault="00A75953" w:rsidP="004637F9">
                  <w:pPr>
                    <w:pStyle w:val="Bodytextreduced"/>
                  </w:pPr>
                </w:p>
                <w:p w:rsidR="00A75953" w:rsidRPr="00133BE6" w:rsidRDefault="00A75953" w:rsidP="00FE0955">
                  <w:pPr>
                    <w:jc w:val="center"/>
                    <w:rPr>
                      <w:rFonts w:ascii="Arial" w:hAnsi="Arial" w:cs="Arial"/>
                      <w:b/>
                      <w:i/>
                      <w:sz w:val="28"/>
                      <w:szCs w:val="28"/>
                    </w:rPr>
                  </w:pPr>
                  <w:r>
                    <w:rPr>
                      <w:rFonts w:ascii="Arial" w:hAnsi="Arial" w:cs="Arial"/>
                      <w:b/>
                      <w:i/>
                      <w:sz w:val="28"/>
                      <w:szCs w:val="28"/>
                    </w:rPr>
                    <w:t>Contents</w:t>
                  </w:r>
                </w:p>
                <w:p w:rsidR="00A75953" w:rsidRPr="00FE0955" w:rsidRDefault="00A75953" w:rsidP="00FE0955">
                  <w:pPr>
                    <w:rPr>
                      <w:rFonts w:ascii="Arial" w:hAnsi="Arial" w:cs="Arial"/>
                      <w:b/>
                      <w:sz w:val="22"/>
                      <w:szCs w:val="22"/>
                    </w:rPr>
                  </w:pPr>
                </w:p>
                <w:p w:rsidR="00A75953" w:rsidRDefault="00A75953">
                  <w:pPr>
                    <w:numPr>
                      <w:ilvl w:val="0"/>
                      <w:numId w:val="16"/>
                    </w:numPr>
                    <w:spacing w:after="60"/>
                    <w:rPr>
                      <w:rStyle w:val="ListBulletChar"/>
                      <w:rFonts w:cs="Arial"/>
                      <w:i w:val="0"/>
                      <w:sz w:val="20"/>
                      <w:szCs w:val="20"/>
                    </w:rPr>
                  </w:pPr>
                  <w:r w:rsidRPr="00FE0955">
                    <w:rPr>
                      <w:rStyle w:val="ListBulletChar"/>
                      <w:b/>
                      <w:sz w:val="20"/>
                      <w:szCs w:val="20"/>
                    </w:rPr>
                    <w:t>Chapter 1</w:t>
                  </w:r>
                  <w:r w:rsidRPr="00FE0955">
                    <w:rPr>
                      <w:rStyle w:val="ListBulletChar"/>
                      <w:sz w:val="20"/>
                      <w:szCs w:val="20"/>
                    </w:rPr>
                    <w:t xml:space="preserve"> provides background information on the federal assessment and reporting requirements and how the</w:t>
                  </w:r>
                  <w:r>
                    <w:rPr>
                      <w:rStyle w:val="ListBulletChar"/>
                      <w:sz w:val="20"/>
                      <w:szCs w:val="20"/>
                    </w:rPr>
                    <w:t>y</w:t>
                  </w:r>
                  <w:r w:rsidRPr="00FE0955">
                    <w:rPr>
                      <w:rStyle w:val="ListBulletChar"/>
                      <w:sz w:val="20"/>
                      <w:szCs w:val="20"/>
                    </w:rPr>
                    <w:t xml:space="preserve"> are integrated into Florida’s watershed management approach.  </w:t>
                  </w:r>
                </w:p>
                <w:p w:rsidR="00A75953" w:rsidRDefault="00A75953">
                  <w:pPr>
                    <w:numPr>
                      <w:ilvl w:val="0"/>
                      <w:numId w:val="16"/>
                    </w:numPr>
                    <w:spacing w:after="60"/>
                    <w:rPr>
                      <w:rStyle w:val="ListBulletChar"/>
                      <w:rFonts w:cs="Arial"/>
                      <w:i w:val="0"/>
                      <w:sz w:val="20"/>
                      <w:szCs w:val="20"/>
                    </w:rPr>
                  </w:pPr>
                  <w:r w:rsidRPr="00FE0955">
                    <w:rPr>
                      <w:rStyle w:val="ListBulletChar"/>
                      <w:b/>
                      <w:sz w:val="20"/>
                      <w:szCs w:val="20"/>
                    </w:rPr>
                    <w:t>Chapter 2</w:t>
                  </w:r>
                  <w:r w:rsidRPr="00FE0955">
                    <w:rPr>
                      <w:rStyle w:val="ListBulletChar"/>
                      <w:sz w:val="20"/>
                      <w:szCs w:val="20"/>
                    </w:rPr>
                    <w:t xml:space="preserve"> contains background information on the state’s population, surface water and ground water resources, climate, and hydrogeology.  </w:t>
                  </w:r>
                </w:p>
                <w:p w:rsidR="00A75953" w:rsidRDefault="00A75953">
                  <w:pPr>
                    <w:numPr>
                      <w:ilvl w:val="0"/>
                      <w:numId w:val="16"/>
                    </w:numPr>
                    <w:spacing w:after="60"/>
                    <w:rPr>
                      <w:rStyle w:val="ListBulletChar"/>
                      <w:rFonts w:cs="Arial"/>
                      <w:i w:val="0"/>
                      <w:sz w:val="20"/>
                      <w:szCs w:val="20"/>
                    </w:rPr>
                  </w:pPr>
                  <w:r w:rsidRPr="00FE0955">
                    <w:rPr>
                      <w:rStyle w:val="ListBulletChar"/>
                      <w:b/>
                      <w:sz w:val="20"/>
                      <w:szCs w:val="20"/>
                    </w:rPr>
                    <w:t>Chapter 3</w:t>
                  </w:r>
                  <w:r w:rsidRPr="00FE0955">
                    <w:rPr>
                      <w:rStyle w:val="ListBulletChar"/>
                      <w:sz w:val="20"/>
                      <w:szCs w:val="20"/>
                    </w:rPr>
                    <w:t xml:space="preserve"> summarizes </w:t>
                  </w:r>
                  <w:r>
                    <w:rPr>
                      <w:rStyle w:val="ListBulletChar"/>
                      <w:sz w:val="20"/>
                      <w:szCs w:val="20"/>
                    </w:rPr>
                    <w:t>ongoing public health issues and emerging state concerns and initiatives</w:t>
                  </w:r>
                  <w:r w:rsidRPr="00FE0955">
                    <w:rPr>
                      <w:rStyle w:val="ListBulletChar"/>
                      <w:sz w:val="20"/>
                      <w:szCs w:val="20"/>
                    </w:rPr>
                    <w:t>.</w:t>
                  </w:r>
                </w:p>
                <w:p w:rsidR="00A75953" w:rsidRDefault="00A75953">
                  <w:pPr>
                    <w:numPr>
                      <w:ilvl w:val="0"/>
                      <w:numId w:val="16"/>
                    </w:numPr>
                    <w:spacing w:after="60"/>
                    <w:rPr>
                      <w:rStyle w:val="ListBulletChar"/>
                      <w:rFonts w:cs="Arial"/>
                      <w:i w:val="0"/>
                      <w:sz w:val="20"/>
                      <w:szCs w:val="20"/>
                    </w:rPr>
                  </w:pPr>
                  <w:r w:rsidRPr="00FE0955">
                    <w:rPr>
                      <w:rStyle w:val="ListBulletChar"/>
                      <w:b/>
                      <w:sz w:val="20"/>
                      <w:szCs w:val="20"/>
                    </w:rPr>
                    <w:t>Chapter 4</w:t>
                  </w:r>
                  <w:r w:rsidRPr="00FE0955">
                    <w:rPr>
                      <w:rStyle w:val="ListBulletChar"/>
                      <w:sz w:val="20"/>
                      <w:szCs w:val="20"/>
                    </w:rPr>
                    <w:t xml:space="preserve"> </w:t>
                  </w:r>
                  <w:r>
                    <w:rPr>
                      <w:rStyle w:val="ListBulletChar"/>
                      <w:sz w:val="20"/>
                      <w:szCs w:val="20"/>
                    </w:rPr>
                    <w:t>discusses</w:t>
                  </w:r>
                  <w:r w:rsidRPr="00FE0955">
                    <w:rPr>
                      <w:rStyle w:val="ListBulletChar"/>
                      <w:sz w:val="20"/>
                      <w:szCs w:val="20"/>
                    </w:rPr>
                    <w:t xml:space="preserve"> Florida’s </w:t>
                  </w:r>
                  <w:r>
                    <w:rPr>
                      <w:rStyle w:val="ListBulletChar"/>
                      <w:sz w:val="20"/>
                      <w:szCs w:val="20"/>
                    </w:rPr>
                    <w:t xml:space="preserve">general </w:t>
                  </w:r>
                  <w:r w:rsidRPr="00FE0955">
                    <w:rPr>
                      <w:rStyle w:val="ListBulletChar"/>
                      <w:sz w:val="20"/>
                      <w:szCs w:val="20"/>
                    </w:rPr>
                    <w:t>approach to monitoring s</w:t>
                  </w:r>
                  <w:r>
                    <w:rPr>
                      <w:rStyle w:val="ListBulletChar"/>
                      <w:sz w:val="20"/>
                      <w:szCs w:val="20"/>
                    </w:rPr>
                    <w:t>urface water and ground water.</w:t>
                  </w:r>
                </w:p>
                <w:p w:rsidR="00A75953" w:rsidRDefault="00A75953">
                  <w:pPr>
                    <w:numPr>
                      <w:ilvl w:val="0"/>
                      <w:numId w:val="16"/>
                    </w:numPr>
                    <w:spacing w:after="60"/>
                    <w:rPr>
                      <w:rStyle w:val="ListBulletChar"/>
                      <w:rFonts w:cs="Arial"/>
                      <w:i w:val="0"/>
                      <w:sz w:val="20"/>
                      <w:szCs w:val="20"/>
                    </w:rPr>
                  </w:pPr>
                  <w:r w:rsidRPr="00FE0955">
                    <w:rPr>
                      <w:rStyle w:val="ListBulletChar"/>
                      <w:b/>
                      <w:sz w:val="20"/>
                      <w:szCs w:val="20"/>
                    </w:rPr>
                    <w:t>Chapter 5</w:t>
                  </w:r>
                  <w:r w:rsidRPr="00FE0955">
                    <w:rPr>
                      <w:rStyle w:val="ListBulletChar"/>
                      <w:sz w:val="20"/>
                      <w:szCs w:val="20"/>
                    </w:rPr>
                    <w:t xml:space="preserve"> </w:t>
                  </w:r>
                  <w:r>
                    <w:rPr>
                      <w:rStyle w:val="ListBulletChar"/>
                      <w:sz w:val="20"/>
                      <w:szCs w:val="20"/>
                    </w:rPr>
                    <w:t>describes</w:t>
                  </w:r>
                  <w:r w:rsidRPr="00FE0955">
                    <w:rPr>
                      <w:rStyle w:val="ListBulletChar"/>
                      <w:sz w:val="20"/>
                      <w:szCs w:val="20"/>
                    </w:rPr>
                    <w:t xml:space="preserve"> the </w:t>
                  </w:r>
                  <w:r>
                    <w:rPr>
                      <w:rStyle w:val="ListBulletChar"/>
                      <w:sz w:val="20"/>
                      <w:szCs w:val="20"/>
                    </w:rPr>
                    <w:t xml:space="preserve">statewide </w:t>
                  </w:r>
                  <w:r w:rsidRPr="00FE0955">
                    <w:rPr>
                      <w:rStyle w:val="ListBulletChar"/>
                      <w:sz w:val="20"/>
                      <w:szCs w:val="20"/>
                    </w:rPr>
                    <w:t xml:space="preserve">Status </w:t>
                  </w:r>
                  <w:r>
                    <w:rPr>
                      <w:rStyle w:val="ListBulletChar"/>
                      <w:sz w:val="20"/>
                      <w:szCs w:val="20"/>
                    </w:rPr>
                    <w:t xml:space="preserve">and Trend Monitoring </w:t>
                  </w:r>
                  <w:r w:rsidRPr="00FE0955">
                    <w:rPr>
                      <w:rStyle w:val="ListBulletChar"/>
                      <w:sz w:val="20"/>
                      <w:szCs w:val="20"/>
                    </w:rPr>
                    <w:t>Network</w:t>
                  </w:r>
                  <w:r>
                    <w:rPr>
                      <w:rStyle w:val="ListBulletChar"/>
                      <w:sz w:val="20"/>
                      <w:szCs w:val="20"/>
                    </w:rPr>
                    <w:t>s.  These surface and ground water ambient</w:t>
                  </w:r>
                  <w:r w:rsidRPr="00FE0955">
                    <w:rPr>
                      <w:rStyle w:val="ListBulletChar"/>
                      <w:sz w:val="20"/>
                      <w:szCs w:val="20"/>
                    </w:rPr>
                    <w:t xml:space="preserve"> </w:t>
                  </w:r>
                  <w:r>
                    <w:rPr>
                      <w:rStyle w:val="ListBulletChar"/>
                      <w:sz w:val="20"/>
                      <w:szCs w:val="20"/>
                    </w:rPr>
                    <w:t xml:space="preserve">monitoring programs allow </w:t>
                  </w:r>
                  <w:r w:rsidRPr="00FE0955">
                    <w:rPr>
                      <w:rStyle w:val="ListBulletChar"/>
                      <w:sz w:val="20"/>
                      <w:szCs w:val="20"/>
                    </w:rPr>
                    <w:t xml:space="preserve">estimates </w:t>
                  </w:r>
                  <w:r>
                    <w:rPr>
                      <w:rStyle w:val="ListBulletChar"/>
                      <w:sz w:val="20"/>
                      <w:szCs w:val="20"/>
                    </w:rPr>
                    <w:t xml:space="preserve">of </w:t>
                  </w:r>
                  <w:r w:rsidRPr="00FE0955">
                    <w:rPr>
                      <w:rStyle w:val="ListBulletChar"/>
                      <w:sz w:val="20"/>
                      <w:szCs w:val="20"/>
                    </w:rPr>
                    <w:t xml:space="preserve">the percentage of waters statewide that meet/do not meet water quality thresholds for </w:t>
                  </w:r>
                  <w:r>
                    <w:rPr>
                      <w:rStyle w:val="ListBulletChar"/>
                      <w:sz w:val="20"/>
                      <w:szCs w:val="20"/>
                    </w:rPr>
                    <w:t xml:space="preserve">their </w:t>
                  </w:r>
                  <w:r w:rsidRPr="00FE0955">
                    <w:rPr>
                      <w:rStyle w:val="ListBulletChar"/>
                      <w:sz w:val="20"/>
                      <w:szCs w:val="20"/>
                    </w:rPr>
                    <w:t>designated uses</w:t>
                  </w:r>
                  <w:r>
                    <w:rPr>
                      <w:rStyle w:val="ListBulletChar"/>
                      <w:sz w:val="20"/>
                      <w:szCs w:val="20"/>
                    </w:rPr>
                    <w:t>, or track changes in water quality over time.</w:t>
                  </w:r>
                </w:p>
                <w:p w:rsidR="00A75953" w:rsidRDefault="00A75953">
                  <w:pPr>
                    <w:numPr>
                      <w:ilvl w:val="0"/>
                      <w:numId w:val="16"/>
                    </w:numPr>
                    <w:spacing w:after="60"/>
                    <w:rPr>
                      <w:rStyle w:val="ListBulletChar"/>
                      <w:rFonts w:cs="Arial"/>
                      <w:i w:val="0"/>
                      <w:sz w:val="20"/>
                      <w:szCs w:val="20"/>
                    </w:rPr>
                  </w:pPr>
                  <w:r w:rsidRPr="00FE0955">
                    <w:rPr>
                      <w:rStyle w:val="ListBulletChar"/>
                      <w:sz w:val="20"/>
                      <w:szCs w:val="20"/>
                    </w:rPr>
                    <w:t xml:space="preserve"> </w:t>
                  </w:r>
                  <w:r w:rsidRPr="00650C23">
                    <w:rPr>
                      <w:rStyle w:val="ListBulletChar"/>
                      <w:b/>
                      <w:sz w:val="20"/>
                      <w:szCs w:val="20"/>
                    </w:rPr>
                    <w:t>Chapter 6</w:t>
                  </w:r>
                  <w:r w:rsidRPr="00650C23">
                    <w:rPr>
                      <w:rStyle w:val="ListBulletChar"/>
                      <w:sz w:val="20"/>
                      <w:szCs w:val="20"/>
                    </w:rPr>
                    <w:t xml:space="preserve"> summarizes the results of the Status Monitoring Network from 2004 through 2008, as well as long-term trends in surface and ground water quality.</w:t>
                  </w:r>
                </w:p>
                <w:p w:rsidR="00A75953" w:rsidRDefault="00A75953">
                  <w:pPr>
                    <w:numPr>
                      <w:ilvl w:val="0"/>
                      <w:numId w:val="16"/>
                    </w:numPr>
                    <w:spacing w:after="60"/>
                    <w:rPr>
                      <w:rStyle w:val="ListBulletChar"/>
                      <w:rFonts w:cs="Arial"/>
                      <w:i w:val="0"/>
                      <w:sz w:val="20"/>
                      <w:szCs w:val="20"/>
                    </w:rPr>
                  </w:pPr>
                  <w:r>
                    <w:rPr>
                      <w:rStyle w:val="ListBulletChar"/>
                      <w:b/>
                      <w:sz w:val="20"/>
                      <w:szCs w:val="20"/>
                    </w:rPr>
                    <w:t>Chapter 7</w:t>
                  </w:r>
                  <w:r>
                    <w:rPr>
                      <w:rStyle w:val="ListBulletChar"/>
                      <w:sz w:val="20"/>
                      <w:szCs w:val="20"/>
                    </w:rPr>
                    <w:t xml:space="preserve"> describes the Strategic Monitoring design. </w:t>
                  </w:r>
                </w:p>
                <w:p w:rsidR="00A75953" w:rsidRDefault="00A75953">
                  <w:pPr>
                    <w:numPr>
                      <w:ilvl w:val="0"/>
                      <w:numId w:val="16"/>
                    </w:numPr>
                    <w:spacing w:after="60"/>
                    <w:rPr>
                      <w:rStyle w:val="ListBulletChar"/>
                      <w:rFonts w:cs="Arial"/>
                      <w:i w:val="0"/>
                      <w:sz w:val="20"/>
                      <w:szCs w:val="20"/>
                    </w:rPr>
                  </w:pPr>
                  <w:r>
                    <w:rPr>
                      <w:rStyle w:val="ListBulletChar"/>
                      <w:b/>
                      <w:sz w:val="20"/>
                      <w:szCs w:val="20"/>
                    </w:rPr>
                    <w:t>Chapter 8</w:t>
                  </w:r>
                  <w:r>
                    <w:rPr>
                      <w:rStyle w:val="ListBulletChar"/>
                      <w:sz w:val="20"/>
                      <w:szCs w:val="20"/>
                    </w:rPr>
                    <w:t xml:space="preserve"> summarizes the significant surface water quality findings for</w:t>
                  </w:r>
                  <w:r w:rsidRPr="00826CA0">
                    <w:rPr>
                      <w:rStyle w:val="ListBulletChar"/>
                      <w:sz w:val="20"/>
                      <w:szCs w:val="20"/>
                    </w:rPr>
                    <w:t xml:space="preserve"> Strategic Monitoring</w:t>
                  </w:r>
                  <w:r w:rsidRPr="00650C23">
                    <w:rPr>
                      <w:rStyle w:val="ListBulletChar"/>
                      <w:sz w:val="20"/>
                      <w:szCs w:val="20"/>
                    </w:rPr>
                    <w:t xml:space="preserve"> and the attainment of designated uses for rivers and streams, lakes, estuaries, and coastal waters.</w:t>
                  </w:r>
                </w:p>
                <w:p w:rsidR="00A75953" w:rsidRDefault="00A75953">
                  <w:pPr>
                    <w:numPr>
                      <w:ilvl w:val="0"/>
                      <w:numId w:val="16"/>
                    </w:numPr>
                    <w:spacing w:after="60"/>
                    <w:rPr>
                      <w:rFonts w:ascii="Arial" w:hAnsi="Arial" w:cs="Arial"/>
                      <w:i/>
                      <w:sz w:val="20"/>
                      <w:szCs w:val="20"/>
                    </w:rPr>
                  </w:pPr>
                  <w:r w:rsidRPr="00FE0955">
                    <w:rPr>
                      <w:rStyle w:val="ListBulletChar"/>
                      <w:rFonts w:cs="Arial"/>
                      <w:b/>
                      <w:sz w:val="20"/>
                      <w:szCs w:val="20"/>
                    </w:rPr>
                    <w:t xml:space="preserve">Chapter 9 </w:t>
                  </w:r>
                  <w:r>
                    <w:rPr>
                      <w:rStyle w:val="ListBulletChar"/>
                      <w:rFonts w:cs="Arial"/>
                      <w:sz w:val="20"/>
                      <w:szCs w:val="20"/>
                    </w:rPr>
                    <w:t>discusses</w:t>
                  </w:r>
                  <w:r w:rsidRPr="00FE0955">
                    <w:rPr>
                      <w:rStyle w:val="ListBulletChar"/>
                      <w:rFonts w:cs="Arial"/>
                      <w:sz w:val="20"/>
                      <w:szCs w:val="20"/>
                    </w:rPr>
                    <w:t xml:space="preserve"> the state’s ground water</w:t>
                  </w:r>
                  <w:r w:rsidRPr="00FE0955">
                    <w:rPr>
                      <w:rFonts w:ascii="Arial" w:hAnsi="Arial" w:cs="Arial"/>
                      <w:i/>
                      <w:sz w:val="20"/>
                      <w:szCs w:val="20"/>
                    </w:rPr>
                    <w:t xml:space="preserve"> monitoring program</w:t>
                  </w:r>
                  <w:r>
                    <w:rPr>
                      <w:rFonts w:ascii="Arial" w:hAnsi="Arial" w:cs="Arial"/>
                      <w:i/>
                      <w:sz w:val="20"/>
                      <w:szCs w:val="20"/>
                    </w:rPr>
                    <w:t>s.</w:t>
                  </w:r>
                </w:p>
                <w:p w:rsidR="00A75953" w:rsidRDefault="00A75953">
                  <w:pPr>
                    <w:numPr>
                      <w:ilvl w:val="0"/>
                      <w:numId w:val="16"/>
                    </w:numPr>
                    <w:spacing w:after="60"/>
                    <w:rPr>
                      <w:rFonts w:ascii="Arial" w:hAnsi="Arial" w:cs="Arial"/>
                      <w:i/>
                      <w:sz w:val="20"/>
                      <w:szCs w:val="20"/>
                    </w:rPr>
                  </w:pPr>
                  <w:r w:rsidRPr="005B1607">
                    <w:rPr>
                      <w:rStyle w:val="ListBulletChar"/>
                      <w:rFonts w:cs="Arial"/>
                      <w:b/>
                      <w:sz w:val="20"/>
                      <w:szCs w:val="20"/>
                    </w:rPr>
                    <w:t>Chapter 10</w:t>
                  </w:r>
                  <w:r w:rsidRPr="005B1607">
                    <w:rPr>
                      <w:rFonts w:ascii="Arial" w:hAnsi="Arial" w:cs="Arial"/>
                      <w:i/>
                      <w:sz w:val="20"/>
                      <w:szCs w:val="20"/>
                    </w:rPr>
                    <w:t xml:space="preserve"> presents significant ground water quality findings, summarizes ground water contaminant sources, and characterizes ground water–surface water interactions.  Evaluating ground water resources is particularly important because 90% of the state’s drinking water supplies come from ground water.  </w:t>
                  </w:r>
                </w:p>
                <w:p w:rsidR="00A75953" w:rsidRDefault="00A75953">
                  <w:pPr>
                    <w:numPr>
                      <w:ilvl w:val="0"/>
                      <w:numId w:val="16"/>
                    </w:numPr>
                    <w:spacing w:after="60"/>
                    <w:rPr>
                      <w:rFonts w:ascii="Arial" w:hAnsi="Arial" w:cs="Arial"/>
                      <w:i/>
                      <w:sz w:val="20"/>
                      <w:szCs w:val="20"/>
                    </w:rPr>
                  </w:pPr>
                  <w:r>
                    <w:rPr>
                      <w:rStyle w:val="ListBulletChar"/>
                      <w:rFonts w:cs="Arial"/>
                      <w:b/>
                      <w:sz w:val="20"/>
                      <w:szCs w:val="20"/>
                    </w:rPr>
                    <w:t xml:space="preserve">Chapter 11 </w:t>
                  </w:r>
                  <w:r w:rsidRPr="00CA461C">
                    <w:rPr>
                      <w:rStyle w:val="ListBulletChar"/>
                      <w:rFonts w:cs="Arial"/>
                      <w:sz w:val="20"/>
                      <w:szCs w:val="20"/>
                    </w:rPr>
                    <w:t>describes</w:t>
                  </w:r>
                  <w:r>
                    <w:rPr>
                      <w:rStyle w:val="ListBulletChar"/>
                      <w:rFonts w:cs="Arial"/>
                      <w:b/>
                      <w:sz w:val="20"/>
                      <w:szCs w:val="20"/>
                    </w:rPr>
                    <w:t xml:space="preserve"> </w:t>
                  </w:r>
                  <w:r w:rsidRPr="00FE0955">
                    <w:rPr>
                      <w:rStyle w:val="ListBulletChar"/>
                      <w:sz w:val="20"/>
                      <w:szCs w:val="20"/>
                    </w:rPr>
                    <w:t xml:space="preserve">Florida’s </w:t>
                  </w:r>
                  <w:r>
                    <w:rPr>
                      <w:rStyle w:val="ListBulletChar"/>
                      <w:sz w:val="20"/>
                      <w:szCs w:val="20"/>
                    </w:rPr>
                    <w:t xml:space="preserve">water resource management </w:t>
                  </w:r>
                  <w:r w:rsidRPr="00605932">
                    <w:rPr>
                      <w:rStyle w:val="ListBulletChar"/>
                      <w:sz w:val="20"/>
                      <w:szCs w:val="20"/>
                    </w:rPr>
                    <w:t>program to monitor</w:t>
                  </w:r>
                  <w:r>
                    <w:rPr>
                      <w:rStyle w:val="ListBulletChar"/>
                      <w:sz w:val="20"/>
                      <w:szCs w:val="20"/>
                    </w:rPr>
                    <w:t xml:space="preserve"> and protect surface </w:t>
                  </w:r>
                  <w:r w:rsidRPr="00FE0955">
                    <w:rPr>
                      <w:rStyle w:val="ListBulletChar"/>
                      <w:sz w:val="20"/>
                      <w:szCs w:val="20"/>
                    </w:rPr>
                    <w:t>water resources</w:t>
                  </w:r>
                  <w:r>
                    <w:rPr>
                      <w:rStyle w:val="ListBulletChar"/>
                      <w:sz w:val="20"/>
                      <w:szCs w:val="20"/>
                    </w:rPr>
                    <w:t>.</w:t>
                  </w:r>
                </w:p>
                <w:p w:rsidR="00A75953" w:rsidRDefault="00A75953">
                  <w:pPr>
                    <w:numPr>
                      <w:ilvl w:val="0"/>
                      <w:numId w:val="16"/>
                    </w:numPr>
                    <w:spacing w:after="60"/>
                    <w:rPr>
                      <w:rFonts w:ascii="Arial" w:hAnsi="Arial" w:cs="Arial"/>
                      <w:i/>
                      <w:sz w:val="20"/>
                      <w:szCs w:val="20"/>
                    </w:rPr>
                  </w:pPr>
                  <w:r>
                    <w:rPr>
                      <w:rFonts w:ascii="Arial" w:hAnsi="Arial" w:cs="Arial"/>
                      <w:i/>
                      <w:sz w:val="20"/>
                      <w:szCs w:val="20"/>
                    </w:rPr>
                    <w:t xml:space="preserve">The </w:t>
                  </w:r>
                  <w:r w:rsidRPr="00FE0955">
                    <w:rPr>
                      <w:rFonts w:ascii="Arial" w:hAnsi="Arial" w:cs="Arial"/>
                      <w:b/>
                      <w:i/>
                      <w:sz w:val="20"/>
                      <w:szCs w:val="20"/>
                    </w:rPr>
                    <w:t>Appendices</w:t>
                  </w:r>
                  <w:r>
                    <w:rPr>
                      <w:rFonts w:ascii="Arial" w:hAnsi="Arial" w:cs="Arial"/>
                      <w:i/>
                      <w:sz w:val="20"/>
                      <w:szCs w:val="20"/>
                    </w:rPr>
                    <w:t>, which are in a separate document, provide b</w:t>
                  </w:r>
                  <w:r w:rsidRPr="00FE0955">
                    <w:rPr>
                      <w:rStyle w:val="ListBulletChar"/>
                      <w:rFonts w:cs="Arial"/>
                      <w:sz w:val="20"/>
                      <w:szCs w:val="20"/>
                    </w:rPr>
                    <w:t>ackground information and supporting data</w:t>
                  </w:r>
                  <w:r>
                    <w:rPr>
                      <w:rStyle w:val="ListBulletChar"/>
                      <w:rFonts w:cs="Arial"/>
                      <w:sz w:val="20"/>
                      <w:szCs w:val="20"/>
                    </w:rPr>
                    <w:t>.</w:t>
                  </w:r>
                </w:p>
              </w:txbxContent>
            </v:textbox>
            <w10:wrap type="tight"/>
          </v:shape>
        </w:pict>
      </w:r>
      <w:bookmarkStart w:id="35" w:name="_Toc271279925"/>
      <w:r w:rsidR="00485094">
        <w:rPr>
          <w:snapToGrid w:val="0"/>
        </w:rPr>
        <w:t>Purpose</w:t>
      </w:r>
      <w:bookmarkEnd w:id="28"/>
      <w:bookmarkEnd w:id="29"/>
      <w:bookmarkEnd w:id="30"/>
      <w:bookmarkEnd w:id="31"/>
      <w:bookmarkEnd w:id="32"/>
      <w:bookmarkEnd w:id="33"/>
      <w:bookmarkEnd w:id="35"/>
    </w:p>
    <w:bookmarkEnd w:id="34"/>
    <w:p w:rsidR="00485094" w:rsidRDefault="00485094" w:rsidP="003E3BEB">
      <w:pPr>
        <w:pStyle w:val="Bodytext"/>
      </w:pPr>
      <w:r>
        <w:t xml:space="preserve">This report provides an overview of Florida’s surface water and ground water quality as of 2010.  Referred to as the Integrated Report because it fulfills the reporting requirements under Sections 305(b) and 303(d) of the federal Clean Water Act (CWA), the report must be submitted to the U.S. Environmental Protection Agency (EPA) every two years. </w:t>
      </w:r>
    </w:p>
    <w:p w:rsidR="00485094" w:rsidRDefault="00485094" w:rsidP="003E3BEB">
      <w:pPr>
        <w:pStyle w:val="Bodytext"/>
      </w:pPr>
    </w:p>
    <w:p w:rsidR="00485094" w:rsidRDefault="00485094" w:rsidP="00FE6C85">
      <w:pPr>
        <w:pStyle w:val="Heading2"/>
      </w:pPr>
      <w:bookmarkStart w:id="36" w:name="_Toc452181104"/>
      <w:bookmarkStart w:id="37" w:name="_Toc490373208"/>
      <w:bookmarkStart w:id="38" w:name="_Toc67394375"/>
      <w:bookmarkStart w:id="39" w:name="_Toc74537758"/>
      <w:bookmarkStart w:id="40" w:name="_Toc74537893"/>
      <w:bookmarkStart w:id="41" w:name="_Toc74537911"/>
      <w:bookmarkStart w:id="42" w:name="_Toc74538233"/>
      <w:bookmarkStart w:id="43" w:name="_Toc78886283"/>
      <w:bookmarkStart w:id="44" w:name="_Toc255822482"/>
      <w:bookmarkStart w:id="45" w:name="_Toc271279926"/>
      <w:r>
        <w:t>Federal Assessment and Reporting Requirements</w:t>
      </w:r>
      <w:bookmarkEnd w:id="36"/>
      <w:bookmarkEnd w:id="37"/>
      <w:bookmarkEnd w:id="38"/>
      <w:bookmarkEnd w:id="39"/>
      <w:bookmarkEnd w:id="40"/>
      <w:bookmarkEnd w:id="41"/>
      <w:bookmarkEnd w:id="42"/>
      <w:bookmarkEnd w:id="43"/>
      <w:bookmarkEnd w:id="44"/>
      <w:bookmarkEnd w:id="45"/>
    </w:p>
    <w:p w:rsidR="00485094" w:rsidRDefault="00485094" w:rsidP="006D6F86">
      <w:pPr>
        <w:pStyle w:val="Bodytext"/>
        <w:rPr>
          <w:snapToGrid w:val="0"/>
        </w:rPr>
      </w:pPr>
      <w:r>
        <w:rPr>
          <w:snapToGrid w:val="0"/>
        </w:rPr>
        <w:t>Section 305(b) of the CWA requires states and other jurisdictions to submit biennial water quality reports to the EPA.  These reports, referred to as 305(b) reports, describe surface water and ground water quality and trends, the extent to which waters are attaining their designated uses (</w:t>
      </w:r>
      <w:r>
        <w:t>such as drinking water, recreation, and shellfish harvesting)</w:t>
      </w:r>
      <w:r>
        <w:rPr>
          <w:snapToGrid w:val="0"/>
        </w:rPr>
        <w:t xml:space="preserve">, and major </w:t>
      </w:r>
      <w:r>
        <w:t xml:space="preserve">impacts to surface water and ground water.  </w:t>
      </w:r>
      <w:r>
        <w:rPr>
          <w:snapToGrid w:val="0"/>
        </w:rPr>
        <w:t xml:space="preserve">Under Section 303(d) of the CWA, states are also required to identify waters that are not attaining their designated uses, submit to the EPA a list of these impaired waters (referred to as the 303(d) list), and develop total maximum daily loads (TMDLs) for them.  </w:t>
      </w:r>
    </w:p>
    <w:p w:rsidR="00485094" w:rsidRDefault="00485094">
      <w:pPr>
        <w:rPr>
          <w:rFonts w:ascii="Arial" w:hAnsi="Arial"/>
          <w:snapToGrid w:val="0"/>
          <w:sz w:val="22"/>
          <w:szCs w:val="20"/>
        </w:rPr>
      </w:pPr>
      <w:r>
        <w:rPr>
          <w:snapToGrid w:val="0"/>
        </w:rPr>
        <w:br w:type="page"/>
      </w:r>
    </w:p>
    <w:p w:rsidR="00485094" w:rsidRDefault="00485094" w:rsidP="006D6F86">
      <w:pPr>
        <w:pStyle w:val="Bodytext"/>
        <w:rPr>
          <w:snapToGrid w:val="0"/>
        </w:rPr>
      </w:pPr>
      <w:r>
        <w:lastRenderedPageBreak/>
        <w:t>A TMDL represents the maximum amount of a given pollutant that a waterbody can assimilate and still meet its designated uses.</w:t>
      </w:r>
    </w:p>
    <w:p w:rsidR="00485094" w:rsidRDefault="00485094" w:rsidP="006D6F86">
      <w:pPr>
        <w:pStyle w:val="Bodytext"/>
        <w:rPr>
          <w:snapToGrid w:val="0"/>
        </w:rPr>
      </w:pPr>
    </w:p>
    <w:p w:rsidR="00485094" w:rsidRDefault="00485094" w:rsidP="006D6F86">
      <w:pPr>
        <w:pStyle w:val="Bodytext"/>
        <w:rPr>
          <w:snapToGrid w:val="0"/>
        </w:rPr>
      </w:pPr>
      <w:r>
        <w:rPr>
          <w:snapToGrid w:val="0"/>
        </w:rPr>
        <w:t xml:space="preserve">Water quality monitoring and data analysis are the foundation of water resource management decisions.  The EPA and its state partners have worked together to develop an integrated 305(b) and 303(d) assessment approach to address water quality monitoring strategies, data quality and data quantity needs, and data interpretation methodologies.  This 2010 Integrated Report continues the consolidation and alignment of the 305(b) and 303(d) assessment and reporting requirements.  </w:t>
      </w:r>
      <w:r w:rsidRPr="0022000B">
        <w:rPr>
          <w:snapToGrid w:val="0"/>
        </w:rPr>
        <w:t>It also includes Section 314 reporting on the status and trends of significant publicly owned lakes.</w:t>
      </w:r>
    </w:p>
    <w:p w:rsidR="00485094" w:rsidRDefault="00485094" w:rsidP="006D6F86">
      <w:pPr>
        <w:pStyle w:val="Bodytext"/>
        <w:rPr>
          <w:snapToGrid w:val="0"/>
        </w:rPr>
      </w:pPr>
    </w:p>
    <w:p w:rsidR="00485094" w:rsidRDefault="00485094" w:rsidP="006D6F86">
      <w:pPr>
        <w:pStyle w:val="Bodytext"/>
      </w:pPr>
      <w:r>
        <w:rPr>
          <w:snapToGrid w:val="0"/>
        </w:rPr>
        <w:t xml:space="preserve">The Integrated Report allows states to document whether water quality standards are being attained, documents the availability of data and information for each waterbody segment, identifies trends in water quality conditions, and provides information to managers in setting priorities for future actions to protect and restore the health of </w:t>
      </w:r>
      <w:smartTag w:uri="urn:schemas-microsoft-com:office:smarttags" w:element="State">
        <w:smartTag w:uri="urn:schemas-microsoft-com:office:smarttags" w:element="place">
          <w:r>
            <w:rPr>
              <w:snapToGrid w:val="0"/>
            </w:rPr>
            <w:t>Florida</w:t>
          </w:r>
        </w:smartTag>
      </w:smartTag>
      <w:r>
        <w:rPr>
          <w:snapToGrid w:val="0"/>
        </w:rPr>
        <w:t>’s aquatic resources.  This comprehensive approach to assessment enhances Florida’s ability to track important programmatic and environmental goals of the CWA and, ideally, speeds up the pace of achieving these goals.</w:t>
      </w:r>
    </w:p>
    <w:p w:rsidR="00485094" w:rsidRDefault="00485094" w:rsidP="006D6F86">
      <w:pPr>
        <w:pStyle w:val="Bodytext"/>
      </w:pPr>
    </w:p>
    <w:p w:rsidR="00485094" w:rsidRDefault="00485094">
      <w:pPr>
        <w:pStyle w:val="Bodytext"/>
        <w:rPr>
          <w:snapToGrid w:val="0"/>
        </w:rPr>
      </w:pPr>
      <w:smartTag w:uri="urn:schemas-microsoft-com:office:smarttags" w:element="State">
        <w:smartTag w:uri="urn:schemas-microsoft-com:office:smarttags" w:element="place">
          <w:r>
            <w:rPr>
              <w:snapToGrid w:val="0"/>
            </w:rPr>
            <w:t>Florida</w:t>
          </w:r>
        </w:smartTag>
      </w:smartTag>
      <w:r>
        <w:rPr>
          <w:snapToGrid w:val="0"/>
        </w:rPr>
        <w:t xml:space="preserve">’s integrated approach to monitoring and assessment consists of three tiers:  statewide ambient monitoring networks for status and </w:t>
      </w:r>
      <w:r w:rsidRPr="00605932">
        <w:rPr>
          <w:snapToGrid w:val="0"/>
        </w:rPr>
        <w:t>trends</w:t>
      </w:r>
      <w:r w:rsidRPr="00605932">
        <w:t xml:space="preserve">, </w:t>
      </w:r>
      <w:r w:rsidRPr="00605932">
        <w:rPr>
          <w:snapToGrid w:val="0"/>
        </w:rPr>
        <w:t>strategic monitoring for verification of impairment and identification of causative pollutants</w:t>
      </w:r>
      <w:r w:rsidRPr="00605932">
        <w:t xml:space="preserve">, and </w:t>
      </w:r>
      <w:r w:rsidRPr="00605932">
        <w:rPr>
          <w:snapToGrid w:val="0"/>
        </w:rPr>
        <w:t xml:space="preserve">specialized, </w:t>
      </w:r>
      <w:r w:rsidRPr="00605932">
        <w:t>site-specific</w:t>
      </w:r>
      <w:r w:rsidRPr="00605932">
        <w:rPr>
          <w:snapToGrid w:val="0"/>
        </w:rPr>
        <w:t xml:space="preserve"> studies.</w:t>
      </w:r>
      <w:r>
        <w:rPr>
          <w:snapToGrid w:val="0"/>
        </w:rPr>
        <w:t xml:space="preserve">  </w:t>
      </w:r>
    </w:p>
    <w:p w:rsidR="00485094" w:rsidRDefault="00485094">
      <w:pPr>
        <w:pStyle w:val="Bodytext"/>
        <w:rPr>
          <w:snapToGrid w:val="0"/>
        </w:rPr>
      </w:pPr>
    </w:p>
    <w:p w:rsidR="00485094" w:rsidRDefault="00485094">
      <w:pPr>
        <w:pStyle w:val="Bodytext"/>
        <w:rPr>
          <w:snapToGrid w:val="0"/>
        </w:rPr>
      </w:pPr>
      <w:r>
        <w:rPr>
          <w:snapToGrid w:val="0"/>
        </w:rPr>
        <w:t>The Status component of the ambient monitoring program is a probabilistic assessment that is used to develop statistical estimates of water quality across the entire state, based on a stratified random sample design.  The use of probability assessments produces an unbiased picture of water quality conditions statewide and provides a cost-effective benchmark of the success of Florida’s water quality programs.  The results can also provide information on whether it would be useful to target certain waters for further assessment, or if limited resources for water quality assessment can be used more effectively in other ways.</w:t>
      </w:r>
      <w:r w:rsidRPr="00CC6B57">
        <w:rPr>
          <w:snapToGrid w:val="0"/>
        </w:rPr>
        <w:t xml:space="preserve"> </w:t>
      </w:r>
      <w:r>
        <w:rPr>
          <w:snapToGrid w:val="0"/>
        </w:rPr>
        <w:t xml:space="preserve"> </w:t>
      </w:r>
      <w:r w:rsidR="00E22C45">
        <w:rPr>
          <w:snapToGrid w:val="0"/>
        </w:rPr>
        <w:t>FDEP</w:t>
      </w:r>
      <w:r>
        <w:rPr>
          <w:snapToGrid w:val="0"/>
        </w:rPr>
        <w:t xml:space="preserve"> also implements a Trend Monitoring Network consisting of 76 surface water and 47 ground water stations.  Trend analyses for surface and ground water resources are used to examine changes in water quality over time.  </w:t>
      </w:r>
      <w:r>
        <w:t xml:space="preserve">Florida’s </w:t>
      </w:r>
      <w:r w:rsidRPr="00D73A8F">
        <w:t xml:space="preserve">statewide Status and Trend monitoring networks enable FDEP to satisfy </w:t>
      </w:r>
      <w:r>
        <w:t xml:space="preserve">some of the </w:t>
      </w:r>
      <w:r w:rsidRPr="00D73A8F">
        <w:t xml:space="preserve">reporting requirements for </w:t>
      </w:r>
      <w:r>
        <w:t>Sections</w:t>
      </w:r>
      <w:r w:rsidRPr="00D73A8F">
        <w:t xml:space="preserve"> 106 </w:t>
      </w:r>
      <w:r>
        <w:t xml:space="preserve">and 305(b) </w:t>
      </w:r>
      <w:r w:rsidRPr="00D73A8F">
        <w:t>of the CWA</w:t>
      </w:r>
      <w:r>
        <w:t xml:space="preserve">.  </w:t>
      </w:r>
    </w:p>
    <w:p w:rsidR="00485094" w:rsidRDefault="00485094">
      <w:pPr>
        <w:pStyle w:val="Bodytext"/>
        <w:rPr>
          <w:snapToGrid w:val="0"/>
        </w:rPr>
      </w:pPr>
    </w:p>
    <w:p w:rsidR="00485094" w:rsidRDefault="00485094" w:rsidP="006D6F86">
      <w:pPr>
        <w:pStyle w:val="Bodytext"/>
        <w:rPr>
          <w:snapToGrid w:val="0"/>
        </w:rPr>
      </w:pPr>
      <w:r>
        <w:rPr>
          <w:snapToGrid w:val="0"/>
        </w:rPr>
        <w:t>A variety of basin- and waterbody-specific assessments are conducted as part of the second tier monitoring or Strategic Monitoring</w:t>
      </w:r>
      <w:r>
        <w:t>.</w:t>
      </w:r>
      <w:r w:rsidRPr="00E675E1">
        <w:t xml:space="preserve"> </w:t>
      </w:r>
      <w:r>
        <w:t xml:space="preserve"> </w:t>
      </w:r>
      <w:r w:rsidRPr="00E675E1">
        <w:t xml:space="preserve">The primary focus of strategic monitoring is to collect sufficient data to verify whether waters </w:t>
      </w:r>
      <w:r>
        <w:t>that have limited data indicating they are potentially impaired</w:t>
      </w:r>
      <w:r w:rsidRPr="00E675E1">
        <w:t xml:space="preserve"> are in fact impaired, and to the extent possible, determine the causative pollutant for waters listed for </w:t>
      </w:r>
      <w:r>
        <w:t>d</w:t>
      </w:r>
      <w:r w:rsidRPr="00E675E1">
        <w:t xml:space="preserve">issolved </w:t>
      </w:r>
      <w:r>
        <w:t>o</w:t>
      </w:r>
      <w:r w:rsidRPr="00E675E1">
        <w:t xml:space="preserve">xygen </w:t>
      </w:r>
      <w:r>
        <w:t xml:space="preserve">(DO) </w:t>
      </w:r>
      <w:r w:rsidRPr="00E675E1">
        <w:t>or bioassessment failures.</w:t>
      </w:r>
      <w:r>
        <w:rPr>
          <w:rFonts w:ascii="Calibri" w:hAnsi="Calibri" w:cs="Tahoma"/>
        </w:rPr>
        <w:t xml:space="preserve"> </w:t>
      </w:r>
      <w:r w:rsidRPr="00E675E1">
        <w:rPr>
          <w:rFonts w:ascii="Calibri" w:hAnsi="Calibri"/>
        </w:rPr>
        <w:t xml:space="preserve"> </w:t>
      </w:r>
      <w:r>
        <w:rPr>
          <w:snapToGrid w:val="0"/>
        </w:rPr>
        <w:t xml:space="preserve">However, FDEP also conducts other types of strategic monitoring to better evaluate specific water resources (springs, for example).  </w:t>
      </w:r>
    </w:p>
    <w:p w:rsidR="00485094" w:rsidRDefault="00485094" w:rsidP="006D6F86">
      <w:pPr>
        <w:pStyle w:val="Bodytext"/>
        <w:rPr>
          <w:snapToGrid w:val="0"/>
        </w:rPr>
      </w:pPr>
    </w:p>
    <w:p w:rsidR="00485094" w:rsidRDefault="00485094" w:rsidP="006D6F86">
      <w:pPr>
        <w:pStyle w:val="Bodytext"/>
        <w:rPr>
          <w:snapToGrid w:val="0"/>
        </w:rPr>
      </w:pPr>
      <w:r>
        <w:rPr>
          <w:snapToGrid w:val="0"/>
        </w:rPr>
        <w:t>Site-specific monitoring (Tier III) includes intensive surveys for TMDLs, monitoring for the development of water quality standards and site-specific alternative criteria (SSACs), and fifth-year inspections for permit renewals for facilities that discharge to surface waters.  Special monitoring programs will address other program-specific needs, such as monitoring to develop predictive models, including the mercury TMDL being developed for Florida.  Ground water arsenic studies address natural vs. anthropogenic sources of arsenic in aquifers, and restoration efforts are measured by project-specific studies.</w:t>
      </w:r>
    </w:p>
    <w:p w:rsidR="00485094" w:rsidRDefault="00485094" w:rsidP="006D6F86">
      <w:pPr>
        <w:pStyle w:val="Bodytext"/>
        <w:rPr>
          <w:snapToGrid w:val="0"/>
        </w:rPr>
      </w:pPr>
    </w:p>
    <w:p w:rsidR="00485094" w:rsidRPr="00B43F8D" w:rsidRDefault="00485094" w:rsidP="006D6F86">
      <w:pPr>
        <w:pStyle w:val="Bodytext"/>
        <w:rPr>
          <w:b/>
        </w:rPr>
      </w:pPr>
      <w:r>
        <w:rPr>
          <w:snapToGrid w:val="0"/>
        </w:rPr>
        <w:lastRenderedPageBreak/>
        <w:t>All readily available ambient water quality data, regardless of the monitoring tier, are considered part of the 303(d) assessment for the determination of impaired waters, and each result is placed into one of five assessment categories, based on available data.  According to the EPA, this approach allows the states to document the attainment of applicable water quality standards and develop monitoring strategies that effectively respond to the needs identified in the assessment, while ensuring that the attainment status of each water quality standard applicable to a particular waterbody segment is addressed.  The five broad categories are as follows:</w:t>
      </w:r>
    </w:p>
    <w:p w:rsidR="00485094" w:rsidRDefault="00485094" w:rsidP="00F46CD8">
      <w:pPr>
        <w:pStyle w:val="Bodytextreduced"/>
        <w:rPr>
          <w:snapToGrid w:val="0"/>
        </w:rPr>
      </w:pPr>
    </w:p>
    <w:p w:rsidR="00485094" w:rsidRPr="007C55AE" w:rsidRDefault="00485094" w:rsidP="006D6F86">
      <w:pPr>
        <w:pStyle w:val="StyleListBullet11pt"/>
        <w:rPr>
          <w:snapToGrid w:val="0"/>
        </w:rPr>
      </w:pPr>
      <w:r w:rsidRPr="007C55AE">
        <w:rPr>
          <w:snapToGrid w:val="0"/>
        </w:rPr>
        <w:t>Category 1:  All designated uses are supported; no use is threatened.</w:t>
      </w:r>
    </w:p>
    <w:p w:rsidR="00485094" w:rsidRPr="007C55AE" w:rsidRDefault="00485094" w:rsidP="006D6F86">
      <w:pPr>
        <w:pStyle w:val="StyleListBullet11pt"/>
        <w:rPr>
          <w:snapToGrid w:val="0"/>
        </w:rPr>
      </w:pPr>
      <w:r w:rsidRPr="007C55AE">
        <w:rPr>
          <w:snapToGrid w:val="0"/>
        </w:rPr>
        <w:t>Category 2:  Available data and/or information indicate that some, but not all, of the designated uses are supported.</w:t>
      </w:r>
    </w:p>
    <w:p w:rsidR="00485094" w:rsidRPr="007C55AE" w:rsidRDefault="00485094" w:rsidP="006D6F86">
      <w:pPr>
        <w:pStyle w:val="StyleListBullet11pt"/>
        <w:rPr>
          <w:snapToGrid w:val="0"/>
        </w:rPr>
      </w:pPr>
      <w:r w:rsidRPr="007C55AE">
        <w:rPr>
          <w:snapToGrid w:val="0"/>
        </w:rPr>
        <w:t>Category 3:  There are insufficient available data and/or information to make a use support determination.</w:t>
      </w:r>
    </w:p>
    <w:p w:rsidR="00485094" w:rsidRPr="007C55AE" w:rsidRDefault="00485094" w:rsidP="006D6F86">
      <w:pPr>
        <w:pStyle w:val="StyleListBullet11pt"/>
        <w:rPr>
          <w:snapToGrid w:val="0"/>
        </w:rPr>
      </w:pPr>
      <w:r w:rsidRPr="007C55AE">
        <w:rPr>
          <w:snapToGrid w:val="0"/>
        </w:rPr>
        <w:t>Category 4:  Available data and/or information indicate that at least one designated use is not being supported or is threatened, but a TMDL is not needed.</w:t>
      </w:r>
    </w:p>
    <w:p w:rsidR="00485094" w:rsidRDefault="00485094" w:rsidP="006D6F86">
      <w:pPr>
        <w:pStyle w:val="StyleListBullet11pt"/>
        <w:rPr>
          <w:snapToGrid w:val="0"/>
        </w:rPr>
      </w:pPr>
      <w:r w:rsidRPr="007C55AE">
        <w:rPr>
          <w:snapToGrid w:val="0"/>
        </w:rPr>
        <w:t>Category 5:  Available data and/or information indicate that at least one designated use is not being supported or is threatened, and a TMDL is needed.</w:t>
      </w:r>
    </w:p>
    <w:p w:rsidR="00485094" w:rsidRDefault="00485094" w:rsidP="00DF3904">
      <w:pPr>
        <w:pStyle w:val="Bodytextreduced"/>
        <w:rPr>
          <w:snapToGrid w:val="0"/>
          <w:sz w:val="22"/>
        </w:rPr>
      </w:pPr>
    </w:p>
    <w:p w:rsidR="00485094" w:rsidRDefault="00485094" w:rsidP="00DF3904">
      <w:pPr>
        <w:pStyle w:val="Bodytextreduced"/>
        <w:rPr>
          <w:snapToGrid w:val="0"/>
          <w:sz w:val="22"/>
        </w:rPr>
      </w:pPr>
      <w:r>
        <w:rPr>
          <w:snapToGrid w:val="0"/>
          <w:sz w:val="22"/>
        </w:rPr>
        <w:t>In addition to using these broad categories, t</w:t>
      </w:r>
      <w:r w:rsidRPr="00605932">
        <w:rPr>
          <w:snapToGrid w:val="0"/>
          <w:sz w:val="22"/>
        </w:rPr>
        <w:t>he EPA allows states to develop</w:t>
      </w:r>
      <w:r>
        <w:rPr>
          <w:snapToGrid w:val="0"/>
          <w:sz w:val="22"/>
        </w:rPr>
        <w:t xml:space="preserve"> and use</w:t>
      </w:r>
      <w:r w:rsidRPr="00605932">
        <w:rPr>
          <w:snapToGrid w:val="0"/>
          <w:sz w:val="22"/>
        </w:rPr>
        <w:t xml:space="preserve"> individual subcategories to fit unique or specialized set</w:t>
      </w:r>
      <w:r>
        <w:rPr>
          <w:snapToGrid w:val="0"/>
          <w:sz w:val="22"/>
        </w:rPr>
        <w:t>s</w:t>
      </w:r>
      <w:r w:rsidRPr="00605932">
        <w:rPr>
          <w:snapToGrid w:val="0"/>
          <w:sz w:val="22"/>
        </w:rPr>
        <w:t xml:space="preserve"> of circumstances.  These subcategories </w:t>
      </w:r>
      <w:r>
        <w:rPr>
          <w:snapToGrid w:val="0"/>
          <w:sz w:val="22"/>
        </w:rPr>
        <w:t xml:space="preserve">(see </w:t>
      </w:r>
      <w:hyperlink w:anchor="_Chapter_7.__1" w:history="1">
        <w:r w:rsidRPr="00CA461C">
          <w:rPr>
            <w:rStyle w:val="Hyperlink"/>
            <w:snapToGrid w:val="0"/>
            <w:sz w:val="22"/>
          </w:rPr>
          <w:t>Chapter 7</w:t>
        </w:r>
      </w:hyperlink>
      <w:r>
        <w:rPr>
          <w:snapToGrid w:val="0"/>
          <w:sz w:val="22"/>
        </w:rPr>
        <w:t xml:space="preserve">) </w:t>
      </w:r>
      <w:r w:rsidRPr="00605932">
        <w:rPr>
          <w:snapToGrid w:val="0"/>
          <w:sz w:val="22"/>
        </w:rPr>
        <w:t>must be consistent with the purpose of the more general category and be approved by the EPA during its review of each state’s methodology for developing lists of impaired waters.</w:t>
      </w:r>
    </w:p>
    <w:p w:rsidR="00485094" w:rsidRPr="005060C7" w:rsidDel="00605932" w:rsidRDefault="00485094" w:rsidP="00E07BCD">
      <w:pPr>
        <w:pStyle w:val="Bodytextreduced"/>
        <w:rPr>
          <w:b/>
          <w:snapToGrid w:val="0"/>
          <w:sz w:val="22"/>
          <w:szCs w:val="22"/>
        </w:rPr>
      </w:pPr>
    </w:p>
    <w:p w:rsidR="00485094" w:rsidRPr="00776983" w:rsidRDefault="00485094" w:rsidP="002B1769">
      <w:pPr>
        <w:pStyle w:val="Heading2"/>
        <w:rPr>
          <w:snapToGrid w:val="0"/>
        </w:rPr>
      </w:pPr>
      <w:bookmarkStart w:id="46" w:name="_Toc74537759"/>
      <w:bookmarkStart w:id="47" w:name="_Toc74537912"/>
      <w:bookmarkStart w:id="48" w:name="_Toc78886284"/>
      <w:bookmarkStart w:id="49" w:name="_Toc255822483"/>
      <w:bookmarkStart w:id="50" w:name="_Toc271279927"/>
      <w:r w:rsidRPr="00776983">
        <w:rPr>
          <w:snapToGrid w:val="0"/>
        </w:rPr>
        <w:t>Integrating the Federal Requirements into Florida’s Watershed Management Approach</w:t>
      </w:r>
      <w:bookmarkEnd w:id="46"/>
      <w:bookmarkEnd w:id="47"/>
      <w:bookmarkEnd w:id="48"/>
      <w:bookmarkEnd w:id="49"/>
      <w:bookmarkEnd w:id="50"/>
    </w:p>
    <w:p w:rsidR="00485094" w:rsidRPr="00776983" w:rsidRDefault="00485094" w:rsidP="006D6F86">
      <w:pPr>
        <w:pStyle w:val="Bodytext"/>
        <w:rPr>
          <w:snapToGrid w:val="0"/>
        </w:rPr>
      </w:pPr>
      <w:r w:rsidRPr="00CB2BDA">
        <w:rPr>
          <w:snapToGrid w:val="0"/>
        </w:rPr>
        <w:t xml:space="preserve">For the 2010 305(b) </w:t>
      </w:r>
      <w:r w:rsidRPr="00776983">
        <w:rPr>
          <w:snapToGrid w:val="0"/>
        </w:rPr>
        <w:t xml:space="preserve">report, FDEP has continued to move towards a comprehensive assessment by integrating the federal assessment and reporting requirements into its watershed management approach.  Federal requirements state that </w:t>
      </w:r>
      <w:r>
        <w:rPr>
          <w:snapToGrid w:val="0"/>
        </w:rPr>
        <w:t xml:space="preserve">the following </w:t>
      </w:r>
      <w:r w:rsidRPr="00776983">
        <w:rPr>
          <w:snapToGrid w:val="0"/>
        </w:rPr>
        <w:t xml:space="preserve">information should be provided:  </w:t>
      </w:r>
    </w:p>
    <w:p w:rsidR="00485094" w:rsidRDefault="00485094" w:rsidP="00173D87">
      <w:pPr>
        <w:pStyle w:val="Bodytextreduced"/>
        <w:rPr>
          <w:snapToGrid w:val="0"/>
        </w:rPr>
      </w:pPr>
    </w:p>
    <w:p w:rsidR="00485094" w:rsidRPr="00776983" w:rsidRDefault="00485094" w:rsidP="00173D87">
      <w:pPr>
        <w:pStyle w:val="ListBullet"/>
        <w:rPr>
          <w:snapToGrid w:val="0"/>
        </w:rPr>
      </w:pPr>
      <w:r w:rsidRPr="00776983">
        <w:rPr>
          <w:snapToGrid w:val="0"/>
        </w:rPr>
        <w:t xml:space="preserve">The extent to which </w:t>
      </w:r>
      <w:r>
        <w:rPr>
          <w:snapToGrid w:val="0"/>
        </w:rPr>
        <w:t xml:space="preserve">the </w:t>
      </w:r>
      <w:r w:rsidRPr="00776983">
        <w:rPr>
          <w:snapToGrid w:val="0"/>
        </w:rPr>
        <w:t>water quality of the state’s waters provides for the protection and propagation of a balanced population of shellfish, fish, and wildlife and allows for recreational activities in and on the water.</w:t>
      </w:r>
    </w:p>
    <w:p w:rsidR="00485094" w:rsidRPr="00776983" w:rsidRDefault="00485094" w:rsidP="00173D87">
      <w:pPr>
        <w:pStyle w:val="ListBullet"/>
        <w:rPr>
          <w:snapToGrid w:val="0"/>
        </w:rPr>
      </w:pPr>
      <w:r w:rsidRPr="00776983">
        <w:rPr>
          <w:snapToGrid w:val="0"/>
        </w:rPr>
        <w:t xml:space="preserve">An estimate of the extent to which CWA control programs have </w:t>
      </w:r>
      <w:r>
        <w:rPr>
          <w:snapToGrid w:val="0"/>
        </w:rPr>
        <w:t xml:space="preserve">improved </w:t>
      </w:r>
      <w:r w:rsidRPr="00776983">
        <w:rPr>
          <w:snapToGrid w:val="0"/>
        </w:rPr>
        <w:t>or will improve water quality, and recommendations for future actions.</w:t>
      </w:r>
    </w:p>
    <w:p w:rsidR="00485094" w:rsidRPr="00776983" w:rsidRDefault="00485094" w:rsidP="00173D87">
      <w:pPr>
        <w:pStyle w:val="ListBullet"/>
        <w:rPr>
          <w:snapToGrid w:val="0"/>
        </w:rPr>
      </w:pPr>
      <w:r w:rsidRPr="00776983">
        <w:rPr>
          <w:snapToGrid w:val="0"/>
        </w:rPr>
        <w:t>An estimate of the environmental, economic</w:t>
      </w:r>
      <w:r>
        <w:rPr>
          <w:snapToGrid w:val="0"/>
        </w:rPr>
        <w:t>,</w:t>
      </w:r>
      <w:r w:rsidRPr="00776983">
        <w:rPr>
          <w:snapToGrid w:val="0"/>
        </w:rPr>
        <w:t xml:space="preserve"> and social costs and benefits needed to achieve CWA objectives and an estimate of the date for such achievements.</w:t>
      </w:r>
    </w:p>
    <w:p w:rsidR="00485094" w:rsidRPr="00776983" w:rsidRDefault="00485094" w:rsidP="00173D87">
      <w:pPr>
        <w:pStyle w:val="ListBullet"/>
        <w:rPr>
          <w:snapToGrid w:val="0"/>
        </w:rPr>
      </w:pPr>
      <w:r w:rsidRPr="00776983">
        <w:rPr>
          <w:snapToGrid w:val="0"/>
        </w:rPr>
        <w:t>A description of the nature and extent of nonpoint source pollution and recommendations needed to control each category of nonpoint sources.</w:t>
      </w:r>
    </w:p>
    <w:p w:rsidR="00485094" w:rsidRPr="00B9653B" w:rsidRDefault="00485094" w:rsidP="00173D87">
      <w:pPr>
        <w:pStyle w:val="ListBullet"/>
        <w:rPr>
          <w:snapToGrid w:val="0"/>
        </w:rPr>
      </w:pPr>
      <w:r w:rsidRPr="00CA461C">
        <w:rPr>
          <w:snapToGrid w:val="0"/>
        </w:rPr>
        <w:t>An assessment of the water quality of all publicly owned lakes, including lake trends</w:t>
      </w:r>
      <w:r>
        <w:rPr>
          <w:snapToGrid w:val="0"/>
        </w:rPr>
        <w:t>,</w:t>
      </w:r>
      <w:r w:rsidRPr="00CA461C">
        <w:rPr>
          <w:snapToGrid w:val="0"/>
        </w:rPr>
        <w:t xml:space="preserve"> pollution control measures</w:t>
      </w:r>
      <w:r>
        <w:rPr>
          <w:snapToGrid w:val="0"/>
        </w:rPr>
        <w:t>,</w:t>
      </w:r>
      <w:r w:rsidRPr="00CA461C">
        <w:rPr>
          <w:snapToGrid w:val="0"/>
        </w:rPr>
        <w:t xml:space="preserve"> and publicly owned lakes with impaired uses.</w:t>
      </w:r>
    </w:p>
    <w:p w:rsidR="00485094" w:rsidRPr="00173D87" w:rsidRDefault="00485094" w:rsidP="00173D87">
      <w:pPr>
        <w:pStyle w:val="Bodytextreduced"/>
      </w:pPr>
    </w:p>
    <w:p w:rsidR="00485094" w:rsidRPr="00776983" w:rsidRDefault="00485094" w:rsidP="006D6F86">
      <w:pPr>
        <w:pStyle w:val="Bodytext"/>
        <w:rPr>
          <w:snapToGrid w:val="0"/>
        </w:rPr>
      </w:pPr>
      <w:r w:rsidRPr="00F0572F">
        <w:rPr>
          <w:snapToGrid w:val="0"/>
        </w:rPr>
        <w:lastRenderedPageBreak/>
        <w:t xml:space="preserve">The 1999 Florida Watershed Restoration Act (FWRA) directed FDEP to implement a comprehensive, integrated watershed approach for evaluating and managing cumulative impacts to the state’s waters.  The act </w:t>
      </w:r>
      <w:r>
        <w:rPr>
          <w:snapToGrid w:val="0"/>
        </w:rPr>
        <w:t xml:space="preserve">clarified the TMDL Program and </w:t>
      </w:r>
      <w:r w:rsidRPr="00F0572F">
        <w:rPr>
          <w:snapToGrid w:val="0"/>
        </w:rPr>
        <w:t xml:space="preserve">directed </w:t>
      </w:r>
      <w:r>
        <w:rPr>
          <w:snapToGrid w:val="0"/>
        </w:rPr>
        <w:t>FDEP</w:t>
      </w:r>
      <w:r w:rsidRPr="00F0572F">
        <w:rPr>
          <w:snapToGrid w:val="0"/>
        </w:rPr>
        <w:t xml:space="preserve"> to develop a</w:t>
      </w:r>
      <w:r>
        <w:rPr>
          <w:snapToGrid w:val="0"/>
        </w:rPr>
        <w:t>n assessment</w:t>
      </w:r>
      <w:r w:rsidRPr="00F0572F">
        <w:rPr>
          <w:snapToGrid w:val="0"/>
        </w:rPr>
        <w:t xml:space="preserve"> methodology that </w:t>
      </w:r>
      <w:r>
        <w:rPr>
          <w:snapToGrid w:val="0"/>
        </w:rPr>
        <w:t xml:space="preserve">allows </w:t>
      </w:r>
      <w:r w:rsidRPr="00CB2BDA">
        <w:rPr>
          <w:snapToGrid w:val="0"/>
        </w:rPr>
        <w:t xml:space="preserve">for </w:t>
      </w:r>
      <w:r>
        <w:rPr>
          <w:snapToGrid w:val="0"/>
        </w:rPr>
        <w:t xml:space="preserve">the </w:t>
      </w:r>
      <w:r w:rsidRPr="00CB2BDA">
        <w:rPr>
          <w:snapToGrid w:val="0"/>
        </w:rPr>
        <w:t xml:space="preserve">consideration of whether water quality standards are being exceeded based on credible data, studies, and reports.  Those waters determined to not meet water quality standards </w:t>
      </w:r>
      <w:r w:rsidRPr="00F0572F">
        <w:rPr>
          <w:snapToGrid w:val="0"/>
        </w:rPr>
        <w:t xml:space="preserve">should </w:t>
      </w:r>
      <w:r>
        <w:rPr>
          <w:snapToGrid w:val="0"/>
        </w:rPr>
        <w:t xml:space="preserve">then </w:t>
      </w:r>
      <w:r w:rsidRPr="00F0572F">
        <w:rPr>
          <w:snapToGrid w:val="0"/>
        </w:rPr>
        <w:t xml:space="preserve">be included </w:t>
      </w:r>
      <w:r>
        <w:rPr>
          <w:snapToGrid w:val="0"/>
        </w:rPr>
        <w:t>o</w:t>
      </w:r>
      <w:r w:rsidRPr="00F0572F">
        <w:rPr>
          <w:snapToGrid w:val="0"/>
        </w:rPr>
        <w:t>n the state’s 303(d) list of impaired waters</w:t>
      </w:r>
      <w:r>
        <w:rPr>
          <w:snapToGrid w:val="0"/>
        </w:rPr>
        <w:t>,</w:t>
      </w:r>
      <w:r w:rsidRPr="00F0572F">
        <w:rPr>
          <w:snapToGrid w:val="0"/>
        </w:rPr>
        <w:t xml:space="preserve"> or those waters needing a TMDL</w:t>
      </w:r>
      <w:r>
        <w:rPr>
          <w:snapToGrid w:val="0"/>
        </w:rPr>
        <w:t xml:space="preserve">, and the appropriate TMDLs should be developed (see </w:t>
      </w:r>
      <w:hyperlink w:anchor="_Chapter_11:_" w:history="1">
        <w:r w:rsidR="00550C22" w:rsidRPr="00CA461C">
          <w:rPr>
            <w:rStyle w:val="Hyperlink"/>
          </w:rPr>
          <w:t>Chapter 11</w:t>
        </w:r>
      </w:hyperlink>
      <w:r w:rsidR="00550C22">
        <w:t xml:space="preserve"> </w:t>
      </w:r>
      <w:r>
        <w:rPr>
          <w:snapToGrid w:val="0"/>
        </w:rPr>
        <w:t>for more info</w:t>
      </w:r>
      <w:r w:rsidR="00550C22">
        <w:rPr>
          <w:snapToGrid w:val="0"/>
        </w:rPr>
        <w:t>rmation</w:t>
      </w:r>
      <w:r>
        <w:rPr>
          <w:snapToGrid w:val="0"/>
        </w:rPr>
        <w:t>)</w:t>
      </w:r>
      <w:r w:rsidRPr="00F0572F">
        <w:rPr>
          <w:snapToGrid w:val="0"/>
        </w:rPr>
        <w:t xml:space="preserve">.  These objectives are carried out through coordination with the water management districts, </w:t>
      </w:r>
      <w:r>
        <w:rPr>
          <w:snapToGrid w:val="0"/>
        </w:rPr>
        <w:t xml:space="preserve">Florida </w:t>
      </w:r>
      <w:r w:rsidRPr="00F0572F">
        <w:rPr>
          <w:snapToGrid w:val="0"/>
        </w:rPr>
        <w:t>Department of Agriculture and Consumer Services (</w:t>
      </w:r>
      <w:r>
        <w:rPr>
          <w:snapToGrid w:val="0"/>
        </w:rPr>
        <w:t>F</w:t>
      </w:r>
      <w:r w:rsidRPr="00F0572F">
        <w:rPr>
          <w:snapToGrid w:val="0"/>
        </w:rPr>
        <w:t>DACS), Soil and Water Conservation Districts, environmental groups, regulated parties</w:t>
      </w:r>
      <w:r>
        <w:rPr>
          <w:snapToGrid w:val="0"/>
        </w:rPr>
        <w:t>,</w:t>
      </w:r>
      <w:r w:rsidRPr="00F0572F">
        <w:rPr>
          <w:snapToGrid w:val="0"/>
        </w:rPr>
        <w:t xml:space="preserve"> and local stakeholders during all phases of the TMDL process</w:t>
      </w:r>
      <w:r>
        <w:rPr>
          <w:snapToGrid w:val="0"/>
        </w:rPr>
        <w:t>.</w:t>
      </w:r>
    </w:p>
    <w:p w:rsidR="00485094" w:rsidRDefault="00485094" w:rsidP="006D6F86">
      <w:pPr>
        <w:pStyle w:val="Bodytext"/>
        <w:rPr>
          <w:snapToGrid w:val="0"/>
        </w:rPr>
      </w:pPr>
    </w:p>
    <w:p w:rsidR="00485094" w:rsidRDefault="00485094" w:rsidP="006D6F86">
      <w:pPr>
        <w:pStyle w:val="Bodytext"/>
      </w:pPr>
      <w:r w:rsidRPr="00776983">
        <w:rPr>
          <w:snapToGrid w:val="0"/>
        </w:rPr>
        <w:t xml:space="preserve">The implementation of the watershed management approach was initiated in 2000.  </w:t>
      </w:r>
      <w:r w:rsidRPr="00776983">
        <w:t>Florida’s 52 basins</w:t>
      </w:r>
      <w:r w:rsidRPr="00776983">
        <w:rPr>
          <w:snapToGrid w:val="0"/>
          <w:color w:val="000000"/>
        </w:rPr>
        <w:t xml:space="preserve"> </w:t>
      </w:r>
      <w:r w:rsidRPr="00776983">
        <w:t xml:space="preserve">were divided into 29 groups that are distributed among FDEP’s 6 districts.  There are 5 basins each in the Northwest, Central, Southwest, South, and Southeast Districts, and 4 basins in the Northeast District.  One basin is assessed in each district every year.  </w:t>
      </w:r>
      <w:r w:rsidRPr="00776983">
        <w:rPr>
          <w:snapToGrid w:val="0"/>
        </w:rPr>
        <w:t xml:space="preserve">Using a rotating basin management cycle, which ensures that each basin is assessed every 5 years, FDEP and local stakeholders assess individual basins, identify impaired waters requiring the development of TMDLs, and develop Basin Management Action Plans (BMAPs) </w:t>
      </w:r>
      <w:r>
        <w:rPr>
          <w:snapToGrid w:val="0"/>
        </w:rPr>
        <w:t xml:space="preserve">(see </w:t>
      </w:r>
      <w:hyperlink w:anchor="_Chapter_11:_" w:history="1">
        <w:r w:rsidR="00550C22" w:rsidRPr="00CA461C">
          <w:rPr>
            <w:rStyle w:val="Hyperlink"/>
          </w:rPr>
          <w:t>Chapter 11</w:t>
        </w:r>
      </w:hyperlink>
      <w:r w:rsidR="00550C22">
        <w:t xml:space="preserve"> </w:t>
      </w:r>
      <w:r>
        <w:rPr>
          <w:snapToGrid w:val="0"/>
        </w:rPr>
        <w:t>for more info</w:t>
      </w:r>
      <w:r w:rsidR="00550C22">
        <w:rPr>
          <w:snapToGrid w:val="0"/>
        </w:rPr>
        <w:t>rmation</w:t>
      </w:r>
      <w:r>
        <w:rPr>
          <w:snapToGrid w:val="0"/>
        </w:rPr>
        <w:t xml:space="preserve">) and Reasonable Assurance Plans </w:t>
      </w:r>
      <w:r w:rsidRPr="00776983">
        <w:rPr>
          <w:snapToGrid w:val="0"/>
        </w:rPr>
        <w:t>to restore water quality.</w:t>
      </w:r>
      <w:r w:rsidRPr="00776983">
        <w:t xml:space="preserve">  </w:t>
      </w:r>
    </w:p>
    <w:p w:rsidR="00485094" w:rsidRDefault="00485094" w:rsidP="006D6F86">
      <w:pPr>
        <w:pStyle w:val="Bodytext"/>
      </w:pPr>
    </w:p>
    <w:p w:rsidR="00485094" w:rsidRPr="00CB2BDA" w:rsidRDefault="00485094" w:rsidP="006D6F86">
      <w:pPr>
        <w:pStyle w:val="Bodytext"/>
      </w:pPr>
      <w:r w:rsidRPr="00CB2BDA">
        <w:t xml:space="preserve">The assessment, consisting of multiple phases, has been completed in all of the state’s basins (the Group 1–5 basins) once.  As part of its watershed management approach, FDEP developed Verified Lists of impaired waters for the Group 1–5 basins in 2002, 2003, 2004, 2005, and 2006, respectively.  Cycle 2 of the rotating basin approach was initiated in 2007 with Verified Lists of impaired waters for the Group 1, Group 2, and Group 3 basins completed through 2009.  Assessments and list development for Groups 4 and 5 will take place in 2010 and 2011.  As required by Subsection 403.067(4), Florida Statutes (F.S.), the lists were adopted by Secretarial Order.  The resulting Verified Lists of impaired waters and waters to be delisted in those basins amend the 1998 303(d) list of impaired </w:t>
      </w:r>
      <w:smartTag w:uri="urn:schemas-microsoft-com:office:smarttags" w:element="State">
        <w:smartTag w:uri="urn:schemas-microsoft-com:office:smarttags" w:element="place">
          <w:r w:rsidRPr="00CB2BDA">
            <w:t>Florida</w:t>
          </w:r>
        </w:smartTag>
      </w:smartTag>
      <w:r w:rsidRPr="00CB2BDA">
        <w:t xml:space="preserve"> waters maintained by the EPA.  FDEP intends to submit annual amendments to its 303(d) list as part of the watershed management approach.</w:t>
      </w:r>
    </w:p>
    <w:p w:rsidR="00485094" w:rsidRDefault="00485094" w:rsidP="00FF43CF">
      <w:pPr>
        <w:pStyle w:val="Bodytext"/>
      </w:pPr>
    </w:p>
    <w:p w:rsidR="00485094" w:rsidRPr="0094606D" w:rsidRDefault="00485094" w:rsidP="0094606D">
      <w:pPr>
        <w:rPr>
          <w:rFonts w:ascii="Arial" w:hAnsi="Arial" w:cs="Arial"/>
          <w:sz w:val="22"/>
          <w:szCs w:val="22"/>
        </w:rPr>
      </w:pPr>
      <w:r w:rsidRPr="0094606D">
        <w:rPr>
          <w:rFonts w:ascii="Arial" w:hAnsi="Arial" w:cs="Arial"/>
          <w:sz w:val="22"/>
          <w:szCs w:val="22"/>
        </w:rPr>
        <w:t>The Status and Trend Monitoring results are a component of the CWA 106 monitoring work</w:t>
      </w:r>
      <w:r>
        <w:rPr>
          <w:rFonts w:ascii="Arial" w:hAnsi="Arial" w:cs="Arial"/>
          <w:sz w:val="22"/>
          <w:szCs w:val="22"/>
        </w:rPr>
        <w:t xml:space="preserve"> </w:t>
      </w:r>
      <w:r w:rsidRPr="0094606D">
        <w:rPr>
          <w:rFonts w:ascii="Arial" w:hAnsi="Arial" w:cs="Arial"/>
          <w:sz w:val="22"/>
          <w:szCs w:val="22"/>
        </w:rPr>
        <w:t>plan for FDEP.  The results of these monitoring programs are reported internally through basin assessments, published by the Watershed Monitoring Section on FDEP</w:t>
      </w:r>
      <w:r>
        <w:rPr>
          <w:rFonts w:ascii="Arial" w:hAnsi="Arial" w:cs="Arial"/>
          <w:sz w:val="22"/>
          <w:szCs w:val="22"/>
        </w:rPr>
        <w:t>’s</w:t>
      </w:r>
      <w:r w:rsidRPr="0094606D">
        <w:rPr>
          <w:rFonts w:ascii="Arial" w:hAnsi="Arial" w:cs="Arial"/>
          <w:sz w:val="22"/>
          <w:szCs w:val="22"/>
        </w:rPr>
        <w:t xml:space="preserve"> </w:t>
      </w:r>
      <w:hyperlink r:id="rId12" w:history="1">
        <w:r w:rsidRPr="00BA63C9">
          <w:rPr>
            <w:rStyle w:val="Hyperlink"/>
            <w:rFonts w:ascii="Arial" w:hAnsi="Arial" w:cs="Arial"/>
            <w:sz w:val="22"/>
            <w:szCs w:val="22"/>
          </w:rPr>
          <w:t>Watershed Monitoring website</w:t>
        </w:r>
      </w:hyperlink>
      <w:r>
        <w:rPr>
          <w:rFonts w:ascii="Arial" w:hAnsi="Arial" w:cs="Arial"/>
          <w:sz w:val="22"/>
          <w:szCs w:val="22"/>
        </w:rPr>
        <w:t xml:space="preserve">. </w:t>
      </w:r>
      <w:r w:rsidRPr="0094606D">
        <w:rPr>
          <w:rFonts w:ascii="Arial" w:hAnsi="Arial" w:cs="Arial"/>
          <w:sz w:val="22"/>
          <w:szCs w:val="22"/>
        </w:rPr>
        <w:t xml:space="preserve"> The years 2004</w:t>
      </w:r>
      <w:r>
        <w:rPr>
          <w:rFonts w:ascii="Arial" w:hAnsi="Arial" w:cs="Arial"/>
          <w:sz w:val="22"/>
          <w:szCs w:val="22"/>
        </w:rPr>
        <w:t xml:space="preserve"> through 20</w:t>
      </w:r>
      <w:r w:rsidRPr="0094606D">
        <w:rPr>
          <w:rFonts w:ascii="Arial" w:hAnsi="Arial" w:cs="Arial"/>
          <w:sz w:val="22"/>
          <w:szCs w:val="22"/>
        </w:rPr>
        <w:t>08 follow the TMDL</w:t>
      </w:r>
      <w:r>
        <w:rPr>
          <w:rFonts w:ascii="Arial" w:hAnsi="Arial" w:cs="Arial"/>
          <w:sz w:val="22"/>
          <w:szCs w:val="22"/>
        </w:rPr>
        <w:t xml:space="preserve"> rotating basin design, and from </w:t>
      </w:r>
      <w:r w:rsidRPr="0094606D">
        <w:rPr>
          <w:rFonts w:ascii="Arial" w:hAnsi="Arial" w:cs="Arial"/>
          <w:sz w:val="22"/>
          <w:szCs w:val="22"/>
        </w:rPr>
        <w:t>2009</w:t>
      </w:r>
      <w:r>
        <w:rPr>
          <w:rFonts w:ascii="Arial" w:hAnsi="Arial" w:cs="Arial"/>
          <w:sz w:val="22"/>
          <w:szCs w:val="22"/>
        </w:rPr>
        <w:t xml:space="preserve"> to the </w:t>
      </w:r>
      <w:r w:rsidRPr="0094606D">
        <w:rPr>
          <w:rFonts w:ascii="Arial" w:hAnsi="Arial" w:cs="Arial"/>
          <w:sz w:val="22"/>
          <w:szCs w:val="22"/>
        </w:rPr>
        <w:t>present</w:t>
      </w:r>
      <w:r>
        <w:rPr>
          <w:rFonts w:ascii="Arial" w:hAnsi="Arial" w:cs="Arial"/>
          <w:sz w:val="22"/>
          <w:szCs w:val="22"/>
        </w:rPr>
        <w:t>,</w:t>
      </w:r>
      <w:r w:rsidRPr="0094606D">
        <w:rPr>
          <w:rFonts w:ascii="Arial" w:hAnsi="Arial" w:cs="Arial"/>
          <w:sz w:val="22"/>
          <w:szCs w:val="22"/>
        </w:rPr>
        <w:t xml:space="preserve"> </w:t>
      </w:r>
      <w:r>
        <w:rPr>
          <w:rFonts w:ascii="Arial" w:hAnsi="Arial" w:cs="Arial"/>
          <w:sz w:val="22"/>
          <w:szCs w:val="22"/>
        </w:rPr>
        <w:t>the monitoring has</w:t>
      </w:r>
      <w:r w:rsidRPr="0094606D">
        <w:rPr>
          <w:rFonts w:ascii="Arial" w:hAnsi="Arial" w:cs="Arial"/>
          <w:sz w:val="22"/>
          <w:szCs w:val="22"/>
        </w:rPr>
        <w:t xml:space="preserve"> </w:t>
      </w:r>
      <w:r>
        <w:rPr>
          <w:rFonts w:ascii="Arial" w:hAnsi="Arial" w:cs="Arial"/>
          <w:sz w:val="22"/>
          <w:szCs w:val="22"/>
        </w:rPr>
        <w:t>shifted</w:t>
      </w:r>
      <w:r w:rsidRPr="0094606D">
        <w:rPr>
          <w:rFonts w:ascii="Arial" w:hAnsi="Arial" w:cs="Arial"/>
          <w:sz w:val="22"/>
          <w:szCs w:val="22"/>
        </w:rPr>
        <w:t xml:space="preserve"> to an annual estimate of condition.</w:t>
      </w:r>
    </w:p>
    <w:p w:rsidR="00485094" w:rsidRPr="0094606D" w:rsidRDefault="00485094" w:rsidP="0094606D">
      <w:pPr>
        <w:rPr>
          <w:rFonts w:ascii="Arial" w:hAnsi="Arial" w:cs="Arial"/>
          <w:sz w:val="22"/>
          <w:szCs w:val="22"/>
        </w:rPr>
      </w:pPr>
    </w:p>
    <w:p w:rsidR="00485094" w:rsidRDefault="00485094" w:rsidP="002B7AD6">
      <w:pPr>
        <w:tabs>
          <w:tab w:val="left" w:pos="5490"/>
        </w:tabs>
        <w:rPr>
          <w:rFonts w:ascii="Arial" w:hAnsi="Arial" w:cs="Arial"/>
          <w:sz w:val="22"/>
          <w:szCs w:val="22"/>
        </w:rPr>
      </w:pPr>
      <w:r w:rsidRPr="0094606D">
        <w:rPr>
          <w:rFonts w:ascii="Arial" w:hAnsi="Arial" w:cs="Arial"/>
          <w:sz w:val="22"/>
          <w:szCs w:val="22"/>
        </w:rPr>
        <w:t xml:space="preserve">An additional requirement for CWA </w:t>
      </w:r>
      <w:r>
        <w:rPr>
          <w:rFonts w:ascii="Arial" w:hAnsi="Arial" w:cs="Arial"/>
          <w:sz w:val="22"/>
          <w:szCs w:val="22"/>
        </w:rPr>
        <w:t>S</w:t>
      </w:r>
      <w:r w:rsidRPr="0094606D">
        <w:rPr>
          <w:rFonts w:ascii="Arial" w:hAnsi="Arial" w:cs="Arial"/>
          <w:sz w:val="22"/>
          <w:szCs w:val="22"/>
        </w:rPr>
        <w:t xml:space="preserve">ection 106 is the submittal of the </w:t>
      </w:r>
      <w:r>
        <w:rPr>
          <w:rFonts w:ascii="Arial" w:hAnsi="Arial" w:cs="Arial"/>
          <w:sz w:val="22"/>
          <w:szCs w:val="22"/>
        </w:rPr>
        <w:t>F</w:t>
      </w:r>
      <w:r w:rsidRPr="0094606D">
        <w:rPr>
          <w:rFonts w:ascii="Arial" w:hAnsi="Arial" w:cs="Arial"/>
          <w:sz w:val="22"/>
          <w:szCs w:val="22"/>
        </w:rPr>
        <w:t>DEP monitoring strategy, which  addresses the suite of monitoring programs in this document, u</w:t>
      </w:r>
      <w:r>
        <w:rPr>
          <w:rFonts w:ascii="Arial" w:hAnsi="Arial" w:cs="Arial"/>
          <w:sz w:val="22"/>
          <w:szCs w:val="22"/>
        </w:rPr>
        <w:t>s</w:t>
      </w:r>
      <w:r w:rsidRPr="0094606D">
        <w:rPr>
          <w:rFonts w:ascii="Arial" w:hAnsi="Arial" w:cs="Arial"/>
          <w:sz w:val="22"/>
          <w:szCs w:val="22"/>
        </w:rPr>
        <w:t xml:space="preserve">ing </w:t>
      </w:r>
      <w:r>
        <w:rPr>
          <w:rFonts w:ascii="Arial" w:hAnsi="Arial" w:cs="Arial"/>
          <w:sz w:val="22"/>
          <w:szCs w:val="22"/>
        </w:rPr>
        <w:t xml:space="preserve">the </w:t>
      </w:r>
      <w:r w:rsidRPr="0094606D">
        <w:rPr>
          <w:rFonts w:ascii="Arial" w:hAnsi="Arial" w:cs="Arial"/>
          <w:sz w:val="22"/>
          <w:szCs w:val="22"/>
        </w:rPr>
        <w:t xml:space="preserve">EPA’s March 2003 </w:t>
      </w:r>
      <w:r w:rsidRPr="0094606D">
        <w:rPr>
          <w:rFonts w:ascii="Arial" w:hAnsi="Arial" w:cs="Arial"/>
          <w:i/>
          <w:sz w:val="22"/>
          <w:szCs w:val="22"/>
        </w:rPr>
        <w:t xml:space="preserve">Elements of a State Water Monitoring and Assessment Program </w:t>
      </w:r>
      <w:r w:rsidRPr="0094606D">
        <w:rPr>
          <w:rFonts w:ascii="Arial" w:hAnsi="Arial" w:cs="Arial"/>
          <w:sz w:val="22"/>
          <w:szCs w:val="22"/>
        </w:rPr>
        <w:t>guidance.  As part of the report, changes to the design document for the FDEP Watershed Monitoring program is updated as any changes to the design of the monitoring program or strategy occur.</w:t>
      </w:r>
    </w:p>
    <w:p w:rsidR="00485094" w:rsidRPr="000D7DC5" w:rsidRDefault="00485094" w:rsidP="0094606D">
      <w:pPr>
        <w:rPr>
          <w:rFonts w:ascii="Arial" w:hAnsi="Arial" w:cs="Arial"/>
          <w:sz w:val="22"/>
          <w:szCs w:val="22"/>
        </w:rPr>
      </w:pPr>
      <w:r>
        <w:rPr>
          <w:rFonts w:ascii="Arial" w:hAnsi="Arial" w:cs="Arial"/>
          <w:sz w:val="22"/>
          <w:szCs w:val="22"/>
        </w:rPr>
        <w:t xml:space="preserve"> </w:t>
      </w:r>
    </w:p>
    <w:p w:rsidR="00485094" w:rsidRPr="003A4461" w:rsidRDefault="00485094" w:rsidP="00A553DE">
      <w:pPr>
        <w:pStyle w:val="Bodytextreduced"/>
      </w:pPr>
      <w:r w:rsidRPr="003A4461">
        <w:br w:type="page"/>
      </w:r>
    </w:p>
    <w:p w:rsidR="00FC6EE0" w:rsidRDefault="00FC6EE0" w:rsidP="00FC6EE0">
      <w:pPr>
        <w:pStyle w:val="Bodytextreduced"/>
      </w:pPr>
      <w:bookmarkStart w:id="51" w:name="_Toc255822484"/>
      <w:bookmarkStart w:id="52" w:name="_Toc271279928"/>
    </w:p>
    <w:p w:rsidR="00485094" w:rsidRPr="00462963" w:rsidRDefault="00485094" w:rsidP="006179DC">
      <w:pPr>
        <w:pStyle w:val="Heading1"/>
      </w:pPr>
      <w:r>
        <w:t>Chapter 2</w:t>
      </w:r>
      <w:r w:rsidRPr="006179DC">
        <w:t xml:space="preserve">:  </w:t>
      </w:r>
      <w:r>
        <w:t>Background Information</w:t>
      </w:r>
      <w:bookmarkEnd w:id="51"/>
      <w:bookmarkEnd w:id="52"/>
    </w:p>
    <w:p w:rsidR="00485094" w:rsidRDefault="00485094" w:rsidP="00DF3904">
      <w:pPr>
        <w:pStyle w:val="Bodytextreduced"/>
      </w:pPr>
      <w:bookmarkStart w:id="53" w:name="_Toc255822485"/>
    </w:p>
    <w:p w:rsidR="00485094" w:rsidRDefault="00485094" w:rsidP="008731A6">
      <w:pPr>
        <w:pStyle w:val="Heading2"/>
      </w:pPr>
      <w:bookmarkStart w:id="54" w:name="_Toc271279929"/>
      <w:r>
        <w:t>Overview</w:t>
      </w:r>
      <w:bookmarkEnd w:id="53"/>
      <w:bookmarkEnd w:id="54"/>
    </w:p>
    <w:p w:rsidR="00485094" w:rsidRDefault="00485094" w:rsidP="006D6F86">
      <w:pPr>
        <w:pStyle w:val="Bodytext"/>
        <w:rPr>
          <w:snapToGrid w:val="0"/>
        </w:rPr>
      </w:pPr>
      <w:smartTag w:uri="urn:schemas-microsoft-com:office:smarttags" w:element="State">
        <w:smartTag w:uri="urn:schemas-microsoft-com:office:smarttags" w:element="place">
          <w:r>
            <w:t>Florida</w:t>
          </w:r>
        </w:smartTag>
      </w:smartTag>
      <w:r>
        <w:t xml:space="preserve">'s 65,758 square miles support abundant, diverse natural resources.  Some of these resources—such as the Everglades—are found nowhere else.  </w:t>
      </w:r>
      <w:smartTag w:uri="urn:schemas-microsoft-com:office:smarttags" w:element="State">
        <w:r>
          <w:t>Florida</w:t>
        </w:r>
      </w:smartTag>
      <w:r>
        <w:t xml:space="preserve"> also contains the only coral reef in the continental </w:t>
      </w:r>
      <w:smartTag w:uri="urn:schemas-microsoft-com:office:smarttags" w:element="country-region">
        <w:smartTag w:uri="urn:schemas-microsoft-com:office:smarttags" w:element="place">
          <w:r>
            <w:t>United States</w:t>
          </w:r>
        </w:smartTag>
      </w:smartTag>
      <w:r>
        <w:rPr>
          <w:i/>
        </w:rPr>
        <w:t xml:space="preserve">.  </w:t>
      </w:r>
      <w:r>
        <w:t>The state has 11,761 square miles of surface water (ranking third in the country in total water area) and large supplies of fresh water in its underground aquifers.  Florida</w:t>
      </w:r>
      <w:r>
        <w:rPr>
          <w:snapToGrid w:val="0"/>
        </w:rPr>
        <w:t xml:space="preserve"> depends on water resources in many ways—for example, for its $26.4 billion fishing and $57 billion tourism industries (Florida Fish and Wildlife Conservation Commission [FWC] website, 2010; American Safety Council website, 2010).</w:t>
      </w:r>
    </w:p>
    <w:p w:rsidR="00485094" w:rsidRDefault="00485094" w:rsidP="006D6F86">
      <w:pPr>
        <w:pStyle w:val="Bodytext"/>
        <w:rPr>
          <w:snapToGrid w:val="0"/>
        </w:rPr>
      </w:pPr>
    </w:p>
    <w:p w:rsidR="00485094" w:rsidRDefault="00485094" w:rsidP="006D6F86">
      <w:pPr>
        <w:pStyle w:val="Bodytext"/>
      </w:pPr>
      <w:r>
        <w:t>The pressures of population growth and its accompanying development are impacting the state’s freshwater, ground water, and saltwater resources.  Although the state ranks 22</w:t>
      </w:r>
      <w:r w:rsidRPr="00FF43CF">
        <w:rPr>
          <w:vertAlign w:val="superscript"/>
        </w:rPr>
        <w:t>nd</w:t>
      </w:r>
      <w:r>
        <w:t xml:space="preserve"> in the country in total area, it currently ranks </w:t>
      </w:r>
      <w:r w:rsidRPr="001C582C">
        <w:t>fourth</w:t>
      </w:r>
      <w:r>
        <w:t xml:space="preserve"> in population, and that population continues to grow.  </w:t>
      </w:r>
      <w:r>
        <w:rPr>
          <w:snapToGrid w:val="0"/>
        </w:rPr>
        <w:t>Most Floridians live in coastal areas where less fresh water is available, and about three-fourths of new Florida residents choose coastal locations for their new homes.  As development continues, different users vie for water resources.  Major</w:t>
      </w:r>
      <w:r>
        <w:t xml:space="preserve"> challenges include maintaining overall water quality and supplies, protecting public health, </w:t>
      </w:r>
      <w:r>
        <w:rPr>
          <w:snapToGrid w:val="0"/>
        </w:rPr>
        <w:t>satisfying competing and rapidly increasing demands for finite quantities of fresh water, minimizing damage to future water reserves, and</w:t>
      </w:r>
      <w:r>
        <w:t xml:space="preserve"> ensuring healthy populations of fish and wildlife.</w:t>
      </w:r>
    </w:p>
    <w:p w:rsidR="00485094" w:rsidRDefault="00485094" w:rsidP="006D6F86">
      <w:pPr>
        <w:pStyle w:val="Bodytext"/>
      </w:pPr>
    </w:p>
    <w:p w:rsidR="00485094" w:rsidRDefault="00485094" w:rsidP="005508B0">
      <w:pPr>
        <w:pStyle w:val="Bodytext"/>
      </w:pPr>
      <w:r>
        <w:t xml:space="preserve">In addition, climate change, and its effects on water quality, must be considered in water resource management.  Predicted impacts to Florida are increased air and water temperatures, increased variability in precipitation regimes, sea level rise, and salt water intrusion.  In, 2007, Governor Charlie </w:t>
      </w:r>
      <w:proofErr w:type="spellStart"/>
      <w:r>
        <w:t>Crist</w:t>
      </w:r>
      <w:proofErr w:type="spellEnd"/>
      <w:r>
        <w:t xml:space="preserve"> established the Governor’s Action Team on Energy and Climate Change.  This group was assigned the task of establishing a comprehensive </w:t>
      </w:r>
      <w:hyperlink r:id="rId13" w:history="1">
        <w:r w:rsidRPr="001922D8">
          <w:rPr>
            <w:rStyle w:val="Hyperlink"/>
          </w:rPr>
          <w:t>Florida Energy and Climate Action Plan</w:t>
        </w:r>
      </w:hyperlink>
      <w:r>
        <w:t xml:space="preserve"> to achieve reductions in greenhouse gases.  </w:t>
      </w:r>
    </w:p>
    <w:p w:rsidR="00485094" w:rsidRDefault="00485094" w:rsidP="009D22C7">
      <w:pPr>
        <w:pStyle w:val="Bodytext"/>
      </w:pPr>
    </w:p>
    <w:p w:rsidR="00485094" w:rsidRDefault="00485094" w:rsidP="009D22C7">
      <w:pPr>
        <w:pStyle w:val="Bodytext"/>
        <w:rPr>
          <w:snapToGrid w:val="0"/>
        </w:rPr>
      </w:pPr>
      <w:r>
        <w:t>Despite the fact that water is plentiful in many areas, w</w:t>
      </w:r>
      <w:r>
        <w:rPr>
          <w:snapToGrid w:val="0"/>
        </w:rPr>
        <w:t xml:space="preserve">ater quantity and quality are critical issues.  In 1950, </w:t>
      </w:r>
      <w:smartTag w:uri="urn:schemas-microsoft-com:office:smarttags" w:element="State">
        <w:smartTag w:uri="urn:schemas-microsoft-com:office:smarttags" w:element="place">
          <w:r>
            <w:rPr>
              <w:snapToGrid w:val="0"/>
            </w:rPr>
            <w:t>Florida</w:t>
          </w:r>
        </w:smartTag>
      </w:smartTag>
      <w:r>
        <w:rPr>
          <w:snapToGrid w:val="0"/>
        </w:rPr>
        <w:t xml:space="preserve">’s population of 2.8 million used about 2.9 billion gallons per day (BGD) of fresh ground water and surface water.  In 1995, that number had risen to 7.2 BGD, and consumption is projected to rise to 9.3 BGD by 2020.  </w:t>
      </w:r>
      <w:r w:rsidRPr="00595B30">
        <w:t xml:space="preserve">Surface water and ground water quality has been </w:t>
      </w:r>
      <w:r w:rsidRPr="00595B30">
        <w:rPr>
          <w:snapToGrid w:val="0"/>
        </w:rPr>
        <w:t>impacted</w:t>
      </w:r>
      <w:r w:rsidRPr="00595B30">
        <w:t xml:space="preserve"> by industrial, residential, and agricultural land uses in areas throughout the state.</w:t>
      </w:r>
      <w:r w:rsidRPr="001E0CFB">
        <w:rPr>
          <w:snapToGrid w:val="0"/>
        </w:rPr>
        <w:t xml:space="preserve">  While many point sources of pollution such as sewage treatment</w:t>
      </w:r>
      <w:r>
        <w:rPr>
          <w:snapToGrid w:val="0"/>
        </w:rPr>
        <w:t xml:space="preserve"> plant discharges have been eliminated, pollutant loading from widespread, diffuse nonpoint sources such as urban development and agriculture remains a challenge.  </w:t>
      </w:r>
    </w:p>
    <w:p w:rsidR="00485094" w:rsidRDefault="00485094" w:rsidP="006D6F86">
      <w:pPr>
        <w:pStyle w:val="Bodytext"/>
      </w:pPr>
    </w:p>
    <w:p w:rsidR="00485094" w:rsidRDefault="00485094" w:rsidP="006D6F86">
      <w:pPr>
        <w:pStyle w:val="Bodytext"/>
      </w:pPr>
      <w:r>
        <w:t xml:space="preserve">This chapter provides background information about Florida’s population, water resources, climate, and physical features.  </w:t>
      </w:r>
      <w:r>
        <w:rPr>
          <w:b/>
          <w:i/>
        </w:rPr>
        <w:t>Table 2.1</w:t>
      </w:r>
      <w:r>
        <w:t xml:space="preserve"> summarizes basic information on the state and its surface water resources.</w:t>
      </w:r>
    </w:p>
    <w:p w:rsidR="00485094" w:rsidRPr="003A4461" w:rsidRDefault="00485094" w:rsidP="00492CE5">
      <w:pPr>
        <w:pStyle w:val="Bodytext"/>
        <w:rPr>
          <w:rFonts w:cs="Arial"/>
          <w:bCs/>
          <w:szCs w:val="22"/>
        </w:rPr>
      </w:pPr>
      <w:r>
        <w:rPr>
          <w:rFonts w:cs="Arial"/>
          <w:bCs/>
          <w:szCs w:val="22"/>
        </w:rPr>
        <w:br w:type="page"/>
      </w:r>
    </w:p>
    <w:p w:rsidR="00485094" w:rsidRPr="004F5F3F" w:rsidRDefault="00485094" w:rsidP="000877C3">
      <w:pPr>
        <w:pStyle w:val="Tableheading"/>
      </w:pPr>
      <w:bookmarkStart w:id="55" w:name="_Toc255482786"/>
      <w:bookmarkStart w:id="56" w:name="_Toc255807445"/>
      <w:bookmarkStart w:id="57" w:name="_Toc271280066"/>
      <w:r w:rsidRPr="004F5F3F">
        <w:lastRenderedPageBreak/>
        <w:t xml:space="preserve">Table </w:t>
      </w:r>
      <w:r>
        <w:t>2.</w:t>
      </w:r>
      <w:r w:rsidRPr="004F5F3F">
        <w:t>1</w:t>
      </w:r>
      <w:r>
        <w:t>.</w:t>
      </w:r>
      <w:r w:rsidRPr="004F5F3F">
        <w:t xml:space="preserve">  </w:t>
      </w:r>
      <w:smartTag w:uri="urn:schemas-microsoft-com:office:smarttags" w:element="State">
        <w:smartTag w:uri="urn:schemas-microsoft-com:office:smarttags" w:element="place">
          <w:r>
            <w:t>Florida</w:t>
          </w:r>
        </w:smartTag>
      </w:smartTag>
      <w:r>
        <w:t xml:space="preserve"> </w:t>
      </w:r>
      <w:r w:rsidRPr="004F5F3F">
        <w:t>Atlas</w:t>
      </w:r>
      <w:bookmarkEnd w:id="55"/>
      <w:bookmarkEnd w:id="56"/>
      <w:bookmarkEnd w:id="57"/>
    </w:p>
    <w:p w:rsidR="00485094" w:rsidRDefault="00485094" w:rsidP="00364D48">
      <w:pPr>
        <w:pStyle w:val="TabledescriptionBF"/>
        <w:rPr>
          <w:snapToGrid w:val="0"/>
        </w:rPr>
      </w:pPr>
      <w:r>
        <w:rPr>
          <w:snapToGrid w:val="0"/>
        </w:rPr>
        <w:t>This is a two-column table.  Column 1 lists individual statistics for the state, and Column 2 lists the numbers</w:t>
      </w:r>
      <w:r w:rsidR="00F01F27">
        <w:rPr>
          <w:snapToGrid w:val="0"/>
        </w:rPr>
        <w:t xml:space="preserve"> for Florida </w:t>
      </w:r>
      <w:r>
        <w:rPr>
          <w:snapToGrid w:val="0"/>
        </w:rPr>
        <w:t>associated with those statistics.</w:t>
      </w:r>
    </w:p>
    <w:p w:rsidR="00485094" w:rsidRDefault="00485094" w:rsidP="00364D48">
      <w:pPr>
        <w:pStyle w:val="TabledescriptionBF"/>
        <w:rPr>
          <w:snapToGrid w:val="0"/>
        </w:rPr>
      </w:pPr>
    </w:p>
    <w:tbl>
      <w:tblPr>
        <w:tblW w:w="991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tblPr>
      <w:tblGrid>
        <w:gridCol w:w="5095"/>
        <w:gridCol w:w="4823"/>
      </w:tblGrid>
      <w:tr w:rsidR="00485094" w:rsidRPr="00364D48" w:rsidTr="000F2909">
        <w:trPr>
          <w:trHeight w:val="259"/>
          <w:jc w:val="center"/>
        </w:trPr>
        <w:tc>
          <w:tcPr>
            <w:tcW w:w="5095" w:type="dxa"/>
            <w:tcBorders>
              <w:bottom w:val="double" w:sz="4" w:space="0" w:color="auto"/>
            </w:tcBorders>
            <w:shd w:val="clear" w:color="auto" w:fill="BDFFFF"/>
            <w:vAlign w:val="center"/>
          </w:tcPr>
          <w:p w:rsidR="00485094" w:rsidRPr="00364D48" w:rsidRDefault="00485094" w:rsidP="00364D48">
            <w:pPr>
              <w:jc w:val="center"/>
              <w:rPr>
                <w:rFonts w:ascii="Arial" w:hAnsi="Arial"/>
                <w:b/>
                <w:bCs/>
                <w:i/>
                <w:snapToGrid w:val="0"/>
                <w:sz w:val="18"/>
              </w:rPr>
            </w:pPr>
            <w:r w:rsidRPr="00364D48">
              <w:rPr>
                <w:rFonts w:ascii="Arial" w:hAnsi="Arial"/>
                <w:b/>
                <w:bCs/>
                <w:i/>
                <w:snapToGrid w:val="0"/>
                <w:sz w:val="18"/>
              </w:rPr>
              <w:t>Statistic</w:t>
            </w:r>
          </w:p>
        </w:tc>
        <w:tc>
          <w:tcPr>
            <w:tcW w:w="4823" w:type="dxa"/>
            <w:tcBorders>
              <w:bottom w:val="double" w:sz="4" w:space="0" w:color="auto"/>
            </w:tcBorders>
            <w:shd w:val="clear" w:color="auto" w:fill="BDFFFF"/>
            <w:vAlign w:val="center"/>
          </w:tcPr>
          <w:p w:rsidR="00485094" w:rsidRPr="00364D48" w:rsidRDefault="00485094" w:rsidP="00364D48">
            <w:pPr>
              <w:jc w:val="center"/>
              <w:rPr>
                <w:rFonts w:ascii="Arial" w:hAnsi="Arial"/>
                <w:b/>
                <w:bCs/>
                <w:i/>
                <w:snapToGrid w:val="0"/>
                <w:sz w:val="18"/>
              </w:rPr>
            </w:pPr>
            <w:r w:rsidRPr="00364D48">
              <w:rPr>
                <w:rFonts w:ascii="Arial" w:hAnsi="Arial"/>
                <w:b/>
                <w:bCs/>
                <w:i/>
                <w:snapToGrid w:val="0"/>
                <w:sz w:val="18"/>
              </w:rPr>
              <w:t>Number</w:t>
            </w:r>
          </w:p>
        </w:tc>
      </w:tr>
      <w:tr w:rsidR="00485094" w:rsidRPr="00E76B4B" w:rsidTr="009D19A3">
        <w:trPr>
          <w:trHeight w:val="259"/>
          <w:jc w:val="center"/>
        </w:trPr>
        <w:tc>
          <w:tcPr>
            <w:tcW w:w="5095" w:type="dxa"/>
            <w:tcBorders>
              <w:top w:val="double" w:sz="4" w:space="0" w:color="auto"/>
            </w:tcBorders>
            <w:shd w:val="clear" w:color="auto" w:fill="FFFFD5"/>
            <w:vAlign w:val="center"/>
          </w:tcPr>
          <w:p w:rsidR="00485094" w:rsidRDefault="00485094">
            <w:pPr>
              <w:rPr>
                <w:rFonts w:ascii="Arial" w:hAnsi="Arial"/>
                <w:b/>
                <w:bCs/>
                <w:snapToGrid w:val="0"/>
                <w:sz w:val="18"/>
              </w:rPr>
            </w:pPr>
            <w:r w:rsidRPr="00E76B4B">
              <w:rPr>
                <w:rFonts w:ascii="Arial" w:hAnsi="Arial"/>
                <w:b/>
                <w:bCs/>
                <w:snapToGrid w:val="0"/>
                <w:sz w:val="18"/>
              </w:rPr>
              <w:t>200</w:t>
            </w:r>
            <w:r>
              <w:rPr>
                <w:rFonts w:ascii="Arial" w:hAnsi="Arial"/>
                <w:b/>
                <w:bCs/>
                <w:snapToGrid w:val="0"/>
                <w:sz w:val="18"/>
              </w:rPr>
              <w:t>8</w:t>
            </w:r>
            <w:r w:rsidRPr="00E76B4B">
              <w:rPr>
                <w:rFonts w:ascii="Arial" w:hAnsi="Arial"/>
                <w:b/>
                <w:bCs/>
                <w:snapToGrid w:val="0"/>
                <w:sz w:val="18"/>
              </w:rPr>
              <w:t xml:space="preserve"> estimated population (U.S. Census Bureau)</w:t>
            </w:r>
          </w:p>
        </w:tc>
        <w:tc>
          <w:tcPr>
            <w:tcW w:w="4823" w:type="dxa"/>
            <w:tcBorders>
              <w:top w:val="double" w:sz="4" w:space="0" w:color="auto"/>
            </w:tcBorders>
            <w:vAlign w:val="center"/>
          </w:tcPr>
          <w:p w:rsidR="00485094" w:rsidRPr="00E76B4B" w:rsidRDefault="00485094" w:rsidP="0082702B">
            <w:pPr>
              <w:rPr>
                <w:rFonts w:ascii="Arial" w:hAnsi="Arial"/>
                <w:b/>
                <w:bCs/>
                <w:snapToGrid w:val="0"/>
                <w:sz w:val="18"/>
              </w:rPr>
            </w:pPr>
            <w:r w:rsidRPr="00CC42C1">
              <w:rPr>
                <w:rFonts w:ascii="Arial" w:hAnsi="Arial"/>
                <w:b/>
                <w:bCs/>
                <w:snapToGrid w:val="0"/>
                <w:sz w:val="18"/>
              </w:rPr>
              <w:t>18,328,340</w:t>
            </w:r>
            <w:r>
              <w:rPr>
                <w:rFonts w:ascii="Arial" w:hAnsi="Arial"/>
                <w:b/>
                <w:bCs/>
                <w:snapToGrid w:val="0"/>
                <w:sz w:val="18"/>
              </w:rPr>
              <w:t xml:space="preserve"> </w:t>
            </w:r>
            <w:r w:rsidRPr="00E76B4B">
              <w:rPr>
                <w:rFonts w:ascii="Arial" w:hAnsi="Arial"/>
                <w:b/>
                <w:bCs/>
                <w:snapToGrid w:val="0"/>
                <w:sz w:val="18"/>
              </w:rPr>
              <w:t>people</w:t>
            </w:r>
            <w:r>
              <w:rPr>
                <w:rFonts w:ascii="Arial" w:hAnsi="Arial"/>
                <w:b/>
                <w:bCs/>
                <w:snapToGrid w:val="0"/>
                <w:sz w:val="18"/>
              </w:rPr>
              <w:t xml:space="preserve"> </w:t>
            </w:r>
          </w:p>
        </w:tc>
      </w:tr>
      <w:tr w:rsidR="00485094" w:rsidRPr="00E76B4B" w:rsidTr="009D19A3">
        <w:trPr>
          <w:trHeight w:val="259"/>
          <w:jc w:val="center"/>
        </w:trPr>
        <w:tc>
          <w:tcPr>
            <w:tcW w:w="5095" w:type="dxa"/>
            <w:shd w:val="clear" w:color="auto" w:fill="FFFFD5"/>
            <w:vAlign w:val="center"/>
          </w:tcPr>
          <w:p w:rsidR="00485094" w:rsidRPr="00E76B4B" w:rsidRDefault="00485094" w:rsidP="00E76B4B">
            <w:pPr>
              <w:ind w:firstLine="360"/>
              <w:rPr>
                <w:rFonts w:ascii="Arial" w:hAnsi="Arial"/>
                <w:snapToGrid w:val="0"/>
                <w:sz w:val="18"/>
              </w:rPr>
            </w:pPr>
            <w:r w:rsidRPr="00E76B4B">
              <w:rPr>
                <w:rFonts w:ascii="Arial" w:hAnsi="Arial"/>
                <w:snapToGrid w:val="0"/>
                <w:sz w:val="18"/>
              </w:rPr>
              <w:t>Ranking by population among 50 states</w:t>
            </w:r>
          </w:p>
        </w:tc>
        <w:tc>
          <w:tcPr>
            <w:tcW w:w="4823" w:type="dxa"/>
            <w:vAlign w:val="center"/>
          </w:tcPr>
          <w:p w:rsidR="00485094" w:rsidRPr="00E76B4B" w:rsidRDefault="00485094" w:rsidP="00E76B4B">
            <w:pPr>
              <w:ind w:firstLine="305"/>
              <w:rPr>
                <w:rFonts w:ascii="Arial" w:hAnsi="Arial"/>
                <w:snapToGrid w:val="0"/>
                <w:sz w:val="18"/>
              </w:rPr>
            </w:pPr>
            <w:r w:rsidRPr="00E76B4B">
              <w:rPr>
                <w:rFonts w:ascii="Arial" w:hAnsi="Arial"/>
                <w:snapToGrid w:val="0"/>
                <w:sz w:val="18"/>
              </w:rPr>
              <w:t>4</w:t>
            </w:r>
            <w:r w:rsidRPr="00E76B4B">
              <w:rPr>
                <w:rFonts w:ascii="Arial" w:hAnsi="Arial"/>
                <w:snapToGrid w:val="0"/>
                <w:sz w:val="18"/>
                <w:vertAlign w:val="superscript"/>
              </w:rPr>
              <w:t>th</w:t>
            </w:r>
            <w:r w:rsidRPr="00E76B4B">
              <w:rPr>
                <w:rFonts w:ascii="Arial" w:hAnsi="Arial"/>
                <w:snapToGrid w:val="0"/>
                <w:sz w:val="18"/>
              </w:rPr>
              <w:t xml:space="preserve"> largest</w:t>
            </w:r>
          </w:p>
        </w:tc>
      </w:tr>
      <w:tr w:rsidR="00485094" w:rsidRPr="00E76B4B" w:rsidTr="009D19A3">
        <w:trPr>
          <w:trHeight w:val="259"/>
          <w:jc w:val="center"/>
        </w:trPr>
        <w:tc>
          <w:tcPr>
            <w:tcW w:w="5095" w:type="dxa"/>
            <w:shd w:val="clear" w:color="auto" w:fill="FFFFD5"/>
            <w:vAlign w:val="center"/>
          </w:tcPr>
          <w:p w:rsidR="00485094" w:rsidRDefault="00485094">
            <w:pPr>
              <w:ind w:firstLine="360"/>
              <w:rPr>
                <w:rFonts w:ascii="Arial" w:hAnsi="Arial"/>
                <w:snapToGrid w:val="0"/>
                <w:sz w:val="18"/>
              </w:rPr>
            </w:pPr>
            <w:r w:rsidRPr="00E76B4B">
              <w:rPr>
                <w:rFonts w:ascii="Arial" w:hAnsi="Arial"/>
                <w:snapToGrid w:val="0"/>
                <w:sz w:val="18"/>
              </w:rPr>
              <w:t>% change, April 1, 2000, to July 1, 200</w:t>
            </w:r>
            <w:r>
              <w:rPr>
                <w:rFonts w:ascii="Arial" w:hAnsi="Arial"/>
                <w:snapToGrid w:val="0"/>
                <w:sz w:val="18"/>
              </w:rPr>
              <w:t>8</w:t>
            </w:r>
            <w:r w:rsidRPr="00E76B4B">
              <w:rPr>
                <w:rFonts w:ascii="Arial" w:hAnsi="Arial"/>
                <w:snapToGrid w:val="0"/>
                <w:sz w:val="18"/>
              </w:rPr>
              <w:t xml:space="preserve"> </w:t>
            </w:r>
          </w:p>
        </w:tc>
        <w:tc>
          <w:tcPr>
            <w:tcW w:w="4823" w:type="dxa"/>
            <w:vAlign w:val="center"/>
          </w:tcPr>
          <w:p w:rsidR="00485094" w:rsidRDefault="00485094">
            <w:pPr>
              <w:ind w:firstLine="305"/>
              <w:rPr>
                <w:rFonts w:ascii="Arial" w:hAnsi="Arial"/>
                <w:snapToGrid w:val="0"/>
                <w:sz w:val="18"/>
              </w:rPr>
            </w:pPr>
            <w:r w:rsidRPr="00E76B4B">
              <w:rPr>
                <w:rFonts w:ascii="Arial" w:hAnsi="Arial"/>
                <w:snapToGrid w:val="0"/>
                <w:sz w:val="18"/>
              </w:rPr>
              <w:t xml:space="preserve">+ </w:t>
            </w:r>
            <w:r>
              <w:rPr>
                <w:rFonts w:ascii="Arial" w:hAnsi="Arial"/>
                <w:snapToGrid w:val="0"/>
                <w:sz w:val="18"/>
              </w:rPr>
              <w:t>14.9</w:t>
            </w:r>
            <w:r w:rsidRPr="00E76B4B">
              <w:rPr>
                <w:rFonts w:ascii="Arial" w:hAnsi="Arial"/>
                <w:snapToGrid w:val="0"/>
                <w:sz w:val="18"/>
              </w:rPr>
              <w:t>%</w:t>
            </w:r>
          </w:p>
        </w:tc>
      </w:tr>
      <w:tr w:rsidR="00485094" w:rsidRPr="00E76B4B" w:rsidTr="009D19A3">
        <w:trPr>
          <w:trHeight w:val="259"/>
          <w:jc w:val="center"/>
        </w:trPr>
        <w:tc>
          <w:tcPr>
            <w:tcW w:w="5095" w:type="dxa"/>
            <w:shd w:val="clear" w:color="auto" w:fill="FFFFD5"/>
            <w:vAlign w:val="center"/>
          </w:tcPr>
          <w:p w:rsidR="00485094" w:rsidRPr="00E76B4B" w:rsidRDefault="00485094" w:rsidP="003475EE">
            <w:pPr>
              <w:rPr>
                <w:rFonts w:ascii="Arial" w:hAnsi="Arial"/>
                <w:b/>
                <w:snapToGrid w:val="0"/>
                <w:sz w:val="18"/>
              </w:rPr>
            </w:pPr>
            <w:r w:rsidRPr="00E76B4B">
              <w:rPr>
                <w:rFonts w:ascii="Arial" w:hAnsi="Arial"/>
                <w:b/>
                <w:snapToGrid w:val="0"/>
                <w:sz w:val="18"/>
              </w:rPr>
              <w:t>Surface area</w:t>
            </w:r>
          </w:p>
        </w:tc>
        <w:tc>
          <w:tcPr>
            <w:tcW w:w="4823" w:type="dxa"/>
            <w:vAlign w:val="center"/>
          </w:tcPr>
          <w:p w:rsidR="00485094" w:rsidRPr="00E76B4B" w:rsidRDefault="00485094" w:rsidP="003475EE">
            <w:pPr>
              <w:rPr>
                <w:rFonts w:ascii="Arial" w:hAnsi="Arial"/>
                <w:b/>
                <w:snapToGrid w:val="0"/>
                <w:sz w:val="18"/>
              </w:rPr>
            </w:pPr>
            <w:r w:rsidRPr="00E76B4B">
              <w:rPr>
                <w:rFonts w:ascii="Arial" w:hAnsi="Arial"/>
                <w:b/>
                <w:sz w:val="18"/>
              </w:rPr>
              <w:t>65,758 square miles</w:t>
            </w:r>
          </w:p>
        </w:tc>
      </w:tr>
      <w:tr w:rsidR="00485094" w:rsidRPr="00E76B4B" w:rsidTr="009D19A3">
        <w:trPr>
          <w:trHeight w:val="259"/>
          <w:jc w:val="center"/>
        </w:trPr>
        <w:tc>
          <w:tcPr>
            <w:tcW w:w="5095" w:type="dxa"/>
            <w:shd w:val="clear" w:color="auto" w:fill="FFFFD5"/>
            <w:vAlign w:val="center"/>
          </w:tcPr>
          <w:p w:rsidR="00485094" w:rsidRPr="00E76B4B" w:rsidRDefault="00485094" w:rsidP="00E76B4B">
            <w:pPr>
              <w:ind w:firstLine="360"/>
              <w:rPr>
                <w:rFonts w:ascii="Arial" w:hAnsi="Arial"/>
                <w:snapToGrid w:val="0"/>
                <w:sz w:val="18"/>
              </w:rPr>
            </w:pPr>
            <w:r w:rsidRPr="00E76B4B">
              <w:rPr>
                <w:rFonts w:ascii="Arial" w:hAnsi="Arial"/>
                <w:snapToGrid w:val="0"/>
                <w:sz w:val="18"/>
              </w:rPr>
              <w:t>Ranking by land area among 50 states</w:t>
            </w:r>
          </w:p>
        </w:tc>
        <w:tc>
          <w:tcPr>
            <w:tcW w:w="4823" w:type="dxa"/>
            <w:vAlign w:val="center"/>
          </w:tcPr>
          <w:p w:rsidR="00485094" w:rsidRPr="00E76B4B" w:rsidRDefault="00485094" w:rsidP="00E76B4B">
            <w:pPr>
              <w:ind w:firstLine="305"/>
              <w:rPr>
                <w:rFonts w:ascii="Arial" w:hAnsi="Arial"/>
                <w:snapToGrid w:val="0"/>
                <w:sz w:val="18"/>
              </w:rPr>
            </w:pPr>
            <w:r w:rsidRPr="00E76B4B">
              <w:rPr>
                <w:rFonts w:ascii="Arial" w:hAnsi="Arial"/>
                <w:snapToGrid w:val="0"/>
                <w:sz w:val="18"/>
              </w:rPr>
              <w:t>22</w:t>
            </w:r>
            <w:r w:rsidRPr="00E76B4B">
              <w:rPr>
                <w:rFonts w:ascii="Arial" w:hAnsi="Arial"/>
                <w:snapToGrid w:val="0"/>
                <w:sz w:val="18"/>
                <w:vertAlign w:val="superscript"/>
              </w:rPr>
              <w:t>nd</w:t>
            </w:r>
            <w:r w:rsidRPr="00E76B4B">
              <w:rPr>
                <w:rFonts w:ascii="Arial" w:hAnsi="Arial"/>
                <w:snapToGrid w:val="0"/>
                <w:sz w:val="18"/>
              </w:rPr>
              <w:t xml:space="preserve"> in size</w:t>
            </w:r>
          </w:p>
        </w:tc>
      </w:tr>
      <w:tr w:rsidR="00485094" w:rsidRPr="00E76B4B" w:rsidTr="009D19A3">
        <w:trPr>
          <w:trHeight w:val="259"/>
          <w:jc w:val="center"/>
        </w:trPr>
        <w:tc>
          <w:tcPr>
            <w:tcW w:w="5095" w:type="dxa"/>
            <w:shd w:val="clear" w:color="auto" w:fill="FFFFD5"/>
            <w:vAlign w:val="center"/>
          </w:tcPr>
          <w:p w:rsidR="00485094" w:rsidRPr="00E76B4B" w:rsidRDefault="00485094" w:rsidP="00E76B4B">
            <w:pPr>
              <w:pStyle w:val="NormalWeb"/>
              <w:spacing w:before="0" w:after="0"/>
              <w:rPr>
                <w:rFonts w:ascii="Arial" w:hAnsi="Arial"/>
                <w:b/>
                <w:snapToGrid w:val="0"/>
                <w:sz w:val="18"/>
              </w:rPr>
            </w:pPr>
            <w:r w:rsidRPr="00E76B4B">
              <w:rPr>
                <w:rFonts w:ascii="Arial" w:hAnsi="Arial"/>
                <w:b/>
                <w:snapToGrid w:val="0"/>
                <w:sz w:val="18"/>
              </w:rPr>
              <w:t>Total water area</w:t>
            </w:r>
          </w:p>
        </w:tc>
        <w:tc>
          <w:tcPr>
            <w:tcW w:w="4823" w:type="dxa"/>
            <w:vAlign w:val="center"/>
          </w:tcPr>
          <w:p w:rsidR="00485094" w:rsidRPr="00E76B4B" w:rsidRDefault="00485094" w:rsidP="003475EE">
            <w:pPr>
              <w:rPr>
                <w:rFonts w:ascii="Arial" w:hAnsi="Arial"/>
                <w:b/>
                <w:snapToGrid w:val="0"/>
                <w:sz w:val="18"/>
              </w:rPr>
            </w:pPr>
            <w:r w:rsidRPr="00E76B4B">
              <w:rPr>
                <w:rFonts w:ascii="Arial" w:hAnsi="Arial"/>
                <w:b/>
                <w:sz w:val="18"/>
              </w:rPr>
              <w:t>11,761 square miles</w:t>
            </w:r>
          </w:p>
        </w:tc>
      </w:tr>
      <w:tr w:rsidR="00485094" w:rsidRPr="00E76B4B" w:rsidTr="009D19A3">
        <w:trPr>
          <w:trHeight w:val="259"/>
          <w:jc w:val="center"/>
        </w:trPr>
        <w:tc>
          <w:tcPr>
            <w:tcW w:w="5095" w:type="dxa"/>
            <w:shd w:val="clear" w:color="auto" w:fill="FFFFD5"/>
            <w:vAlign w:val="center"/>
          </w:tcPr>
          <w:p w:rsidR="00485094" w:rsidRPr="00E76B4B" w:rsidRDefault="00485094" w:rsidP="00E76B4B">
            <w:pPr>
              <w:ind w:firstLine="360"/>
              <w:rPr>
                <w:rFonts w:ascii="Arial" w:hAnsi="Arial"/>
                <w:snapToGrid w:val="0"/>
                <w:sz w:val="18"/>
              </w:rPr>
            </w:pPr>
            <w:r w:rsidRPr="00E76B4B">
              <w:rPr>
                <w:rFonts w:ascii="Arial" w:hAnsi="Arial"/>
                <w:snapToGrid w:val="0"/>
                <w:sz w:val="18"/>
              </w:rPr>
              <w:t>Ranking by total water area among 50 states</w:t>
            </w:r>
          </w:p>
        </w:tc>
        <w:tc>
          <w:tcPr>
            <w:tcW w:w="4823" w:type="dxa"/>
            <w:vAlign w:val="center"/>
          </w:tcPr>
          <w:p w:rsidR="00485094" w:rsidRPr="00E76B4B" w:rsidRDefault="00485094" w:rsidP="00E76B4B">
            <w:pPr>
              <w:ind w:firstLine="305"/>
              <w:rPr>
                <w:rFonts w:ascii="Arial" w:hAnsi="Arial"/>
                <w:snapToGrid w:val="0"/>
                <w:sz w:val="18"/>
              </w:rPr>
            </w:pPr>
            <w:r w:rsidRPr="00E76B4B">
              <w:rPr>
                <w:rFonts w:ascii="Arial" w:hAnsi="Arial"/>
                <w:snapToGrid w:val="0"/>
                <w:sz w:val="18"/>
              </w:rPr>
              <w:t>3</w:t>
            </w:r>
            <w:r w:rsidRPr="00E76B4B">
              <w:rPr>
                <w:rFonts w:ascii="Arial" w:hAnsi="Arial"/>
                <w:snapToGrid w:val="0"/>
                <w:sz w:val="18"/>
                <w:vertAlign w:val="superscript"/>
              </w:rPr>
              <w:t>rd</w:t>
            </w:r>
            <w:r w:rsidRPr="00E76B4B">
              <w:rPr>
                <w:rFonts w:ascii="Arial" w:hAnsi="Arial"/>
                <w:snapToGrid w:val="0"/>
                <w:sz w:val="18"/>
              </w:rPr>
              <w:t xml:space="preserve"> largest</w:t>
            </w:r>
          </w:p>
        </w:tc>
      </w:tr>
      <w:tr w:rsidR="00485094" w:rsidRPr="00E76B4B" w:rsidTr="009D19A3">
        <w:trPr>
          <w:trHeight w:val="435"/>
          <w:jc w:val="center"/>
        </w:trPr>
        <w:tc>
          <w:tcPr>
            <w:tcW w:w="5095" w:type="dxa"/>
            <w:shd w:val="clear" w:color="auto" w:fill="FFFFD5"/>
            <w:vAlign w:val="center"/>
          </w:tcPr>
          <w:p w:rsidR="00485094" w:rsidRPr="00E76B4B" w:rsidRDefault="00485094" w:rsidP="00F9092E">
            <w:pPr>
              <w:rPr>
                <w:rFonts w:ascii="Arial" w:hAnsi="Arial"/>
                <w:b/>
                <w:snapToGrid w:val="0"/>
                <w:sz w:val="18"/>
              </w:rPr>
            </w:pPr>
            <w:r w:rsidRPr="00E76B4B">
              <w:rPr>
                <w:rFonts w:ascii="Arial" w:hAnsi="Arial"/>
                <w:b/>
                <w:snapToGrid w:val="0"/>
                <w:sz w:val="18"/>
              </w:rPr>
              <w:t xml:space="preserve">Number of U.S. Geological Survey </w:t>
            </w:r>
            <w:r>
              <w:rPr>
                <w:rFonts w:ascii="Arial" w:hAnsi="Arial"/>
                <w:b/>
                <w:snapToGrid w:val="0"/>
                <w:sz w:val="18"/>
              </w:rPr>
              <w:t xml:space="preserve">(USGS) </w:t>
            </w:r>
            <w:r w:rsidRPr="00E76B4B">
              <w:rPr>
                <w:rFonts w:ascii="Arial" w:hAnsi="Arial"/>
                <w:b/>
                <w:snapToGrid w:val="0"/>
                <w:sz w:val="18"/>
              </w:rPr>
              <w:t xml:space="preserve">hydrologic units </w:t>
            </w:r>
            <w:r>
              <w:rPr>
                <w:rFonts w:ascii="Arial" w:hAnsi="Arial"/>
                <w:b/>
                <w:snapToGrid w:val="0"/>
                <w:sz w:val="18"/>
              </w:rPr>
              <w:t xml:space="preserve"> </w:t>
            </w:r>
            <w:r w:rsidRPr="00E76B4B">
              <w:rPr>
                <w:rFonts w:ascii="Arial" w:hAnsi="Arial"/>
                <w:snapToGrid w:val="0"/>
                <w:sz w:val="18"/>
              </w:rPr>
              <w:t>(i.e., watersheds with hydrologic unit codes, or HUCs)</w:t>
            </w:r>
          </w:p>
        </w:tc>
        <w:tc>
          <w:tcPr>
            <w:tcW w:w="4823" w:type="dxa"/>
            <w:vAlign w:val="center"/>
          </w:tcPr>
          <w:p w:rsidR="00485094" w:rsidRPr="00E76B4B" w:rsidRDefault="00485094" w:rsidP="003475EE">
            <w:pPr>
              <w:rPr>
                <w:rFonts w:ascii="Arial" w:hAnsi="Arial"/>
                <w:b/>
                <w:snapToGrid w:val="0"/>
                <w:sz w:val="18"/>
              </w:rPr>
            </w:pPr>
            <w:r w:rsidRPr="00E76B4B">
              <w:rPr>
                <w:rFonts w:ascii="Arial" w:hAnsi="Arial"/>
                <w:b/>
                <w:snapToGrid w:val="0"/>
                <w:sz w:val="18"/>
              </w:rPr>
              <w:t>52</w:t>
            </w:r>
          </w:p>
        </w:tc>
      </w:tr>
      <w:tr w:rsidR="00485094" w:rsidRPr="00E76B4B" w:rsidTr="009D19A3">
        <w:trPr>
          <w:trHeight w:val="259"/>
          <w:jc w:val="center"/>
        </w:trPr>
        <w:tc>
          <w:tcPr>
            <w:tcW w:w="5095" w:type="dxa"/>
            <w:shd w:val="clear" w:color="auto" w:fill="FFFFD5"/>
            <w:vAlign w:val="center"/>
          </w:tcPr>
          <w:p w:rsidR="00485094" w:rsidRPr="00E76B4B" w:rsidRDefault="00485094" w:rsidP="00E76B4B">
            <w:pPr>
              <w:pStyle w:val="Header"/>
              <w:tabs>
                <w:tab w:val="clear" w:pos="4320"/>
                <w:tab w:val="clear" w:pos="8640"/>
              </w:tabs>
              <w:rPr>
                <w:rFonts w:ascii="Arial" w:hAnsi="Arial"/>
                <w:b/>
                <w:snapToGrid w:val="0"/>
                <w:sz w:val="18"/>
              </w:rPr>
            </w:pPr>
            <w:r w:rsidRPr="00E76B4B">
              <w:rPr>
                <w:rFonts w:ascii="Arial" w:hAnsi="Arial"/>
                <w:b/>
                <w:snapToGrid w:val="0"/>
                <w:sz w:val="18"/>
              </w:rPr>
              <w:t xml:space="preserve">Total number of rivers and streams </w:t>
            </w:r>
          </w:p>
        </w:tc>
        <w:tc>
          <w:tcPr>
            <w:tcW w:w="4823" w:type="dxa"/>
            <w:vAlign w:val="center"/>
          </w:tcPr>
          <w:p w:rsidR="00485094" w:rsidRPr="00E76B4B" w:rsidRDefault="00485094" w:rsidP="003475EE">
            <w:pPr>
              <w:rPr>
                <w:rFonts w:ascii="Arial" w:hAnsi="Arial"/>
                <w:b/>
                <w:snapToGrid w:val="0"/>
                <w:sz w:val="18"/>
              </w:rPr>
            </w:pPr>
            <w:r w:rsidRPr="00E76B4B">
              <w:rPr>
                <w:rFonts w:ascii="Arial" w:hAnsi="Arial"/>
                <w:b/>
                <w:snapToGrid w:val="0"/>
                <w:sz w:val="18"/>
              </w:rPr>
              <w:t>More than 1,700</w:t>
            </w:r>
          </w:p>
        </w:tc>
      </w:tr>
      <w:tr w:rsidR="00485094" w:rsidRPr="00E76B4B" w:rsidTr="009D19A3">
        <w:trPr>
          <w:trHeight w:val="259"/>
          <w:jc w:val="center"/>
        </w:trPr>
        <w:tc>
          <w:tcPr>
            <w:tcW w:w="5095" w:type="dxa"/>
            <w:shd w:val="clear" w:color="auto" w:fill="FFFFD5"/>
            <w:vAlign w:val="center"/>
          </w:tcPr>
          <w:p w:rsidR="00485094" w:rsidRPr="00E76B4B" w:rsidRDefault="00485094" w:rsidP="00E76B4B">
            <w:pPr>
              <w:pStyle w:val="Header"/>
              <w:tabs>
                <w:tab w:val="clear" w:pos="4320"/>
                <w:tab w:val="clear" w:pos="8640"/>
              </w:tabs>
              <w:rPr>
                <w:rFonts w:ascii="Arial" w:hAnsi="Arial"/>
                <w:b/>
                <w:snapToGrid w:val="0"/>
                <w:sz w:val="18"/>
              </w:rPr>
            </w:pPr>
            <w:r w:rsidRPr="00E76B4B">
              <w:rPr>
                <w:rFonts w:ascii="Arial" w:hAnsi="Arial"/>
                <w:b/>
                <w:snapToGrid w:val="0"/>
                <w:sz w:val="18"/>
              </w:rPr>
              <w:t>Total number of river and stream miles</w:t>
            </w:r>
          </w:p>
        </w:tc>
        <w:tc>
          <w:tcPr>
            <w:tcW w:w="4823" w:type="dxa"/>
            <w:vAlign w:val="center"/>
          </w:tcPr>
          <w:p w:rsidR="00485094" w:rsidRPr="00E76B4B" w:rsidRDefault="00485094" w:rsidP="003475EE">
            <w:pPr>
              <w:rPr>
                <w:rFonts w:ascii="Arial" w:hAnsi="Arial"/>
                <w:b/>
                <w:snapToGrid w:val="0"/>
                <w:sz w:val="18"/>
              </w:rPr>
            </w:pPr>
            <w:r>
              <w:rPr>
                <w:rFonts w:ascii="Arial" w:hAnsi="Arial"/>
                <w:b/>
                <w:snapToGrid w:val="0"/>
                <w:sz w:val="18"/>
              </w:rPr>
              <w:t>78,170</w:t>
            </w:r>
            <w:r w:rsidRPr="00E76B4B">
              <w:rPr>
                <w:rFonts w:ascii="Arial" w:hAnsi="Arial"/>
                <w:b/>
                <w:snapToGrid w:val="0"/>
                <w:sz w:val="18"/>
              </w:rPr>
              <w:t xml:space="preserve"> miles</w:t>
            </w:r>
          </w:p>
        </w:tc>
      </w:tr>
      <w:tr w:rsidR="00485094" w:rsidRPr="00E76B4B" w:rsidTr="009D19A3">
        <w:trPr>
          <w:trHeight w:val="259"/>
          <w:jc w:val="center"/>
        </w:trPr>
        <w:tc>
          <w:tcPr>
            <w:tcW w:w="5095" w:type="dxa"/>
            <w:shd w:val="clear" w:color="auto" w:fill="FFFFD5"/>
            <w:vAlign w:val="center"/>
          </w:tcPr>
          <w:p w:rsidR="00485094" w:rsidRPr="00E76B4B" w:rsidRDefault="00485094" w:rsidP="00E76B4B">
            <w:pPr>
              <w:ind w:firstLine="360"/>
              <w:rPr>
                <w:rFonts w:ascii="Arial" w:hAnsi="Arial"/>
                <w:snapToGrid w:val="0"/>
                <w:sz w:val="18"/>
              </w:rPr>
            </w:pPr>
            <w:r w:rsidRPr="00E76B4B">
              <w:rPr>
                <w:rFonts w:ascii="Arial" w:hAnsi="Arial"/>
                <w:snapToGrid w:val="0"/>
                <w:sz w:val="18"/>
              </w:rPr>
              <w:t>Total river miles bordering other states</w:t>
            </w:r>
          </w:p>
        </w:tc>
        <w:tc>
          <w:tcPr>
            <w:tcW w:w="4823" w:type="dxa"/>
            <w:vAlign w:val="center"/>
          </w:tcPr>
          <w:p w:rsidR="00485094" w:rsidRPr="00E76B4B" w:rsidRDefault="00485094" w:rsidP="00E76B4B">
            <w:pPr>
              <w:ind w:left="305"/>
              <w:rPr>
                <w:rFonts w:ascii="Arial" w:hAnsi="Arial"/>
                <w:snapToGrid w:val="0"/>
                <w:sz w:val="18"/>
              </w:rPr>
            </w:pPr>
            <w:r w:rsidRPr="00E76B4B">
              <w:rPr>
                <w:rFonts w:ascii="Arial" w:hAnsi="Arial"/>
                <w:snapToGrid w:val="0"/>
                <w:sz w:val="18"/>
              </w:rPr>
              <w:t>191 miles</w:t>
            </w:r>
          </w:p>
        </w:tc>
      </w:tr>
      <w:tr w:rsidR="00485094" w:rsidRPr="00E76B4B" w:rsidTr="009D19A3">
        <w:trPr>
          <w:trHeight w:val="259"/>
          <w:jc w:val="center"/>
        </w:trPr>
        <w:tc>
          <w:tcPr>
            <w:tcW w:w="5095" w:type="dxa"/>
            <w:shd w:val="clear" w:color="auto" w:fill="FFFFD5"/>
            <w:vAlign w:val="center"/>
          </w:tcPr>
          <w:p w:rsidR="00485094" w:rsidRPr="00E76B4B" w:rsidRDefault="00485094" w:rsidP="00E76B4B">
            <w:pPr>
              <w:ind w:firstLine="720"/>
              <w:rPr>
                <w:rFonts w:ascii="Arial" w:hAnsi="Arial"/>
                <w:i/>
                <w:snapToGrid w:val="0"/>
                <w:sz w:val="18"/>
              </w:rPr>
            </w:pPr>
            <w:smartTag w:uri="urn:schemas-microsoft-com:office:smarttags" w:element="PlaceName">
              <w:smartTag w:uri="urn:schemas-microsoft-com:office:smarttags" w:element="place">
                <w:r w:rsidRPr="00E76B4B">
                  <w:rPr>
                    <w:rFonts w:ascii="Arial" w:hAnsi="Arial"/>
                    <w:i/>
                    <w:snapToGrid w:val="0"/>
                    <w:sz w:val="18"/>
                  </w:rPr>
                  <w:t>Chattahoochee</w:t>
                </w:r>
              </w:smartTag>
              <w:r w:rsidRPr="00E76B4B">
                <w:rPr>
                  <w:rFonts w:ascii="Arial" w:hAnsi="Arial"/>
                  <w:i/>
                  <w:snapToGrid w:val="0"/>
                  <w:sz w:val="18"/>
                </w:rPr>
                <w:t xml:space="preserve"> </w:t>
              </w:r>
              <w:smartTag w:uri="urn:schemas-microsoft-com:office:smarttags" w:element="PlaceType">
                <w:r w:rsidRPr="00E76B4B">
                  <w:rPr>
                    <w:rFonts w:ascii="Arial" w:hAnsi="Arial"/>
                    <w:i/>
                    <w:snapToGrid w:val="0"/>
                    <w:sz w:val="18"/>
                  </w:rPr>
                  <w:t>River</w:t>
                </w:r>
              </w:smartTag>
            </w:smartTag>
          </w:p>
        </w:tc>
        <w:tc>
          <w:tcPr>
            <w:tcW w:w="4823" w:type="dxa"/>
            <w:vAlign w:val="center"/>
          </w:tcPr>
          <w:p w:rsidR="00485094" w:rsidRPr="00E76B4B" w:rsidRDefault="00485094" w:rsidP="00E76B4B">
            <w:pPr>
              <w:ind w:left="665"/>
              <w:rPr>
                <w:rFonts w:ascii="Arial" w:hAnsi="Arial"/>
                <w:i/>
                <w:snapToGrid w:val="0"/>
                <w:sz w:val="18"/>
              </w:rPr>
            </w:pPr>
            <w:r w:rsidRPr="00E76B4B">
              <w:rPr>
                <w:rFonts w:ascii="Arial" w:hAnsi="Arial"/>
                <w:i/>
                <w:snapToGrid w:val="0"/>
                <w:sz w:val="18"/>
              </w:rPr>
              <w:t>26 miles</w:t>
            </w:r>
          </w:p>
        </w:tc>
      </w:tr>
      <w:tr w:rsidR="00485094" w:rsidRPr="00E76B4B" w:rsidTr="009D19A3">
        <w:trPr>
          <w:trHeight w:val="259"/>
          <w:jc w:val="center"/>
        </w:trPr>
        <w:tc>
          <w:tcPr>
            <w:tcW w:w="5095" w:type="dxa"/>
            <w:shd w:val="clear" w:color="auto" w:fill="FFFFD5"/>
            <w:vAlign w:val="center"/>
          </w:tcPr>
          <w:p w:rsidR="00485094" w:rsidRPr="00E76B4B" w:rsidRDefault="00485094" w:rsidP="00E76B4B">
            <w:pPr>
              <w:ind w:firstLine="720"/>
              <w:rPr>
                <w:rFonts w:ascii="Arial" w:hAnsi="Arial"/>
                <w:i/>
                <w:snapToGrid w:val="0"/>
                <w:sz w:val="18"/>
              </w:rPr>
            </w:pPr>
            <w:smartTag w:uri="urn:schemas-microsoft-com:office:smarttags" w:element="PlaceName">
              <w:smartTag w:uri="urn:schemas-microsoft-com:office:smarttags" w:element="place">
                <w:r w:rsidRPr="00E76B4B">
                  <w:rPr>
                    <w:rFonts w:ascii="Arial" w:hAnsi="Arial"/>
                    <w:i/>
                    <w:snapToGrid w:val="0"/>
                    <w:sz w:val="18"/>
                  </w:rPr>
                  <w:t>Perdido</w:t>
                </w:r>
              </w:smartTag>
              <w:r w:rsidRPr="00E76B4B">
                <w:rPr>
                  <w:rFonts w:ascii="Arial" w:hAnsi="Arial"/>
                  <w:i/>
                  <w:snapToGrid w:val="0"/>
                  <w:sz w:val="18"/>
                </w:rPr>
                <w:t xml:space="preserve"> </w:t>
              </w:r>
              <w:smartTag w:uri="urn:schemas-microsoft-com:office:smarttags" w:element="PlaceType">
                <w:r w:rsidRPr="00E76B4B">
                  <w:rPr>
                    <w:rFonts w:ascii="Arial" w:hAnsi="Arial"/>
                    <w:i/>
                    <w:snapToGrid w:val="0"/>
                    <w:sz w:val="18"/>
                  </w:rPr>
                  <w:t>River</w:t>
                </w:r>
              </w:smartTag>
            </w:smartTag>
          </w:p>
        </w:tc>
        <w:tc>
          <w:tcPr>
            <w:tcW w:w="4823" w:type="dxa"/>
            <w:vAlign w:val="center"/>
          </w:tcPr>
          <w:p w:rsidR="00485094" w:rsidRPr="00E76B4B" w:rsidRDefault="00485094" w:rsidP="00E76B4B">
            <w:pPr>
              <w:ind w:firstLine="665"/>
              <w:rPr>
                <w:rFonts w:ascii="Arial" w:hAnsi="Arial"/>
                <w:i/>
                <w:snapToGrid w:val="0"/>
                <w:sz w:val="18"/>
              </w:rPr>
            </w:pPr>
            <w:r w:rsidRPr="00E76B4B">
              <w:rPr>
                <w:rFonts w:ascii="Arial" w:hAnsi="Arial"/>
                <w:i/>
                <w:snapToGrid w:val="0"/>
                <w:sz w:val="18"/>
              </w:rPr>
              <w:t>65 miles</w:t>
            </w:r>
          </w:p>
        </w:tc>
      </w:tr>
      <w:tr w:rsidR="00485094" w:rsidRPr="00E76B4B" w:rsidTr="009D19A3">
        <w:trPr>
          <w:trHeight w:val="259"/>
          <w:jc w:val="center"/>
        </w:trPr>
        <w:tc>
          <w:tcPr>
            <w:tcW w:w="5095" w:type="dxa"/>
            <w:shd w:val="clear" w:color="auto" w:fill="FFFFD5"/>
            <w:vAlign w:val="center"/>
          </w:tcPr>
          <w:p w:rsidR="00485094" w:rsidRPr="00E76B4B" w:rsidRDefault="00485094" w:rsidP="00E76B4B">
            <w:pPr>
              <w:ind w:firstLine="720"/>
              <w:rPr>
                <w:rFonts w:ascii="Arial" w:hAnsi="Arial"/>
                <w:i/>
                <w:snapToGrid w:val="0"/>
                <w:sz w:val="18"/>
              </w:rPr>
            </w:pPr>
            <w:smartTag w:uri="urn:schemas-microsoft-com:office:smarttags" w:element="place">
              <w:r w:rsidRPr="00E76B4B">
                <w:rPr>
                  <w:rFonts w:ascii="Arial" w:hAnsi="Arial"/>
                  <w:i/>
                  <w:snapToGrid w:val="0"/>
                  <w:sz w:val="18"/>
                </w:rPr>
                <w:t>St. Marys River</w:t>
              </w:r>
            </w:smartTag>
          </w:p>
        </w:tc>
        <w:tc>
          <w:tcPr>
            <w:tcW w:w="4823" w:type="dxa"/>
            <w:vAlign w:val="center"/>
          </w:tcPr>
          <w:p w:rsidR="00485094" w:rsidRPr="00E76B4B" w:rsidRDefault="00485094" w:rsidP="00E76B4B">
            <w:pPr>
              <w:ind w:firstLine="665"/>
              <w:rPr>
                <w:rFonts w:ascii="Arial" w:hAnsi="Arial"/>
                <w:i/>
                <w:snapToGrid w:val="0"/>
                <w:sz w:val="18"/>
              </w:rPr>
            </w:pPr>
            <w:r w:rsidRPr="00E76B4B">
              <w:rPr>
                <w:rFonts w:ascii="Arial" w:hAnsi="Arial"/>
                <w:i/>
                <w:snapToGrid w:val="0"/>
                <w:sz w:val="18"/>
              </w:rPr>
              <w:t>100 miles</w:t>
            </w:r>
          </w:p>
        </w:tc>
      </w:tr>
      <w:tr w:rsidR="00485094" w:rsidRPr="00E76B4B" w:rsidTr="009D19A3">
        <w:trPr>
          <w:trHeight w:val="259"/>
          <w:jc w:val="center"/>
        </w:trPr>
        <w:tc>
          <w:tcPr>
            <w:tcW w:w="5095" w:type="dxa"/>
            <w:shd w:val="clear" w:color="auto" w:fill="FFFFD5"/>
            <w:vAlign w:val="center"/>
          </w:tcPr>
          <w:p w:rsidR="00485094" w:rsidRPr="00E76B4B" w:rsidRDefault="00485094" w:rsidP="003475EE">
            <w:pPr>
              <w:rPr>
                <w:rFonts w:ascii="Arial" w:hAnsi="Arial"/>
                <w:b/>
                <w:snapToGrid w:val="0"/>
                <w:sz w:val="18"/>
              </w:rPr>
            </w:pPr>
            <w:r w:rsidRPr="00E76B4B">
              <w:rPr>
                <w:rFonts w:ascii="Arial" w:hAnsi="Arial"/>
                <w:b/>
                <w:snapToGrid w:val="0"/>
                <w:sz w:val="18"/>
              </w:rPr>
              <w:t xml:space="preserve">Longest river (entirely in </w:t>
            </w:r>
            <w:smartTag w:uri="urn:schemas-microsoft-com:office:smarttags" w:element="State">
              <w:smartTag w:uri="urn:schemas-microsoft-com:office:smarttags" w:element="place">
                <w:r w:rsidRPr="00E76B4B">
                  <w:rPr>
                    <w:rFonts w:ascii="Arial" w:hAnsi="Arial"/>
                    <w:b/>
                    <w:snapToGrid w:val="0"/>
                    <w:sz w:val="18"/>
                  </w:rPr>
                  <w:t>Florida</w:t>
                </w:r>
              </w:smartTag>
            </w:smartTag>
            <w:r w:rsidRPr="00E76B4B">
              <w:rPr>
                <w:rFonts w:ascii="Arial" w:hAnsi="Arial"/>
                <w:b/>
                <w:snapToGrid w:val="0"/>
                <w:sz w:val="18"/>
              </w:rPr>
              <w:t>)</w:t>
            </w:r>
          </w:p>
        </w:tc>
        <w:tc>
          <w:tcPr>
            <w:tcW w:w="4823" w:type="dxa"/>
            <w:vAlign w:val="center"/>
          </w:tcPr>
          <w:p w:rsidR="00485094" w:rsidRPr="00E76B4B" w:rsidRDefault="00485094" w:rsidP="003475EE">
            <w:pPr>
              <w:rPr>
                <w:rFonts w:ascii="Arial" w:hAnsi="Arial"/>
                <w:b/>
                <w:snapToGrid w:val="0"/>
                <w:sz w:val="18"/>
              </w:rPr>
            </w:pPr>
            <w:smartTag w:uri="urn:schemas-microsoft-com:office:smarttags" w:element="place">
              <w:r w:rsidRPr="00E76B4B">
                <w:rPr>
                  <w:rFonts w:ascii="Arial" w:hAnsi="Arial"/>
                  <w:b/>
                  <w:snapToGrid w:val="0"/>
                  <w:sz w:val="18"/>
                </w:rPr>
                <w:t>St. Johns River</w:t>
              </w:r>
            </w:smartTag>
            <w:r w:rsidRPr="00E76B4B">
              <w:rPr>
                <w:rFonts w:ascii="Arial" w:hAnsi="Arial"/>
                <w:b/>
                <w:snapToGrid w:val="0"/>
                <w:sz w:val="18"/>
              </w:rPr>
              <w:t xml:space="preserve"> (273 miles)</w:t>
            </w:r>
          </w:p>
        </w:tc>
      </w:tr>
      <w:tr w:rsidR="00485094" w:rsidRPr="00E76B4B" w:rsidTr="009D19A3">
        <w:trPr>
          <w:trHeight w:val="453"/>
          <w:jc w:val="center"/>
        </w:trPr>
        <w:tc>
          <w:tcPr>
            <w:tcW w:w="5095" w:type="dxa"/>
            <w:shd w:val="clear" w:color="auto" w:fill="FFFFD5"/>
            <w:vAlign w:val="center"/>
          </w:tcPr>
          <w:p w:rsidR="00485094" w:rsidRPr="00E76B4B" w:rsidRDefault="00485094" w:rsidP="003475EE">
            <w:pPr>
              <w:rPr>
                <w:rFonts w:ascii="Arial" w:hAnsi="Arial"/>
                <w:b/>
                <w:snapToGrid w:val="0"/>
                <w:sz w:val="18"/>
              </w:rPr>
            </w:pPr>
            <w:r w:rsidRPr="00E76B4B">
              <w:rPr>
                <w:rFonts w:ascii="Arial" w:hAnsi="Arial"/>
                <w:b/>
                <w:snapToGrid w:val="0"/>
                <w:sz w:val="18"/>
              </w:rPr>
              <w:t>Largest discharge</w:t>
            </w:r>
          </w:p>
        </w:tc>
        <w:tc>
          <w:tcPr>
            <w:tcW w:w="4823" w:type="dxa"/>
            <w:vAlign w:val="center"/>
          </w:tcPr>
          <w:p w:rsidR="00485094" w:rsidRPr="00E76B4B" w:rsidRDefault="00485094" w:rsidP="003475EE">
            <w:pPr>
              <w:rPr>
                <w:rFonts w:ascii="Arial" w:hAnsi="Arial"/>
                <w:b/>
                <w:snapToGrid w:val="0"/>
                <w:sz w:val="18"/>
              </w:rPr>
            </w:pPr>
            <w:smartTag w:uri="urn:schemas-microsoft-com:office:smarttags" w:element="PlaceName">
              <w:smartTag w:uri="urn:schemas-microsoft-com:office:smarttags" w:element="place">
                <w:r w:rsidRPr="00E76B4B">
                  <w:rPr>
                    <w:rFonts w:ascii="Arial" w:hAnsi="Arial"/>
                    <w:b/>
                    <w:snapToGrid w:val="0"/>
                    <w:sz w:val="18"/>
                  </w:rPr>
                  <w:t>Apalachicola</w:t>
                </w:r>
              </w:smartTag>
              <w:r w:rsidRPr="00E76B4B">
                <w:rPr>
                  <w:rFonts w:ascii="Arial" w:hAnsi="Arial"/>
                  <w:b/>
                  <w:snapToGrid w:val="0"/>
                  <w:sz w:val="18"/>
                </w:rPr>
                <w:t xml:space="preserve"> </w:t>
              </w:r>
              <w:smartTag w:uri="urn:schemas-microsoft-com:office:smarttags" w:element="PlaceType">
                <w:r w:rsidRPr="00E76B4B">
                  <w:rPr>
                    <w:rFonts w:ascii="Arial" w:hAnsi="Arial"/>
                    <w:b/>
                    <w:snapToGrid w:val="0"/>
                    <w:sz w:val="18"/>
                  </w:rPr>
                  <w:t>River</w:t>
                </w:r>
              </w:smartTag>
            </w:smartTag>
            <w:r w:rsidRPr="00E76B4B">
              <w:rPr>
                <w:rFonts w:ascii="Arial" w:hAnsi="Arial"/>
                <w:b/>
                <w:snapToGrid w:val="0"/>
                <w:sz w:val="18"/>
              </w:rPr>
              <w:t xml:space="preserve"> (average of </w:t>
            </w:r>
          </w:p>
          <w:p w:rsidR="00485094" w:rsidRPr="00E76B4B" w:rsidRDefault="00485094" w:rsidP="003475EE">
            <w:pPr>
              <w:rPr>
                <w:rFonts w:ascii="Arial" w:hAnsi="Arial"/>
                <w:b/>
                <w:snapToGrid w:val="0"/>
                <w:sz w:val="18"/>
              </w:rPr>
            </w:pPr>
            <w:r w:rsidRPr="00E76B4B">
              <w:rPr>
                <w:rFonts w:ascii="Arial" w:hAnsi="Arial"/>
                <w:b/>
                <w:snapToGrid w:val="0"/>
                <w:sz w:val="18"/>
              </w:rPr>
              <w:t>24,768 cubic feet per second [cfs])</w:t>
            </w:r>
          </w:p>
        </w:tc>
      </w:tr>
      <w:tr w:rsidR="00485094" w:rsidRPr="00E76B4B" w:rsidTr="009D19A3">
        <w:trPr>
          <w:trHeight w:val="259"/>
          <w:jc w:val="center"/>
        </w:trPr>
        <w:tc>
          <w:tcPr>
            <w:tcW w:w="5095" w:type="dxa"/>
            <w:shd w:val="clear" w:color="auto" w:fill="FFFFD5"/>
            <w:vAlign w:val="center"/>
          </w:tcPr>
          <w:p w:rsidR="00485094" w:rsidRPr="00E76B4B" w:rsidRDefault="00485094" w:rsidP="00100349">
            <w:pPr>
              <w:rPr>
                <w:rFonts w:ascii="Arial" w:hAnsi="Arial"/>
                <w:b/>
                <w:snapToGrid w:val="0"/>
                <w:sz w:val="18"/>
              </w:rPr>
            </w:pPr>
            <w:r>
              <w:rPr>
                <w:rFonts w:ascii="Arial" w:hAnsi="Arial"/>
                <w:b/>
                <w:snapToGrid w:val="0"/>
                <w:sz w:val="18"/>
              </w:rPr>
              <w:t>Total number of d</w:t>
            </w:r>
            <w:r w:rsidRPr="00E76B4B">
              <w:rPr>
                <w:rFonts w:ascii="Arial" w:hAnsi="Arial"/>
                <w:b/>
                <w:snapToGrid w:val="0"/>
                <w:sz w:val="18"/>
              </w:rPr>
              <w:t>itch and canal</w:t>
            </w:r>
            <w:r>
              <w:rPr>
                <w:rFonts w:ascii="Arial" w:hAnsi="Arial"/>
                <w:b/>
                <w:snapToGrid w:val="0"/>
                <w:sz w:val="18"/>
              </w:rPr>
              <w:t xml:space="preserve"> miles</w:t>
            </w:r>
          </w:p>
        </w:tc>
        <w:tc>
          <w:tcPr>
            <w:tcW w:w="4823" w:type="dxa"/>
            <w:vAlign w:val="center"/>
          </w:tcPr>
          <w:p w:rsidR="00485094" w:rsidRPr="00E76B4B" w:rsidRDefault="00485094" w:rsidP="00100349">
            <w:pPr>
              <w:rPr>
                <w:rFonts w:ascii="Arial" w:hAnsi="Arial"/>
                <w:b/>
                <w:snapToGrid w:val="0"/>
                <w:sz w:val="18"/>
              </w:rPr>
            </w:pPr>
            <w:r>
              <w:rPr>
                <w:rFonts w:ascii="Arial" w:hAnsi="Arial"/>
                <w:b/>
                <w:snapToGrid w:val="0"/>
                <w:sz w:val="18"/>
              </w:rPr>
              <w:t>49,540</w:t>
            </w:r>
            <w:r w:rsidRPr="00E76B4B">
              <w:rPr>
                <w:rFonts w:ascii="Arial" w:hAnsi="Arial"/>
                <w:b/>
                <w:snapToGrid w:val="0"/>
                <w:sz w:val="18"/>
              </w:rPr>
              <w:t xml:space="preserve"> miles</w:t>
            </w:r>
          </w:p>
        </w:tc>
      </w:tr>
      <w:tr w:rsidR="00485094" w:rsidRPr="00E76B4B" w:rsidTr="009D19A3">
        <w:trPr>
          <w:trHeight w:val="259"/>
          <w:jc w:val="center"/>
        </w:trPr>
        <w:tc>
          <w:tcPr>
            <w:tcW w:w="5095" w:type="dxa"/>
            <w:shd w:val="clear" w:color="auto" w:fill="FFFFD5"/>
            <w:vAlign w:val="center"/>
          </w:tcPr>
          <w:p w:rsidR="00485094" w:rsidRPr="00E76B4B" w:rsidRDefault="00485094" w:rsidP="003475EE">
            <w:pPr>
              <w:rPr>
                <w:rFonts w:ascii="Arial" w:hAnsi="Arial"/>
                <w:b/>
                <w:snapToGrid w:val="0"/>
                <w:sz w:val="18"/>
              </w:rPr>
            </w:pPr>
            <w:r w:rsidRPr="00E76B4B">
              <w:rPr>
                <w:rFonts w:ascii="Arial" w:hAnsi="Arial"/>
                <w:b/>
                <w:snapToGrid w:val="0"/>
                <w:sz w:val="18"/>
              </w:rPr>
              <w:t>Number of lakes, reservoirs, and ponds</w:t>
            </w:r>
          </w:p>
        </w:tc>
        <w:tc>
          <w:tcPr>
            <w:tcW w:w="4823" w:type="dxa"/>
            <w:vAlign w:val="center"/>
          </w:tcPr>
          <w:p w:rsidR="00485094" w:rsidRPr="00E76B4B" w:rsidRDefault="00485094" w:rsidP="003475EE">
            <w:pPr>
              <w:rPr>
                <w:rFonts w:ascii="Arial" w:hAnsi="Arial"/>
                <w:b/>
                <w:snapToGrid w:val="0"/>
                <w:sz w:val="18"/>
              </w:rPr>
            </w:pPr>
            <w:r w:rsidRPr="00E76B4B">
              <w:rPr>
                <w:rFonts w:ascii="Arial" w:hAnsi="Arial"/>
                <w:b/>
                <w:snapToGrid w:val="0"/>
                <w:sz w:val="18"/>
              </w:rPr>
              <w:t>7,712 (area greater than or equal to 10 acres)</w:t>
            </w:r>
          </w:p>
        </w:tc>
      </w:tr>
      <w:tr w:rsidR="00485094" w:rsidRPr="00E76B4B" w:rsidTr="009D19A3">
        <w:trPr>
          <w:trHeight w:val="259"/>
          <w:jc w:val="center"/>
        </w:trPr>
        <w:tc>
          <w:tcPr>
            <w:tcW w:w="5095" w:type="dxa"/>
            <w:shd w:val="clear" w:color="auto" w:fill="FFFFD5"/>
            <w:vAlign w:val="center"/>
          </w:tcPr>
          <w:p w:rsidR="00485094" w:rsidRPr="00E76B4B" w:rsidRDefault="00485094" w:rsidP="00E76B4B">
            <w:pPr>
              <w:ind w:firstLine="360"/>
              <w:rPr>
                <w:rFonts w:ascii="Arial" w:hAnsi="Arial"/>
                <w:snapToGrid w:val="0"/>
                <w:sz w:val="18"/>
              </w:rPr>
            </w:pPr>
            <w:r w:rsidRPr="00E76B4B">
              <w:rPr>
                <w:rFonts w:ascii="Arial" w:hAnsi="Arial"/>
                <w:snapToGrid w:val="0"/>
                <w:sz w:val="18"/>
              </w:rPr>
              <w:t>Area of lakes, reservoirs, and ponds</w:t>
            </w:r>
          </w:p>
        </w:tc>
        <w:tc>
          <w:tcPr>
            <w:tcW w:w="4823" w:type="dxa"/>
            <w:vAlign w:val="center"/>
          </w:tcPr>
          <w:p w:rsidR="00485094" w:rsidRPr="00E76B4B" w:rsidRDefault="00485094" w:rsidP="00525390">
            <w:pPr>
              <w:ind w:firstLine="305"/>
              <w:rPr>
                <w:rFonts w:ascii="Arial" w:hAnsi="Arial"/>
                <w:snapToGrid w:val="0"/>
                <w:sz w:val="18"/>
              </w:rPr>
            </w:pPr>
            <w:r w:rsidRPr="00E76B4B">
              <w:rPr>
                <w:rFonts w:ascii="Arial" w:hAnsi="Arial"/>
                <w:snapToGrid w:val="0"/>
                <w:sz w:val="18"/>
              </w:rPr>
              <w:t>1,</w:t>
            </w:r>
            <w:r>
              <w:rPr>
                <w:rFonts w:ascii="Arial" w:hAnsi="Arial"/>
                <w:snapToGrid w:val="0"/>
                <w:sz w:val="18"/>
              </w:rPr>
              <w:t xml:space="preserve">618,368 </w:t>
            </w:r>
            <w:r w:rsidRPr="00E76B4B">
              <w:rPr>
                <w:rFonts w:ascii="Arial" w:hAnsi="Arial"/>
                <w:snapToGrid w:val="0"/>
                <w:sz w:val="18"/>
              </w:rPr>
              <w:t>acres</w:t>
            </w:r>
          </w:p>
        </w:tc>
      </w:tr>
      <w:tr w:rsidR="00485094" w:rsidRPr="00E76B4B" w:rsidTr="009D19A3">
        <w:trPr>
          <w:trHeight w:val="259"/>
          <w:jc w:val="center"/>
        </w:trPr>
        <w:tc>
          <w:tcPr>
            <w:tcW w:w="5095" w:type="dxa"/>
            <w:shd w:val="clear" w:color="auto" w:fill="FFFFD5"/>
            <w:vAlign w:val="center"/>
          </w:tcPr>
          <w:p w:rsidR="00485094" w:rsidRPr="00E76B4B" w:rsidRDefault="00485094" w:rsidP="003475EE">
            <w:pPr>
              <w:rPr>
                <w:rFonts w:ascii="Arial" w:hAnsi="Arial"/>
                <w:b/>
                <w:snapToGrid w:val="0"/>
                <w:sz w:val="18"/>
              </w:rPr>
            </w:pPr>
            <w:r w:rsidRPr="00E76B4B">
              <w:rPr>
                <w:rFonts w:ascii="Arial" w:hAnsi="Arial"/>
                <w:b/>
                <w:snapToGrid w:val="0"/>
                <w:sz w:val="18"/>
              </w:rPr>
              <w:t>Area of largest lake</w:t>
            </w:r>
          </w:p>
        </w:tc>
        <w:tc>
          <w:tcPr>
            <w:tcW w:w="4823" w:type="dxa"/>
            <w:vAlign w:val="center"/>
          </w:tcPr>
          <w:p w:rsidR="00485094" w:rsidRPr="00E76B4B" w:rsidRDefault="00485094" w:rsidP="003475EE">
            <w:pPr>
              <w:rPr>
                <w:rFonts w:ascii="Arial" w:hAnsi="Arial"/>
                <w:b/>
                <w:snapToGrid w:val="0"/>
                <w:sz w:val="18"/>
              </w:rPr>
            </w:pPr>
            <w:smartTag w:uri="urn:schemas-microsoft-com:office:smarttags" w:element="place">
              <w:r w:rsidRPr="00E76B4B">
                <w:rPr>
                  <w:rFonts w:ascii="Arial" w:hAnsi="Arial"/>
                  <w:b/>
                  <w:snapToGrid w:val="0"/>
                  <w:sz w:val="18"/>
                </w:rPr>
                <w:t>Lake Okeechobee</w:t>
              </w:r>
            </w:smartTag>
            <w:r w:rsidRPr="00E76B4B">
              <w:rPr>
                <w:rFonts w:ascii="Arial" w:hAnsi="Arial"/>
                <w:b/>
                <w:snapToGrid w:val="0"/>
                <w:sz w:val="18"/>
              </w:rPr>
              <w:t xml:space="preserve"> (435,840 acres)</w:t>
            </w:r>
          </w:p>
        </w:tc>
      </w:tr>
      <w:tr w:rsidR="00485094" w:rsidRPr="00E76B4B" w:rsidTr="009D19A3">
        <w:trPr>
          <w:trHeight w:val="259"/>
          <w:jc w:val="center"/>
        </w:trPr>
        <w:tc>
          <w:tcPr>
            <w:tcW w:w="5095" w:type="dxa"/>
            <w:shd w:val="clear" w:color="auto" w:fill="FFFFD5"/>
            <w:vAlign w:val="center"/>
          </w:tcPr>
          <w:p w:rsidR="00485094" w:rsidRPr="00E76B4B" w:rsidRDefault="00485094" w:rsidP="003475EE">
            <w:pPr>
              <w:rPr>
                <w:rFonts w:ascii="Arial" w:hAnsi="Arial"/>
                <w:b/>
                <w:snapToGrid w:val="0"/>
                <w:sz w:val="18"/>
              </w:rPr>
            </w:pPr>
            <w:r w:rsidRPr="00E76B4B">
              <w:rPr>
                <w:rFonts w:ascii="Arial" w:hAnsi="Arial"/>
                <w:b/>
                <w:snapToGrid w:val="0"/>
                <w:sz w:val="18"/>
              </w:rPr>
              <w:t>Area of estuaries and bays</w:t>
            </w:r>
          </w:p>
        </w:tc>
        <w:tc>
          <w:tcPr>
            <w:tcW w:w="4823" w:type="dxa"/>
            <w:vAlign w:val="center"/>
          </w:tcPr>
          <w:p w:rsidR="00485094" w:rsidRPr="00E76B4B" w:rsidRDefault="00485094" w:rsidP="001725EE">
            <w:pPr>
              <w:rPr>
                <w:rFonts w:ascii="Arial" w:hAnsi="Arial"/>
                <w:b/>
                <w:snapToGrid w:val="0"/>
                <w:sz w:val="18"/>
              </w:rPr>
            </w:pPr>
            <w:r>
              <w:rPr>
                <w:rFonts w:ascii="Arial" w:hAnsi="Arial"/>
                <w:b/>
                <w:snapToGrid w:val="0"/>
                <w:sz w:val="18"/>
              </w:rPr>
              <w:t xml:space="preserve">4,460 </w:t>
            </w:r>
            <w:r w:rsidRPr="00E76B4B">
              <w:rPr>
                <w:rFonts w:ascii="Arial" w:hAnsi="Arial"/>
                <w:b/>
                <w:snapToGrid w:val="0"/>
                <w:sz w:val="18"/>
              </w:rPr>
              <w:t xml:space="preserve">square miles </w:t>
            </w:r>
          </w:p>
        </w:tc>
      </w:tr>
      <w:tr w:rsidR="00485094" w:rsidRPr="00E76B4B" w:rsidTr="009D19A3">
        <w:trPr>
          <w:trHeight w:val="259"/>
          <w:jc w:val="center"/>
        </w:trPr>
        <w:tc>
          <w:tcPr>
            <w:tcW w:w="5095" w:type="dxa"/>
            <w:shd w:val="clear" w:color="auto" w:fill="FFFFD5"/>
            <w:vAlign w:val="center"/>
          </w:tcPr>
          <w:p w:rsidR="00485094" w:rsidRPr="00E76B4B" w:rsidRDefault="00485094" w:rsidP="003475EE">
            <w:pPr>
              <w:rPr>
                <w:rFonts w:ascii="Arial" w:hAnsi="Arial"/>
                <w:b/>
                <w:snapToGrid w:val="0"/>
                <w:sz w:val="18"/>
              </w:rPr>
            </w:pPr>
            <w:r w:rsidRPr="00E76B4B">
              <w:rPr>
                <w:rFonts w:ascii="Arial" w:hAnsi="Arial"/>
                <w:b/>
                <w:snapToGrid w:val="0"/>
                <w:sz w:val="18"/>
              </w:rPr>
              <w:t>Area of coastal waters</w:t>
            </w:r>
          </w:p>
        </w:tc>
        <w:tc>
          <w:tcPr>
            <w:tcW w:w="4823" w:type="dxa"/>
            <w:vAlign w:val="center"/>
          </w:tcPr>
          <w:p w:rsidR="00485094" w:rsidRPr="00E76B4B" w:rsidRDefault="00485094" w:rsidP="003475EE">
            <w:pPr>
              <w:rPr>
                <w:rFonts w:ascii="Arial" w:hAnsi="Arial"/>
                <w:b/>
                <w:snapToGrid w:val="0"/>
                <w:sz w:val="18"/>
              </w:rPr>
            </w:pPr>
            <w:r w:rsidRPr="00E76B4B">
              <w:rPr>
                <w:rFonts w:ascii="Arial" w:hAnsi="Arial"/>
                <w:b/>
                <w:snapToGrid w:val="0"/>
                <w:sz w:val="18"/>
              </w:rPr>
              <w:t>6,758 square miles</w:t>
            </w:r>
          </w:p>
        </w:tc>
      </w:tr>
      <w:tr w:rsidR="00485094" w:rsidRPr="00E76B4B" w:rsidTr="009D19A3">
        <w:trPr>
          <w:trHeight w:val="259"/>
          <w:jc w:val="center"/>
        </w:trPr>
        <w:tc>
          <w:tcPr>
            <w:tcW w:w="5095" w:type="dxa"/>
            <w:shd w:val="clear" w:color="auto" w:fill="FFFFD5"/>
            <w:vAlign w:val="center"/>
          </w:tcPr>
          <w:p w:rsidR="00485094" w:rsidRPr="00E76B4B" w:rsidRDefault="00485094" w:rsidP="003475EE">
            <w:pPr>
              <w:rPr>
                <w:rFonts w:ascii="Arial" w:hAnsi="Arial"/>
                <w:b/>
                <w:snapToGrid w:val="0"/>
                <w:sz w:val="18"/>
              </w:rPr>
            </w:pPr>
            <w:r w:rsidRPr="00E76B4B">
              <w:rPr>
                <w:rFonts w:ascii="Arial" w:hAnsi="Arial"/>
                <w:b/>
                <w:snapToGrid w:val="0"/>
                <w:sz w:val="18"/>
              </w:rPr>
              <w:t>Area of freshwater and tidal wetlands</w:t>
            </w:r>
          </w:p>
        </w:tc>
        <w:tc>
          <w:tcPr>
            <w:tcW w:w="4823" w:type="dxa"/>
            <w:vAlign w:val="center"/>
          </w:tcPr>
          <w:p w:rsidR="00485094" w:rsidRPr="00E76B4B" w:rsidRDefault="00485094" w:rsidP="003475EE">
            <w:pPr>
              <w:rPr>
                <w:rFonts w:ascii="Arial" w:hAnsi="Arial"/>
                <w:b/>
                <w:snapToGrid w:val="0"/>
                <w:sz w:val="18"/>
              </w:rPr>
            </w:pPr>
            <w:r w:rsidRPr="00E76B4B">
              <w:rPr>
                <w:rFonts w:ascii="Arial" w:hAnsi="Arial"/>
                <w:b/>
                <w:snapToGrid w:val="0"/>
                <w:sz w:val="18"/>
              </w:rPr>
              <w:t>17,830 square miles</w:t>
            </w:r>
          </w:p>
        </w:tc>
      </w:tr>
      <w:tr w:rsidR="00485094" w:rsidRPr="00E76B4B" w:rsidTr="009D19A3">
        <w:trPr>
          <w:trHeight w:val="705"/>
          <w:jc w:val="center"/>
        </w:trPr>
        <w:tc>
          <w:tcPr>
            <w:tcW w:w="5095" w:type="dxa"/>
            <w:shd w:val="clear" w:color="auto" w:fill="FFFFD5"/>
            <w:vAlign w:val="center"/>
          </w:tcPr>
          <w:p w:rsidR="00485094" w:rsidRPr="00E76B4B" w:rsidRDefault="00485094" w:rsidP="00E76B4B">
            <w:pPr>
              <w:ind w:firstLine="360"/>
              <w:rPr>
                <w:rFonts w:ascii="Arial" w:hAnsi="Arial"/>
                <w:snapToGrid w:val="0"/>
                <w:sz w:val="18"/>
              </w:rPr>
            </w:pPr>
            <w:r w:rsidRPr="00E76B4B">
              <w:rPr>
                <w:rFonts w:ascii="Arial" w:hAnsi="Arial"/>
                <w:snapToGrid w:val="0"/>
                <w:sz w:val="18"/>
              </w:rPr>
              <w:t>Prominent wetland systems</w:t>
            </w:r>
          </w:p>
        </w:tc>
        <w:tc>
          <w:tcPr>
            <w:tcW w:w="4823" w:type="dxa"/>
            <w:vAlign w:val="center"/>
          </w:tcPr>
          <w:p w:rsidR="00485094" w:rsidRPr="00E76B4B" w:rsidRDefault="00485094" w:rsidP="00E76B4B">
            <w:pPr>
              <w:ind w:left="305" w:hanging="35"/>
              <w:rPr>
                <w:rFonts w:ascii="Arial" w:hAnsi="Arial"/>
                <w:snapToGrid w:val="0"/>
                <w:sz w:val="18"/>
              </w:rPr>
            </w:pPr>
            <w:r w:rsidRPr="00E76B4B">
              <w:rPr>
                <w:rFonts w:ascii="Arial" w:hAnsi="Arial"/>
                <w:snapToGrid w:val="0"/>
                <w:sz w:val="18"/>
              </w:rPr>
              <w:t xml:space="preserve">Everglades and Big Cypress Swamp, Green Swamp, Okefenokee Swamp, Big Bend coastal marshes, </w:t>
            </w:r>
            <w:r w:rsidRPr="00E76B4B">
              <w:rPr>
                <w:rFonts w:ascii="Arial" w:hAnsi="Arial"/>
                <w:sz w:val="18"/>
              </w:rPr>
              <w:t>St. Johns River marshes</w:t>
            </w:r>
          </w:p>
        </w:tc>
      </w:tr>
      <w:tr w:rsidR="00485094" w:rsidRPr="00E76B4B" w:rsidTr="009D19A3">
        <w:trPr>
          <w:trHeight w:val="259"/>
          <w:jc w:val="center"/>
        </w:trPr>
        <w:tc>
          <w:tcPr>
            <w:tcW w:w="5095" w:type="dxa"/>
            <w:shd w:val="clear" w:color="auto" w:fill="FFFFD5"/>
            <w:vAlign w:val="center"/>
          </w:tcPr>
          <w:p w:rsidR="00485094" w:rsidRPr="00E76B4B" w:rsidRDefault="00485094" w:rsidP="003475EE">
            <w:pPr>
              <w:rPr>
                <w:rFonts w:ascii="Arial" w:hAnsi="Arial"/>
                <w:b/>
                <w:snapToGrid w:val="0"/>
                <w:sz w:val="18"/>
              </w:rPr>
            </w:pPr>
            <w:r w:rsidRPr="00E76B4B">
              <w:rPr>
                <w:rFonts w:ascii="Arial" w:hAnsi="Arial"/>
                <w:b/>
                <w:snapToGrid w:val="0"/>
                <w:sz w:val="18"/>
              </w:rPr>
              <w:t>Area of islands greater than 10 acres</w:t>
            </w:r>
          </w:p>
        </w:tc>
        <w:tc>
          <w:tcPr>
            <w:tcW w:w="4823" w:type="dxa"/>
            <w:vAlign w:val="center"/>
          </w:tcPr>
          <w:p w:rsidR="00485094" w:rsidRPr="00E76B4B" w:rsidRDefault="00485094" w:rsidP="003475EE">
            <w:pPr>
              <w:rPr>
                <w:rFonts w:ascii="Arial" w:hAnsi="Arial"/>
                <w:b/>
                <w:snapToGrid w:val="0"/>
                <w:sz w:val="18"/>
              </w:rPr>
            </w:pPr>
            <w:r w:rsidRPr="00E76B4B">
              <w:rPr>
                <w:rFonts w:ascii="Arial" w:hAnsi="Arial"/>
                <w:b/>
                <w:snapToGrid w:val="0"/>
                <w:sz w:val="18"/>
              </w:rPr>
              <w:t>1,314 square miles</w:t>
            </w:r>
          </w:p>
        </w:tc>
      </w:tr>
      <w:tr w:rsidR="00485094" w:rsidRPr="00E76B4B" w:rsidTr="009D19A3">
        <w:trPr>
          <w:trHeight w:val="259"/>
          <w:jc w:val="center"/>
        </w:trPr>
        <w:tc>
          <w:tcPr>
            <w:tcW w:w="5095" w:type="dxa"/>
            <w:shd w:val="clear" w:color="auto" w:fill="FFFFD5"/>
            <w:vAlign w:val="center"/>
          </w:tcPr>
          <w:p w:rsidR="00485094" w:rsidRPr="00E76B4B" w:rsidRDefault="00485094" w:rsidP="003475EE">
            <w:pPr>
              <w:rPr>
                <w:rFonts w:ascii="Arial" w:hAnsi="Arial"/>
                <w:b/>
                <w:snapToGrid w:val="0"/>
                <w:sz w:val="18"/>
              </w:rPr>
            </w:pPr>
            <w:r w:rsidRPr="00E76B4B">
              <w:rPr>
                <w:rFonts w:ascii="Arial" w:hAnsi="Arial"/>
                <w:b/>
                <w:snapToGrid w:val="0"/>
                <w:sz w:val="18"/>
              </w:rPr>
              <w:t>Number of known springs</w:t>
            </w:r>
          </w:p>
        </w:tc>
        <w:tc>
          <w:tcPr>
            <w:tcW w:w="4823" w:type="dxa"/>
            <w:vAlign w:val="center"/>
          </w:tcPr>
          <w:p w:rsidR="00485094" w:rsidRPr="00E76B4B" w:rsidRDefault="00485094" w:rsidP="003475EE">
            <w:pPr>
              <w:rPr>
                <w:rFonts w:ascii="Arial" w:hAnsi="Arial"/>
                <w:b/>
                <w:snapToGrid w:val="0"/>
                <w:sz w:val="18"/>
              </w:rPr>
            </w:pPr>
            <w:r w:rsidRPr="00E76B4B">
              <w:rPr>
                <w:rFonts w:ascii="Arial" w:hAnsi="Arial"/>
                <w:b/>
                <w:snapToGrid w:val="0"/>
                <w:sz w:val="18"/>
              </w:rPr>
              <w:t>More than 700</w:t>
            </w:r>
          </w:p>
        </w:tc>
      </w:tr>
      <w:tr w:rsidR="00485094" w:rsidRPr="00E76B4B" w:rsidTr="009D19A3">
        <w:trPr>
          <w:trHeight w:val="259"/>
          <w:jc w:val="center"/>
        </w:trPr>
        <w:tc>
          <w:tcPr>
            <w:tcW w:w="5095" w:type="dxa"/>
            <w:shd w:val="clear" w:color="auto" w:fill="FFFFD5"/>
            <w:vAlign w:val="center"/>
          </w:tcPr>
          <w:p w:rsidR="00485094" w:rsidRPr="00E76B4B" w:rsidRDefault="00485094" w:rsidP="00E76B4B">
            <w:pPr>
              <w:ind w:firstLine="360"/>
              <w:rPr>
                <w:rFonts w:ascii="Arial" w:hAnsi="Arial"/>
                <w:snapToGrid w:val="0"/>
                <w:sz w:val="18"/>
              </w:rPr>
            </w:pPr>
            <w:r w:rsidRPr="00E76B4B">
              <w:rPr>
                <w:rFonts w:ascii="Arial" w:hAnsi="Arial"/>
                <w:snapToGrid w:val="0"/>
                <w:sz w:val="18"/>
              </w:rPr>
              <w:t>Combined spring outflow</w:t>
            </w:r>
          </w:p>
        </w:tc>
        <w:tc>
          <w:tcPr>
            <w:tcW w:w="4823" w:type="dxa"/>
            <w:vAlign w:val="center"/>
          </w:tcPr>
          <w:p w:rsidR="00485094" w:rsidRPr="00E76B4B" w:rsidRDefault="00485094" w:rsidP="00E76B4B">
            <w:pPr>
              <w:ind w:left="305"/>
              <w:rPr>
                <w:rFonts w:ascii="Arial" w:hAnsi="Arial"/>
                <w:snapToGrid w:val="0"/>
                <w:sz w:val="18"/>
              </w:rPr>
            </w:pPr>
            <w:r w:rsidRPr="00E76B4B">
              <w:rPr>
                <w:rFonts w:ascii="Arial" w:hAnsi="Arial"/>
                <w:snapToGrid w:val="0"/>
                <w:sz w:val="18"/>
              </w:rPr>
              <w:t>8 billion gallons per day</w:t>
            </w:r>
          </w:p>
        </w:tc>
      </w:tr>
      <w:tr w:rsidR="00485094" w:rsidRPr="00E76B4B" w:rsidTr="009D19A3">
        <w:trPr>
          <w:trHeight w:val="507"/>
          <w:jc w:val="center"/>
        </w:trPr>
        <w:tc>
          <w:tcPr>
            <w:tcW w:w="5095" w:type="dxa"/>
            <w:shd w:val="clear" w:color="auto" w:fill="FFFFD5"/>
            <w:vAlign w:val="center"/>
          </w:tcPr>
          <w:p w:rsidR="00485094" w:rsidRPr="00E76B4B" w:rsidRDefault="00485094" w:rsidP="00E76B4B">
            <w:pPr>
              <w:ind w:firstLine="360"/>
              <w:rPr>
                <w:rFonts w:ascii="Arial" w:hAnsi="Arial"/>
                <w:snapToGrid w:val="0"/>
                <w:sz w:val="18"/>
              </w:rPr>
            </w:pPr>
            <w:r w:rsidRPr="00E76B4B">
              <w:rPr>
                <w:rFonts w:ascii="Arial" w:hAnsi="Arial"/>
                <w:snapToGrid w:val="0"/>
                <w:sz w:val="18"/>
              </w:rPr>
              <w:t>Largest spring</w:t>
            </w:r>
          </w:p>
        </w:tc>
        <w:tc>
          <w:tcPr>
            <w:tcW w:w="4823" w:type="dxa"/>
            <w:vAlign w:val="center"/>
          </w:tcPr>
          <w:p w:rsidR="00485094" w:rsidRPr="00E76B4B" w:rsidRDefault="00485094" w:rsidP="00E76B4B">
            <w:pPr>
              <w:ind w:left="305"/>
              <w:rPr>
                <w:rFonts w:ascii="Arial" w:hAnsi="Arial"/>
                <w:snapToGrid w:val="0"/>
                <w:sz w:val="18"/>
              </w:rPr>
            </w:pPr>
            <w:r w:rsidRPr="00E76B4B">
              <w:rPr>
                <w:rFonts w:ascii="Arial" w:hAnsi="Arial"/>
                <w:snapToGrid w:val="0"/>
                <w:sz w:val="18"/>
              </w:rPr>
              <w:t xml:space="preserve">Wakulla Springs (average discharge </w:t>
            </w:r>
          </w:p>
          <w:p w:rsidR="00485094" w:rsidRPr="00E76B4B" w:rsidRDefault="00485094" w:rsidP="00E76B4B">
            <w:pPr>
              <w:ind w:left="305"/>
              <w:rPr>
                <w:rFonts w:ascii="Arial" w:hAnsi="Arial"/>
                <w:snapToGrid w:val="0"/>
                <w:sz w:val="18"/>
              </w:rPr>
            </w:pPr>
            <w:r w:rsidRPr="00E76B4B">
              <w:rPr>
                <w:rFonts w:ascii="Arial" w:hAnsi="Arial"/>
                <w:snapToGrid w:val="0"/>
                <w:sz w:val="18"/>
              </w:rPr>
              <w:t>of 252 million gallons per day [MGD])</w:t>
            </w:r>
          </w:p>
        </w:tc>
      </w:tr>
      <w:tr w:rsidR="00485094" w:rsidRPr="00E76B4B" w:rsidTr="009D19A3">
        <w:trPr>
          <w:trHeight w:val="259"/>
          <w:jc w:val="center"/>
        </w:trPr>
        <w:tc>
          <w:tcPr>
            <w:tcW w:w="5095" w:type="dxa"/>
            <w:shd w:val="clear" w:color="auto" w:fill="FFFFD5"/>
            <w:vAlign w:val="center"/>
          </w:tcPr>
          <w:p w:rsidR="00485094" w:rsidRPr="00E76B4B" w:rsidRDefault="00485094" w:rsidP="00E76B4B">
            <w:pPr>
              <w:ind w:left="720" w:hanging="360"/>
              <w:rPr>
                <w:rFonts w:ascii="Arial" w:hAnsi="Arial"/>
                <w:snapToGrid w:val="0"/>
                <w:sz w:val="18"/>
              </w:rPr>
            </w:pPr>
            <w:r w:rsidRPr="00E76B4B">
              <w:rPr>
                <w:rFonts w:ascii="Arial" w:hAnsi="Arial"/>
                <w:snapToGrid w:val="0"/>
                <w:sz w:val="18"/>
              </w:rPr>
              <w:t xml:space="preserve">Number of first-order magnitude springs </w:t>
            </w:r>
          </w:p>
          <w:p w:rsidR="00485094" w:rsidRPr="00E76B4B" w:rsidRDefault="00485094" w:rsidP="00E76B4B">
            <w:pPr>
              <w:ind w:left="720" w:hanging="360"/>
              <w:rPr>
                <w:rFonts w:ascii="Arial" w:hAnsi="Arial"/>
                <w:snapToGrid w:val="0"/>
                <w:sz w:val="18"/>
              </w:rPr>
            </w:pPr>
            <w:r w:rsidRPr="00E76B4B">
              <w:rPr>
                <w:rFonts w:ascii="Arial" w:hAnsi="Arial"/>
                <w:snapToGrid w:val="0"/>
                <w:sz w:val="18"/>
              </w:rPr>
              <w:t>(flows greater than 64.6 MGD)</w:t>
            </w:r>
          </w:p>
        </w:tc>
        <w:tc>
          <w:tcPr>
            <w:tcW w:w="4823" w:type="dxa"/>
            <w:vAlign w:val="center"/>
          </w:tcPr>
          <w:p w:rsidR="00485094" w:rsidRPr="00E76B4B" w:rsidRDefault="00485094" w:rsidP="00E76B4B">
            <w:pPr>
              <w:ind w:left="305"/>
              <w:rPr>
                <w:rFonts w:ascii="Arial" w:hAnsi="Arial"/>
                <w:snapToGrid w:val="0"/>
                <w:sz w:val="18"/>
              </w:rPr>
            </w:pPr>
            <w:r w:rsidRPr="00E76B4B">
              <w:rPr>
                <w:rFonts w:ascii="Arial" w:hAnsi="Arial"/>
                <w:snapToGrid w:val="0"/>
                <w:sz w:val="18"/>
              </w:rPr>
              <w:t>33</w:t>
            </w:r>
          </w:p>
        </w:tc>
      </w:tr>
    </w:tbl>
    <w:p w:rsidR="00485094" w:rsidRDefault="00485094" w:rsidP="00A75223">
      <w:pPr>
        <w:pStyle w:val="TableText"/>
        <w:rPr>
          <w:b/>
          <w:szCs w:val="18"/>
          <w:highlight w:val="cyan"/>
        </w:rPr>
      </w:pPr>
    </w:p>
    <w:p w:rsidR="00485094" w:rsidRPr="00BB22DA" w:rsidRDefault="00485094" w:rsidP="00BB22DA">
      <w:pPr>
        <w:pStyle w:val="Bodytextreduced"/>
      </w:pPr>
      <w:r w:rsidRPr="00534B03">
        <w:rPr>
          <w:b/>
        </w:rPr>
        <w:t>Sources:</w:t>
      </w:r>
      <w:r w:rsidRPr="00BB22DA">
        <w:t xml:space="preserve">  </w:t>
      </w:r>
      <w:r>
        <w:t>Copeland et al., 2009; Florida Trend, 2009; FWC website, 2010d; U.S. Census Bureau, 2010c; American Safety Council website, 2010, USGS, 2010.</w:t>
      </w:r>
    </w:p>
    <w:p w:rsidR="00485094" w:rsidRPr="003A4461" w:rsidRDefault="00485094" w:rsidP="00A553DE">
      <w:pPr>
        <w:pStyle w:val="Bodytextreduced"/>
      </w:pPr>
      <w:r>
        <w:br w:type="page"/>
      </w:r>
    </w:p>
    <w:p w:rsidR="00485094" w:rsidRDefault="00485094" w:rsidP="008423A9">
      <w:pPr>
        <w:pStyle w:val="Heading3"/>
      </w:pPr>
      <w:bookmarkStart w:id="58" w:name="_Toc490373225"/>
      <w:bookmarkStart w:id="59" w:name="_Toc74537927"/>
      <w:bookmarkStart w:id="60" w:name="_Toc78886299"/>
      <w:bookmarkStart w:id="61" w:name="_Toc255822486"/>
      <w:bookmarkStart w:id="62" w:name="_Toc271279930"/>
      <w:r>
        <w:lastRenderedPageBreak/>
        <w:t>Population</w:t>
      </w:r>
      <w:bookmarkEnd w:id="58"/>
      <w:bookmarkEnd w:id="59"/>
      <w:bookmarkEnd w:id="60"/>
      <w:bookmarkEnd w:id="61"/>
      <w:bookmarkEnd w:id="62"/>
    </w:p>
    <w:p w:rsidR="00485094" w:rsidRPr="00B43D14" w:rsidRDefault="00485094" w:rsidP="00B43D14">
      <w:pPr>
        <w:pStyle w:val="Bodytext"/>
      </w:pPr>
      <w:r w:rsidRPr="00E138B6">
        <w:t>According to the U.S. Census Bureau, Florida’s population in 200</w:t>
      </w:r>
      <w:r>
        <w:t>8</w:t>
      </w:r>
      <w:r w:rsidRPr="00E138B6">
        <w:t xml:space="preserve"> was </w:t>
      </w:r>
      <w:r w:rsidRPr="003F5D2C">
        <w:t>18,328,340</w:t>
      </w:r>
      <w:r>
        <w:t xml:space="preserve"> (U.S. Census Bureau website, 2010c).  Population growth has slowed during the current economic downturn, and</w:t>
      </w:r>
      <w:r w:rsidRPr="00972222">
        <w:t xml:space="preserve"> is expected to reach only 1.57% in 2011</w:t>
      </w:r>
      <w:r>
        <w:t>–</w:t>
      </w:r>
      <w:r w:rsidRPr="00972222">
        <w:t>12</w:t>
      </w:r>
      <w:r>
        <w:t>.  However, Florida</w:t>
      </w:r>
      <w:r w:rsidRPr="00E138B6">
        <w:t xml:space="preserve"> is </w:t>
      </w:r>
      <w:r>
        <w:t xml:space="preserve">still </w:t>
      </w:r>
      <w:r w:rsidRPr="00E138B6">
        <w:t>projected to be</w:t>
      </w:r>
      <w:r>
        <w:t>come</w:t>
      </w:r>
      <w:r w:rsidRPr="00E138B6">
        <w:t xml:space="preserve"> the third</w:t>
      </w:r>
      <w:r w:rsidRPr="00E138B6">
        <w:rPr>
          <w:vertAlign w:val="superscript"/>
        </w:rPr>
        <w:t xml:space="preserve"> </w:t>
      </w:r>
      <w:r w:rsidRPr="00E138B6">
        <w:t xml:space="preserve">most populated </w:t>
      </w:r>
      <w:r>
        <w:t xml:space="preserve">state sometime before 2014, behind California and Texas (Florida Trend, 2009).  </w:t>
      </w:r>
      <w:r w:rsidRPr="00B43D14">
        <w:t xml:space="preserve">Within the next two decades, the state’s total population is expected to increase by </w:t>
      </w:r>
      <w:r>
        <w:t>9.4</w:t>
      </w:r>
      <w:r w:rsidRPr="00B43D14">
        <w:t xml:space="preserve"> million people.  Florida is also expected to gain 1.9 million people through international migration between </w:t>
      </w:r>
      <w:r w:rsidRPr="00595B30">
        <w:t>1995</w:t>
      </w:r>
      <w:r w:rsidRPr="008A6063">
        <w:t xml:space="preserve"> </w:t>
      </w:r>
      <w:r w:rsidRPr="00B43D14">
        <w:t>and</w:t>
      </w:r>
      <w:r>
        <w:t xml:space="preserve"> </w:t>
      </w:r>
      <w:r w:rsidRPr="00B43D14">
        <w:t>2025, the third largest net gain in the country</w:t>
      </w:r>
      <w:r>
        <w:t xml:space="preserve"> (U.S. Census Bureau website, 2010a–c)</w:t>
      </w:r>
      <w:r w:rsidRPr="00B43D14">
        <w:t>.</w:t>
      </w:r>
    </w:p>
    <w:p w:rsidR="00485094" w:rsidRPr="00B43D14" w:rsidRDefault="00485094" w:rsidP="00B43D14">
      <w:pPr>
        <w:pStyle w:val="Bodytext"/>
      </w:pPr>
    </w:p>
    <w:p w:rsidR="00485094" w:rsidRPr="00B43D14" w:rsidRDefault="00485094" w:rsidP="00B43D14">
      <w:pPr>
        <w:pStyle w:val="Bodytext"/>
      </w:pPr>
      <w:r w:rsidRPr="00B43D14">
        <w:t>As the baby-boom generation (those born between 1946 and 1964) reaches retirement age, the number of resid</w:t>
      </w:r>
      <w:r>
        <w:t xml:space="preserve">ents aged </w:t>
      </w:r>
      <w:r w:rsidRPr="00B43D14">
        <w:t xml:space="preserve">65 and over </w:t>
      </w:r>
      <w:r>
        <w:t>will</w:t>
      </w:r>
      <w:r w:rsidRPr="00B43D14">
        <w:t xml:space="preserve"> accelerate rapidly in all states.  In Florida, the proportion of </w:t>
      </w:r>
      <w:r>
        <w:t>people over 65</w:t>
      </w:r>
      <w:r w:rsidRPr="00B43D14">
        <w:t xml:space="preserve"> </w:t>
      </w:r>
      <w:r>
        <w:t xml:space="preserve">was 17.4% as of 2008, and this number is </w:t>
      </w:r>
      <w:r w:rsidRPr="00B43D14">
        <w:t xml:space="preserve">projected to </w:t>
      </w:r>
      <w:r>
        <w:t>grow</w:t>
      </w:r>
      <w:r w:rsidRPr="00B43D14">
        <w:t xml:space="preserve"> to </w:t>
      </w:r>
      <w:r>
        <w:t>19.5%</w:t>
      </w:r>
      <w:r w:rsidRPr="00B43D14">
        <w:t xml:space="preserve"> in 20</w:t>
      </w:r>
      <w:r>
        <w:t>15 (U.S. Census Bureau, 2010d).</w:t>
      </w:r>
    </w:p>
    <w:p w:rsidR="00485094" w:rsidRPr="00B43D14" w:rsidRDefault="00485094" w:rsidP="00B43D14">
      <w:pPr>
        <w:pStyle w:val="Bodytext"/>
      </w:pPr>
    </w:p>
    <w:p w:rsidR="00485094" w:rsidRPr="00B43D14" w:rsidRDefault="00485094" w:rsidP="00B43D14">
      <w:pPr>
        <w:pStyle w:val="Bodytext"/>
      </w:pPr>
      <w:r w:rsidRPr="00B43D14">
        <w:t>The state has a number of large, expanding population centers, including southeastern Florida (Dade, Broward, and Palm Beach Counties), Jacksonville, Tampa–St. Petersburg, southwest Florida (from Sarasota to Naples), and Orlando</w:t>
      </w:r>
      <w:r>
        <w:t xml:space="preserve"> (</w:t>
      </w:r>
      <w:r w:rsidRPr="00035B69">
        <w:rPr>
          <w:b/>
          <w:i/>
        </w:rPr>
        <w:t>Figure 2.1</w:t>
      </w:r>
      <w:r>
        <w:t>)</w:t>
      </w:r>
      <w:r w:rsidRPr="00B43D14">
        <w:t>.  In contrast, other relatively large areas of Florida are</w:t>
      </w:r>
      <w:r>
        <w:t xml:space="preserve"> </w:t>
      </w:r>
      <w:r w:rsidRPr="00B43D14">
        <w:t>sparsely populated.</w:t>
      </w:r>
    </w:p>
    <w:p w:rsidR="00485094" w:rsidRDefault="00485094" w:rsidP="00B43D14">
      <w:pPr>
        <w:pStyle w:val="Bodytext"/>
      </w:pPr>
    </w:p>
    <w:p w:rsidR="00485094" w:rsidRDefault="00485094" w:rsidP="008423A9">
      <w:pPr>
        <w:pStyle w:val="Heading3"/>
      </w:pPr>
      <w:bookmarkStart w:id="63" w:name="_Toc74537929"/>
      <w:bookmarkStart w:id="64" w:name="_Toc78886301"/>
      <w:bookmarkStart w:id="65" w:name="_Toc255822487"/>
      <w:bookmarkStart w:id="66" w:name="_Toc271279931"/>
      <w:bookmarkStart w:id="67" w:name="_Toc490373226"/>
      <w:bookmarkStart w:id="68" w:name="_Toc74537774"/>
      <w:bookmarkStart w:id="69" w:name="_Toc74537928"/>
      <w:bookmarkStart w:id="70" w:name="_Toc78886300"/>
      <w:r>
        <w:t>Climate</w:t>
      </w:r>
      <w:bookmarkEnd w:id="63"/>
      <w:bookmarkEnd w:id="64"/>
      <w:bookmarkEnd w:id="65"/>
      <w:bookmarkEnd w:id="66"/>
    </w:p>
    <w:p w:rsidR="00485094" w:rsidRDefault="00485094" w:rsidP="00D34410">
      <w:pPr>
        <w:pStyle w:val="Bodytext"/>
      </w:pPr>
      <w:r>
        <w:t>The state’s climate ranges from a transitional zone between temperate and subtropical in the north and northwest, to tropical in the Keys.  Summers are long, with periods of very warm, humid air.  Maximum temperatures average about 90° F., although temperatures of 100° F. or greater can occur in some areas.  Winters are generally mild, except when cold fronts move across the state.  Frosts and freezes are possible, but typically temperatures do not remain low during the day, and cold weather usually lasts no more than two or three days at a time.</w:t>
      </w:r>
    </w:p>
    <w:p w:rsidR="00485094" w:rsidRDefault="00485094" w:rsidP="00F039EA">
      <w:pPr>
        <w:pStyle w:val="Bodytext"/>
      </w:pPr>
    </w:p>
    <w:p w:rsidR="00485094" w:rsidRPr="00C20EA1" w:rsidRDefault="00485094" w:rsidP="00D34410">
      <w:pPr>
        <w:pStyle w:val="Bodytext"/>
        <w:rPr>
          <w:rFonts w:cs="Arial"/>
        </w:rPr>
      </w:pPr>
      <w:r>
        <w:t>Rainfall across the state varies with location and season.  On average, more than 60 inches per year falls in the far northwest and southeast, while the Keys receive about 40 inches annually (</w:t>
      </w:r>
      <w:r w:rsidRPr="00035B69">
        <w:rPr>
          <w:b/>
          <w:i/>
        </w:rPr>
        <w:t>Figure 2.2</w:t>
      </w:r>
      <w:r>
        <w:t>).  The heaviest rainfall occurs in northwestern Florida and in a strip 10 to 15 miles inland along the southeast coast.</w:t>
      </w:r>
      <w:r w:rsidRPr="00866ECE">
        <w:t xml:space="preserve"> </w:t>
      </w:r>
      <w:r>
        <w:t xml:space="preserve"> Variability in rainfall, both spatially and temporally, can contribute to local water shortages.  Historically, Florida has had periods of high rainfall along with periods of low rainfall</w:t>
      </w:r>
      <w:r w:rsidR="00550C22">
        <w:t xml:space="preserve"> (</w:t>
      </w:r>
      <w:r>
        <w:t>e.g.</w:t>
      </w:r>
      <w:r w:rsidR="00550C22">
        <w:t xml:space="preserve">, </w:t>
      </w:r>
      <w:r>
        <w:t>drought</w:t>
      </w:r>
      <w:r w:rsidR="00550C22">
        <w:t>)</w:t>
      </w:r>
      <w:r w:rsidRPr="00C20EA1">
        <w:rPr>
          <w:rFonts w:cs="Arial"/>
        </w:rPr>
        <w:t xml:space="preserve">.  </w:t>
      </w:r>
      <w:r>
        <w:rPr>
          <w:rFonts w:cs="Arial"/>
        </w:rPr>
        <w:t xml:space="preserve">Based on data dating back to 1932, </w:t>
      </w:r>
      <w:r w:rsidRPr="00F729AC">
        <w:rPr>
          <w:rFonts w:cs="Arial"/>
          <w:color w:val="000000"/>
        </w:rPr>
        <w:t>2006</w:t>
      </w:r>
      <w:r w:rsidR="00550C22">
        <w:rPr>
          <w:rFonts w:cs="Arial"/>
          <w:color w:val="000000"/>
        </w:rPr>
        <w:t xml:space="preserve"> and </w:t>
      </w:r>
      <w:r w:rsidRPr="00F729AC">
        <w:rPr>
          <w:rFonts w:cs="Arial"/>
          <w:color w:val="000000"/>
        </w:rPr>
        <w:t>2007 were the driest back-to-back calendar years Florida has experienced.</w:t>
      </w:r>
      <w:r>
        <w:rPr>
          <w:rFonts w:cs="Arial"/>
          <w:color w:val="000000"/>
        </w:rPr>
        <w:t xml:space="preserve">  </w:t>
      </w:r>
    </w:p>
    <w:p w:rsidR="00485094" w:rsidRPr="00C20EA1" w:rsidRDefault="00485094" w:rsidP="00F039EA">
      <w:pPr>
        <w:pStyle w:val="Bodytext"/>
        <w:rPr>
          <w:rFonts w:cs="Arial"/>
        </w:rPr>
      </w:pPr>
    </w:p>
    <w:p w:rsidR="00485094" w:rsidRDefault="00485094" w:rsidP="00D34410">
      <w:pPr>
        <w:pStyle w:val="Bodytext"/>
      </w:pPr>
      <w:r>
        <w:t xml:space="preserve">Except for the northwestern part of the state, most of Florida has a rainy season and a relatively long dry season.  In the peninsula, half the average annual rainfall usually falls between June and September.  In northwestern </w:t>
      </w:r>
      <w:smartTag w:uri="urn:schemas-microsoft-com:office:smarttags" w:element="State">
        <w:smartTag w:uri="urn:schemas-microsoft-com:office:smarttags" w:element="place">
          <w:r>
            <w:t>Florida</w:t>
          </w:r>
        </w:smartTag>
      </w:smartTag>
      <w:r>
        <w:t>, a secondary rainy season occurs in late winter to early spring.</w:t>
      </w:r>
      <w:r>
        <w:rPr>
          <w:rStyle w:val="EndnoteReference"/>
        </w:rPr>
        <w:t xml:space="preserve">  </w:t>
      </w:r>
      <w:r>
        <w:t>The lowest rainfall for most of the state occurs in fall (October and November) and spring (April and May).  The varying patterns of rainfall create differences in the timing of high and low discharges from surface waters.</w:t>
      </w:r>
    </w:p>
    <w:p w:rsidR="00485094" w:rsidRDefault="00485094" w:rsidP="00D34410">
      <w:pPr>
        <w:pStyle w:val="Bodytext"/>
      </w:pPr>
    </w:p>
    <w:p w:rsidR="00485094" w:rsidRDefault="00485094">
      <w:r>
        <w:br w:type="page"/>
      </w:r>
    </w:p>
    <w:p w:rsidR="008A1744" w:rsidRDefault="008A1744" w:rsidP="008A1744">
      <w:pPr>
        <w:pStyle w:val="Caption"/>
      </w:pPr>
      <w:bookmarkStart w:id="71" w:name="_Toc271280138"/>
      <w:r>
        <w:lastRenderedPageBreak/>
        <w:t>Figure 2.1.  Florida’s Population Distribution, 2000</w:t>
      </w:r>
      <w:bookmarkEnd w:id="71"/>
    </w:p>
    <w:p w:rsidR="008A1744" w:rsidRDefault="008A1744" w:rsidP="008A1744">
      <w:pPr>
        <w:rPr>
          <w:rFonts w:ascii="Arial" w:hAnsi="Arial" w:cs="Arial"/>
          <w:sz w:val="16"/>
          <w:szCs w:val="16"/>
        </w:rPr>
      </w:pPr>
    </w:p>
    <w:p w:rsidR="00485094" w:rsidRDefault="00A74EF3" w:rsidP="00BF2988">
      <w:pPr>
        <w:pStyle w:val="Bodytext"/>
        <w:jc w:val="center"/>
      </w:pPr>
      <w:r>
        <w:rPr>
          <w:noProof/>
        </w:rPr>
        <w:pict>
          <v:shape id="_x0000_s1035" type="#_x0000_t202" style="position:absolute;left:0;text-align:left;margin-left:155.2pt;margin-top:467.55pt;width:243.55pt;height:69.25pt;z-index:251666944;mso-width-relative:margin;mso-height-relative:margin" stroked="f">
            <v:textbox style="mso-next-textbox:#_x0000_s1035">
              <w:txbxContent>
                <w:p w:rsidR="00A75953" w:rsidRDefault="00A75953"/>
              </w:txbxContent>
            </v:textbox>
          </v:shape>
        </w:pict>
      </w:r>
      <w:r w:rsidR="001717CD">
        <w:rPr>
          <w:noProof/>
        </w:rPr>
        <w:drawing>
          <wp:inline distT="0" distB="0" distL="0" distR="0">
            <wp:extent cx="5477510" cy="7091045"/>
            <wp:effectExtent l="19050" t="0" r="8890" b="0"/>
            <wp:docPr id="2" name="Picture 2" descr="Figure 2.1.  Florida’s Population Distribution,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1.  Florida’s Population Distribution, 2000"/>
                    <pic:cNvPicPr>
                      <a:picLocks noChangeAspect="1" noChangeArrowheads="1"/>
                    </pic:cNvPicPr>
                  </pic:nvPicPr>
                  <pic:blipFill>
                    <a:blip r:embed="rId14"/>
                    <a:srcRect/>
                    <a:stretch>
                      <a:fillRect/>
                    </a:stretch>
                  </pic:blipFill>
                  <pic:spPr bwMode="auto">
                    <a:xfrm>
                      <a:off x="0" y="0"/>
                      <a:ext cx="5477510" cy="7091045"/>
                    </a:xfrm>
                    <a:prstGeom prst="rect">
                      <a:avLst/>
                    </a:prstGeom>
                    <a:noFill/>
                    <a:ln w="9525">
                      <a:noFill/>
                      <a:miter lim="800000"/>
                      <a:headEnd/>
                      <a:tailEnd/>
                    </a:ln>
                  </pic:spPr>
                </pic:pic>
              </a:graphicData>
            </a:graphic>
          </wp:inline>
        </w:drawing>
      </w:r>
    </w:p>
    <w:p w:rsidR="00485094" w:rsidRDefault="00485094" w:rsidP="00BF2988">
      <w:pPr>
        <w:pStyle w:val="Bodytextreduced"/>
      </w:pPr>
    </w:p>
    <w:p w:rsidR="008A1744" w:rsidRDefault="008A1744">
      <w:pPr>
        <w:rPr>
          <w:rFonts w:ascii="Arial" w:hAnsi="Arial"/>
          <w:sz w:val="16"/>
          <w:szCs w:val="20"/>
        </w:rPr>
      </w:pPr>
      <w:r>
        <w:br w:type="page"/>
      </w:r>
    </w:p>
    <w:p w:rsidR="008A1744" w:rsidRDefault="008A1744" w:rsidP="008A1744">
      <w:pPr>
        <w:pStyle w:val="Caption"/>
      </w:pPr>
      <w:bookmarkStart w:id="72" w:name="_Toc271280139"/>
      <w:r>
        <w:lastRenderedPageBreak/>
        <w:t>Figure 2.2.  Florida’s Average Annual Rainfall, 1971–2000</w:t>
      </w:r>
      <w:bookmarkEnd w:id="72"/>
    </w:p>
    <w:p w:rsidR="008A1744" w:rsidRDefault="008A1744" w:rsidP="008A1744">
      <w:pPr>
        <w:pStyle w:val="Bodytextreduced"/>
      </w:pPr>
    </w:p>
    <w:p w:rsidR="00485094" w:rsidRDefault="00A74EF3" w:rsidP="00BF2988">
      <w:pPr>
        <w:pStyle w:val="Bodytext"/>
        <w:jc w:val="center"/>
      </w:pPr>
      <w:r>
        <w:rPr>
          <w:noProof/>
        </w:rPr>
        <w:pict>
          <v:rect id="_x0000_s1071" style="position:absolute;left:0;text-align:left;margin-left:173.3pt;margin-top:488.95pt;width:243.65pt;height:46.05pt;z-index:251674112" stroked="f"/>
        </w:pict>
      </w:r>
      <w:r w:rsidR="001717CD">
        <w:rPr>
          <w:noProof/>
        </w:rPr>
        <w:drawing>
          <wp:inline distT="0" distB="0" distL="0" distR="0">
            <wp:extent cx="5477510" cy="7091045"/>
            <wp:effectExtent l="19050" t="0" r="8890" b="0"/>
            <wp:docPr id="3" name="Picture 6" descr="Figure 2.2.  Florida’s Average Annual Rainfall, 1971–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2.2.  Florida’s Average Annual Rainfall, 1971–2000"/>
                    <pic:cNvPicPr>
                      <a:picLocks noChangeAspect="1" noChangeArrowheads="1"/>
                    </pic:cNvPicPr>
                  </pic:nvPicPr>
                  <pic:blipFill>
                    <a:blip r:embed="rId15"/>
                    <a:srcRect/>
                    <a:stretch>
                      <a:fillRect/>
                    </a:stretch>
                  </pic:blipFill>
                  <pic:spPr bwMode="auto">
                    <a:xfrm>
                      <a:off x="0" y="0"/>
                      <a:ext cx="5477510" cy="7091045"/>
                    </a:xfrm>
                    <a:prstGeom prst="rect">
                      <a:avLst/>
                    </a:prstGeom>
                    <a:noFill/>
                    <a:ln w="9525">
                      <a:noFill/>
                      <a:miter lim="800000"/>
                      <a:headEnd/>
                      <a:tailEnd/>
                    </a:ln>
                  </pic:spPr>
                </pic:pic>
              </a:graphicData>
            </a:graphic>
          </wp:inline>
        </w:drawing>
      </w:r>
    </w:p>
    <w:p w:rsidR="00485094" w:rsidRDefault="00485094" w:rsidP="00173D87">
      <w:pPr>
        <w:pStyle w:val="Bodytextreduced"/>
      </w:pPr>
    </w:p>
    <w:p w:rsidR="00EB08C5" w:rsidRDefault="00485094" w:rsidP="00EB08C5">
      <w:pPr>
        <w:pStyle w:val="Bodytext"/>
        <w:rPr>
          <w:rFonts w:cs="Arial"/>
          <w:b/>
          <w:i/>
          <w:sz w:val="28"/>
          <w:szCs w:val="28"/>
        </w:rPr>
      </w:pPr>
      <w:r>
        <w:br w:type="page"/>
      </w:r>
      <w:r w:rsidR="00EB08C5">
        <w:lastRenderedPageBreak/>
        <w:t xml:space="preserve">An approximate diagonal line drawn from the mouth of the St. Johns River at the Atlantic Ocean to the boundary of Levy and </w:t>
      </w:r>
      <w:smartTag w:uri="urn:schemas-microsoft-com:office:smarttags" w:element="PlaceName">
        <w:r w:rsidR="00EB08C5">
          <w:t>Dixie</w:t>
        </w:r>
      </w:smartTag>
      <w:r w:rsidR="00EB08C5">
        <w:t xml:space="preserve"> </w:t>
      </w:r>
      <w:smartTag w:uri="urn:schemas-microsoft-com:office:smarttags" w:element="PlaceType">
        <w:r w:rsidR="00EB08C5">
          <w:t>Counties</w:t>
        </w:r>
      </w:smartTag>
      <w:r w:rsidR="00EB08C5">
        <w:t xml:space="preserve"> on the </w:t>
      </w:r>
      <w:smartTag w:uri="urn:schemas-microsoft-com:office:smarttags" w:element="place">
        <w:r w:rsidR="00EB08C5">
          <w:t>Gulf of Mexico</w:t>
        </w:r>
      </w:smartTag>
      <w:r w:rsidR="00EB08C5">
        <w:t xml:space="preserve"> depicts a climatic river basin divide.  North and northwest of the divide, streams have high discharges in spring and late winter (March and April) and low discharges in the fall and early winter (October and November).  A second low-water period occurs from May to June.  South of the climatic divide, high stream discharges occur in September and October, and low discharges occur from May to June.</w:t>
      </w:r>
    </w:p>
    <w:p w:rsidR="00485094" w:rsidRDefault="00485094" w:rsidP="00BF2988">
      <w:pPr>
        <w:pStyle w:val="Bodytextreduced"/>
      </w:pPr>
    </w:p>
    <w:p w:rsidR="00485094" w:rsidRDefault="00485094" w:rsidP="008423A9">
      <w:pPr>
        <w:pStyle w:val="Heading2"/>
      </w:pPr>
      <w:bookmarkStart w:id="73" w:name="_Toc255822488"/>
      <w:bookmarkStart w:id="74" w:name="_Toc271279932"/>
      <w:r>
        <w:t xml:space="preserve">Surface </w:t>
      </w:r>
      <w:r w:rsidRPr="00B43D14">
        <w:t xml:space="preserve">Water </w:t>
      </w:r>
      <w:r>
        <w:t xml:space="preserve">and Ground Water </w:t>
      </w:r>
      <w:r w:rsidRPr="00B43D14">
        <w:t>Resources</w:t>
      </w:r>
      <w:bookmarkEnd w:id="67"/>
      <w:bookmarkEnd w:id="68"/>
      <w:bookmarkEnd w:id="69"/>
      <w:bookmarkEnd w:id="70"/>
      <w:bookmarkEnd w:id="73"/>
      <w:bookmarkEnd w:id="74"/>
    </w:p>
    <w:p w:rsidR="00485094" w:rsidRDefault="00485094" w:rsidP="00D34410">
      <w:pPr>
        <w:pStyle w:val="Bodytext"/>
      </w:pPr>
      <w:smartTag w:uri="urn:schemas-microsoft-com:office:smarttags" w:element="State">
        <w:smartTag w:uri="urn:schemas-microsoft-com:office:smarttags" w:element="place">
          <w:r>
            <w:t>Florida</w:t>
          </w:r>
        </w:smartTag>
      </w:smartTag>
      <w:r>
        <w:t xml:space="preserve"> has 78,170</w:t>
      </w:r>
      <w:r w:rsidRPr="001C582C">
        <w:t xml:space="preserve"> miles</w:t>
      </w:r>
      <w:r>
        <w:t xml:space="preserve"> of streams and rivers and 49,540 miles of ditches and canals.  It has more than 7,700 lakes greater than 10 acres in size, with a total surface area of 1,618,368 acres.  The state also has 4,460 square miles of estuaries and a coastline ranking second in length only to </w:t>
      </w:r>
      <w:smartTag w:uri="urn:schemas-microsoft-com:office:smarttags" w:element="State">
        <w:smartTag w:uri="urn:schemas-microsoft-com:office:smarttags" w:element="place">
          <w:r>
            <w:t>Alaska</w:t>
          </w:r>
        </w:smartTag>
      </w:smartTag>
      <w:r>
        <w:t xml:space="preserve">.  A line running from the northeast corner of the state to </w:t>
      </w:r>
      <w:smartTag w:uri="urn:schemas-microsoft-com:office:smarttags" w:element="City">
        <w:r>
          <w:t>Key West</w:t>
        </w:r>
      </w:smartTag>
      <w:r>
        <w:t xml:space="preserve"> and back up to the northwest corner along the </w:t>
      </w:r>
      <w:smartTag w:uri="urn:schemas-microsoft-com:office:smarttags" w:element="PlaceType">
        <w:smartTag w:uri="urn:schemas-microsoft-com:office:smarttags" w:element="place">
          <w:r>
            <w:t>Gulf</w:t>
          </w:r>
        </w:smartTag>
        <w:r>
          <w:t xml:space="preserve"> </w:t>
        </w:r>
        <w:smartTag w:uri="urn:schemas-microsoft-com:office:smarttags" w:element="PlaceType">
          <w:r>
            <w:t>Coast</w:t>
          </w:r>
        </w:smartTag>
      </w:smartTag>
      <w:r>
        <w:t xml:space="preserve"> would extend 1,300 miles.  If the distance around barrier islands and estuaries were included, the line would stretch 9,888 miles.</w:t>
      </w:r>
    </w:p>
    <w:p w:rsidR="00485094" w:rsidRDefault="00485094" w:rsidP="00B43D14">
      <w:pPr>
        <w:pStyle w:val="Bodytext"/>
      </w:pPr>
    </w:p>
    <w:p w:rsidR="00485094" w:rsidRDefault="00485094" w:rsidP="008423A9">
      <w:pPr>
        <w:pStyle w:val="Heading3"/>
      </w:pPr>
      <w:bookmarkStart w:id="75" w:name="_Toc255822489"/>
      <w:bookmarkStart w:id="76" w:name="_Toc271279933"/>
      <w:r w:rsidRPr="00DC48A1">
        <w:t>Streams and Rivers</w:t>
      </w:r>
      <w:bookmarkEnd w:id="75"/>
      <w:bookmarkEnd w:id="76"/>
    </w:p>
    <w:p w:rsidR="00485094" w:rsidRDefault="00485094" w:rsidP="00D34410">
      <w:pPr>
        <w:pStyle w:val="Bodytext"/>
      </w:pPr>
      <w:r>
        <w:t xml:space="preserve">The state has more than 1,700 streams and rivers.  Differences in climate, hydrogeology, and location all affect their water quality.  The longest river entirely in the state is the </w:t>
      </w:r>
      <w:smartTag w:uri="urn:schemas-microsoft-com:office:smarttags" w:element="City">
        <w:r>
          <w:t>St. Johns</w:t>
        </w:r>
      </w:smartTag>
      <w:r>
        <w:t xml:space="preserve">, which flows north as a recognizable stream about 273 miles from the St. Johns Marsh in northern St. Lucie County, to its mouth at Jacksonville.  The river drains a land area equal to about one-sixth of </w:t>
      </w:r>
      <w:smartTag w:uri="urn:schemas-microsoft-com:office:smarttags" w:element="State">
        <w:smartTag w:uri="urn:schemas-microsoft-com:office:smarttags" w:element="place">
          <w:r>
            <w:t>Florida</w:t>
          </w:r>
        </w:smartTag>
      </w:smartTag>
      <w:r>
        <w:t xml:space="preserve">'s surface.  The </w:t>
      </w:r>
      <w:smartTag w:uri="urn:schemas-microsoft-com:office:smarttags" w:element="PlaceName">
        <w:smartTag w:uri="urn:schemas-microsoft-com:office:smarttags" w:element="place">
          <w:r>
            <w:t>Apalachicola</w:t>
          </w:r>
        </w:smartTag>
        <w:r>
          <w:t xml:space="preserve"> </w:t>
        </w:r>
        <w:smartTag w:uri="urn:schemas-microsoft-com:office:smarttags" w:element="PlaceType">
          <w:r>
            <w:t>River</w:t>
          </w:r>
        </w:smartTag>
      </w:smartTag>
      <w:r>
        <w:t>, in the Florida Panhandle, has the largest discharge flow, averaging almost 25,000 cubic feet per second.  Its basin, draining over 19,000 square miles, extends to north Georgia’s southern Appalachian Mountains.  In the Panhandle, spring discharges give rise to rivers, where the ground water base flow comprises 80% of the rivers’ flow.</w:t>
      </w:r>
    </w:p>
    <w:p w:rsidR="00485094" w:rsidRDefault="00485094" w:rsidP="00D34410">
      <w:pPr>
        <w:rPr>
          <w:snapToGrid w:val="0"/>
        </w:rPr>
      </w:pPr>
    </w:p>
    <w:p w:rsidR="00485094" w:rsidRDefault="00485094" w:rsidP="00D34410">
      <w:pPr>
        <w:pStyle w:val="Bodytext"/>
        <w:rPr>
          <w:snapToGrid w:val="0"/>
        </w:rPr>
      </w:pPr>
      <w:r>
        <w:rPr>
          <w:snapToGrid w:val="0"/>
        </w:rPr>
        <w:t xml:space="preserve">The state has several types of natural river systems, including blackwater streams, spring runs, </w:t>
      </w:r>
      <w:r w:rsidR="00B97320">
        <w:rPr>
          <w:snapToGrid w:val="0"/>
        </w:rPr>
        <w:t xml:space="preserve">and </w:t>
      </w:r>
      <w:r w:rsidRPr="009A74E6">
        <w:rPr>
          <w:snapToGrid w:val="0"/>
        </w:rPr>
        <w:t>estuarine or tidal streams</w:t>
      </w:r>
      <w:r w:rsidR="00B97320">
        <w:rPr>
          <w:snapToGrid w:val="0"/>
        </w:rPr>
        <w:t>,</w:t>
      </w:r>
      <w:r w:rsidRPr="009A74E6">
        <w:rPr>
          <w:snapToGrid w:val="0"/>
        </w:rPr>
        <w:t xml:space="preserve"> and these systems can be perennial or intermittent.</w:t>
      </w:r>
      <w:r>
        <w:rPr>
          <w:snapToGrid w:val="0"/>
        </w:rPr>
        <w:t xml:space="preserve">  Most of Florida’s rivers exhibit characteristics of more than one type of river system, either at different places along their length or at different times of the year.  The links between surface water and ground water can also affect natural systems.  For example, the Suwannee River, which originates in the Okefenokee Swamp as a blackwater stream, becomes spring fed south of Ellaville.  During periods of high flow, it carries sand and sediments, behaving like a true alluvial stream (sediment carrying).  During low flow, however, the river’s base flow comes from multiple springs, including several </w:t>
      </w:r>
      <w:r w:rsidR="00B97320">
        <w:rPr>
          <w:snapToGrid w:val="0"/>
        </w:rPr>
        <w:t>first-</w:t>
      </w:r>
      <w:r>
        <w:rPr>
          <w:snapToGrid w:val="0"/>
        </w:rPr>
        <w:t>magnitude springs.  These variations in flow affect the downstream stretches of the river and the receiving estuary.  Ground water in the region has elevated nitrate concentrations that can affect animals and plants downstream (</w:t>
      </w:r>
      <w:hyperlink r:id="rId16" w:history="1">
        <w:r w:rsidRPr="004060D0">
          <w:rPr>
            <w:rStyle w:val="Hyperlink"/>
            <w:snapToGrid w:val="0"/>
          </w:rPr>
          <w:t>Suwannee River Water Management District website</w:t>
        </w:r>
      </w:hyperlink>
      <w:r>
        <w:rPr>
          <w:snapToGrid w:val="0"/>
        </w:rPr>
        <w:t>, 2010).</w:t>
      </w:r>
    </w:p>
    <w:p w:rsidR="00485094" w:rsidRDefault="00485094" w:rsidP="00D34410">
      <w:pPr>
        <w:pStyle w:val="Bodytext"/>
        <w:rPr>
          <w:snapToGrid w:val="0"/>
        </w:rPr>
      </w:pPr>
    </w:p>
    <w:p w:rsidR="00485094" w:rsidRDefault="00485094" w:rsidP="00D34410">
      <w:pPr>
        <w:pStyle w:val="Bodytext"/>
        <w:rPr>
          <w:snapToGrid w:val="0"/>
        </w:rPr>
      </w:pPr>
      <w:r>
        <w:rPr>
          <w:snapToGrid w:val="0"/>
        </w:rPr>
        <w:t xml:space="preserve">In north and northwest </w:t>
      </w:r>
      <w:smartTag w:uri="urn:schemas-microsoft-com:office:smarttags" w:element="State">
        <w:smartTag w:uri="urn:schemas-microsoft-com:office:smarttags" w:element="place">
          <w:r>
            <w:rPr>
              <w:snapToGrid w:val="0"/>
            </w:rPr>
            <w:t>Florida</w:t>
          </w:r>
        </w:smartTag>
      </w:smartTag>
      <w:r>
        <w:rPr>
          <w:snapToGrid w:val="0"/>
        </w:rPr>
        <w:t xml:space="preserve">, many rivers are alluvial.  The Choctawhatchee, Apalachicola, and Escambia </w:t>
      </w:r>
      <w:r w:rsidR="00B97320">
        <w:rPr>
          <w:snapToGrid w:val="0"/>
        </w:rPr>
        <w:t xml:space="preserve">Rivers </w:t>
      </w:r>
      <w:r>
        <w:rPr>
          <w:snapToGrid w:val="0"/>
        </w:rPr>
        <w:t>best represent this type of river.  Common features include a well-developed floodplain, levees, terraces, oxbows, and remnant channels (sloughs) that parallel the active riverbed.  Typically, because flows fluctuate more than with other types of rivers, habitats are more diverse.</w:t>
      </w:r>
    </w:p>
    <w:p w:rsidR="00485094" w:rsidRDefault="00485094" w:rsidP="00D34410">
      <w:pPr>
        <w:pStyle w:val="Bodytext"/>
        <w:rPr>
          <w:snapToGrid w:val="0"/>
        </w:rPr>
      </w:pPr>
    </w:p>
    <w:p w:rsidR="00485094" w:rsidRDefault="00485094" w:rsidP="00D34410">
      <w:pPr>
        <w:pStyle w:val="Bodytext"/>
        <w:rPr>
          <w:snapToGrid w:val="0"/>
        </w:rPr>
      </w:pPr>
      <w:r>
        <w:rPr>
          <w:snapToGrid w:val="0"/>
        </w:rPr>
        <w:t xml:space="preserve">There are many blackwater streams and rivers in </w:t>
      </w:r>
      <w:smartTag w:uri="urn:schemas-microsoft-com:office:smarttags" w:element="State">
        <w:smartTag w:uri="urn:schemas-microsoft-com:office:smarttags" w:element="place">
          <w:r>
            <w:rPr>
              <w:snapToGrid w:val="0"/>
            </w:rPr>
            <w:t>Florida</w:t>
          </w:r>
        </w:smartTag>
      </w:smartTag>
      <w:r>
        <w:rPr>
          <w:snapToGrid w:val="0"/>
        </w:rPr>
        <w:t xml:space="preserve">.  Blackwater rivers usually have acidic, highly colored, slowly moving waters containing few sediments.  These systems typically drain </w:t>
      </w:r>
      <w:r>
        <w:rPr>
          <w:snapToGrid w:val="0"/>
        </w:rPr>
        <w:lastRenderedPageBreak/>
        <w:t>acidic flatwoods or swamps.  The upper Suwannee River and north New River are examples of this type of river system.</w:t>
      </w:r>
    </w:p>
    <w:p w:rsidR="00485094" w:rsidRDefault="00485094" w:rsidP="004454B8">
      <w:pPr>
        <w:pStyle w:val="Bodytext"/>
        <w:rPr>
          <w:snapToGrid w:val="0"/>
        </w:rPr>
      </w:pPr>
    </w:p>
    <w:p w:rsidR="00485094" w:rsidRDefault="00485094" w:rsidP="00D34410">
      <w:pPr>
        <w:pStyle w:val="Bodytext"/>
        <w:rPr>
          <w:snapToGrid w:val="0"/>
        </w:rPr>
      </w:pPr>
      <w:r>
        <w:rPr>
          <w:snapToGrid w:val="0"/>
        </w:rPr>
        <w:t xml:space="preserve">Many major river systems that originate as springs are found in central and north </w:t>
      </w:r>
      <w:smartTag w:uri="urn:schemas-microsoft-com:office:smarttags" w:element="State">
        <w:r>
          <w:rPr>
            <w:snapToGrid w:val="0"/>
          </w:rPr>
          <w:t>Florida</w:t>
        </w:r>
      </w:smartTag>
      <w:r>
        <w:rPr>
          <w:snapToGrid w:val="0"/>
        </w:rPr>
        <w:t xml:space="preserve">, the Big Bend area of the </w:t>
      </w:r>
      <w:smartTag w:uri="urn:schemas-microsoft-com:office:smarttags" w:element="PlaceType">
        <w:smartTag w:uri="urn:schemas-microsoft-com:office:smarttags" w:element="place">
          <w:r>
            <w:rPr>
              <w:snapToGrid w:val="0"/>
            </w:rPr>
            <w:t>Gulf</w:t>
          </w:r>
        </w:smartTag>
        <w:r>
          <w:rPr>
            <w:snapToGrid w:val="0"/>
          </w:rPr>
          <w:t xml:space="preserve"> </w:t>
        </w:r>
        <w:smartTag w:uri="urn:schemas-microsoft-com:office:smarttags" w:element="PlaceType">
          <w:r>
            <w:rPr>
              <w:snapToGrid w:val="0"/>
            </w:rPr>
            <w:t>Coast</w:t>
          </w:r>
        </w:smartTag>
      </w:smartTag>
      <w:r>
        <w:rPr>
          <w:snapToGrid w:val="0"/>
        </w:rPr>
        <w:t>, and the southern portion of the Tallahassee Hills.  Chemically, these rivers are clear, alkaline, and well buffered.  They have little temperature variation, relatively constant flows, and little sediment.  Their clear water encourages the growth of submerged plants that provide habitat for diverse animal species.  Many spring-fed rivers flow directly into estuaries, and the constant temperatures offer protection from temperature extremes to a number of species, including estuarine fish such as spotted seatrout and red drum, as well as marine mammals, such as manatees.</w:t>
      </w:r>
    </w:p>
    <w:p w:rsidR="00485094" w:rsidRDefault="00485094" w:rsidP="00D34410">
      <w:pPr>
        <w:pStyle w:val="Bodytext"/>
      </w:pPr>
    </w:p>
    <w:p w:rsidR="00485094" w:rsidRDefault="00485094" w:rsidP="00D34410">
      <w:pPr>
        <w:pStyle w:val="Bodytext"/>
        <w:rPr>
          <w:snapToGrid w:val="0"/>
        </w:rPr>
      </w:pPr>
      <w:r>
        <w:rPr>
          <w:snapToGrid w:val="0"/>
        </w:rPr>
        <w:t xml:space="preserve">Major dams have been built on the Apalachicola, Ocklawaha, Ochlockonee, Hillsborough, and Withlacoochee (Citrus County) Rivers.  The most extreme alterations were damming the Ocklawaha to create the Cross-Florida Barge Canal and channelizing the Kissimmee River.  The hydrology of the southern third of Florida's peninsula has been </w:t>
      </w:r>
      <w:r w:rsidR="00B97320">
        <w:rPr>
          <w:snapToGrid w:val="0"/>
        </w:rPr>
        <w:t xml:space="preserve">significantly </w:t>
      </w:r>
      <w:r>
        <w:rPr>
          <w:snapToGrid w:val="0"/>
        </w:rPr>
        <w:t xml:space="preserve">altered, and few naturally flowing streams and rivers remain.  Most fresh waterbodies in </w:t>
      </w:r>
      <w:r w:rsidR="00B97320">
        <w:rPr>
          <w:snapToGrid w:val="0"/>
        </w:rPr>
        <w:t xml:space="preserve">south </w:t>
      </w:r>
      <w:r>
        <w:rPr>
          <w:snapToGrid w:val="0"/>
        </w:rPr>
        <w:t>Florida are canals.</w:t>
      </w:r>
    </w:p>
    <w:p w:rsidR="00485094" w:rsidRDefault="00485094" w:rsidP="00D34410">
      <w:pPr>
        <w:pStyle w:val="Bodytext"/>
        <w:rPr>
          <w:snapToGrid w:val="0"/>
        </w:rPr>
      </w:pPr>
    </w:p>
    <w:p w:rsidR="00485094" w:rsidRDefault="00B97320" w:rsidP="00D34410">
      <w:pPr>
        <w:pStyle w:val="Bodytext"/>
        <w:rPr>
          <w:snapToGrid w:val="0"/>
        </w:rPr>
      </w:pPr>
      <w:r>
        <w:rPr>
          <w:snapToGrid w:val="0"/>
        </w:rPr>
        <w:t>S</w:t>
      </w:r>
      <w:r w:rsidR="00485094" w:rsidRPr="00595B30">
        <w:rPr>
          <w:snapToGrid w:val="0"/>
        </w:rPr>
        <w:t>everal efforts</w:t>
      </w:r>
      <w:r>
        <w:rPr>
          <w:snapToGrid w:val="0"/>
        </w:rPr>
        <w:t xml:space="preserve"> are under way</w:t>
      </w:r>
      <w:r w:rsidR="00485094" w:rsidRPr="00595B30">
        <w:rPr>
          <w:snapToGrid w:val="0"/>
        </w:rPr>
        <w:t xml:space="preserve"> to restore some of the alterations, thus restoring natural flows and function to waterbodies.  Significant work on the Kissimmee River since the 1990s has successfully restored flow in portions of the historic</w:t>
      </w:r>
      <w:r>
        <w:rPr>
          <w:snapToGrid w:val="0"/>
        </w:rPr>
        <w:t>al</w:t>
      </w:r>
      <w:r w:rsidR="00485094" w:rsidRPr="00595B30">
        <w:rPr>
          <w:snapToGrid w:val="0"/>
        </w:rPr>
        <w:t xml:space="preserve"> river channel, leading to improved habitat, fisheries, and water quality.  </w:t>
      </w:r>
      <w:r w:rsidR="00485094">
        <w:rPr>
          <w:snapToGrid w:val="0"/>
        </w:rPr>
        <w:t xml:space="preserve">Additional information on the Kissimmee restoration is available on the </w:t>
      </w:r>
      <w:hyperlink r:id="rId17" w:history="1">
        <w:r w:rsidR="00485094" w:rsidRPr="00173D87">
          <w:rPr>
            <w:rStyle w:val="Hyperlink"/>
            <w:snapToGrid w:val="0"/>
          </w:rPr>
          <w:t>South Florida Water Management District Kissimmee River website</w:t>
        </w:r>
      </w:hyperlink>
      <w:r w:rsidR="00485094">
        <w:rPr>
          <w:snapToGrid w:val="0"/>
        </w:rPr>
        <w:t>.</w:t>
      </w:r>
    </w:p>
    <w:p w:rsidR="00485094" w:rsidRDefault="00485094" w:rsidP="00D34410">
      <w:pPr>
        <w:pStyle w:val="Bodytext"/>
        <w:rPr>
          <w:snapToGrid w:val="0"/>
          <w:highlight w:val="yellow"/>
        </w:rPr>
      </w:pPr>
    </w:p>
    <w:p w:rsidR="00485094" w:rsidRPr="008423A9" w:rsidRDefault="00485094" w:rsidP="008423A9">
      <w:pPr>
        <w:pStyle w:val="Heading3"/>
      </w:pPr>
      <w:bookmarkStart w:id="77" w:name="_Toc255822490"/>
      <w:bookmarkStart w:id="78" w:name="_Toc271279934"/>
      <w:r w:rsidRPr="00555500">
        <w:t>Lakes</w:t>
      </w:r>
      <w:bookmarkEnd w:id="77"/>
      <w:bookmarkEnd w:id="78"/>
    </w:p>
    <w:p w:rsidR="00485094" w:rsidRDefault="00485094" w:rsidP="00D34410">
      <w:pPr>
        <w:pStyle w:val="Bodytext"/>
      </w:pPr>
      <w:smartTag w:uri="urn:schemas-microsoft-com:office:smarttags" w:element="State">
        <w:smartTag w:uri="urn:schemas-microsoft-com:office:smarttags" w:element="place">
          <w:r w:rsidRPr="008423A9">
            <w:t>Florida</w:t>
          </w:r>
        </w:smartTag>
      </w:smartTag>
      <w:r w:rsidRPr="008423A9">
        <w:t>'s lakes provide important</w:t>
      </w:r>
      <w:r>
        <w:t xml:space="preserve"> </w:t>
      </w:r>
      <w:r w:rsidRPr="008423A9">
        <w:t xml:space="preserve">habitats for </w:t>
      </w:r>
      <w:r>
        <w:t>plant and animal species</w:t>
      </w:r>
      <w:r w:rsidRPr="008423A9">
        <w:t xml:space="preserve"> and </w:t>
      </w:r>
      <w:r>
        <w:t>are</w:t>
      </w:r>
      <w:r w:rsidRPr="008423A9">
        <w:t xml:space="preserve"> a valuable </w:t>
      </w:r>
      <w:r>
        <w:t xml:space="preserve">recreational </w:t>
      </w:r>
      <w:r w:rsidRPr="008423A9">
        <w:t xml:space="preserve">resource. </w:t>
      </w:r>
      <w:r>
        <w:t xml:space="preserve"> The state has m</w:t>
      </w:r>
      <w:r w:rsidRPr="008423A9">
        <w:t>ore than 7,700 lakes</w:t>
      </w:r>
      <w:r>
        <w:t xml:space="preserve">, which </w:t>
      </w:r>
      <w:r w:rsidRPr="008423A9">
        <w:t xml:space="preserve">occupy close to 6% of </w:t>
      </w:r>
      <w:r>
        <w:t>its</w:t>
      </w:r>
      <w:r w:rsidRPr="008423A9">
        <w:t xml:space="preserve"> surface</w:t>
      </w:r>
      <w:r>
        <w:t xml:space="preserve"> area</w:t>
      </w:r>
      <w:r w:rsidRPr="008423A9">
        <w:t xml:space="preserve">.  The largest, Lake Okeechobee (covering </w:t>
      </w:r>
      <w:r w:rsidRPr="008423A9">
        <w:rPr>
          <w:snapToGrid w:val="0"/>
        </w:rPr>
        <w:t>435,840 acres)</w:t>
      </w:r>
      <w:r w:rsidRPr="008423A9">
        <w:t>, is the ninth largest lake in surface area in the United States and the second largest freshwater lake wholly within the conterminous United States</w:t>
      </w:r>
      <w:r>
        <w:t xml:space="preserve"> (Fernald and Purdum, 1998).  </w:t>
      </w:r>
      <w:r w:rsidRPr="008423A9">
        <w:t>Most of the state’s lakes are shallow, averaging 7 to 20 feet deep, although many sinkhole lakes and parts of other lakes can be much deeper.</w:t>
      </w:r>
    </w:p>
    <w:p w:rsidR="00485094" w:rsidRDefault="00485094" w:rsidP="00D34410">
      <w:pPr>
        <w:pStyle w:val="Bodytext"/>
      </w:pPr>
    </w:p>
    <w:p w:rsidR="00B97320" w:rsidRDefault="00485094" w:rsidP="0036702D">
      <w:pPr>
        <w:pStyle w:val="Bodytext"/>
      </w:pPr>
      <w:r>
        <w:t xml:space="preserve">Florida’s lakes are physically, chemically, and biologically diverse.  Many lakes are spring-fed; others are seepage lakes fed by ground water, and still others are depression lakes fed by surface water sources.  Florida lakes </w:t>
      </w:r>
      <w:r w:rsidR="00B97320">
        <w:t>are</w:t>
      </w:r>
      <w:r>
        <w:t xml:space="preserve"> classified according to water pH, water color, and the ecoregion of the lake basin.  FDEP identified 47 different lake regions as part of its Lake Bioassessment/Regionalization Initiative.  </w:t>
      </w:r>
    </w:p>
    <w:p w:rsidR="00B97320" w:rsidRDefault="00B97320" w:rsidP="0036702D">
      <w:pPr>
        <w:pStyle w:val="Bodytext"/>
      </w:pPr>
    </w:p>
    <w:p w:rsidR="00485094" w:rsidRDefault="00485094" w:rsidP="0036702D">
      <w:pPr>
        <w:pStyle w:val="Bodytext"/>
      </w:pPr>
      <w:r>
        <w:t>Within each lake region, the lakes have similar geology, soils, chemistry, hydrology, and biology, and lakes in one region may differ significantly from those in another region.  For example, most lakes in the New Hope Ridge/Greenhead Slope lake region in northwestern Florida (in Washington, Bay, Calhoun, and Jackson Counties) tend to have lower total nitrogen</w:t>
      </w:r>
      <w:r w:rsidR="008C37FA">
        <w:t xml:space="preserve"> (TN)</w:t>
      </w:r>
      <w:r>
        <w:t>, lower total phosphorus</w:t>
      </w:r>
      <w:r w:rsidR="008C37FA">
        <w:t xml:space="preserve"> (TP)</w:t>
      </w:r>
      <w:r>
        <w:t xml:space="preserve">, lower chlorophyll concentrations, and higher clarity compared with other Florida lakes.  In comparison, lakes in the Lakeland/Bone Valley Upland lake region in central Florida (in Polk and Hillsborough Counties) tend to have higher </w:t>
      </w:r>
      <w:r w:rsidR="008C37FA">
        <w:t>TN</w:t>
      </w:r>
      <w:r>
        <w:t xml:space="preserve">, higher </w:t>
      </w:r>
      <w:r w:rsidR="008C37FA">
        <w:t>TP</w:t>
      </w:r>
      <w:r>
        <w:t>, higher chlorophyll concentrations, and lower clarity.</w:t>
      </w:r>
      <w:r w:rsidRPr="006A756B">
        <w:t xml:space="preserve"> </w:t>
      </w:r>
      <w:r>
        <w:t xml:space="preserve"> </w:t>
      </w:r>
      <w:r w:rsidRPr="00364D48">
        <w:t xml:space="preserve">Additional information on Florida lake regions and the ecology of Florida’s lakes is available from the </w:t>
      </w:r>
      <w:hyperlink r:id="rId18" w:history="1">
        <w:r w:rsidRPr="00577E5C">
          <w:rPr>
            <w:rStyle w:val="Hyperlink"/>
            <w:szCs w:val="22"/>
          </w:rPr>
          <w:t>LakeWatch website</w:t>
        </w:r>
      </w:hyperlink>
      <w:r>
        <w:rPr>
          <w:szCs w:val="22"/>
        </w:rPr>
        <w:t xml:space="preserve"> </w:t>
      </w:r>
      <w:r w:rsidRPr="00364D48">
        <w:t xml:space="preserve">and the </w:t>
      </w:r>
      <w:hyperlink r:id="rId19" w:history="1">
        <w:r w:rsidRPr="00B508DB">
          <w:rPr>
            <w:rStyle w:val="Hyperlink"/>
          </w:rPr>
          <w:t>EPA Ecoregions of Florida website</w:t>
        </w:r>
      </w:hyperlink>
      <w:r w:rsidRPr="00364D48">
        <w:t>.</w:t>
      </w:r>
      <w:r>
        <w:t xml:space="preserve">  </w:t>
      </w:r>
    </w:p>
    <w:p w:rsidR="00485094" w:rsidRPr="00084130" w:rsidRDefault="00485094" w:rsidP="00084130">
      <w:pPr>
        <w:pStyle w:val="Bodytextreduced"/>
        <w:rPr>
          <w:snapToGrid w:val="0"/>
          <w:sz w:val="22"/>
          <w:szCs w:val="22"/>
        </w:rPr>
      </w:pPr>
      <w:bookmarkStart w:id="79" w:name="_Toc255822491"/>
    </w:p>
    <w:p w:rsidR="00485094" w:rsidRDefault="00485094" w:rsidP="008423A9">
      <w:pPr>
        <w:pStyle w:val="Heading3"/>
        <w:rPr>
          <w:snapToGrid w:val="0"/>
        </w:rPr>
      </w:pPr>
      <w:bookmarkStart w:id="80" w:name="_Toc271279935"/>
      <w:r w:rsidRPr="00DC48A1">
        <w:rPr>
          <w:snapToGrid w:val="0"/>
        </w:rPr>
        <w:lastRenderedPageBreak/>
        <w:t>Estuarie</w:t>
      </w:r>
      <w:r>
        <w:rPr>
          <w:snapToGrid w:val="0"/>
        </w:rPr>
        <w:t>s and Coastal Water</w:t>
      </w:r>
      <w:r w:rsidRPr="00DC48A1">
        <w:rPr>
          <w:snapToGrid w:val="0"/>
        </w:rPr>
        <w:t>s</w:t>
      </w:r>
      <w:bookmarkEnd w:id="79"/>
      <w:bookmarkEnd w:id="80"/>
    </w:p>
    <w:p w:rsidR="00485094" w:rsidRDefault="00485094" w:rsidP="00D34410">
      <w:pPr>
        <w:pStyle w:val="Bodytext"/>
        <w:rPr>
          <w:snapToGrid w:val="0"/>
        </w:rPr>
      </w:pPr>
      <w:r>
        <w:rPr>
          <w:snapToGrid w:val="0"/>
        </w:rPr>
        <w:t xml:space="preserve">With nearly 10,000 coastal miles, </w:t>
      </w:r>
      <w:smartTag w:uri="urn:schemas-microsoft-com:office:smarttags" w:element="State">
        <w:r>
          <w:rPr>
            <w:snapToGrid w:val="0"/>
          </w:rPr>
          <w:t>Florida</w:t>
        </w:r>
      </w:smartTag>
      <w:r>
        <w:rPr>
          <w:snapToGrid w:val="0"/>
        </w:rPr>
        <w:t xml:space="preserve"> is second only to </w:t>
      </w:r>
      <w:smartTag w:uri="urn:schemas-microsoft-com:office:smarttags" w:element="State">
        <w:smartTag w:uri="urn:schemas-microsoft-com:office:smarttags" w:element="place">
          <w:r>
            <w:rPr>
              <w:snapToGrid w:val="0"/>
            </w:rPr>
            <w:t>Alaska</w:t>
          </w:r>
        </w:smartTag>
      </w:smartTag>
      <w:r>
        <w:rPr>
          <w:snapToGrid w:val="0"/>
        </w:rPr>
        <w:t xml:space="preserve"> in amount of coastline.  The state’s west coast alone contains almost 22% of the </w:t>
      </w:r>
      <w:smartTag w:uri="urn:schemas-microsoft-com:office:smarttags" w:element="PlaceType">
        <w:r>
          <w:rPr>
            <w:snapToGrid w:val="0"/>
          </w:rPr>
          <w:t>Gulf</w:t>
        </w:r>
      </w:smartTag>
      <w:r>
        <w:rPr>
          <w:snapToGrid w:val="0"/>
        </w:rPr>
        <w:t xml:space="preserve"> </w:t>
      </w:r>
      <w:smartTag w:uri="urn:schemas-microsoft-com:office:smarttags" w:element="PlaceType">
        <w:r>
          <w:rPr>
            <w:snapToGrid w:val="0"/>
          </w:rPr>
          <w:t>Coast</w:t>
        </w:r>
      </w:smartTag>
      <w:r>
        <w:rPr>
          <w:snapToGrid w:val="0"/>
        </w:rPr>
        <w:t xml:space="preserve"> estuarine acreage in the </w:t>
      </w:r>
      <w:smartTag w:uri="urn:schemas-microsoft-com:office:smarttags" w:element="country-region">
        <w:smartTag w:uri="urn:schemas-microsoft-com:office:smarttags" w:element="place">
          <w:r>
            <w:rPr>
              <w:snapToGrid w:val="0"/>
            </w:rPr>
            <w:t>United States</w:t>
          </w:r>
        </w:smartTag>
      </w:smartTag>
      <w:r>
        <w:rPr>
          <w:snapToGrid w:val="0"/>
        </w:rPr>
        <w:t xml:space="preserve">.  </w:t>
      </w:r>
      <w:smartTag w:uri="urn:schemas-microsoft-com:office:smarttags" w:element="State">
        <w:smartTag w:uri="urn:schemas-microsoft-com:office:smarttags" w:element="place">
          <w:r>
            <w:rPr>
              <w:snapToGrid w:val="0"/>
            </w:rPr>
            <w:t>Florida</w:t>
          </w:r>
        </w:smartTag>
      </w:smartTag>
      <w:r>
        <w:rPr>
          <w:snapToGrid w:val="0"/>
        </w:rPr>
        <w:t xml:space="preserve">'s estuaries are some of the nation's most diverse and productive.  They include embayments, low- and high-energy tidal salt marshes, lagoons or sounds behind barrier islands, mangrove swamps, coral reefs, oyster bars, and tidal segments of large river mouths.  Florida has more Estuaries of National Significance (Tampa Bay, Sarasota Bay, Charlotte Harbor, and Indian River Lagoon), designated by EPA, than any other state in the nation.  </w:t>
      </w:r>
    </w:p>
    <w:p w:rsidR="00485094" w:rsidRDefault="00485094" w:rsidP="00D34410">
      <w:pPr>
        <w:pStyle w:val="Bodytext"/>
        <w:rPr>
          <w:snapToGrid w:val="0"/>
        </w:rPr>
      </w:pPr>
    </w:p>
    <w:p w:rsidR="00485094" w:rsidRDefault="00485094" w:rsidP="00D34410">
      <w:pPr>
        <w:pStyle w:val="Bodytext"/>
        <w:rPr>
          <w:snapToGrid w:val="0"/>
        </w:rPr>
      </w:pPr>
      <w:r>
        <w:rPr>
          <w:snapToGrid w:val="0"/>
        </w:rPr>
        <w:t xml:space="preserve">The Atlantic coast of </w:t>
      </w:r>
      <w:smartTag w:uri="urn:schemas-microsoft-com:office:smarttags" w:element="State">
        <w:r>
          <w:rPr>
            <w:snapToGrid w:val="0"/>
          </w:rPr>
          <w:t>Florida</w:t>
        </w:r>
      </w:smartTag>
      <w:r>
        <w:rPr>
          <w:snapToGrid w:val="0"/>
        </w:rPr>
        <w:t xml:space="preserve"> from the mouth of the St. Marys River to </w:t>
      </w:r>
      <w:smartTag w:uri="urn:schemas-microsoft-com:office:smarttags" w:element="place">
        <w:r>
          <w:rPr>
            <w:snapToGrid w:val="0"/>
          </w:rPr>
          <w:t>Biscayne Bay</w:t>
        </w:r>
      </w:smartTag>
      <w:r>
        <w:rPr>
          <w:snapToGrid w:val="0"/>
        </w:rPr>
        <w:t xml:space="preserve"> is a high-energy shoreline bordered by long stretches of barrier islands, behind which lie highly saline lagoons.  This 350-mile stretch of coast contains only 18 river mouths and inlets.  Biscayne Bay spans the transition from high- to low-energy shorelines.</w:t>
      </w:r>
    </w:p>
    <w:p w:rsidR="00485094" w:rsidRDefault="00485094" w:rsidP="00D34410">
      <w:pPr>
        <w:pStyle w:val="Bodytext"/>
        <w:rPr>
          <w:snapToGrid w:val="0"/>
        </w:rPr>
      </w:pPr>
    </w:p>
    <w:p w:rsidR="00485094" w:rsidRDefault="00485094" w:rsidP="00D34410">
      <w:pPr>
        <w:pStyle w:val="Bodytext"/>
        <w:rPr>
          <w:snapToGrid w:val="0"/>
        </w:rPr>
      </w:pPr>
      <w:r>
        <w:rPr>
          <w:snapToGrid w:val="0"/>
        </w:rPr>
        <w:t xml:space="preserve">At the southern end of the state lie </w:t>
      </w:r>
      <w:smartTag w:uri="urn:schemas-microsoft-com:office:smarttags" w:element="PlaceName">
        <w:smartTag w:uri="urn:schemas-microsoft-com:office:smarttags" w:element="place">
          <w:r>
            <w:rPr>
              <w:snapToGrid w:val="0"/>
            </w:rPr>
            <w:t>Florida</w:t>
          </w:r>
        </w:smartTag>
        <w:r>
          <w:rPr>
            <w:snapToGrid w:val="0"/>
          </w:rPr>
          <w:t xml:space="preserve"> </w:t>
        </w:r>
        <w:smartTag w:uri="urn:schemas-microsoft-com:office:smarttags" w:element="PlaceType">
          <w:r>
            <w:rPr>
              <w:snapToGrid w:val="0"/>
            </w:rPr>
            <w:t>Bay</w:t>
          </w:r>
        </w:smartTag>
      </w:smartTag>
      <w:r>
        <w:rPr>
          <w:snapToGrid w:val="0"/>
        </w:rPr>
        <w:t xml:space="preserve"> and the Ten Thousand Islands, both of which are dominated by mangrove islands fronting expansive freshwater marshes on the mainland.  Many tidal creeks and natural passes connect the islands and marshes.  Historically, the area’s fresh water came mainly from sheet flow across the </w:t>
      </w:r>
      <w:smartTag w:uri="urn:schemas-microsoft-com:office:smarttags" w:element="place">
        <w:r>
          <w:rPr>
            <w:snapToGrid w:val="0"/>
          </w:rPr>
          <w:t>Everglades</w:t>
        </w:r>
      </w:smartTag>
      <w:r>
        <w:rPr>
          <w:snapToGrid w:val="0"/>
        </w:rPr>
        <w:t>.</w:t>
      </w:r>
    </w:p>
    <w:p w:rsidR="00485094" w:rsidRDefault="00485094" w:rsidP="00D34410">
      <w:pPr>
        <w:pStyle w:val="Bodytext"/>
        <w:rPr>
          <w:snapToGrid w:val="0"/>
        </w:rPr>
      </w:pPr>
    </w:p>
    <w:p w:rsidR="00485094" w:rsidRDefault="00485094" w:rsidP="00D34410">
      <w:pPr>
        <w:pStyle w:val="Bodytext"/>
        <w:rPr>
          <w:snapToGrid w:val="0"/>
        </w:rPr>
      </w:pPr>
      <w:smartTag w:uri="urn:schemas-microsoft-com:office:smarttags" w:element="State">
        <w:smartTag w:uri="urn:schemas-microsoft-com:office:smarttags" w:element="place">
          <w:r>
            <w:rPr>
              <w:snapToGrid w:val="0"/>
            </w:rPr>
            <w:t>Florida</w:t>
          </w:r>
        </w:smartTag>
      </w:smartTag>
      <w:r>
        <w:rPr>
          <w:snapToGrid w:val="0"/>
        </w:rPr>
        <w:t xml:space="preserve">'s west coast has low relief, and the continental shelf extends seaward for many miles.  Unlike the east coast, numerous rivers, creeks, and springs contribute to estuarine habitats.  Generally, the west coast’s estuaries are well-mixed systems with broad variations in salinity.  They often lie behind low-energy barrier islands or at the mouths of rivers that discharge into salt marshes or mangrove-fringed bays.  The Big Bend coast from the Anclote Keys north to </w:t>
      </w:r>
      <w:smartTag w:uri="urn:schemas-microsoft-com:office:smarttags" w:element="PlaceName">
        <w:smartTag w:uri="urn:schemas-microsoft-com:office:smarttags" w:element="place">
          <w:r>
            <w:rPr>
              <w:snapToGrid w:val="0"/>
            </w:rPr>
            <w:t>Apalachee</w:t>
          </w:r>
        </w:smartTag>
        <w:r>
          <w:rPr>
            <w:snapToGrid w:val="0"/>
          </w:rPr>
          <w:t xml:space="preserve"> </w:t>
        </w:r>
        <w:smartTag w:uri="urn:schemas-microsoft-com:office:smarttags" w:element="PlaceType">
          <w:r>
            <w:rPr>
              <w:snapToGrid w:val="0"/>
            </w:rPr>
            <w:t>Bay</w:t>
          </w:r>
        </w:smartTag>
      </w:smartTag>
      <w:r>
        <w:rPr>
          <w:snapToGrid w:val="0"/>
        </w:rPr>
        <w:t xml:space="preserve"> is low-energy marsh shoreline.  While it does not conform to the classical definition of an estuary, its flora and fauna are typically estuarine.  Many freshwater rivers and streams feeding the shoreline here are either spring runs or receive significant quantities of spring water.  The Florida Panhandle from </w:t>
      </w:r>
      <w:smartTag w:uri="urn:schemas-microsoft-com:office:smarttags" w:element="PlaceName">
        <w:r>
          <w:rPr>
            <w:snapToGrid w:val="0"/>
          </w:rPr>
          <w:t>Apalachee</w:t>
        </w:r>
      </w:smartTag>
      <w:r>
        <w:rPr>
          <w:snapToGrid w:val="0"/>
        </w:rPr>
        <w:t xml:space="preserve"> </w:t>
      </w:r>
      <w:smartTag w:uri="urn:schemas-microsoft-com:office:smarttags" w:element="PlaceType">
        <w:r>
          <w:rPr>
            <w:snapToGrid w:val="0"/>
          </w:rPr>
          <w:t>Bay</w:t>
        </w:r>
      </w:smartTag>
      <w:r>
        <w:rPr>
          <w:snapToGrid w:val="0"/>
        </w:rPr>
        <w:t xml:space="preserve"> west to </w:t>
      </w:r>
      <w:smartTag w:uri="urn:schemas-microsoft-com:office:smarttags" w:element="PlaceName">
        <w:r>
          <w:rPr>
            <w:snapToGrid w:val="0"/>
          </w:rPr>
          <w:t>Pensacola</w:t>
        </w:r>
      </w:smartTag>
      <w:r>
        <w:rPr>
          <w:snapToGrid w:val="0"/>
        </w:rPr>
        <w:t xml:space="preserve"> </w:t>
      </w:r>
      <w:smartTag w:uri="urn:schemas-microsoft-com:office:smarttags" w:element="PlaceType">
        <w:r>
          <w:rPr>
            <w:snapToGrid w:val="0"/>
          </w:rPr>
          <w:t>Bay</w:t>
        </w:r>
      </w:smartTag>
      <w:r>
        <w:rPr>
          <w:snapToGrid w:val="0"/>
        </w:rPr>
        <w:t xml:space="preserve"> comprises high-energy barrier islands, with sand beaches fronting the </w:t>
      </w:r>
      <w:smartTag w:uri="urn:schemas-microsoft-com:office:smarttags" w:element="place">
        <w:r>
          <w:rPr>
            <w:snapToGrid w:val="0"/>
          </w:rPr>
          <w:t>Gulf of Mexico</w:t>
        </w:r>
      </w:smartTag>
      <w:r>
        <w:rPr>
          <w:snapToGrid w:val="0"/>
        </w:rPr>
        <w:t>.</w:t>
      </w:r>
    </w:p>
    <w:p w:rsidR="00485094" w:rsidRDefault="00485094" w:rsidP="004454B8">
      <w:pPr>
        <w:pStyle w:val="Bodytext"/>
        <w:rPr>
          <w:snapToGrid w:val="0"/>
        </w:rPr>
      </w:pPr>
    </w:p>
    <w:p w:rsidR="00485094" w:rsidRDefault="00485094" w:rsidP="00D34410">
      <w:pPr>
        <w:pStyle w:val="Bodytext"/>
        <w:rPr>
          <w:snapToGrid w:val="0"/>
        </w:rPr>
      </w:pPr>
      <w:r>
        <w:rPr>
          <w:snapToGrid w:val="0"/>
        </w:rPr>
        <w:t xml:space="preserve">Major coastal and estuarine habitats vary from northern to southern </w:t>
      </w:r>
      <w:smartTag w:uri="urn:schemas-microsoft-com:office:smarttags" w:element="State">
        <w:smartTag w:uri="urn:schemas-microsoft-com:office:smarttags" w:element="place">
          <w:r>
            <w:rPr>
              <w:snapToGrid w:val="0"/>
            </w:rPr>
            <w:t>Florida</w:t>
          </w:r>
        </w:smartTag>
      </w:smartTag>
      <w:r>
        <w:rPr>
          <w:snapToGrid w:val="0"/>
        </w:rPr>
        <w:t xml:space="preserve">.  Salt marshes dominate from </w:t>
      </w:r>
      <w:smartTag w:uri="urn:schemas-microsoft-com:office:smarttags" w:element="PlaceName">
        <w:r>
          <w:rPr>
            <w:snapToGrid w:val="0"/>
          </w:rPr>
          <w:t>Apalachicola</w:t>
        </w:r>
      </w:smartTag>
      <w:r>
        <w:rPr>
          <w:snapToGrid w:val="0"/>
        </w:rPr>
        <w:t xml:space="preserve"> </w:t>
      </w:r>
      <w:smartTag w:uri="urn:schemas-microsoft-com:office:smarttags" w:element="PlaceType">
        <w:r>
          <w:rPr>
            <w:snapToGrid w:val="0"/>
          </w:rPr>
          <w:t>Bay</w:t>
        </w:r>
      </w:smartTag>
      <w:r>
        <w:rPr>
          <w:snapToGrid w:val="0"/>
        </w:rPr>
        <w:t xml:space="preserve"> to </w:t>
      </w:r>
      <w:smartTag w:uri="urn:schemas-microsoft-com:office:smarttags" w:element="PlaceName">
        <w:r>
          <w:rPr>
            <w:snapToGrid w:val="0"/>
          </w:rPr>
          <w:t>Tampa</w:t>
        </w:r>
      </w:smartTag>
      <w:r>
        <w:rPr>
          <w:snapToGrid w:val="0"/>
        </w:rPr>
        <w:t xml:space="preserve"> </w:t>
      </w:r>
      <w:smartTag w:uri="urn:schemas-microsoft-com:office:smarttags" w:element="PlaceType">
        <w:r>
          <w:rPr>
            <w:snapToGrid w:val="0"/>
          </w:rPr>
          <w:t>Bay</w:t>
        </w:r>
      </w:smartTag>
      <w:r>
        <w:rPr>
          <w:snapToGrid w:val="0"/>
        </w:rPr>
        <w:t xml:space="preserve"> and from the Indian River Lagoon north to the </w:t>
      </w:r>
      <w:smartTag w:uri="urn:schemas-microsoft-com:office:smarttags" w:element="country-region">
        <w:smartTag w:uri="urn:schemas-microsoft-com:office:smarttags" w:element="place">
          <w:r>
            <w:rPr>
              <w:snapToGrid w:val="0"/>
            </w:rPr>
            <w:t>Georgia</w:t>
          </w:r>
        </w:smartTag>
      </w:smartTag>
      <w:r>
        <w:rPr>
          <w:snapToGrid w:val="0"/>
        </w:rPr>
        <w:t xml:space="preserve"> state line.  The estuaries west of </w:t>
      </w:r>
      <w:smartTag w:uri="urn:schemas-microsoft-com:office:smarttags" w:element="PlaceName">
        <w:smartTag w:uri="urn:schemas-microsoft-com:office:smarttags" w:element="place">
          <w:r>
            <w:rPr>
              <w:snapToGrid w:val="0"/>
            </w:rPr>
            <w:t>Apalachicola</w:t>
          </w:r>
        </w:smartTag>
        <w:r>
          <w:rPr>
            <w:snapToGrid w:val="0"/>
          </w:rPr>
          <w:t xml:space="preserve"> </w:t>
        </w:r>
        <w:smartTag w:uri="urn:schemas-microsoft-com:office:smarttags" w:element="PlaceType">
          <w:r>
            <w:rPr>
              <w:snapToGrid w:val="0"/>
            </w:rPr>
            <w:t>Bay</w:t>
          </w:r>
        </w:smartTag>
      </w:smartTag>
      <w:r>
        <w:rPr>
          <w:snapToGrid w:val="0"/>
        </w:rPr>
        <w:t xml:space="preserve"> have few salt marshes.  Mangrove swamps dominate the southern </w:t>
      </w:r>
      <w:smartTag w:uri="urn:schemas-microsoft-com:office:smarttags" w:element="State">
        <w:smartTag w:uri="urn:schemas-microsoft-com:office:smarttags" w:element="place">
          <w:r>
            <w:rPr>
              <w:snapToGrid w:val="0"/>
            </w:rPr>
            <w:t>Florida</w:t>
          </w:r>
        </w:smartTag>
      </w:smartTag>
      <w:r>
        <w:rPr>
          <w:snapToGrid w:val="0"/>
        </w:rPr>
        <w:t xml:space="preserve"> coast.  There are about 6,000 coral reefs between the city of </w:t>
      </w:r>
      <w:smartTag w:uri="urn:schemas-microsoft-com:office:smarttags" w:element="City">
        <w:r>
          <w:rPr>
            <w:snapToGrid w:val="0"/>
          </w:rPr>
          <w:t>Stuart</w:t>
        </w:r>
      </w:smartTag>
      <w:r>
        <w:rPr>
          <w:snapToGrid w:val="0"/>
        </w:rPr>
        <w:t xml:space="preserve"> on the </w:t>
      </w:r>
      <w:smartTag w:uri="urn:schemas-microsoft-com:office:smarttags" w:element="PlaceName">
        <w:r>
          <w:rPr>
            <w:snapToGrid w:val="0"/>
          </w:rPr>
          <w:t>Atlantic</w:t>
        </w:r>
      </w:smartTag>
      <w:r>
        <w:rPr>
          <w:snapToGrid w:val="0"/>
        </w:rPr>
        <w:t xml:space="preserve"> </w:t>
      </w:r>
      <w:smartTag w:uri="urn:schemas-microsoft-com:office:smarttags" w:element="PlaceType">
        <w:r>
          <w:rPr>
            <w:snapToGrid w:val="0"/>
          </w:rPr>
          <w:t>Coast</w:t>
        </w:r>
      </w:smartTag>
      <w:r>
        <w:rPr>
          <w:snapToGrid w:val="0"/>
        </w:rPr>
        <w:t xml:space="preserve"> south and west to the Dry Tortugas, while seagrasses are most abundant from Tarpon Springs to </w:t>
      </w:r>
      <w:smartTag w:uri="urn:schemas-microsoft-com:office:smarttags" w:element="PlaceName">
        <w:r>
          <w:rPr>
            <w:snapToGrid w:val="0"/>
          </w:rPr>
          <w:t>Charlotte</w:t>
        </w:r>
      </w:smartTag>
      <w:r>
        <w:rPr>
          <w:snapToGrid w:val="0"/>
        </w:rPr>
        <w:t xml:space="preserve"> Harbor and from </w:t>
      </w:r>
      <w:smartTag w:uri="urn:schemas-microsoft-com:office:smarttags" w:element="PlaceName">
        <w:r>
          <w:rPr>
            <w:snapToGrid w:val="0"/>
          </w:rPr>
          <w:t>Florida</w:t>
        </w:r>
      </w:smartTag>
      <w:r>
        <w:rPr>
          <w:snapToGrid w:val="0"/>
        </w:rPr>
        <w:t xml:space="preserve"> </w:t>
      </w:r>
      <w:smartTag w:uri="urn:schemas-microsoft-com:office:smarttags" w:element="PlaceType">
        <w:r>
          <w:rPr>
            <w:snapToGrid w:val="0"/>
          </w:rPr>
          <w:t>Bay</w:t>
        </w:r>
      </w:smartTag>
      <w:r>
        <w:rPr>
          <w:snapToGrid w:val="0"/>
        </w:rPr>
        <w:t xml:space="preserve"> to </w:t>
      </w:r>
      <w:smartTag w:uri="urn:schemas-microsoft-com:office:smarttags" w:element="place">
        <w:r>
          <w:rPr>
            <w:snapToGrid w:val="0"/>
          </w:rPr>
          <w:t>Biscayne Bay</w:t>
        </w:r>
      </w:smartTag>
      <w:r>
        <w:rPr>
          <w:snapToGrid w:val="0"/>
        </w:rPr>
        <w:t>.</w:t>
      </w:r>
    </w:p>
    <w:p w:rsidR="00485094" w:rsidRDefault="00485094" w:rsidP="00D34410">
      <w:pPr>
        <w:pStyle w:val="Bodytext"/>
        <w:rPr>
          <w:snapToGrid w:val="0"/>
        </w:rPr>
      </w:pPr>
    </w:p>
    <w:p w:rsidR="00485094" w:rsidRDefault="00485094" w:rsidP="00D34410">
      <w:pPr>
        <w:pStyle w:val="Heading3"/>
      </w:pPr>
      <w:bookmarkStart w:id="81" w:name="_Toc254269829"/>
      <w:bookmarkStart w:id="82" w:name="_Toc255822492"/>
      <w:bookmarkStart w:id="83" w:name="_Toc271279936"/>
      <w:r w:rsidRPr="009060F2">
        <w:t>Wetlands</w:t>
      </w:r>
      <w:bookmarkEnd w:id="81"/>
      <w:bookmarkEnd w:id="82"/>
      <w:bookmarkEnd w:id="83"/>
    </w:p>
    <w:p w:rsidR="00485094" w:rsidRDefault="00485094" w:rsidP="00D34410">
      <w:pPr>
        <w:pStyle w:val="Bodytext"/>
        <w:rPr>
          <w:snapToGrid w:val="0"/>
        </w:rPr>
      </w:pPr>
      <w:r>
        <w:rPr>
          <w:snapToGrid w:val="0"/>
        </w:rPr>
        <w:t xml:space="preserve">Because of its low elevation and peninsular nature, </w:t>
      </w:r>
      <w:smartTag w:uri="urn:schemas-microsoft-com:office:smarttags" w:element="State">
        <w:smartTag w:uri="urn:schemas-microsoft-com:office:smarttags" w:element="place">
          <w:r>
            <w:rPr>
              <w:snapToGrid w:val="0"/>
            </w:rPr>
            <w:t>Florida</w:t>
          </w:r>
        </w:smartTag>
      </w:smartTag>
      <w:r>
        <w:rPr>
          <w:snapToGrid w:val="0"/>
        </w:rPr>
        <w:t xml:space="preserve"> has many varied types of wetlands, including estuarine </w:t>
      </w:r>
      <w:r w:rsidRPr="00294643">
        <w:rPr>
          <w:i/>
          <w:snapToGrid w:val="0"/>
        </w:rPr>
        <w:t>Spartina</w:t>
      </w:r>
      <w:r>
        <w:rPr>
          <w:snapToGrid w:val="0"/>
        </w:rPr>
        <w:t xml:space="preserve"> and mangrove marshes, as well as freshwater sawgrass marshes, cypress swamps, and floodplain marshes.  Wetlands comprise almost one-third of the state.  The following are the largest and most important in the state:</w:t>
      </w:r>
    </w:p>
    <w:p w:rsidR="00485094" w:rsidRDefault="00485094" w:rsidP="00D34410">
      <w:pPr>
        <w:pStyle w:val="Bodytext"/>
        <w:rPr>
          <w:b/>
          <w:i/>
          <w:snapToGrid w:val="0"/>
        </w:rPr>
      </w:pPr>
    </w:p>
    <w:p w:rsidR="00485094" w:rsidRPr="00CE33D6" w:rsidRDefault="00485094" w:rsidP="00D34410">
      <w:pPr>
        <w:pStyle w:val="StyleListBulletPatternClearTan"/>
        <w:shd w:val="clear" w:color="auto" w:fill="auto"/>
      </w:pPr>
      <w:r w:rsidRPr="00CE33D6">
        <w:t xml:space="preserve">The Everglades and the adjacent </w:t>
      </w:r>
      <w:smartTag w:uri="urn:schemas-microsoft-com:office:smarttags" w:element="PlaceName">
        <w:smartTag w:uri="urn:schemas-microsoft-com:office:smarttags" w:element="place">
          <w:r w:rsidRPr="00CE33D6">
            <w:t>Big</w:t>
          </w:r>
        </w:smartTag>
        <w:r w:rsidRPr="00CE33D6">
          <w:t xml:space="preserve"> </w:t>
        </w:r>
        <w:smartTag w:uri="urn:schemas-microsoft-com:office:smarttags" w:element="PlaceName">
          <w:r w:rsidRPr="00CE33D6">
            <w:t>Cypress</w:t>
          </w:r>
        </w:smartTag>
        <w:r w:rsidRPr="00CE33D6">
          <w:t xml:space="preserve"> </w:t>
        </w:r>
        <w:smartTag w:uri="urn:schemas-microsoft-com:office:smarttags" w:element="PlaceType">
          <w:r w:rsidRPr="00CE33D6">
            <w:t>Swamp</w:t>
          </w:r>
        </w:smartTag>
      </w:smartTag>
      <w:r w:rsidRPr="00CE33D6">
        <w:t xml:space="preserve">.  Including the Water Conservation Areas (diked portions of the original Everglades system) and excluding the developed coastal ridge, this system extends from about 20 miles south of Lake Okeechobee to </w:t>
      </w:r>
      <w:smartTag w:uri="urn:schemas-microsoft-com:office:smarttags" w:element="PlaceName">
        <w:smartTag w:uri="urn:schemas-microsoft-com:office:smarttags" w:element="place">
          <w:r w:rsidRPr="00CE33D6">
            <w:t>Florida</w:t>
          </w:r>
        </w:smartTag>
        <w:r w:rsidRPr="00CE33D6">
          <w:t xml:space="preserve"> </w:t>
        </w:r>
        <w:smartTag w:uri="urn:schemas-microsoft-com:office:smarttags" w:element="PlaceType">
          <w:r w:rsidRPr="00CE33D6">
            <w:t>Bay</w:t>
          </w:r>
        </w:smartTag>
      </w:smartTag>
      <w:r w:rsidRPr="00CE33D6">
        <w:t>.</w:t>
      </w:r>
    </w:p>
    <w:p w:rsidR="00485094" w:rsidRPr="00CE33D6" w:rsidRDefault="00485094" w:rsidP="00D34410">
      <w:pPr>
        <w:pStyle w:val="StyleListBulletPatternClearTan"/>
        <w:shd w:val="clear" w:color="auto" w:fill="auto"/>
      </w:pPr>
      <w:r w:rsidRPr="00CE33D6">
        <w:t xml:space="preserve">The </w:t>
      </w:r>
      <w:smartTag w:uri="urn:schemas-microsoft-com:office:smarttags" w:element="PlaceName">
        <w:smartTag w:uri="urn:schemas-microsoft-com:office:smarttags" w:element="place">
          <w:r w:rsidRPr="00CE33D6">
            <w:t>Green</w:t>
          </w:r>
        </w:smartTag>
        <w:r w:rsidRPr="00CE33D6">
          <w:t xml:space="preserve"> </w:t>
        </w:r>
        <w:smartTag w:uri="urn:schemas-microsoft-com:office:smarttags" w:element="PlaceType">
          <w:r w:rsidRPr="00CE33D6">
            <w:t>Swamp</w:t>
          </w:r>
        </w:smartTag>
      </w:smartTag>
      <w:r w:rsidRPr="00CE33D6">
        <w:t xml:space="preserve"> in the state’s central plateau.</w:t>
      </w:r>
    </w:p>
    <w:p w:rsidR="00485094" w:rsidRPr="00CE33D6" w:rsidRDefault="00485094" w:rsidP="00D34410">
      <w:pPr>
        <w:pStyle w:val="StyleListBulletPatternClearTan"/>
        <w:shd w:val="clear" w:color="auto" w:fill="auto"/>
      </w:pPr>
      <w:r w:rsidRPr="00CE33D6">
        <w:lastRenderedPageBreak/>
        <w:t xml:space="preserve">The Big Bend coast from the St. Marks River to the (South) </w:t>
      </w:r>
      <w:smartTag w:uri="urn:schemas-microsoft-com:office:smarttags" w:element="PlaceName">
        <w:smartTag w:uri="urn:schemas-microsoft-com:office:smarttags" w:element="place">
          <w:r w:rsidRPr="00CE33D6">
            <w:t>Withlacoochee</w:t>
          </w:r>
        </w:smartTag>
        <w:r w:rsidRPr="00CE33D6">
          <w:t xml:space="preserve"> </w:t>
        </w:r>
        <w:smartTag w:uri="urn:schemas-microsoft-com:office:smarttags" w:element="PlaceType">
          <w:r w:rsidRPr="00CE33D6">
            <w:t>River</w:t>
          </w:r>
        </w:smartTag>
      </w:smartTag>
      <w:r w:rsidRPr="00CE33D6">
        <w:t>.</w:t>
      </w:r>
    </w:p>
    <w:p w:rsidR="00485094" w:rsidRPr="00CE33D6" w:rsidRDefault="00485094" w:rsidP="00D34410">
      <w:pPr>
        <w:pStyle w:val="StyleListBulletPatternClearTan"/>
        <w:shd w:val="clear" w:color="auto" w:fill="auto"/>
      </w:pPr>
      <w:r w:rsidRPr="00CE33D6">
        <w:t xml:space="preserve">Vast expanses of </w:t>
      </w:r>
      <w:r w:rsidRPr="00294643">
        <w:rPr>
          <w:i w:val="0"/>
        </w:rPr>
        <w:t>Spartina</w:t>
      </w:r>
      <w:r w:rsidRPr="00CE33D6">
        <w:t xml:space="preserve"> marsh between the </w:t>
      </w:r>
      <w:smartTag w:uri="urn:schemas-microsoft-com:office:smarttags" w:element="City">
        <w:smartTag w:uri="urn:schemas-microsoft-com:office:smarttags" w:element="place">
          <w:r w:rsidRPr="00CE33D6">
            <w:t>Nassau</w:t>
          </w:r>
        </w:smartTag>
      </w:smartTag>
      <w:r w:rsidRPr="00CE33D6">
        <w:t xml:space="preserve"> and St. Mary’s Rivers.</w:t>
      </w:r>
    </w:p>
    <w:p w:rsidR="00485094" w:rsidRPr="00CE33D6" w:rsidRDefault="00485094" w:rsidP="00D34410">
      <w:pPr>
        <w:pStyle w:val="StyleListBulletPatternClearTan"/>
        <w:shd w:val="clear" w:color="auto" w:fill="auto"/>
      </w:pPr>
      <w:r w:rsidRPr="00CE33D6">
        <w:t xml:space="preserve">The system of the </w:t>
      </w:r>
      <w:smartTag w:uri="urn:schemas-microsoft-com:office:smarttags" w:element="place">
        <w:r w:rsidRPr="00CE33D6">
          <w:t>St. Johns River</w:t>
        </w:r>
      </w:smartTag>
      <w:r w:rsidRPr="00CE33D6">
        <w:t xml:space="preserve"> marshes.  Before alteration by humans, all but the northernmost one-fifth of the river basin was an extensive freshwater system of swamps, marshes and lakes</w:t>
      </w:r>
      <w:r>
        <w:t xml:space="preserve"> (Kushlan, 1990)</w:t>
      </w:r>
      <w:r w:rsidRPr="00CE33D6">
        <w:t xml:space="preserve">.  Even today, half of the length of the St. Johns River is actually marsh, and in many respects it functions like a northern-flowing </w:t>
      </w:r>
      <w:smartTag w:uri="urn:schemas-microsoft-com:office:smarttags" w:element="place">
        <w:r w:rsidRPr="00CE33D6">
          <w:t>Everglades</w:t>
        </w:r>
      </w:smartTag>
      <w:r w:rsidRPr="00CE33D6">
        <w:t xml:space="preserve">.  </w:t>
      </w:r>
    </w:p>
    <w:p w:rsidR="00485094" w:rsidRDefault="00485094" w:rsidP="003859BA">
      <w:pPr>
        <w:pStyle w:val="StyleListBulletPatternClearTan"/>
        <w:shd w:val="clear" w:color="auto" w:fill="auto"/>
      </w:pPr>
      <w:r w:rsidRPr="00CE33D6">
        <w:t>The headwaters and floodplains of many rivers throughout the state, especially the Apalachicola, Suwannee, St. Johns, Ocklawaha, Kissimmee, and Peace Rivers.</w:t>
      </w:r>
    </w:p>
    <w:p w:rsidR="00485094" w:rsidRDefault="00485094" w:rsidP="00173D87">
      <w:pPr>
        <w:pStyle w:val="Bodytextreduced"/>
      </w:pPr>
    </w:p>
    <w:p w:rsidR="00485094" w:rsidRDefault="00485094" w:rsidP="003859BA">
      <w:pPr>
        <w:pStyle w:val="Bodytext"/>
        <w:rPr>
          <w:snapToGrid w:val="0"/>
        </w:rPr>
      </w:pPr>
      <w:r>
        <w:t xml:space="preserve">In the past, many wetlands were drained (for agriculture and urban development), and numerous rivers were channelized for navigation.  The modifications were most intense in south Florida, where, beginning in the 1920s, canals and levees were built to control flooding and drain wetlands.  These modifications resulted in the loss of much of the original Everglades wetlands from Lake Okeechobee south.  The </w:t>
      </w:r>
      <w:hyperlink r:id="rId20" w:history="1">
        <w:r w:rsidRPr="004060D0">
          <w:rPr>
            <w:rStyle w:val="Hyperlink"/>
            <w:snapToGrid w:val="0"/>
          </w:rPr>
          <w:t>Everglades restoration</w:t>
        </w:r>
      </w:hyperlink>
      <w:r w:rsidRPr="00595B30">
        <w:rPr>
          <w:snapToGrid w:val="0"/>
        </w:rPr>
        <w:t xml:space="preserve"> is under</w:t>
      </w:r>
      <w:r>
        <w:rPr>
          <w:snapToGrid w:val="0"/>
        </w:rPr>
        <w:t xml:space="preserve"> </w:t>
      </w:r>
      <w:r w:rsidRPr="00595B30">
        <w:rPr>
          <w:snapToGrid w:val="0"/>
        </w:rPr>
        <w:t>way</w:t>
      </w:r>
      <w:r>
        <w:rPr>
          <w:snapToGrid w:val="0"/>
        </w:rPr>
        <w:t xml:space="preserve"> </w:t>
      </w:r>
      <w:r w:rsidRPr="00595B30">
        <w:rPr>
          <w:snapToGrid w:val="0"/>
        </w:rPr>
        <w:t xml:space="preserve">to improve water quality.  </w:t>
      </w:r>
      <w:r>
        <w:rPr>
          <w:snapToGrid w:val="0"/>
        </w:rPr>
        <w:t>T</w:t>
      </w:r>
      <w:r w:rsidRPr="003859BA">
        <w:rPr>
          <w:snapToGrid w:val="0"/>
        </w:rPr>
        <w:t>here are preliminary successes; however</w:t>
      </w:r>
      <w:r>
        <w:rPr>
          <w:snapToGrid w:val="0"/>
        </w:rPr>
        <w:t>,</w:t>
      </w:r>
      <w:r w:rsidRPr="003859BA">
        <w:rPr>
          <w:snapToGrid w:val="0"/>
        </w:rPr>
        <w:t xml:space="preserve"> </w:t>
      </w:r>
      <w:r>
        <w:rPr>
          <w:snapToGrid w:val="0"/>
        </w:rPr>
        <w:t>restoration</w:t>
      </w:r>
      <w:r w:rsidRPr="003859BA">
        <w:rPr>
          <w:snapToGrid w:val="0"/>
        </w:rPr>
        <w:t xml:space="preserve"> is a long-term effort involving many agencies </w:t>
      </w:r>
      <w:r>
        <w:rPr>
          <w:snapToGrid w:val="0"/>
        </w:rPr>
        <w:t>working to revitalize the heavily altered system</w:t>
      </w:r>
      <w:r w:rsidRPr="003859BA">
        <w:rPr>
          <w:snapToGrid w:val="0"/>
        </w:rPr>
        <w:t>.</w:t>
      </w:r>
    </w:p>
    <w:p w:rsidR="00485094" w:rsidRDefault="00485094" w:rsidP="00CA657B">
      <w:pPr>
        <w:pStyle w:val="Bodytextreduced"/>
      </w:pPr>
    </w:p>
    <w:p w:rsidR="00485094" w:rsidRDefault="00485094" w:rsidP="008423A9">
      <w:pPr>
        <w:pStyle w:val="Heading3"/>
      </w:pPr>
      <w:bookmarkStart w:id="84" w:name="_Toc255822493"/>
      <w:bookmarkStart w:id="85" w:name="_Toc271279937"/>
      <w:bookmarkStart w:id="86" w:name="_Toc490373227"/>
      <w:r w:rsidRPr="00043A71">
        <w:t>Aquifers</w:t>
      </w:r>
      <w:r>
        <w:t xml:space="preserve"> and Springs</w:t>
      </w:r>
      <w:bookmarkEnd w:id="84"/>
      <w:bookmarkEnd w:id="85"/>
    </w:p>
    <w:p w:rsidR="00485094" w:rsidRDefault="00485094" w:rsidP="004454B8">
      <w:pPr>
        <w:pStyle w:val="Bodytext"/>
      </w:pPr>
      <w:smartTag w:uri="urn:schemas-microsoft-com:office:smarttags" w:element="State">
        <w:smartTag w:uri="urn:schemas-microsoft-com:office:smarttags" w:element="place">
          <w:r>
            <w:t>Florida</w:t>
          </w:r>
        </w:smartTag>
      </w:smartTag>
      <w:r>
        <w:t xml:space="preserve"> lies atop a vast underground aquifer system that provides potable water to most of the state’s population.  Ground water naturally discharges into streams, lakes, wetlands, coastal waters, and springs.  Florida has more than 700 known springs </w:t>
      </w:r>
      <w:r w:rsidRPr="001864B0">
        <w:rPr>
          <w:i/>
        </w:rPr>
        <w:t>(</w:t>
      </w:r>
      <w:r>
        <w:rPr>
          <w:b/>
          <w:i/>
        </w:rPr>
        <w:t>Figure 2.3</w:t>
      </w:r>
      <w:r>
        <w:rPr>
          <w:i/>
        </w:rPr>
        <w:t>)</w:t>
      </w:r>
      <w:r>
        <w:t xml:space="preserve">, which discharge about 8 billion gallons of water per day (BGD); the state may contain the largest concentration of freshwater springs on Earth.  The largest spring by discharge is </w:t>
      </w:r>
      <w:r>
        <w:rPr>
          <w:snapToGrid w:val="0"/>
        </w:rPr>
        <w:t>Wakulla Springs, with an average discharge of 252 million gallons per day (MGD)</w:t>
      </w:r>
      <w:r>
        <w:t xml:space="preserve">.  </w:t>
      </w:r>
      <w:smartTag w:uri="urn:schemas-microsoft-com:office:smarttags" w:element="State">
        <w:r>
          <w:t>Florida</w:t>
        </w:r>
      </w:smartTag>
      <w:r>
        <w:t xml:space="preserve"> also contains 33 of the 78 first-magnitude springs (defined as springs that discharge on average at least 64.6 MGD) in the </w:t>
      </w:r>
      <w:smartTag w:uri="urn:schemas-microsoft-com:office:smarttags" w:element="country-region">
        <w:smartTag w:uri="urn:schemas-microsoft-com:office:smarttags" w:element="place">
          <w:r>
            <w:t>United States</w:t>
          </w:r>
        </w:smartTag>
      </w:smartTag>
      <w:r>
        <w:t>.  Several river systems in the state originate as spring discharges.</w:t>
      </w:r>
    </w:p>
    <w:p w:rsidR="00485094" w:rsidRDefault="00485094" w:rsidP="004454B8">
      <w:pPr>
        <w:autoSpaceDE w:val="0"/>
        <w:autoSpaceDN w:val="0"/>
        <w:adjustRightInd w:val="0"/>
        <w:jc w:val="both"/>
        <w:rPr>
          <w:i/>
        </w:rPr>
      </w:pPr>
    </w:p>
    <w:p w:rsidR="00485094" w:rsidRDefault="00485094" w:rsidP="00953CDA">
      <w:pPr>
        <w:pStyle w:val="Bodytext"/>
      </w:pPr>
      <w:r>
        <w:t xml:space="preserve">Archaeological evidence indicates that humans have been attracted to </w:t>
      </w:r>
      <w:smartTag w:uri="urn:schemas-microsoft-com:office:smarttags" w:element="State">
        <w:smartTag w:uri="urn:schemas-microsoft-com:office:smarttags" w:element="place">
          <w:r>
            <w:t>Florida</w:t>
          </w:r>
        </w:smartTag>
      </w:smartTag>
      <w:r>
        <w:t xml:space="preserve">’s life-giving springs for thousands of years.  Fourteen of </w:t>
      </w:r>
      <w:r w:rsidRPr="00250FBE">
        <w:t xml:space="preserve">Florida’s state parks named for springs attract </w:t>
      </w:r>
      <w:r>
        <w:t>millions of</w:t>
      </w:r>
      <w:r w:rsidRPr="00250FBE">
        <w:t xml:space="preserve"> visitors</w:t>
      </w:r>
      <w:r>
        <w:t xml:space="preserve"> each year, and private spring attractions and parks are a multimillion-dollar tourist industry.</w:t>
      </w:r>
    </w:p>
    <w:p w:rsidR="00485094" w:rsidRDefault="00485094" w:rsidP="007F2D44">
      <w:pPr>
        <w:pStyle w:val="Bodytextreduced"/>
      </w:pPr>
      <w:bookmarkStart w:id="87" w:name="_Toc78886480"/>
    </w:p>
    <w:p w:rsidR="00485094" w:rsidRDefault="00485094" w:rsidP="007F2D44">
      <w:pPr>
        <w:pStyle w:val="Heading2"/>
      </w:pPr>
      <w:bookmarkStart w:id="88" w:name="_Toc271279938"/>
      <w:r>
        <w:t>Hydrogeology</w:t>
      </w:r>
      <w:bookmarkEnd w:id="88"/>
    </w:p>
    <w:p w:rsidR="00485094" w:rsidRDefault="00485094" w:rsidP="007F2D44">
      <w:pPr>
        <w:pStyle w:val="Heading3"/>
      </w:pPr>
      <w:bookmarkStart w:id="89" w:name="_Toc271279939"/>
      <w:r w:rsidRPr="00545526">
        <w:t>Surface Water</w:t>
      </w:r>
      <w:bookmarkEnd w:id="89"/>
    </w:p>
    <w:p w:rsidR="00485094" w:rsidRDefault="00485094" w:rsidP="007F2D44">
      <w:pPr>
        <w:pStyle w:val="Bodytext"/>
      </w:pPr>
      <w:r>
        <w:t xml:space="preserve">Most of </w:t>
      </w:r>
      <w:smartTag w:uri="urn:schemas-microsoft-com:office:smarttags" w:element="State">
        <w:smartTag w:uri="urn:schemas-microsoft-com:office:smarttags" w:element="place">
          <w:r>
            <w:t>Florida</w:t>
          </w:r>
        </w:smartTag>
      </w:smartTag>
      <w:r>
        <w:t xml:space="preserve"> is relatively flat.  The highest elevations in the Panhandle are 345 feet near Lakewood (in Walton County) and 323 feet at Alford (in Washington County).  At 312 feet, Sugarloaf Mountain (in Lake County) has the highest elevation in the peninsula (</w:t>
      </w:r>
      <w:hyperlink r:id="rId21" w:history="1">
        <w:r w:rsidRPr="00B508DB">
          <w:rPr>
            <w:rStyle w:val="Hyperlink"/>
          </w:rPr>
          <w:t>americasroof.com website</w:t>
        </w:r>
      </w:hyperlink>
      <w:r>
        <w:t xml:space="preserve">, 2010).  The longest river, the </w:t>
      </w:r>
      <w:smartTag w:uri="urn:schemas-microsoft-com:office:smarttags" w:element="City">
        <w:r>
          <w:t>St. Johns</w:t>
        </w:r>
      </w:smartTag>
      <w:r>
        <w:t xml:space="preserve"> on </w:t>
      </w:r>
      <w:smartTag w:uri="urn:schemas-microsoft-com:office:smarttags" w:element="State">
        <w:smartTag w:uri="urn:schemas-microsoft-com:office:smarttags" w:element="place">
          <w:r>
            <w:t>Florida</w:t>
          </w:r>
        </w:smartTag>
      </w:smartTag>
      <w:r>
        <w:t xml:space="preserve">’s east coast, only falls about a tenth of a foot per mile from the headwaters to the mouth.  Surface drainage and topographic relief are greatest in the streams and rivers entering north and northwest </w:t>
      </w:r>
      <w:smartTag w:uri="urn:schemas-microsoft-com:office:smarttags" w:element="State">
        <w:r>
          <w:t>Florida</w:t>
        </w:r>
      </w:smartTag>
      <w:r>
        <w:t xml:space="preserve"> from </w:t>
      </w:r>
      <w:smartTag w:uri="urn:schemas-microsoft-com:office:smarttags" w:element="State">
        <w:r>
          <w:t>Alabama</w:t>
        </w:r>
      </w:smartTag>
      <w:r>
        <w:t xml:space="preserve"> and </w:t>
      </w:r>
      <w:smartTag w:uri="urn:schemas-microsoft-com:office:smarttags" w:element="country-region">
        <w:smartTag w:uri="urn:schemas-microsoft-com:office:smarttags" w:element="place">
          <w:r>
            <w:t>Georgia</w:t>
          </w:r>
        </w:smartTag>
      </w:smartTag>
      <w:r>
        <w:t>.  Most of these streams are alluvial, or sediment carrying.  As the land flattens farther south, surface drainage becomes less distinct, and the rivers and streams are typically slower moving, noneroding, and nonalluvial.</w:t>
      </w:r>
    </w:p>
    <w:p w:rsidR="00485094" w:rsidRDefault="00485094" w:rsidP="007F2D44">
      <w:pPr>
        <w:pStyle w:val="Bodytext"/>
      </w:pPr>
    </w:p>
    <w:p w:rsidR="00485094" w:rsidRDefault="00485094" w:rsidP="007F2D44">
      <w:pPr>
        <w:pStyle w:val="Bodytext"/>
      </w:pPr>
      <w:r>
        <w:t xml:space="preserve">Many of </w:t>
      </w:r>
      <w:smartTag w:uri="urn:schemas-microsoft-com:office:smarttags" w:element="State">
        <w:smartTag w:uri="urn:schemas-microsoft-com:office:smarttags" w:element="place">
          <w:r>
            <w:t>Florida</w:t>
          </w:r>
        </w:smartTag>
      </w:smartTag>
      <w:r>
        <w:t xml:space="preserve">’s rivers have their headwaters in wetlands.  In its natural setting, the Green Swamp in central Florida is the headwater for five major river systems:  Withlacoochee (South), Ocklawaha, Peace, Kissimmee, and Hillsborough.  In north </w:t>
      </w:r>
      <w:smartTag w:uri="urn:schemas-microsoft-com:office:smarttags" w:element="State">
        <w:r>
          <w:t>Florida</w:t>
        </w:r>
      </w:smartTag>
      <w:r>
        <w:t xml:space="preserve">, the Suwannee and St. Marys Rivers originate in the </w:t>
      </w:r>
      <w:smartTag w:uri="urn:schemas-microsoft-com:office:smarttags" w:element="place">
        <w:r>
          <w:t>Okefenokee Swamp</w:t>
        </w:r>
      </w:smartTag>
      <w:r>
        <w:t>.  Throughout the state, smaller streams often disappear into wetlands and later re-emerge as channeled flows.</w:t>
      </w:r>
    </w:p>
    <w:p w:rsidR="00485094" w:rsidRDefault="00485094">
      <w:pPr>
        <w:rPr>
          <w:rFonts w:ascii="Arial" w:hAnsi="Arial"/>
          <w:b/>
          <w:i/>
          <w:sz w:val="20"/>
          <w:szCs w:val="20"/>
        </w:rPr>
      </w:pPr>
    </w:p>
    <w:p w:rsidR="00485094" w:rsidRDefault="00485094" w:rsidP="00AD1530">
      <w:pPr>
        <w:pStyle w:val="Caption"/>
      </w:pPr>
      <w:bookmarkStart w:id="90" w:name="_Toc271280140"/>
      <w:r>
        <w:t>Figure 2.3.  Springs of Florida</w:t>
      </w:r>
      <w:bookmarkEnd w:id="87"/>
      <w:bookmarkEnd w:id="90"/>
    </w:p>
    <w:p w:rsidR="008A1744" w:rsidRPr="008A1744" w:rsidRDefault="008A1744" w:rsidP="008A1744">
      <w:pPr>
        <w:rPr>
          <w:rFonts w:ascii="Arial" w:hAnsi="Arial" w:cs="Arial"/>
          <w:sz w:val="16"/>
          <w:szCs w:val="16"/>
        </w:rPr>
      </w:pPr>
    </w:p>
    <w:p w:rsidR="00485094" w:rsidRDefault="00485094" w:rsidP="007F2D44">
      <w:pPr>
        <w:pStyle w:val="Bodytextreduced"/>
      </w:pPr>
    </w:p>
    <w:p w:rsidR="00485094" w:rsidRDefault="001717CD" w:rsidP="007F2D44">
      <w:pPr>
        <w:pStyle w:val="Bodytextreduced"/>
      </w:pPr>
      <w:r>
        <w:rPr>
          <w:noProof/>
        </w:rPr>
        <w:drawing>
          <wp:anchor distT="0" distB="0" distL="114300" distR="114300" simplePos="0" relativeHeight="251642368" behindDoc="0" locked="0" layoutInCell="0" allowOverlap="1">
            <wp:simplePos x="0" y="0"/>
            <wp:positionH relativeFrom="column">
              <wp:posOffset>0</wp:posOffset>
            </wp:positionH>
            <wp:positionV relativeFrom="paragraph">
              <wp:posOffset>8890</wp:posOffset>
            </wp:positionV>
            <wp:extent cx="5882640" cy="3550920"/>
            <wp:effectExtent l="19050" t="19050" r="22860" b="11430"/>
            <wp:wrapTopAndBottom/>
            <wp:docPr id="51" name="Picture 51" descr="Figure 2.3.  Springs of Flor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igure 2.3.  Springs of Florida"/>
                    <pic:cNvPicPr>
                      <a:picLocks noChangeAspect="1" noChangeArrowheads="1"/>
                    </pic:cNvPicPr>
                  </pic:nvPicPr>
                  <pic:blipFill>
                    <a:blip r:embed="rId22"/>
                    <a:srcRect/>
                    <a:stretch>
                      <a:fillRect/>
                    </a:stretch>
                  </pic:blipFill>
                  <pic:spPr bwMode="auto">
                    <a:xfrm>
                      <a:off x="0" y="0"/>
                      <a:ext cx="5882640" cy="3550920"/>
                    </a:xfrm>
                    <a:prstGeom prst="rect">
                      <a:avLst/>
                    </a:prstGeom>
                    <a:noFill/>
                    <a:ln w="6350">
                      <a:solidFill>
                        <a:srgbClr val="000000"/>
                      </a:solidFill>
                      <a:miter lim="800000"/>
                      <a:headEnd/>
                      <a:tailEnd/>
                    </a:ln>
                  </pic:spPr>
                </pic:pic>
              </a:graphicData>
            </a:graphic>
          </wp:anchor>
        </w:drawing>
      </w:r>
      <w:bookmarkEnd w:id="86"/>
    </w:p>
    <w:p w:rsidR="00485094" w:rsidRDefault="00485094" w:rsidP="008423A9">
      <w:pPr>
        <w:pStyle w:val="Heading3"/>
      </w:pPr>
      <w:bookmarkStart w:id="91" w:name="_Toc74537776"/>
      <w:bookmarkStart w:id="92" w:name="_Toc74537932"/>
      <w:bookmarkStart w:id="93" w:name="_Toc78886304"/>
      <w:bookmarkStart w:id="94" w:name="_Toc255822496"/>
      <w:bookmarkStart w:id="95" w:name="_Toc271279940"/>
      <w:r w:rsidRPr="00545526">
        <w:t>Ground Water</w:t>
      </w:r>
      <w:bookmarkEnd w:id="91"/>
      <w:bookmarkEnd w:id="92"/>
      <w:bookmarkEnd w:id="93"/>
      <w:bookmarkEnd w:id="94"/>
      <w:bookmarkEnd w:id="95"/>
    </w:p>
    <w:p w:rsidR="00485094" w:rsidRDefault="00485094" w:rsidP="00D34410">
      <w:pPr>
        <w:pStyle w:val="Bodytext"/>
      </w:pPr>
      <w:smartTag w:uri="urn:schemas-microsoft-com:office:smarttags" w:element="State">
        <w:smartTag w:uri="urn:schemas-microsoft-com:office:smarttags" w:element="place">
          <w:r>
            <w:t>Florida</w:t>
          </w:r>
        </w:smartTag>
      </w:smartTag>
      <w:r>
        <w:t xml:space="preserve"> is in the Coastal Plain physiographic province, which is blanketed by surficial sands and underlain by a thick sequence of bedded limestone and dolomite.  Together the surficial sands, limestone, and dolomites form an enormous ground water reservoir that provides proportionally larger quantities of ground water than in any other state.</w:t>
      </w:r>
    </w:p>
    <w:p w:rsidR="00485094" w:rsidRDefault="00485094" w:rsidP="00D34410">
      <w:pPr>
        <w:pStyle w:val="Bodytext"/>
      </w:pPr>
    </w:p>
    <w:p w:rsidR="00485094" w:rsidRDefault="00485094" w:rsidP="00D34410">
      <w:pPr>
        <w:pStyle w:val="Bodytext"/>
      </w:pPr>
      <w:r w:rsidRPr="00C4487F">
        <w:t xml:space="preserve">These sources of high-quality, potable ground water underlying virtually all of </w:t>
      </w:r>
      <w:smartTag w:uri="urn:schemas-microsoft-com:office:smarttags" w:element="State">
        <w:smartTag w:uri="urn:schemas-microsoft-com:office:smarttags" w:element="place">
          <w:r w:rsidRPr="00C4487F">
            <w:t>Florida</w:t>
          </w:r>
        </w:smartTag>
      </w:smartTag>
      <w:r w:rsidRPr="00C4487F">
        <w:t xml:space="preserve"> supported average withdrawals of more than </w:t>
      </w:r>
      <w:r w:rsidRPr="00FA232C">
        <w:t>6</w:t>
      </w:r>
      <w:r>
        <w:t>,873</w:t>
      </w:r>
      <w:r w:rsidRPr="00C4487F">
        <w:t xml:space="preserve"> </w:t>
      </w:r>
      <w:r>
        <w:t>MGD</w:t>
      </w:r>
      <w:r w:rsidRPr="00C4487F">
        <w:t xml:space="preserve"> in 200</w:t>
      </w:r>
      <w:r>
        <w:t>5 (</w:t>
      </w:r>
      <w:proofErr w:type="spellStart"/>
      <w:r>
        <w:t>Marella</w:t>
      </w:r>
      <w:proofErr w:type="spellEnd"/>
      <w:r>
        <w:t>, 2009)</w:t>
      </w:r>
      <w:r w:rsidRPr="00C4487F">
        <w:t>.  This re</w:t>
      </w:r>
      <w:smartTag w:uri="urn:schemas-microsoft-com:office:smarttags" w:element="PersonName">
        <w:r w:rsidRPr="00C4487F">
          <w:t>mark</w:t>
        </w:r>
      </w:smartTag>
      <w:r w:rsidRPr="00C4487F">
        <w:t>able resource supplies more</w:t>
      </w:r>
      <w:r>
        <w:t xml:space="preserve"> than 90% of the drinking water for more than 18 million residents.  In addition, ground water resources supply over 50% of all water needs, including agricultural, industrial, mining, and electric power generation.</w:t>
      </w:r>
    </w:p>
    <w:p w:rsidR="00485094" w:rsidRDefault="00485094" w:rsidP="00D34410">
      <w:pPr>
        <w:pStyle w:val="Bodytext"/>
      </w:pPr>
    </w:p>
    <w:p w:rsidR="00485094" w:rsidRDefault="00485094" w:rsidP="00D34410">
      <w:pPr>
        <w:pStyle w:val="Bodytext"/>
      </w:pPr>
      <w:smartTag w:uri="urn:schemas-microsoft-com:office:smarttags" w:element="State">
        <w:smartTag w:uri="urn:schemas-microsoft-com:office:smarttags" w:element="place">
          <w:r>
            <w:t>Florida</w:t>
          </w:r>
        </w:smartTag>
      </w:smartTag>
      <w:r>
        <w:t xml:space="preserve"> primarily relies on the following four aquifer systems as drinking water sources:</w:t>
      </w:r>
    </w:p>
    <w:p w:rsidR="00485094" w:rsidRDefault="00485094" w:rsidP="00D34410">
      <w:pPr>
        <w:pStyle w:val="Bodytext"/>
      </w:pPr>
    </w:p>
    <w:p w:rsidR="00485094" w:rsidRPr="00BF2AF9" w:rsidRDefault="00485094" w:rsidP="00D34410">
      <w:pPr>
        <w:pStyle w:val="ListBullet"/>
        <w:rPr>
          <w:szCs w:val="22"/>
        </w:rPr>
      </w:pPr>
      <w:r w:rsidRPr="00BF2AF9">
        <w:rPr>
          <w:szCs w:val="22"/>
        </w:rPr>
        <w:t>The Floridan aquifer system, one of the most productive sources of ground water in the United States, extends across all of Florida, southern Georgia, and adjoining parts of Alabama and South Carolina.  Many public water systems—</w:t>
      </w:r>
      <w:r w:rsidRPr="00BF2AF9">
        <w:rPr>
          <w:szCs w:val="22"/>
        </w:rPr>
        <w:lastRenderedPageBreak/>
        <w:t xml:space="preserve">including </w:t>
      </w:r>
      <w:smartTag w:uri="urn:schemas-microsoft-com:office:smarttags" w:element="City">
        <w:r w:rsidRPr="00BF2AF9">
          <w:rPr>
            <w:szCs w:val="22"/>
          </w:rPr>
          <w:t>Jacksonville</w:t>
        </w:r>
      </w:smartTag>
      <w:r w:rsidRPr="00BF2AF9">
        <w:rPr>
          <w:szCs w:val="22"/>
        </w:rPr>
        <w:t xml:space="preserve">, </w:t>
      </w:r>
      <w:smartTag w:uri="urn:schemas-microsoft-com:office:smarttags" w:element="City">
        <w:r w:rsidRPr="00BF2AF9">
          <w:rPr>
            <w:szCs w:val="22"/>
          </w:rPr>
          <w:t>Orlando</w:t>
        </w:r>
      </w:smartTag>
      <w:r w:rsidRPr="00BF2AF9">
        <w:rPr>
          <w:szCs w:val="22"/>
        </w:rPr>
        <w:t xml:space="preserve">, </w:t>
      </w:r>
      <w:smartTag w:uri="urn:schemas-microsoft-com:office:smarttags" w:element="City">
        <w:r w:rsidRPr="00BF2AF9">
          <w:rPr>
            <w:szCs w:val="22"/>
          </w:rPr>
          <w:t>Clearwater</w:t>
        </w:r>
      </w:smartTag>
      <w:r w:rsidRPr="00BF2AF9">
        <w:rPr>
          <w:szCs w:val="22"/>
        </w:rPr>
        <w:t xml:space="preserve">, </w:t>
      </w:r>
      <w:smartTag w:uri="urn:schemas-microsoft-com:office:smarttags" w:element="City">
        <w:r w:rsidRPr="00BF2AF9">
          <w:rPr>
            <w:szCs w:val="22"/>
          </w:rPr>
          <w:t>St. Petersburg</w:t>
        </w:r>
      </w:smartTag>
      <w:r w:rsidRPr="00BF2AF9">
        <w:rPr>
          <w:szCs w:val="22"/>
        </w:rPr>
        <w:t xml:space="preserve">, and </w:t>
      </w:r>
      <w:smartTag w:uri="urn:schemas-microsoft-com:office:smarttags" w:element="City">
        <w:smartTag w:uri="urn:schemas-microsoft-com:office:smarttags" w:element="place">
          <w:r w:rsidRPr="00BF2AF9">
            <w:rPr>
              <w:szCs w:val="22"/>
            </w:rPr>
            <w:t>Tallahassee</w:t>
          </w:r>
        </w:smartTag>
      </w:smartTag>
      <w:r w:rsidRPr="00BF2AF9">
        <w:rPr>
          <w:szCs w:val="22"/>
        </w:rPr>
        <w:t>—tap into the Floridan.  It is also a major supplier of water for industrial, irrigation, and rural use.  This aquifer provides 60% (</w:t>
      </w:r>
      <w:r>
        <w:rPr>
          <w:szCs w:val="22"/>
        </w:rPr>
        <w:t>4,124</w:t>
      </w:r>
      <w:r w:rsidRPr="00BF2AF9">
        <w:rPr>
          <w:szCs w:val="22"/>
        </w:rPr>
        <w:t xml:space="preserve"> </w:t>
      </w:r>
      <w:r>
        <w:rPr>
          <w:szCs w:val="22"/>
        </w:rPr>
        <w:t>MGD</w:t>
      </w:r>
      <w:r w:rsidRPr="00BF2AF9">
        <w:rPr>
          <w:szCs w:val="22"/>
        </w:rPr>
        <w:t xml:space="preserve">) of </w:t>
      </w:r>
      <w:smartTag w:uri="urn:schemas-microsoft-com:office:smarttags" w:element="State">
        <w:smartTag w:uri="urn:schemas-microsoft-com:office:smarttags" w:element="place">
          <w:r w:rsidRPr="00BF2AF9">
            <w:rPr>
              <w:szCs w:val="22"/>
            </w:rPr>
            <w:t>Florida</w:t>
          </w:r>
        </w:smartTag>
      </w:smartTag>
      <w:r w:rsidRPr="00BF2AF9">
        <w:rPr>
          <w:szCs w:val="22"/>
        </w:rPr>
        <w:t>’s potable water supplies.</w:t>
      </w:r>
    </w:p>
    <w:p w:rsidR="00485094" w:rsidRPr="00BF2AF9" w:rsidRDefault="00485094" w:rsidP="00D34410">
      <w:pPr>
        <w:pStyle w:val="ListBullet"/>
        <w:rPr>
          <w:szCs w:val="22"/>
        </w:rPr>
      </w:pPr>
      <w:r w:rsidRPr="00BF2AF9">
        <w:rPr>
          <w:szCs w:val="22"/>
        </w:rPr>
        <w:t>Unnamed surficial and intermediate aquifers, which are present over much of the state, are used when the deeper aquifers contain nonpotable water.  They supply water needs for about 10% of the population, especially in rural locations.  These aquifers provide 20% (</w:t>
      </w:r>
      <w:r>
        <w:rPr>
          <w:szCs w:val="22"/>
        </w:rPr>
        <w:t>1,375</w:t>
      </w:r>
      <w:r w:rsidRPr="00BF2AF9">
        <w:rPr>
          <w:szCs w:val="22"/>
        </w:rPr>
        <w:t xml:space="preserve"> </w:t>
      </w:r>
      <w:r>
        <w:rPr>
          <w:szCs w:val="22"/>
        </w:rPr>
        <w:t>MGD</w:t>
      </w:r>
      <w:r w:rsidRPr="00BF2AF9">
        <w:rPr>
          <w:szCs w:val="22"/>
        </w:rPr>
        <w:t>) of the state’s potable water supplies.</w:t>
      </w:r>
    </w:p>
    <w:p w:rsidR="00485094" w:rsidRPr="00BF2AF9" w:rsidRDefault="00485094" w:rsidP="00D34410">
      <w:pPr>
        <w:pStyle w:val="ListBullet"/>
        <w:rPr>
          <w:szCs w:val="22"/>
        </w:rPr>
      </w:pPr>
      <w:r w:rsidRPr="00BF2AF9">
        <w:rPr>
          <w:szCs w:val="22"/>
        </w:rPr>
        <w:t xml:space="preserve">In southeast </w:t>
      </w:r>
      <w:smartTag w:uri="urn:schemas-microsoft-com:office:smarttags" w:element="State">
        <w:r w:rsidRPr="00BF2AF9">
          <w:rPr>
            <w:szCs w:val="22"/>
          </w:rPr>
          <w:t>Florida</w:t>
        </w:r>
      </w:smartTag>
      <w:r w:rsidRPr="00BF2AF9">
        <w:rPr>
          <w:szCs w:val="22"/>
        </w:rPr>
        <w:t xml:space="preserve">, the Biscayne aquifer supplies virtually all the water needs for over 4 million residents in densely populated Dade, Broward, </w:t>
      </w:r>
      <w:smartTag w:uri="urn:schemas-microsoft-com:office:smarttags" w:element="City">
        <w:r w:rsidRPr="00BF2AF9">
          <w:rPr>
            <w:szCs w:val="22"/>
          </w:rPr>
          <w:t>Palm Beach</w:t>
        </w:r>
      </w:smartTag>
      <w:r w:rsidRPr="00BF2AF9">
        <w:rPr>
          <w:szCs w:val="22"/>
        </w:rPr>
        <w:t xml:space="preserve"> and </w:t>
      </w:r>
      <w:smartTag w:uri="urn:schemas-microsoft-com:office:smarttags" w:element="PlaceName">
        <w:smartTag w:uri="urn:schemas-microsoft-com:office:smarttags" w:element="place">
          <w:r w:rsidRPr="00BF2AF9">
            <w:rPr>
              <w:szCs w:val="22"/>
            </w:rPr>
            <w:t>Monroe</w:t>
          </w:r>
        </w:smartTag>
        <w:r w:rsidRPr="00BF2AF9">
          <w:rPr>
            <w:szCs w:val="22"/>
          </w:rPr>
          <w:t xml:space="preserve"> </w:t>
        </w:r>
        <w:smartTag w:uri="urn:schemas-microsoft-com:office:smarttags" w:element="PlaceType">
          <w:r w:rsidRPr="00BF2AF9">
            <w:rPr>
              <w:szCs w:val="22"/>
            </w:rPr>
            <w:t>Counties</w:t>
          </w:r>
        </w:smartTag>
      </w:smartTag>
      <w:r w:rsidRPr="00BF2AF9">
        <w:rPr>
          <w:szCs w:val="22"/>
        </w:rPr>
        <w:t>.  This aquifer provides 18% (</w:t>
      </w:r>
      <w:r>
        <w:rPr>
          <w:szCs w:val="22"/>
        </w:rPr>
        <w:t>1237</w:t>
      </w:r>
      <w:r w:rsidRPr="00BF2AF9">
        <w:rPr>
          <w:szCs w:val="22"/>
        </w:rPr>
        <w:t xml:space="preserve"> </w:t>
      </w:r>
      <w:r>
        <w:rPr>
          <w:szCs w:val="22"/>
        </w:rPr>
        <w:t>MGD</w:t>
      </w:r>
      <w:r w:rsidRPr="00BF2AF9">
        <w:rPr>
          <w:szCs w:val="22"/>
        </w:rPr>
        <w:t xml:space="preserve">) of </w:t>
      </w:r>
      <w:smartTag w:uri="urn:schemas-microsoft-com:office:smarttags" w:element="State">
        <w:smartTag w:uri="urn:schemas-microsoft-com:office:smarttags" w:element="place">
          <w:r w:rsidRPr="00BF2AF9">
            <w:rPr>
              <w:szCs w:val="22"/>
            </w:rPr>
            <w:t>Florida</w:t>
          </w:r>
        </w:smartTag>
      </w:smartTag>
      <w:r w:rsidRPr="00BF2AF9">
        <w:rPr>
          <w:szCs w:val="22"/>
        </w:rPr>
        <w:t>’s potable water supplies.  The EPA has designated the Biscayne Aquifer as a sole source drinking water aquifer.</w:t>
      </w:r>
    </w:p>
    <w:p w:rsidR="00485094" w:rsidRPr="00BF2AF9" w:rsidRDefault="00485094" w:rsidP="00D34410">
      <w:pPr>
        <w:pStyle w:val="ListBullet"/>
        <w:rPr>
          <w:szCs w:val="22"/>
        </w:rPr>
      </w:pPr>
      <w:r w:rsidRPr="00BF2AF9">
        <w:rPr>
          <w:szCs w:val="22"/>
        </w:rPr>
        <w:t xml:space="preserve">The sand and gravel aquifer, the major source of water supply in the western part of the </w:t>
      </w:r>
      <w:smartTag w:uri="urn:schemas-microsoft-com:office:smarttags" w:element="State">
        <w:r w:rsidRPr="00BF2AF9">
          <w:rPr>
            <w:szCs w:val="22"/>
          </w:rPr>
          <w:t>Florida</w:t>
        </w:r>
      </w:smartTag>
      <w:r w:rsidRPr="00BF2AF9">
        <w:rPr>
          <w:szCs w:val="22"/>
        </w:rPr>
        <w:t xml:space="preserve"> Panhandle, provides 2% (1</w:t>
      </w:r>
      <w:r>
        <w:rPr>
          <w:szCs w:val="22"/>
        </w:rPr>
        <w:t>37</w:t>
      </w:r>
      <w:r w:rsidRPr="00BF2AF9">
        <w:rPr>
          <w:szCs w:val="22"/>
        </w:rPr>
        <w:t xml:space="preserve"> </w:t>
      </w:r>
      <w:r>
        <w:rPr>
          <w:szCs w:val="22"/>
        </w:rPr>
        <w:t>MGD</w:t>
      </w:r>
      <w:r w:rsidRPr="00BF2AF9">
        <w:rPr>
          <w:szCs w:val="22"/>
        </w:rPr>
        <w:t xml:space="preserve">) of </w:t>
      </w:r>
      <w:smartTag w:uri="urn:schemas-microsoft-com:office:smarttags" w:element="State">
        <w:smartTag w:uri="urn:schemas-microsoft-com:office:smarttags" w:element="place">
          <w:r w:rsidRPr="00BF2AF9">
            <w:rPr>
              <w:szCs w:val="22"/>
            </w:rPr>
            <w:t>Florida</w:t>
          </w:r>
        </w:smartTag>
      </w:smartTag>
      <w:r w:rsidRPr="00BF2AF9">
        <w:rPr>
          <w:szCs w:val="22"/>
        </w:rPr>
        <w:t xml:space="preserve">’s potable water.  </w:t>
      </w:r>
    </w:p>
    <w:p w:rsidR="00485094" w:rsidRDefault="00485094" w:rsidP="004454B8">
      <w:pPr>
        <w:pStyle w:val="Bodytext"/>
      </w:pPr>
    </w:p>
    <w:p w:rsidR="00485094" w:rsidRDefault="00485094" w:rsidP="008423A9">
      <w:pPr>
        <w:pStyle w:val="Heading3"/>
      </w:pPr>
      <w:bookmarkStart w:id="96" w:name="_Toc74537777"/>
      <w:bookmarkStart w:id="97" w:name="_Toc74537933"/>
      <w:bookmarkStart w:id="98" w:name="_Toc78886305"/>
      <w:bookmarkStart w:id="99" w:name="_Toc255822497"/>
      <w:bookmarkStart w:id="100" w:name="_Toc271279941"/>
      <w:r w:rsidRPr="00B21AEC">
        <w:t>Surface Water–Ground Water Interactions</w:t>
      </w:r>
      <w:bookmarkEnd w:id="96"/>
      <w:bookmarkEnd w:id="97"/>
      <w:bookmarkEnd w:id="98"/>
      <w:bookmarkEnd w:id="99"/>
      <w:bookmarkEnd w:id="100"/>
    </w:p>
    <w:p w:rsidR="00485094" w:rsidRDefault="00485094" w:rsidP="00D34410">
      <w:pPr>
        <w:pStyle w:val="Bodytext"/>
      </w:pPr>
      <w:smartTag w:uri="urn:schemas-microsoft-com:office:smarttags" w:element="State">
        <w:smartTag w:uri="urn:schemas-microsoft-com:office:smarttags" w:element="place">
          <w:r>
            <w:t>Florida</w:t>
          </w:r>
        </w:smartTag>
      </w:smartTag>
      <w:r>
        <w:t xml:space="preserve">’s low relief, coupled with its geologic history, has created unique hydrogeologic features.  Large areas are characterized by karst topography, which forms when ground water dissolves limestone.  Landforms in these areas include streams that disappear underground, springs and seeps where ground water rises to the surface, sinkholes, and caves.  Surface water commonly drains underground and later reappears, sometimes in a completely different surface water basin from where it entered the ground.  For example, drainage from a large karst area in </w:t>
      </w:r>
      <w:smartTag w:uri="urn:schemas-microsoft-com:office:smarttags" w:element="PlaceName">
        <w:r>
          <w:t>Marion</w:t>
        </w:r>
      </w:smartTag>
      <w:r>
        <w:t xml:space="preserve"> </w:t>
      </w:r>
      <w:smartTag w:uri="urn:schemas-microsoft-com:office:smarttags" w:element="PlaceName">
        <w:r>
          <w:t>County</w:t>
        </w:r>
      </w:smartTag>
      <w:r>
        <w:t xml:space="preserve"> provides water for Silver Springs, which discharges to the </w:t>
      </w:r>
      <w:smartTag w:uri="urn:schemas-microsoft-com:office:smarttags" w:element="PlaceName">
        <w:r>
          <w:t>Ocklawaha</w:t>
        </w:r>
      </w:smartTag>
      <w:r>
        <w:t xml:space="preserve"> </w:t>
      </w:r>
      <w:smartTag w:uri="urn:schemas-microsoft-com:office:smarttags" w:element="PlaceType">
        <w:r>
          <w:t>River</w:t>
        </w:r>
      </w:smartTag>
      <w:r>
        <w:t xml:space="preserve"> and then to the St. Johns River and the </w:t>
      </w:r>
      <w:smartTag w:uri="urn:schemas-microsoft-com:office:smarttags" w:element="place">
        <w:r>
          <w:t>Atlantic Ocean</w:t>
        </w:r>
      </w:smartTag>
      <w:r>
        <w:t xml:space="preserve">.  Karst areas in western Marion County provide water for Rainbow Springs, which discharges to the </w:t>
      </w:r>
      <w:smartTag w:uri="urn:schemas-microsoft-com:office:smarttags" w:element="PlaceName">
        <w:r>
          <w:t>Withlacoochee</w:t>
        </w:r>
      </w:smartTag>
      <w:r>
        <w:t xml:space="preserve"> </w:t>
      </w:r>
      <w:smartTag w:uri="urn:schemas-microsoft-com:office:smarttags" w:element="PlaceType">
        <w:r>
          <w:t>River</w:t>
        </w:r>
      </w:smartTag>
      <w:r>
        <w:t xml:space="preserve"> and then to the </w:t>
      </w:r>
      <w:smartTag w:uri="urn:schemas-microsoft-com:office:smarttags" w:element="place">
        <w:r>
          <w:t>Gulf of Mexico</w:t>
        </w:r>
      </w:smartTag>
      <w:r>
        <w:t>.</w:t>
      </w:r>
    </w:p>
    <w:p w:rsidR="00485094" w:rsidRDefault="00485094" w:rsidP="00D34410">
      <w:pPr>
        <w:pStyle w:val="Bodytext"/>
      </w:pPr>
    </w:p>
    <w:p w:rsidR="00485094" w:rsidRDefault="00485094" w:rsidP="00D34410">
      <w:pPr>
        <w:pStyle w:val="Bodytext"/>
      </w:pPr>
      <w:r>
        <w:t xml:space="preserve">Florida's sandy soils, high average rainfall, shallow water table, and porous karst terrain promote close and extensive interactions between ground water and surface water.  By the same mechanisms, surface waters recharge underground aquifers.  The fact that </w:t>
      </w:r>
      <w:smartTag w:uri="urn:schemas-microsoft-com:office:smarttags" w:element="State">
        <w:r>
          <w:t>Florida</w:t>
        </w:r>
      </w:smartTag>
      <w:r>
        <w:t xml:space="preserve"> contains more than one-third of the first-magnitude springs in the </w:t>
      </w:r>
      <w:smartTag w:uri="urn:schemas-microsoft-com:office:smarttags" w:element="country-region">
        <w:smartTag w:uri="urn:schemas-microsoft-com:office:smarttags" w:element="place">
          <w:r>
            <w:t>United States</w:t>
          </w:r>
        </w:smartTag>
      </w:smartTag>
      <w:r>
        <w:t xml:space="preserve"> is an indication of significant ground water and surface water interchange.  Most lakes and streams receive some ground water, but in a significant number of watersheds, ground water inflow contributes to the base flow for streams.  In the </w:t>
      </w:r>
      <w:smartTag w:uri="urn:schemas-microsoft-com:office:smarttags" w:element="PlaceType">
        <w:r>
          <w:t>Springs</w:t>
        </w:r>
      </w:smartTag>
      <w:r>
        <w:t xml:space="preserve"> </w:t>
      </w:r>
      <w:smartTag w:uri="urn:schemas-microsoft-com:office:smarttags" w:element="PlaceType">
        <w:r>
          <w:t>Coast</w:t>
        </w:r>
      </w:smartTag>
      <w:r>
        <w:t xml:space="preserve"> region of western </w:t>
      </w:r>
      <w:smartTag w:uri="urn:schemas-microsoft-com:office:smarttags" w:element="State">
        <w:smartTag w:uri="urn:schemas-microsoft-com:office:smarttags" w:element="place">
          <w:r>
            <w:t>Florida</w:t>
          </w:r>
        </w:smartTag>
      </w:smartTag>
      <w:r>
        <w:t>, for example, ground water provides 70% to 80% of the flow in spring runs.</w:t>
      </w:r>
    </w:p>
    <w:p w:rsidR="00485094" w:rsidRDefault="00485094" w:rsidP="00173D87">
      <w:pPr>
        <w:pStyle w:val="Bodytext"/>
      </w:pPr>
    </w:p>
    <w:p w:rsidR="00485094" w:rsidRDefault="00485094" w:rsidP="00173D87">
      <w:pPr>
        <w:pStyle w:val="Bodytext"/>
      </w:pPr>
      <w:r>
        <w:t>A hydrologic divide interrupts the movement of Florida’s ground water and surface water (</w:t>
      </w:r>
      <w:r w:rsidRPr="00035B69">
        <w:rPr>
          <w:b/>
          <w:i/>
        </w:rPr>
        <w:t>Figure 2.4</w:t>
      </w:r>
      <w:r>
        <w:t xml:space="preserve">).  The divide is represented by an approximate line extending from near Cedar Key on the </w:t>
      </w:r>
      <w:smartTag w:uri="urn:schemas-microsoft-com:office:smarttags" w:element="PlaceType">
        <w:r>
          <w:t>Gulf</w:t>
        </w:r>
      </w:smartTag>
      <w:r>
        <w:t xml:space="preserve"> </w:t>
      </w:r>
      <w:smartTag w:uri="urn:schemas-microsoft-com:office:smarttags" w:element="PlaceType">
        <w:r>
          <w:t>Coast</w:t>
        </w:r>
      </w:smartTag>
      <w:r>
        <w:t xml:space="preserve"> to </w:t>
      </w:r>
      <w:smartTag w:uri="urn:schemas-microsoft-com:office:smarttags" w:element="PlaceName">
        <w:r>
          <w:t>New</w:t>
        </w:r>
      </w:smartTag>
      <w:r>
        <w:t xml:space="preserve"> </w:t>
      </w:r>
      <w:smartTag w:uri="urn:schemas-microsoft-com:office:smarttags" w:element="PlaceName">
        <w:r>
          <w:t>Smyrna</w:t>
        </w:r>
      </w:smartTag>
      <w:r>
        <w:t xml:space="preserve"> </w:t>
      </w:r>
      <w:smartTag w:uri="urn:schemas-microsoft-com:office:smarttags" w:element="PlaceType">
        <w:r>
          <w:t>Beach</w:t>
        </w:r>
      </w:smartTag>
      <w:r>
        <w:t xml:space="preserve"> on the </w:t>
      </w:r>
      <w:smartTag w:uri="urn:schemas-microsoft-com:office:smarttags" w:element="PlaceName">
        <w:smartTag w:uri="urn:schemas-microsoft-com:office:smarttags" w:element="place">
          <w:r>
            <w:t>Atlantic</w:t>
          </w:r>
        </w:smartTag>
        <w:r>
          <w:t xml:space="preserve"> </w:t>
        </w:r>
        <w:smartTag w:uri="urn:schemas-microsoft-com:office:smarttags" w:element="PlaceType">
          <w:r>
            <w:t>Coast</w:t>
          </w:r>
        </w:smartTag>
      </w:smartTag>
      <w:r>
        <w:t xml:space="preserve">.  Except for the </w:t>
      </w:r>
      <w:smartTag w:uri="urn:schemas-microsoft-com:office:smarttags" w:element="City">
        <w:r>
          <w:t>St. Johns</w:t>
        </w:r>
      </w:smartTag>
      <w:r>
        <w:t xml:space="preserve"> and </w:t>
      </w:r>
      <w:smartTag w:uri="urn:schemas-microsoft-com:office:smarttags" w:element="PlaceName">
        <w:smartTag w:uri="urn:schemas-microsoft-com:office:smarttags" w:element="place">
          <w:r>
            <w:t>Ocklawaha</w:t>
          </w:r>
        </w:smartTag>
        <w:r>
          <w:t xml:space="preserve"> </w:t>
        </w:r>
        <w:smartTag w:uri="urn:schemas-microsoft-com:office:smarttags" w:element="PlaceType">
          <w:r>
            <w:t>Rivers</w:t>
          </w:r>
        </w:smartTag>
      </w:smartTag>
      <w:r>
        <w:t xml:space="preserve">, little, if any, surface water or ground water moves across this barrier.  Most major rivers north of the line receive part of their discharges from outside </w:t>
      </w:r>
      <w:smartTag w:uri="urn:schemas-microsoft-com:office:smarttags" w:element="State">
        <w:smartTag w:uri="urn:schemas-microsoft-com:office:smarttags" w:element="place">
          <w:r>
            <w:t>Florida</w:t>
          </w:r>
        </w:smartTag>
      </w:smartTag>
      <w:r>
        <w:t>, in addition to rain.  South of the divide, rain is the sole fresh water source.  Hydrologically, the half of Florida lying south of the divide is isolated.  About 75% of the state’s population lives in this area in peninsular Florida.</w:t>
      </w:r>
    </w:p>
    <w:p w:rsidR="00485094" w:rsidRDefault="00485094" w:rsidP="00173D87">
      <w:pPr>
        <w:autoSpaceDE w:val="0"/>
        <w:autoSpaceDN w:val="0"/>
        <w:adjustRightInd w:val="0"/>
        <w:rPr>
          <w:rFonts w:ascii="Arial" w:hAnsi="Arial" w:cs="Arial"/>
          <w:bCs/>
          <w:sz w:val="22"/>
          <w:szCs w:val="22"/>
        </w:rPr>
      </w:pPr>
    </w:p>
    <w:p w:rsidR="00485094" w:rsidRDefault="00485094">
      <w:pPr>
        <w:rPr>
          <w:rFonts w:ascii="Arial" w:hAnsi="Arial"/>
          <w:b/>
          <w:i/>
          <w:sz w:val="20"/>
          <w:szCs w:val="20"/>
        </w:rPr>
      </w:pPr>
      <w:r>
        <w:br w:type="page"/>
      </w:r>
    </w:p>
    <w:p w:rsidR="00485094" w:rsidRDefault="00485094" w:rsidP="00173D87">
      <w:pPr>
        <w:pStyle w:val="Caption"/>
      </w:pPr>
      <w:bookmarkStart w:id="101" w:name="_Toc271280141"/>
      <w:r>
        <w:lastRenderedPageBreak/>
        <w:t>Figure 2.4.  Florida’s Hydrologic Divide</w:t>
      </w:r>
      <w:bookmarkEnd w:id="101"/>
    </w:p>
    <w:p w:rsidR="00485094" w:rsidRDefault="00485094" w:rsidP="00C16590">
      <w:pPr>
        <w:pStyle w:val="Bodytextreduced"/>
      </w:pPr>
    </w:p>
    <w:p w:rsidR="00485094" w:rsidRDefault="00A74EF3" w:rsidP="00D34410">
      <w:pPr>
        <w:pStyle w:val="Bodytext"/>
      </w:pPr>
      <w:r>
        <w:rPr>
          <w:noProof/>
        </w:rPr>
        <w:pict>
          <v:rect id="_x0000_s1037" style="position:absolute;margin-left:4.1pt;margin-top:4.2pt;width:414.7pt;height:332.05pt;z-index:-251648512" o:regroupid="6">
            <o:lock v:ext="edit" aspectratio="t"/>
          </v:rect>
        </w:pict>
      </w:r>
      <w:r>
        <w:pict>
          <v:group id="_x0000_s1038" alt="Figure 2.4.  Florida’s Hydrologic Divide" style="width:422.45pt;height:294.35pt;mso-position-horizontal-relative:char;mso-position-vertical-relative:line" coordorigin="8936,1724" coordsize="5342,3934" o:regroupid="6">
            <o:lock v:ext="edit" aspectratio="t"/>
            <v:rect id="_x0000_s1039" style="position:absolute;left:10611;top:1724;width:3667;height:3348" filled="f" fillcolor="#396" stroked="f">
              <v:fill opacity=".5"/>
              <o:lock v:ext="edit" aspectratio="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9322;top:2133;width:3661;height:3344;mso-wrap-edited:f" wrapcoords="460 -631 -77 0 -77 21521 21677 21521 21753 21521 22213 20891 22213 -631 460 -631" fillcolor="window" strokecolor="#333">
              <v:imagedata r:id="rId23" o:title="" gain="79922f"/>
              <v:shadow on="t" color="white" offset="6pt,-6pt"/>
            </v:shape>
            <v:shape id="_x0000_s1041" type="#_x0000_t202" style="position:absolute;left:8936;top:3259;width:2261;height:2399" filled="f" stroked="f">
              <o:lock v:ext="edit" aspectratio="t"/>
              <v:textbox style="mso-next-textbox:#_x0000_s1041">
                <w:txbxContent>
                  <w:p w:rsidR="00A75953" w:rsidRPr="00C935F8" w:rsidRDefault="00A75953" w:rsidP="00173D87">
                    <w:pPr>
                      <w:jc w:val="center"/>
                    </w:pPr>
                  </w:p>
                </w:txbxContent>
              </v:textbox>
            </v:shape>
            <w10:wrap type="none"/>
            <w10:anchorlock/>
          </v:group>
        </w:pict>
      </w:r>
    </w:p>
    <w:p w:rsidR="00485094" w:rsidRDefault="00485094" w:rsidP="00D34410">
      <w:pPr>
        <w:pStyle w:val="Bodytext"/>
      </w:pPr>
    </w:p>
    <w:p w:rsidR="00485094" w:rsidRDefault="00485094" w:rsidP="00D34410">
      <w:pPr>
        <w:pStyle w:val="Bodytext"/>
      </w:pPr>
    </w:p>
    <w:p w:rsidR="00485094" w:rsidRDefault="00485094" w:rsidP="00D34410">
      <w:pPr>
        <w:pStyle w:val="Bodytext"/>
      </w:pPr>
    </w:p>
    <w:p w:rsidR="00485094" w:rsidRDefault="00485094" w:rsidP="00D34410">
      <w:pPr>
        <w:pStyle w:val="Bodytext"/>
      </w:pPr>
    </w:p>
    <w:p w:rsidR="00485094" w:rsidRDefault="00485094" w:rsidP="00C16590">
      <w:pPr>
        <w:pStyle w:val="Bodytextreduced"/>
      </w:pPr>
    </w:p>
    <w:p w:rsidR="00485094" w:rsidRDefault="00485094" w:rsidP="00C16590">
      <w:pPr>
        <w:pStyle w:val="Bodytextreduced"/>
      </w:pPr>
      <w:r w:rsidRPr="00C16590">
        <w:rPr>
          <w:b/>
        </w:rPr>
        <w:t>Source:</w:t>
      </w:r>
      <w:r>
        <w:t xml:space="preserve">  Fernald and Purdum, 1998</w:t>
      </w:r>
    </w:p>
    <w:p w:rsidR="00485094" w:rsidRDefault="00485094" w:rsidP="00D34410">
      <w:pPr>
        <w:pStyle w:val="Bodytext"/>
      </w:pPr>
    </w:p>
    <w:p w:rsidR="00485094" w:rsidRDefault="00485094">
      <w:pPr>
        <w:rPr>
          <w:rFonts w:ascii="Arial" w:hAnsi="Arial"/>
          <w:sz w:val="16"/>
          <w:szCs w:val="20"/>
        </w:rPr>
      </w:pPr>
      <w:bookmarkStart w:id="102" w:name="_Chapter_3:_"/>
      <w:bookmarkStart w:id="103" w:name="_Toc255822498"/>
      <w:bookmarkEnd w:id="102"/>
      <w:r>
        <w:br w:type="page"/>
      </w:r>
    </w:p>
    <w:p w:rsidR="00FC6EE0" w:rsidRDefault="00FC6EE0" w:rsidP="00FC6EE0">
      <w:pPr>
        <w:pStyle w:val="Bodytextreduced"/>
      </w:pPr>
      <w:bookmarkStart w:id="104" w:name="_Toc255822504"/>
      <w:bookmarkStart w:id="105" w:name="_Toc271279942"/>
      <w:bookmarkEnd w:id="103"/>
    </w:p>
    <w:p w:rsidR="00485094" w:rsidRDefault="00485094">
      <w:pPr>
        <w:pStyle w:val="Heading1"/>
      </w:pPr>
      <w:r>
        <w:t>Chapter 3:  Public Health Issues and Emerging STATE Concerns and Initiatives</w:t>
      </w:r>
      <w:bookmarkEnd w:id="104"/>
      <w:bookmarkEnd w:id="105"/>
    </w:p>
    <w:p w:rsidR="00485094" w:rsidRDefault="00485094" w:rsidP="00C32BB7">
      <w:pPr>
        <w:pStyle w:val="Bodytext"/>
      </w:pPr>
    </w:p>
    <w:p w:rsidR="00485094" w:rsidRPr="00C32BB7" w:rsidRDefault="00485094" w:rsidP="00C32BB7">
      <w:pPr>
        <w:pStyle w:val="Bodytext"/>
      </w:pPr>
      <w:r w:rsidRPr="00C32BB7">
        <w:t>This chapter describes the major water quality-related public health issues and emerging concer</w:t>
      </w:r>
      <w:r>
        <w:t xml:space="preserve">ns facing the </w:t>
      </w:r>
      <w:r w:rsidR="00B97320">
        <w:t>state</w:t>
      </w:r>
      <w:r>
        <w:t xml:space="preserve">. </w:t>
      </w:r>
      <w:r w:rsidRPr="00C32BB7">
        <w:t xml:space="preserve"> </w:t>
      </w:r>
      <w:r>
        <w:t>It</w:t>
      </w:r>
      <w:r w:rsidRPr="00C32BB7">
        <w:t xml:space="preserve"> is important to note that Florida has </w:t>
      </w:r>
      <w:r w:rsidR="00B97320" w:rsidRPr="00C32BB7">
        <w:t>well</w:t>
      </w:r>
      <w:r w:rsidR="00B97320">
        <w:t>-</w:t>
      </w:r>
      <w:r w:rsidRPr="00C32BB7">
        <w:t xml:space="preserve">established programs, including the permitting and Total Maximum Daily Load (TMDL) programs, that address these issues, and that Florida has made great progress in reducing pollutant discharges to </w:t>
      </w:r>
      <w:r w:rsidR="00B97320">
        <w:t>s</w:t>
      </w:r>
      <w:r w:rsidR="00B97320" w:rsidRPr="00C32BB7">
        <w:t xml:space="preserve">tate </w:t>
      </w:r>
      <w:r w:rsidRPr="00C32BB7">
        <w:t>waters and restoring impaired waters.</w:t>
      </w:r>
      <w:r>
        <w:t xml:space="preserve"> </w:t>
      </w:r>
      <w:r w:rsidRPr="00C32BB7">
        <w:t xml:space="preserve"> </w:t>
      </w:r>
      <w:hyperlink w:anchor="_Chapter_11:_" w:history="1">
        <w:r w:rsidR="00A03A97" w:rsidRPr="00512DF2">
          <w:rPr>
            <w:rStyle w:val="Hyperlink"/>
            <w:snapToGrid w:val="0"/>
          </w:rPr>
          <w:t>Chapter 11</w:t>
        </w:r>
      </w:hyperlink>
      <w:r w:rsidR="00A03A97">
        <w:t xml:space="preserve"> describes t</w:t>
      </w:r>
      <w:r w:rsidRPr="00C32BB7">
        <w:t>hese programs in detail</w:t>
      </w:r>
      <w:r w:rsidR="00A03A97">
        <w:t>, as well as</w:t>
      </w:r>
      <w:r w:rsidRPr="00C32BB7">
        <w:t xml:space="preserve"> specific initiatives designed to address emerging concerns</w:t>
      </w:r>
      <w:r>
        <w:t xml:space="preserve">. </w:t>
      </w:r>
      <w:r w:rsidRPr="00C32BB7">
        <w:t xml:space="preserve"> Specifi</w:t>
      </w:r>
      <w:r>
        <w:t>c examples of the progress that</w:t>
      </w:r>
      <w:r w:rsidRPr="00C32BB7">
        <w:t xml:space="preserve"> Florida has made towards reducing nutrient pollution in the Indian River Lagoon, Lake Apopka, Sarasota Bay, and Tampa Bay are </w:t>
      </w:r>
      <w:r w:rsidR="00B97320">
        <w:t>available</w:t>
      </w:r>
      <w:r w:rsidR="00B97320" w:rsidRPr="00C32BB7">
        <w:t xml:space="preserve"> </w:t>
      </w:r>
      <w:r w:rsidRPr="00C32BB7">
        <w:t xml:space="preserve">on </w:t>
      </w:r>
      <w:r w:rsidR="00B97320">
        <w:t xml:space="preserve">the </w:t>
      </w:r>
      <w:hyperlink r:id="rId24" w:history="1">
        <w:r w:rsidRPr="00B97320">
          <w:rPr>
            <w:rStyle w:val="Hyperlink"/>
          </w:rPr>
          <w:t xml:space="preserve">EPA </w:t>
        </w:r>
        <w:r w:rsidR="00B97320">
          <w:rPr>
            <w:rStyle w:val="Hyperlink"/>
          </w:rPr>
          <w:t xml:space="preserve">Watershed Improvement Summaries </w:t>
        </w:r>
        <w:r w:rsidRPr="00B97320">
          <w:rPr>
            <w:rStyle w:val="Hyperlink"/>
          </w:rPr>
          <w:t>website</w:t>
        </w:r>
      </w:hyperlink>
      <w:r w:rsidR="00B97320">
        <w:t>.</w:t>
      </w:r>
      <w:r w:rsidRPr="00C32BB7">
        <w:t xml:space="preserve"> </w:t>
      </w:r>
    </w:p>
    <w:p w:rsidR="00485094" w:rsidRPr="00C32BB7" w:rsidRDefault="00485094" w:rsidP="00C32BB7">
      <w:pPr>
        <w:pStyle w:val="Bodytext"/>
      </w:pPr>
    </w:p>
    <w:p w:rsidR="00485094" w:rsidRDefault="00485094">
      <w:pPr>
        <w:pStyle w:val="Heading2"/>
        <w:rPr>
          <w:snapToGrid w:val="0"/>
        </w:rPr>
      </w:pPr>
      <w:bookmarkStart w:id="106" w:name="_Toc271279943"/>
      <w:r>
        <w:rPr>
          <w:snapToGrid w:val="0"/>
        </w:rPr>
        <w:t>Public Health Issues</w:t>
      </w:r>
      <w:bookmarkEnd w:id="106"/>
    </w:p>
    <w:p w:rsidR="00485094" w:rsidRPr="006F7EFE" w:rsidRDefault="00865445" w:rsidP="006F7EFE">
      <w:pPr>
        <w:pStyle w:val="Heading3"/>
      </w:pPr>
      <w:bookmarkStart w:id="107" w:name="_Toc271279944"/>
      <w:r w:rsidRPr="00865445">
        <w:t>Drinking Water</w:t>
      </w:r>
      <w:bookmarkEnd w:id="107"/>
      <w:r w:rsidRPr="00865445">
        <w:t xml:space="preserve"> </w:t>
      </w:r>
    </w:p>
    <w:p w:rsidR="00485094" w:rsidRDefault="00485094" w:rsidP="00E10C9E">
      <w:pPr>
        <w:pStyle w:val="Bodytext"/>
      </w:pPr>
      <w:r>
        <w:t>FDEP</w:t>
      </w:r>
      <w:r w:rsidRPr="00697898">
        <w:t xml:space="preserve"> has the primary role of regulating public water systems in Florida</w:t>
      </w:r>
      <w:r>
        <w:t xml:space="preserve">, under </w:t>
      </w:r>
      <w:r w:rsidRPr="00697898">
        <w:t>Chapter 403, Part IV, F</w:t>
      </w:r>
      <w:r>
        <w:t>.S.,</w:t>
      </w:r>
      <w:r w:rsidRPr="00697898">
        <w:t xml:space="preserve"> and by delegation of the federal program from the </w:t>
      </w:r>
      <w:r>
        <w:t>EPA</w:t>
      </w:r>
      <w:r w:rsidRPr="00697898">
        <w:t xml:space="preserve">. </w:t>
      </w:r>
      <w:r>
        <w:t xml:space="preserve"> </w:t>
      </w:r>
      <w:r>
        <w:rPr>
          <w:snapToGrid w:val="0"/>
        </w:rPr>
        <w:t xml:space="preserve">The section entitled </w:t>
      </w:r>
      <w:r w:rsidRPr="00712D87">
        <w:rPr>
          <w:snapToGrid w:val="0"/>
        </w:rPr>
        <w:t>Overview of Ground Water Protection Programs</w:t>
      </w:r>
      <w:r>
        <w:rPr>
          <w:snapToGrid w:val="0"/>
        </w:rPr>
        <w:t xml:space="preserve"> in </w:t>
      </w:r>
      <w:hyperlink w:anchor="_Chapter_11:_" w:history="1">
        <w:r w:rsidRPr="00512DF2">
          <w:rPr>
            <w:rStyle w:val="Hyperlink"/>
            <w:snapToGrid w:val="0"/>
          </w:rPr>
          <w:t>Chapter 11</w:t>
        </w:r>
      </w:hyperlink>
      <w:r>
        <w:rPr>
          <w:snapToGrid w:val="0"/>
        </w:rPr>
        <w:t xml:space="preserve"> describes FDEP’s ongoing efforts to protect drinking water supplies.</w:t>
      </w:r>
    </w:p>
    <w:p w:rsidR="00485094" w:rsidRDefault="00485094" w:rsidP="00E10C9E">
      <w:pPr>
        <w:pStyle w:val="Bodytext"/>
      </w:pPr>
    </w:p>
    <w:p w:rsidR="00485094" w:rsidRDefault="00485094" w:rsidP="00E10C9E">
      <w:pPr>
        <w:pStyle w:val="Bodytext"/>
        <w:rPr>
          <w:snapToGrid w:val="0"/>
        </w:rPr>
      </w:pPr>
      <w:r w:rsidRPr="00697898">
        <w:t xml:space="preserve">A public water system is one that provides water to 25 or more people for at least 60 days each year or serves 15 or more service connections. </w:t>
      </w:r>
      <w:r>
        <w:t xml:space="preserve"> </w:t>
      </w:r>
      <w:r w:rsidRPr="00697898">
        <w:t xml:space="preserve">These public water systems may be publicly or privately owned and operated. </w:t>
      </w:r>
      <w:r>
        <w:t xml:space="preserve"> </w:t>
      </w:r>
      <w:r>
        <w:rPr>
          <w:snapToGrid w:val="0"/>
        </w:rPr>
        <w:t xml:space="preserve">Additional information is available on the </w:t>
      </w:r>
      <w:hyperlink r:id="rId25" w:history="1">
        <w:r>
          <w:rPr>
            <w:rStyle w:val="Hyperlink"/>
            <w:snapToGrid w:val="0"/>
          </w:rPr>
          <w:t>FDEP D</w:t>
        </w:r>
        <w:r w:rsidRPr="0032174A">
          <w:rPr>
            <w:rStyle w:val="Hyperlink"/>
            <w:snapToGrid w:val="0"/>
          </w:rPr>
          <w:t>rinking Water Program websi</w:t>
        </w:r>
        <w:r>
          <w:rPr>
            <w:rStyle w:val="Hyperlink"/>
            <w:snapToGrid w:val="0"/>
          </w:rPr>
          <w:t>te</w:t>
        </w:r>
      </w:hyperlink>
      <w:r>
        <w:rPr>
          <w:snapToGrid w:val="0"/>
        </w:rPr>
        <w:t>.</w:t>
      </w:r>
    </w:p>
    <w:p w:rsidR="00485094" w:rsidRDefault="00485094" w:rsidP="00E10C9E">
      <w:pPr>
        <w:pStyle w:val="Bodytext"/>
        <w:rPr>
          <w:snapToGrid w:val="0"/>
        </w:rPr>
      </w:pPr>
    </w:p>
    <w:p w:rsidR="00485094" w:rsidRDefault="00485094" w:rsidP="00E10C9E">
      <w:pPr>
        <w:pStyle w:val="Bodytext"/>
      </w:pPr>
      <w:r>
        <w:t>The Florida Department of Health (FDOH) and the c</w:t>
      </w:r>
      <w:r w:rsidRPr="00697898">
        <w:t>ounty health departments</w:t>
      </w:r>
      <w:r>
        <w:t xml:space="preserve"> regulate v</w:t>
      </w:r>
      <w:r w:rsidRPr="00697898">
        <w:t xml:space="preserve">ery small water systems </w:t>
      </w:r>
      <w:r>
        <w:t>that</w:t>
      </w:r>
      <w:r w:rsidRPr="00697898">
        <w:t xml:space="preserve"> provide water for public consumption, but </w:t>
      </w:r>
      <w:r>
        <w:t>that</w:t>
      </w:r>
      <w:r w:rsidRPr="00697898">
        <w:t xml:space="preserve"> do not fall under the definition</w:t>
      </w:r>
      <w:r>
        <w:t xml:space="preserve"> of public water systems.  Additional information is available on the </w:t>
      </w:r>
      <w:hyperlink r:id="rId26" w:history="1">
        <w:r w:rsidRPr="0032174A">
          <w:rPr>
            <w:rStyle w:val="Hyperlink"/>
          </w:rPr>
          <w:t xml:space="preserve">FDOH </w:t>
        </w:r>
        <w:bookmarkStart w:id="108" w:name="_Hlt255983817"/>
        <w:bookmarkStart w:id="109" w:name="_Hlt255983818"/>
        <w:r>
          <w:rPr>
            <w:rStyle w:val="Hyperlink"/>
          </w:rPr>
          <w:t xml:space="preserve">Bureau of Water Programs </w:t>
        </w:r>
        <w:r w:rsidRPr="0032174A">
          <w:rPr>
            <w:rStyle w:val="Hyperlink"/>
          </w:rPr>
          <w:t>w</w:t>
        </w:r>
        <w:bookmarkEnd w:id="108"/>
        <w:bookmarkEnd w:id="109"/>
        <w:r w:rsidRPr="0032174A">
          <w:rPr>
            <w:rStyle w:val="Hyperlink"/>
          </w:rPr>
          <w:t>ebsite</w:t>
        </w:r>
      </w:hyperlink>
      <w:r>
        <w:t>.  The water management districts regulate the construction</w:t>
      </w:r>
      <w:r w:rsidRPr="00697898">
        <w:t xml:space="preserve"> of water wells, both public and private, and the quantities of water that may be extracted.</w:t>
      </w:r>
    </w:p>
    <w:p w:rsidR="00485094" w:rsidRDefault="00485094" w:rsidP="00E10C9E">
      <w:pPr>
        <w:pStyle w:val="Bodytext"/>
      </w:pPr>
    </w:p>
    <w:p w:rsidR="00485094" w:rsidRDefault="00485094" w:rsidP="006E47A7">
      <w:pPr>
        <w:pStyle w:val="Bodytext"/>
      </w:pPr>
      <w:r w:rsidRPr="00BB6F7B">
        <w:t>Arsenic has been found in potable water wells and monitoring wells in Florida</w:t>
      </w:r>
      <w:r>
        <w:t xml:space="preserve">. </w:t>
      </w:r>
      <w:r w:rsidRPr="00BB6F7B">
        <w:t xml:space="preserve"> </w:t>
      </w:r>
      <w:r>
        <w:t>R</w:t>
      </w:r>
      <w:r w:rsidRPr="00BB6F7B">
        <w:t>egions with high exceedance levels include the Springs Coast, Lower St. Johns, Ocklawaha, Suwannee, Withlacoochee, and Tampa Bay Tributaries Basins.  The source of arsenic in ground water may be naturally occurring, anthropogenic, or released into ground water because of human activities.  Throughout Florida, arsenic is a naturally occurring, stable element associated with pyrite compounds, as well as with powellite compounds in some limestone formations in which ground water occurs.  Potential anthropogenic sources include arsenic-based pesticides applied to cotton fields, citrus groves, golf courses, and cattle-dipping vats (which were used until the 1960s).</w:t>
      </w:r>
      <w:r>
        <w:t xml:space="preserve">  </w:t>
      </w:r>
      <w:r w:rsidR="00B97320">
        <w:rPr>
          <w:rFonts w:cs="Arial"/>
          <w:szCs w:val="22"/>
        </w:rPr>
        <w:t xml:space="preserve">Higher </w:t>
      </w:r>
      <w:r>
        <w:rPr>
          <w:rFonts w:cs="Arial"/>
          <w:szCs w:val="22"/>
        </w:rPr>
        <w:t>numbers of</w:t>
      </w:r>
      <w:r w:rsidRPr="00630C34">
        <w:rPr>
          <w:rFonts w:cs="Arial"/>
          <w:szCs w:val="22"/>
        </w:rPr>
        <w:t xml:space="preserve"> re</w:t>
      </w:r>
      <w:r>
        <w:rPr>
          <w:rFonts w:cs="Arial"/>
          <w:szCs w:val="22"/>
        </w:rPr>
        <w:t xml:space="preserve">ported </w:t>
      </w:r>
      <w:r w:rsidR="00B97320">
        <w:rPr>
          <w:rFonts w:cs="Arial"/>
          <w:szCs w:val="22"/>
        </w:rPr>
        <w:t xml:space="preserve">exceedances </w:t>
      </w:r>
      <w:r>
        <w:rPr>
          <w:rFonts w:cs="Arial"/>
          <w:szCs w:val="22"/>
        </w:rPr>
        <w:t>can</w:t>
      </w:r>
      <w:r w:rsidRPr="00630C34">
        <w:rPr>
          <w:rFonts w:cs="Arial"/>
          <w:szCs w:val="22"/>
        </w:rPr>
        <w:t xml:space="preserve"> be considered an artifact of the change in the EPA arsenic standard for ground</w:t>
      </w:r>
      <w:r w:rsidR="00B97320">
        <w:rPr>
          <w:rFonts w:cs="Arial"/>
          <w:szCs w:val="22"/>
        </w:rPr>
        <w:t xml:space="preserve"> </w:t>
      </w:r>
      <w:r w:rsidRPr="00630C34">
        <w:rPr>
          <w:rFonts w:cs="Arial"/>
          <w:szCs w:val="22"/>
        </w:rPr>
        <w:t>water, which was reduced from 50 to 10</w:t>
      </w:r>
      <w:r w:rsidR="00B97320">
        <w:rPr>
          <w:rFonts w:cs="Arial"/>
          <w:szCs w:val="22"/>
        </w:rPr>
        <w:t xml:space="preserve"> mi</w:t>
      </w:r>
      <w:r w:rsidR="0070466C">
        <w:rPr>
          <w:rFonts w:cs="Arial"/>
          <w:szCs w:val="22"/>
        </w:rPr>
        <w:t>cro</w:t>
      </w:r>
      <w:r w:rsidR="00B97320">
        <w:rPr>
          <w:rFonts w:cs="Arial"/>
          <w:szCs w:val="22"/>
        </w:rPr>
        <w:t xml:space="preserve">grams per liter </w:t>
      </w:r>
      <w:r w:rsidR="0070466C">
        <w:rPr>
          <w:rFonts w:cs="Arial"/>
          <w:szCs w:val="22"/>
        </w:rPr>
        <w:t>(</w:t>
      </w:r>
      <w:r w:rsidR="0070466C">
        <w:rPr>
          <w:rFonts w:ascii="Symbol" w:hAnsi="Symbol" w:cs="Arial"/>
          <w:szCs w:val="22"/>
        </w:rPr>
        <w:t></w:t>
      </w:r>
      <w:r w:rsidR="00B97320">
        <w:rPr>
          <w:rFonts w:cs="Arial"/>
          <w:szCs w:val="22"/>
        </w:rPr>
        <w:t>g</w:t>
      </w:r>
      <w:r w:rsidRPr="00630C34">
        <w:rPr>
          <w:rFonts w:cs="Arial"/>
          <w:szCs w:val="22"/>
        </w:rPr>
        <w:t>/L</w:t>
      </w:r>
      <w:r w:rsidR="00B97320">
        <w:rPr>
          <w:rFonts w:cs="Arial"/>
          <w:szCs w:val="22"/>
        </w:rPr>
        <w:t>)</w:t>
      </w:r>
      <w:r w:rsidRPr="00630C34">
        <w:rPr>
          <w:rFonts w:cs="Arial"/>
          <w:szCs w:val="22"/>
        </w:rPr>
        <w:t xml:space="preserve"> in 2001, and was fully implemented in 2006.  </w:t>
      </w:r>
    </w:p>
    <w:p w:rsidR="00485094" w:rsidRDefault="00485094" w:rsidP="006E47A7"/>
    <w:p w:rsidR="00485094" w:rsidRDefault="00485094" w:rsidP="006E47A7">
      <w:pPr>
        <w:pStyle w:val="Bodytext"/>
      </w:pPr>
      <w:r>
        <w:lastRenderedPageBreak/>
        <w:t>Recent studies indicate that human disturbance that introduces water or oxygen into arsenic-bearing limestone can lead to the release of soluble arsenic from the rock matrix.  Activities such as mining, well drilling, Aquifer Storage and Recovery (ASR) projects, (Arthur et al</w:t>
      </w:r>
      <w:r w:rsidR="00B97320">
        <w:t>.</w:t>
      </w:r>
      <w:r>
        <w:t>, 2002; Price and Pichler, 2006), or overpumping have all been shown to release previously stable arsenic into ground water.  In addition, drought can lower the water table, allowing oxygen to permeate and leach arsenic compounds from sediments.</w:t>
      </w:r>
    </w:p>
    <w:p w:rsidR="00485094" w:rsidRPr="009876F8" w:rsidRDefault="00485094" w:rsidP="00B07E24">
      <w:pPr>
        <w:pStyle w:val="Bodytext"/>
        <w:rPr>
          <w:i/>
        </w:rPr>
      </w:pPr>
    </w:p>
    <w:p w:rsidR="0064329B" w:rsidRDefault="00485094">
      <w:pPr>
        <w:pStyle w:val="Heading3"/>
        <w:rPr>
          <w:snapToGrid w:val="0"/>
        </w:rPr>
      </w:pPr>
      <w:bookmarkStart w:id="110" w:name="_Toc271279945"/>
      <w:r w:rsidRPr="00452B77">
        <w:rPr>
          <w:snapToGrid w:val="0"/>
        </w:rPr>
        <w:t>Healthy Beaches Program</w:t>
      </w:r>
      <w:bookmarkEnd w:id="110"/>
    </w:p>
    <w:p w:rsidR="00485094" w:rsidRDefault="00485094" w:rsidP="009876F8">
      <w:pPr>
        <w:pStyle w:val="Bodytext"/>
      </w:pPr>
      <w:r>
        <w:t xml:space="preserve">As part of Florida’s Healthy Beaches Program, FDOH monitors the state’s coastal beaches for elevated levels of bacteria.  In August 2000, the beach water sampling program was extended to all 34 of Florida's coastal counties through state legislation (Senate Bill </w:t>
      </w:r>
      <w:r w:rsidR="00FD5E79">
        <w:t xml:space="preserve">[SB] </w:t>
      </w:r>
      <w:r>
        <w:t>1412 and House Bill 2145) and funding.  With additional funding from the EPA in 2002, the program was expanded to include weekly sampling for fecal coliform and enterococci bacteria at 304 beach locations throughout Florida.</w:t>
      </w:r>
    </w:p>
    <w:p w:rsidR="00485094" w:rsidRDefault="00485094" w:rsidP="009876F8">
      <w:pPr>
        <w:pStyle w:val="Bodytext"/>
      </w:pPr>
    </w:p>
    <w:p w:rsidR="00485094" w:rsidRDefault="00485094" w:rsidP="009876F8">
      <w:pPr>
        <w:pStyle w:val="Bodytext"/>
      </w:pPr>
      <w:r>
        <w:t xml:space="preserve">In a healthy environment, an array of bacteria is normally found in the soil, on plants, on and in ourselves, our pets and other animals, and in water.  When concentrations of bacteria are too high, they can present problems themselves, or they can be an indicator of other organisms that can cause problems to humans.  The two bacteria types that normally inhabit the intestinal tract of humans and animals and are used as indicators of fecal pollution are fecal coliform and enterococci. </w:t>
      </w:r>
    </w:p>
    <w:p w:rsidR="00485094" w:rsidRDefault="00485094" w:rsidP="009876F8">
      <w:pPr>
        <w:pStyle w:val="Bodytext"/>
      </w:pPr>
    </w:p>
    <w:p w:rsidR="00485094" w:rsidRDefault="00485094" w:rsidP="009876F8">
      <w:pPr>
        <w:pStyle w:val="Bodytext"/>
      </w:pPr>
      <w:r>
        <w:t xml:space="preserve">The presence of elevated levels of these bacteria in water is an indication of possible pollution that may come from stormwater runoff, pets, wildlife, or human sewage.  While not necessarily pathogenic, their presence in high concentrations in recreational waters indicates that pathogens may be present.  If waste pathogens are present and they are ingested while swimming, or if they enter the skin through a cut or sore, the bacteria may cause illness.  The most commonly reported ailments are gastrointestinal distress and skin rashes.  The rationale for selecting these two bacteria for analysis and the implications of the sampling results are described in more detail on the </w:t>
      </w:r>
      <w:hyperlink r:id="rId27" w:history="1">
        <w:r w:rsidRPr="00CA657B">
          <w:rPr>
            <w:rStyle w:val="Hyperlink"/>
          </w:rPr>
          <w:t xml:space="preserve">FDOH </w:t>
        </w:r>
        <w:r>
          <w:rPr>
            <w:rStyle w:val="Hyperlink"/>
          </w:rPr>
          <w:t xml:space="preserve">Florida Healthy Beaches Program </w:t>
        </w:r>
        <w:r w:rsidRPr="00CA657B">
          <w:rPr>
            <w:rStyle w:val="Hyperlink"/>
          </w:rPr>
          <w:t>website</w:t>
        </w:r>
      </w:hyperlink>
      <w:r>
        <w:t xml:space="preserve">. </w:t>
      </w:r>
    </w:p>
    <w:p w:rsidR="00485094" w:rsidRDefault="00485094" w:rsidP="009876F8">
      <w:pPr>
        <w:pStyle w:val="Bodytext"/>
      </w:pPr>
    </w:p>
    <w:p w:rsidR="00485094" w:rsidRDefault="00485094" w:rsidP="009876F8">
      <w:pPr>
        <w:pStyle w:val="Bodytext"/>
      </w:pPr>
      <w:r>
        <w:t>If a sampling event leads to a "poor" bacterial indicator result in a single sample, then the county health department immediately collects a resample or, if a resample cannot be taken, immediately issues an advisory.  If a resample confirms the high result, an advisory is then issued, signs are posted parallel to the sample point, FDOH posts the results on its website, and the news media are notified.</w:t>
      </w:r>
    </w:p>
    <w:p w:rsidR="00485094" w:rsidRDefault="00485094" w:rsidP="009876F8">
      <w:pPr>
        <w:pStyle w:val="Bodytext"/>
      </w:pPr>
    </w:p>
    <w:p w:rsidR="00485094" w:rsidRDefault="00485094" w:rsidP="009876F8">
      <w:pPr>
        <w:pStyle w:val="Bodytext"/>
      </w:pPr>
      <w:r>
        <w:t>If the total number of calendar days in a year that FDOH issues a swimming advisory exceeds 21 days for a given beach, FDEP places the waterbody on its list of potentially impaired waters (the Planning List), so that the bacteriological contamination can be verified and its sources identified and addressed.</w:t>
      </w:r>
    </w:p>
    <w:p w:rsidR="00485094" w:rsidRDefault="00485094" w:rsidP="009876F8">
      <w:pPr>
        <w:pStyle w:val="Bodytext"/>
      </w:pPr>
    </w:p>
    <w:p w:rsidR="00485094" w:rsidRDefault="00485094" w:rsidP="009876F8">
      <w:pPr>
        <w:pStyle w:val="Bodytext"/>
      </w:pPr>
      <w:r>
        <w:t xml:space="preserve">The most recent sampling results and information on beach closures are available on the </w:t>
      </w:r>
      <w:hyperlink r:id="rId28" w:history="1">
        <w:r>
          <w:rPr>
            <w:rStyle w:val="Hyperlink"/>
          </w:rPr>
          <w:t>FDOH F</w:t>
        </w:r>
        <w:r w:rsidRPr="00CA657B">
          <w:rPr>
            <w:rStyle w:val="Hyperlink"/>
          </w:rPr>
          <w:t>lorida Healthy Beaches Program website</w:t>
        </w:r>
      </w:hyperlink>
      <w:r>
        <w:t>.  Also available on the website is a program overview with the sampling history (1998 - 2000) of the original counties included in the program and the counties that were added.</w:t>
      </w:r>
    </w:p>
    <w:p w:rsidR="00485094" w:rsidRDefault="00485094" w:rsidP="009876F8">
      <w:pPr>
        <w:pStyle w:val="BodyText0"/>
        <w:rPr>
          <w:snapToGrid w:val="0"/>
          <w:sz w:val="22"/>
          <w:szCs w:val="22"/>
        </w:rPr>
      </w:pPr>
    </w:p>
    <w:p w:rsidR="00485094" w:rsidRPr="00452B77" w:rsidRDefault="00485094" w:rsidP="006F7EFE">
      <w:pPr>
        <w:pStyle w:val="Heading3"/>
        <w:rPr>
          <w:snapToGrid w:val="0"/>
        </w:rPr>
      </w:pPr>
      <w:bookmarkStart w:id="111" w:name="_Toc271279946"/>
      <w:r w:rsidRPr="00452B77">
        <w:rPr>
          <w:snapToGrid w:val="0"/>
        </w:rPr>
        <w:lastRenderedPageBreak/>
        <w:t>Bacterial and Mercury Contamination</w:t>
      </w:r>
      <w:bookmarkEnd w:id="111"/>
    </w:p>
    <w:p w:rsidR="00485094" w:rsidRDefault="00485094" w:rsidP="00E10C9E">
      <w:pPr>
        <w:pStyle w:val="Bodytext"/>
        <w:rPr>
          <w:snapToGrid w:val="0"/>
        </w:rPr>
      </w:pPr>
      <w:r>
        <w:rPr>
          <w:snapToGrid w:val="0"/>
        </w:rPr>
        <w:t>Assessment results indicate that several human health-related designated uses are not always maintained in Florida’s surface waters.  Specifically, primary contact and recreation use support and shellfish harvesting use support are sometimes limited by the presence of bacteria in the water column, and fish consumption use support is commonly limited by the presence of mercury in fish tissue for a number of species in many waters across the state.</w:t>
      </w:r>
    </w:p>
    <w:p w:rsidR="00485094" w:rsidRDefault="00485094" w:rsidP="00E10C9E">
      <w:pPr>
        <w:pStyle w:val="Bodytext"/>
        <w:rPr>
          <w:snapToGrid w:val="0"/>
        </w:rPr>
      </w:pPr>
    </w:p>
    <w:p w:rsidR="00485094" w:rsidRDefault="00485094" w:rsidP="00E10C9E">
      <w:pPr>
        <w:pStyle w:val="Bodytext"/>
        <w:rPr>
          <w:snapToGrid w:val="0"/>
        </w:rPr>
      </w:pPr>
      <w:r>
        <w:rPr>
          <w:snapToGrid w:val="0"/>
        </w:rPr>
        <w:t xml:space="preserve">It is important to note, however, that these impairments are not based on documented impacts on public health.  Florida has extensive monitoring programs that issue beach advisories, shellfish bed closures, and fish consumption advisories when ambient samples reach predetermined thresholds.  These thresholds are conservatively designed to protect public health against the potential effects of exposure to bacteria (in water and shellfish) and mercury (in fish tissue).  </w:t>
      </w:r>
    </w:p>
    <w:p w:rsidR="00485094" w:rsidRPr="00FE6CEA" w:rsidRDefault="00485094" w:rsidP="00E10C9E">
      <w:pPr>
        <w:pStyle w:val="BodyText0"/>
        <w:rPr>
          <w:sz w:val="22"/>
          <w:szCs w:val="22"/>
        </w:rPr>
      </w:pPr>
    </w:p>
    <w:p w:rsidR="00485094" w:rsidRPr="00E94853" w:rsidRDefault="00485094" w:rsidP="00E10C9E">
      <w:pPr>
        <w:pStyle w:val="BodyText0"/>
        <w:rPr>
          <w:sz w:val="22"/>
          <w:szCs w:val="22"/>
        </w:rPr>
      </w:pPr>
      <w:r>
        <w:rPr>
          <w:sz w:val="22"/>
          <w:szCs w:val="22"/>
        </w:rPr>
        <w:t xml:space="preserve">The </w:t>
      </w:r>
      <w:hyperlink r:id="rId29" w:history="1">
        <w:r w:rsidRPr="0066290A">
          <w:rPr>
            <w:rStyle w:val="Hyperlink"/>
            <w:sz w:val="22"/>
            <w:szCs w:val="22"/>
          </w:rPr>
          <w:t>FDEP South Florida Mercury Science Program website</w:t>
        </w:r>
      </w:hyperlink>
      <w:r>
        <w:rPr>
          <w:sz w:val="22"/>
          <w:szCs w:val="22"/>
        </w:rPr>
        <w:t xml:space="preserve"> provides information on the mercury issue and links t</w:t>
      </w:r>
      <w:r w:rsidRPr="00FE6CEA">
        <w:rPr>
          <w:sz w:val="22"/>
          <w:szCs w:val="22"/>
        </w:rPr>
        <w:t xml:space="preserve">o other useful </w:t>
      </w:r>
      <w:r>
        <w:rPr>
          <w:sz w:val="22"/>
          <w:szCs w:val="22"/>
        </w:rPr>
        <w:t xml:space="preserve">websites dealing with mercury.  Information on the latest fish consumption advisories is available on the </w:t>
      </w:r>
      <w:hyperlink r:id="rId30" w:history="1">
        <w:r w:rsidRPr="0032174A">
          <w:rPr>
            <w:rStyle w:val="Hyperlink"/>
            <w:sz w:val="22"/>
            <w:szCs w:val="22"/>
          </w:rPr>
          <w:t xml:space="preserve">FDOH </w:t>
        </w:r>
        <w:bookmarkStart w:id="112" w:name="_Hlt255983727"/>
        <w:bookmarkStart w:id="113" w:name="_Hlt255983728"/>
        <w:r>
          <w:rPr>
            <w:rStyle w:val="Hyperlink"/>
            <w:sz w:val="22"/>
            <w:szCs w:val="22"/>
          </w:rPr>
          <w:t>Fish Consum</w:t>
        </w:r>
        <w:bookmarkStart w:id="114" w:name="_Hlt255994521"/>
        <w:bookmarkStart w:id="115" w:name="_Hlt255994522"/>
        <w:r>
          <w:rPr>
            <w:rStyle w:val="Hyperlink"/>
            <w:sz w:val="22"/>
            <w:szCs w:val="22"/>
          </w:rPr>
          <w:t>p</w:t>
        </w:r>
        <w:bookmarkEnd w:id="114"/>
        <w:bookmarkEnd w:id="115"/>
        <w:r>
          <w:rPr>
            <w:rStyle w:val="Hyperlink"/>
            <w:sz w:val="22"/>
            <w:szCs w:val="22"/>
          </w:rPr>
          <w:t xml:space="preserve">tion Advisory </w:t>
        </w:r>
        <w:r w:rsidRPr="0032174A">
          <w:rPr>
            <w:rStyle w:val="Hyperlink"/>
            <w:sz w:val="22"/>
            <w:szCs w:val="22"/>
          </w:rPr>
          <w:t>w</w:t>
        </w:r>
        <w:bookmarkEnd w:id="112"/>
        <w:bookmarkEnd w:id="113"/>
        <w:r w:rsidRPr="0032174A">
          <w:rPr>
            <w:rStyle w:val="Hyperlink"/>
            <w:sz w:val="22"/>
            <w:szCs w:val="22"/>
          </w:rPr>
          <w:t>ebsite</w:t>
        </w:r>
      </w:hyperlink>
      <w:r w:rsidRPr="002A4619">
        <w:rPr>
          <w:sz w:val="22"/>
          <w:szCs w:val="22"/>
        </w:rPr>
        <w:t xml:space="preserve">.  </w:t>
      </w:r>
      <w:r>
        <w:rPr>
          <w:sz w:val="22"/>
          <w:szCs w:val="22"/>
        </w:rPr>
        <w:t xml:space="preserve">Information on shellfish bed closures is available on the </w:t>
      </w:r>
      <w:hyperlink r:id="rId31" w:history="1">
        <w:r>
          <w:rPr>
            <w:rStyle w:val="Hyperlink"/>
            <w:sz w:val="22"/>
            <w:szCs w:val="22"/>
          </w:rPr>
          <w:t>FDACS Shellfish Harvesting</w:t>
        </w:r>
        <w:r w:rsidRPr="0032174A">
          <w:rPr>
            <w:rStyle w:val="Hyperlink"/>
            <w:sz w:val="22"/>
            <w:szCs w:val="22"/>
          </w:rPr>
          <w:t xml:space="preserve"> website</w:t>
        </w:r>
      </w:hyperlink>
      <w:r>
        <w:rPr>
          <w:sz w:val="22"/>
          <w:szCs w:val="22"/>
        </w:rPr>
        <w:t xml:space="preserve">.  </w:t>
      </w:r>
      <w:r w:rsidRPr="00F729AC">
        <w:rPr>
          <w:sz w:val="22"/>
          <w:szCs w:val="22"/>
        </w:rPr>
        <w:t xml:space="preserve">Recent sampling results and information on beach closures are available on the </w:t>
      </w:r>
      <w:hyperlink r:id="rId32" w:history="1">
        <w:r w:rsidRPr="00F729AC">
          <w:rPr>
            <w:rStyle w:val="Hyperlink"/>
            <w:sz w:val="22"/>
            <w:szCs w:val="22"/>
          </w:rPr>
          <w:t>FDOH Florida Healthy Beaches Program website</w:t>
        </w:r>
      </w:hyperlink>
      <w:r w:rsidRPr="00F729AC">
        <w:rPr>
          <w:sz w:val="22"/>
          <w:szCs w:val="22"/>
        </w:rPr>
        <w:t xml:space="preserve">.  </w:t>
      </w:r>
    </w:p>
    <w:p w:rsidR="00485094" w:rsidRPr="00E94853" w:rsidRDefault="00485094" w:rsidP="00E10C9E">
      <w:pPr>
        <w:pStyle w:val="BodyText0"/>
        <w:rPr>
          <w:sz w:val="22"/>
          <w:szCs w:val="22"/>
        </w:rPr>
      </w:pPr>
    </w:p>
    <w:p w:rsidR="00485094" w:rsidRPr="00452B77" w:rsidRDefault="00485094" w:rsidP="006F7EFE">
      <w:pPr>
        <w:pStyle w:val="Heading3"/>
        <w:rPr>
          <w:snapToGrid w:val="0"/>
        </w:rPr>
      </w:pPr>
      <w:bookmarkStart w:id="116" w:name="_Toc271279947"/>
      <w:r w:rsidRPr="00452B77">
        <w:rPr>
          <w:snapToGrid w:val="0"/>
        </w:rPr>
        <w:t>Harmful Algal Blooms</w:t>
      </w:r>
      <w:bookmarkEnd w:id="116"/>
    </w:p>
    <w:p w:rsidR="00485094" w:rsidRDefault="00485094" w:rsidP="004A3C3B">
      <w:pPr>
        <w:pStyle w:val="Bodytext"/>
        <w:rPr>
          <w:snapToGrid w:val="0"/>
        </w:rPr>
      </w:pPr>
      <w:r>
        <w:rPr>
          <w:snapToGrid w:val="0"/>
        </w:rPr>
        <w:t xml:space="preserve">Because of their potential public health threat, Florida closely tracks harmful algal blooms (HABs) in fresh waters as well as estuarine and marine waters.  Typically caused by excess nutrients, these blooms may produce toxins that can harm humans through exposure to contaminated shellfish, fish, dermal contact, and even the inhalation of aerosols.  They can also affect plant and animal communities.  Additional information on HABs is available on the </w:t>
      </w:r>
      <w:hyperlink r:id="rId33" w:history="1">
        <w:r w:rsidRPr="005B766F">
          <w:rPr>
            <w:rStyle w:val="Hyperlink"/>
            <w:snapToGrid w:val="0"/>
          </w:rPr>
          <w:t xml:space="preserve">FDOH </w:t>
        </w:r>
        <w:bookmarkStart w:id="117" w:name="_Hlt256589907"/>
        <w:r w:rsidRPr="005B766F">
          <w:rPr>
            <w:rStyle w:val="Hyperlink"/>
            <w:snapToGrid w:val="0"/>
          </w:rPr>
          <w:t>A</w:t>
        </w:r>
        <w:bookmarkEnd w:id="117"/>
        <w:r w:rsidRPr="005B766F">
          <w:rPr>
            <w:rStyle w:val="Hyperlink"/>
            <w:snapToGrid w:val="0"/>
          </w:rPr>
          <w:t xml:space="preserve">quatic Toxins </w:t>
        </w:r>
        <w:r>
          <w:rPr>
            <w:rStyle w:val="Hyperlink"/>
            <w:snapToGrid w:val="0"/>
          </w:rPr>
          <w:t xml:space="preserve">Program </w:t>
        </w:r>
        <w:r w:rsidRPr="005B766F">
          <w:rPr>
            <w:rStyle w:val="Hyperlink"/>
            <w:snapToGrid w:val="0"/>
          </w:rPr>
          <w:t>website</w:t>
        </w:r>
      </w:hyperlink>
      <w:r>
        <w:rPr>
          <w:snapToGrid w:val="0"/>
        </w:rPr>
        <w:t xml:space="preserve">.  Any illnesses caused by exposure to harmful algae can be reported to FDOH’s </w:t>
      </w:r>
      <w:r w:rsidRPr="004A3C3B">
        <w:rPr>
          <w:snapToGrid w:val="0"/>
        </w:rPr>
        <w:t>toll-free Aquatic Toxins Hotline</w:t>
      </w:r>
      <w:r>
        <w:rPr>
          <w:snapToGrid w:val="0"/>
        </w:rPr>
        <w:t xml:space="preserve"> (</w:t>
      </w:r>
      <w:r w:rsidRPr="004A3C3B">
        <w:rPr>
          <w:snapToGrid w:val="0"/>
        </w:rPr>
        <w:t>1-888-232-8635</w:t>
      </w:r>
      <w:r>
        <w:rPr>
          <w:snapToGrid w:val="0"/>
        </w:rPr>
        <w:t>).</w:t>
      </w:r>
    </w:p>
    <w:p w:rsidR="00485094" w:rsidRDefault="00485094" w:rsidP="00E10C9E">
      <w:pPr>
        <w:pStyle w:val="Bodytext"/>
      </w:pPr>
    </w:p>
    <w:p w:rsidR="00485094" w:rsidRPr="00456F87" w:rsidRDefault="00485094" w:rsidP="00FE04D0">
      <w:pPr>
        <w:pStyle w:val="Heading5"/>
      </w:pPr>
      <w:r w:rsidRPr="00456F87">
        <w:t>Freshwater HABs</w:t>
      </w:r>
    </w:p>
    <w:p w:rsidR="00485094" w:rsidRDefault="00485094" w:rsidP="00E10C9E">
      <w:pPr>
        <w:pStyle w:val="Bodytext"/>
      </w:pPr>
      <w:r>
        <w:t>T</w:t>
      </w:r>
      <w:r w:rsidRPr="00662DA3">
        <w:t xml:space="preserve">he occurrence of cyanobacteria </w:t>
      </w:r>
      <w:r>
        <w:t xml:space="preserve">(or blue-green algae) </w:t>
      </w:r>
      <w:r w:rsidRPr="00662DA3">
        <w:t xml:space="preserve">blooms </w:t>
      </w:r>
      <w:r>
        <w:t>has received increased attention in recent years because of</w:t>
      </w:r>
      <w:r w:rsidRPr="00662DA3">
        <w:t xml:space="preserve"> their potential to produce toxins that can harm humans, livestock, domestic animals, fish, and wildlife.  Blooms of cyanobacteria are frequently associated with elevated nutrient concentrations, slow-moving water, and warm temperatures</w:t>
      </w:r>
      <w:r>
        <w:t>;</w:t>
      </w:r>
      <w:r w:rsidRPr="00662DA3">
        <w:t xml:space="preserve"> </w:t>
      </w:r>
      <w:r>
        <w:t xml:space="preserve">however, </w:t>
      </w:r>
      <w:r w:rsidRPr="00662DA3">
        <w:t>significant blooms can occur</w:t>
      </w:r>
      <w:r>
        <w:t xml:space="preserve"> almost any time of year due to </w:t>
      </w:r>
      <w:r w:rsidR="009744BC">
        <w:t xml:space="preserve">Florida’s </w:t>
      </w:r>
      <w:r>
        <w:t>subtropical climate.</w:t>
      </w:r>
    </w:p>
    <w:p w:rsidR="00485094" w:rsidRPr="00662DA3" w:rsidRDefault="00485094" w:rsidP="00E10C9E">
      <w:pPr>
        <w:pStyle w:val="Bodytext"/>
      </w:pPr>
    </w:p>
    <w:p w:rsidR="00485094" w:rsidRPr="00D157C2" w:rsidRDefault="00485094" w:rsidP="00E10C9E">
      <w:pPr>
        <w:pStyle w:val="Bodytext"/>
      </w:pPr>
      <w:r w:rsidRPr="00381E7D">
        <w:t>Cyanotoxins are chemicals naturally produced by some species of cyanobacteria that can damage the liver (hepatotoxins), nervous system (neurotoxins), and skin (dermatotoxins) of humans and other animals.  Several cyanotoxins, namely microcystins and the lyngbyatoxins, are potent</w:t>
      </w:r>
      <w:r>
        <w:t>ial</w:t>
      </w:r>
      <w:r w:rsidRPr="00381E7D">
        <w:t xml:space="preserve"> tumor promoters.  Three classes of cyanotoxins (</w:t>
      </w:r>
      <w:r w:rsidRPr="00381E7D">
        <w:rPr>
          <w:color w:val="000000"/>
        </w:rPr>
        <w:t xml:space="preserve">anatoxin-a, microcystin-LR, and cylindrospermopsin) </w:t>
      </w:r>
      <w:r w:rsidRPr="00381E7D">
        <w:t xml:space="preserve">are on the 2009 </w:t>
      </w:r>
      <w:hyperlink r:id="rId34" w:anchor="chemical" w:history="1">
        <w:r>
          <w:rPr>
            <w:rStyle w:val="Hyperlink"/>
          </w:rPr>
          <w:t>EPA C</w:t>
        </w:r>
        <w:r w:rsidRPr="00B77587">
          <w:rPr>
            <w:rStyle w:val="Hyperlink"/>
          </w:rPr>
          <w:t>ontaminant Candidat</w:t>
        </w:r>
        <w:bookmarkStart w:id="118" w:name="_Hlt255994562"/>
        <w:bookmarkStart w:id="119" w:name="_Hlt255994563"/>
        <w:r w:rsidRPr="00B77587">
          <w:rPr>
            <w:rStyle w:val="Hyperlink"/>
          </w:rPr>
          <w:t>e</w:t>
        </w:r>
        <w:bookmarkEnd w:id="118"/>
        <w:bookmarkEnd w:id="119"/>
        <w:r w:rsidRPr="00B77587">
          <w:rPr>
            <w:rStyle w:val="Hyperlink"/>
          </w:rPr>
          <w:t xml:space="preserve"> </w:t>
        </w:r>
        <w:r>
          <w:rPr>
            <w:rStyle w:val="Hyperlink"/>
          </w:rPr>
          <w:t xml:space="preserve">3 </w:t>
        </w:r>
        <w:r w:rsidRPr="00B77587">
          <w:rPr>
            <w:rStyle w:val="Hyperlink"/>
          </w:rPr>
          <w:t>List</w:t>
        </w:r>
      </w:hyperlink>
      <w:r>
        <w:t xml:space="preserve">.  </w:t>
      </w:r>
      <w:r w:rsidRPr="00381E7D">
        <w:rPr>
          <w:color w:val="000000"/>
        </w:rPr>
        <w:t xml:space="preserve">The </w:t>
      </w:r>
      <w:r w:rsidRPr="00381E7D">
        <w:t xml:space="preserve">EPA uses this list to prioritize research and criteria </w:t>
      </w:r>
      <w:r w:rsidRPr="00D157C2">
        <w:t xml:space="preserve">development.  </w:t>
      </w:r>
    </w:p>
    <w:p w:rsidR="00485094" w:rsidRDefault="00485094" w:rsidP="00E10C9E">
      <w:pPr>
        <w:pStyle w:val="Bodytext"/>
      </w:pPr>
    </w:p>
    <w:p w:rsidR="00485094" w:rsidRPr="00381E7D" w:rsidRDefault="00485094" w:rsidP="00E10C9E">
      <w:pPr>
        <w:pStyle w:val="Bodytext"/>
      </w:pPr>
      <w:r w:rsidRPr="00381E7D">
        <w:t xml:space="preserve">Potentially toxigenic cyanobacteria have </w:t>
      </w:r>
      <w:r>
        <w:t xml:space="preserve">at times </w:t>
      </w:r>
      <w:r w:rsidRPr="00381E7D">
        <w:t>been found statewide in river and stream systems</w:t>
      </w:r>
      <w:r>
        <w:t xml:space="preserve">, as well as lakes and estuaries. </w:t>
      </w:r>
      <w:r w:rsidRPr="00381E7D">
        <w:t xml:space="preserve"> The results of the Cyanobacteria Survey Project (1999–2001), managed by the </w:t>
      </w:r>
      <w:hyperlink r:id="rId35" w:history="1">
        <w:r w:rsidRPr="00BE6A99">
          <w:rPr>
            <w:rStyle w:val="Hyperlink"/>
          </w:rPr>
          <w:t>Harmful Algal Blo</w:t>
        </w:r>
        <w:bookmarkStart w:id="120" w:name="_Hlt256592267"/>
        <w:bookmarkStart w:id="121" w:name="_Hlt256592268"/>
        <w:r w:rsidRPr="00BE6A99">
          <w:rPr>
            <w:rStyle w:val="Hyperlink"/>
          </w:rPr>
          <w:t>o</w:t>
        </w:r>
        <w:bookmarkEnd w:id="120"/>
        <w:bookmarkEnd w:id="121"/>
        <w:r w:rsidRPr="00BE6A99">
          <w:rPr>
            <w:rStyle w:val="Hyperlink"/>
          </w:rPr>
          <w:t>m Task Force</w:t>
        </w:r>
      </w:hyperlink>
      <w:r w:rsidRPr="00381E7D">
        <w:t xml:space="preserve"> at the FWC</w:t>
      </w:r>
      <w:r>
        <w:t>’s</w:t>
      </w:r>
      <w:r w:rsidRPr="00381E7D">
        <w:t xml:space="preserve"> Fish and Wildlife Research Institute</w:t>
      </w:r>
      <w:r w:rsidR="00533252">
        <w:t xml:space="preserve"> (FWRI)</w:t>
      </w:r>
      <w:r w:rsidRPr="00381E7D">
        <w:t xml:space="preserve">, indicated that the taxa </w:t>
      </w:r>
      <w:r w:rsidRPr="00381E7D">
        <w:rPr>
          <w:i/>
        </w:rPr>
        <w:t>Microcystis</w:t>
      </w:r>
      <w:r>
        <w:rPr>
          <w:i/>
        </w:rPr>
        <w:t xml:space="preserve"> aeruginosa</w:t>
      </w:r>
      <w:r w:rsidRPr="00381E7D">
        <w:rPr>
          <w:i/>
        </w:rPr>
        <w:t>, Anabaena</w:t>
      </w:r>
      <w:r>
        <w:rPr>
          <w:i/>
        </w:rPr>
        <w:t xml:space="preserve"> spp.</w:t>
      </w:r>
      <w:r w:rsidRPr="00381E7D">
        <w:rPr>
          <w:i/>
        </w:rPr>
        <w:t>,</w:t>
      </w:r>
      <w:r w:rsidRPr="00381E7D">
        <w:t xml:space="preserve"> and </w:t>
      </w:r>
      <w:r w:rsidRPr="00381E7D">
        <w:rPr>
          <w:i/>
        </w:rPr>
        <w:t xml:space="preserve">Cylindrospermopsis raciborskii </w:t>
      </w:r>
      <w:r w:rsidRPr="00381E7D">
        <w:t xml:space="preserve">were </w:t>
      </w:r>
      <w:r>
        <w:t xml:space="preserve">the </w:t>
      </w:r>
      <w:r w:rsidRPr="00381E7D">
        <w:t>dominant</w:t>
      </w:r>
      <w:r>
        <w:t xml:space="preserve"> species</w:t>
      </w:r>
      <w:r w:rsidRPr="00381E7D">
        <w:t xml:space="preserve">, while </w:t>
      </w:r>
      <w:r>
        <w:t xml:space="preserve">species with the genera </w:t>
      </w:r>
      <w:r w:rsidRPr="00381E7D">
        <w:rPr>
          <w:i/>
        </w:rPr>
        <w:lastRenderedPageBreak/>
        <w:t>Aphanizomenon, Planktothrix, Oscillatoria,</w:t>
      </w:r>
      <w:r w:rsidRPr="00381E7D">
        <w:t xml:space="preserve"> and </w:t>
      </w:r>
      <w:r w:rsidRPr="00381E7D">
        <w:rPr>
          <w:i/>
        </w:rPr>
        <w:t>Lyngbya</w:t>
      </w:r>
      <w:r w:rsidRPr="00381E7D">
        <w:t xml:space="preserve"> were also observed statewide but not as frequently.  Cyanotoxins (microcystins, </w:t>
      </w:r>
      <w:r>
        <w:t xml:space="preserve">saxitoxin, </w:t>
      </w:r>
      <w:r w:rsidRPr="00381E7D">
        <w:t xml:space="preserve">cylindrospermopsins, and anatoxin) were also found statewide.  </w:t>
      </w:r>
    </w:p>
    <w:p w:rsidR="00485094" w:rsidRDefault="00485094" w:rsidP="00E10C9E">
      <w:pPr>
        <w:pStyle w:val="Bodytext"/>
      </w:pPr>
    </w:p>
    <w:p w:rsidR="00485094" w:rsidRPr="00381E7D" w:rsidRDefault="00485094" w:rsidP="00E10C9E">
      <w:pPr>
        <w:pStyle w:val="Bodytext"/>
      </w:pPr>
      <w:r w:rsidRPr="00381E7D">
        <w:t xml:space="preserve">Measured concentrations of microcystins have been reported in some post-processed finished water from drinking water facilities in Florida.  Over a period of about 9 months, the 2000 Cyanobacteria Survey Project focused on water treatment plants that produced drinking water from surface waters.  On 6 occasions, microcystin levels (hepatotoxins) in finished samples were above the World Health Organization’s (WHO) suggested guideline level of 1 to 10 </w:t>
      </w:r>
      <w:r>
        <w:rPr>
          <w:rFonts w:ascii="Symbol" w:hAnsi="Symbol"/>
        </w:rPr>
        <w:t></w:t>
      </w:r>
      <w:r w:rsidRPr="00381E7D">
        <w:t xml:space="preserve">g/L for drinking water.  However, this level has a safety factor of 1,000 and is based on </w:t>
      </w:r>
      <w:r w:rsidR="009744BC" w:rsidRPr="00381E7D">
        <w:t>l</w:t>
      </w:r>
      <w:r w:rsidR="009744BC">
        <w:t>ong-</w:t>
      </w:r>
      <w:r>
        <w:t>term</w:t>
      </w:r>
      <w:r w:rsidRPr="00381E7D">
        <w:t xml:space="preserve"> exposure.  Further, the sample deviation at these low concentrations raised the issue of quality assurance, particularly considering the use of new analytical procedures and the lack of laboratory certification.  The results of a 2007 study by the FDEP Bureau of Laboratories indicated that there is as much as an order of magnitude difference in reported values between laboratories using different analytical methods.  </w:t>
      </w:r>
    </w:p>
    <w:p w:rsidR="00485094" w:rsidRDefault="00485094" w:rsidP="00E10C9E">
      <w:pPr>
        <w:pStyle w:val="Bodytext"/>
      </w:pPr>
    </w:p>
    <w:p w:rsidR="00485094" w:rsidRPr="00381E7D" w:rsidRDefault="00485094" w:rsidP="00E10C9E">
      <w:pPr>
        <w:pStyle w:val="Bodytext"/>
      </w:pPr>
      <w:r w:rsidRPr="00381E7D">
        <w:t xml:space="preserve">Florida has not established any water quality standards for cyanotoxins.  The WHO’s threshold is used as an indicator of potential adverse effects in </w:t>
      </w:r>
      <w:r>
        <w:t xml:space="preserve">potable </w:t>
      </w:r>
      <w:r w:rsidRPr="00381E7D">
        <w:t xml:space="preserve">drinking water.  There are no </w:t>
      </w:r>
      <w:r>
        <w:t xml:space="preserve">established </w:t>
      </w:r>
      <w:r w:rsidRPr="00381E7D">
        <w:t xml:space="preserve">limits </w:t>
      </w:r>
      <w:r w:rsidR="009744BC">
        <w:t>for</w:t>
      </w:r>
      <w:r w:rsidR="009744BC" w:rsidRPr="00381E7D">
        <w:t xml:space="preserve"> </w:t>
      </w:r>
      <w:r w:rsidRPr="00381E7D">
        <w:t xml:space="preserve">fish tissue concentrations or recreational exposure.  The FWC does not discourage people from eating fish from cyanobacteria bloom waters so long as the fish are active and appear healthy on the fishing line.  FDOH recommends that people do not drink, recreate, or irrigate with water that is experiencing a cyanobacteria bloom.  </w:t>
      </w:r>
    </w:p>
    <w:p w:rsidR="00485094" w:rsidRDefault="00485094" w:rsidP="00E10C9E">
      <w:pPr>
        <w:pStyle w:val="Bodytext"/>
      </w:pPr>
    </w:p>
    <w:p w:rsidR="00485094" w:rsidRPr="00381E7D" w:rsidRDefault="00485094" w:rsidP="00E10C9E">
      <w:pPr>
        <w:pStyle w:val="Bodytext"/>
      </w:pPr>
      <w:r w:rsidRPr="00381E7D">
        <w:t xml:space="preserve">Research by the FDEP Bureau of Laboratories on </w:t>
      </w:r>
      <w:r w:rsidRPr="00381E7D">
        <w:rPr>
          <w:i/>
        </w:rPr>
        <w:t>Microcystis aeruginosa</w:t>
      </w:r>
      <w:r w:rsidRPr="00381E7D">
        <w:t xml:space="preserve"> bloom samples from Lake Munson in Leon County, Florida, indicates that even nontoxin-producing blooms can contain strains of </w:t>
      </w:r>
      <w:r w:rsidRPr="00381E7D">
        <w:rPr>
          <w:i/>
        </w:rPr>
        <w:t>M. aeruginosa</w:t>
      </w:r>
      <w:r w:rsidRPr="00381E7D">
        <w:t xml:space="preserve"> that possess the gene for toxin production.  This suggests that, for reasons yet unknown, nontoxin-producing blooms can become toxin-producing blooms under the right environmental conditions.  This </w:t>
      </w:r>
      <w:r w:rsidR="009744BC">
        <w:t xml:space="preserve">finding </w:t>
      </w:r>
      <w:r w:rsidRPr="00381E7D">
        <w:t xml:space="preserve">supports the FDOH guidance to stay out of bloom waters regardless of </w:t>
      </w:r>
      <w:r w:rsidR="009744BC">
        <w:t xml:space="preserve">the </w:t>
      </w:r>
      <w:r w:rsidRPr="00381E7D">
        <w:t xml:space="preserve">toxin concentrations </w:t>
      </w:r>
      <w:r w:rsidR="009744BC">
        <w:t xml:space="preserve">that </w:t>
      </w:r>
      <w:r w:rsidRPr="00381E7D">
        <w:t>may have been reported, as conditions and toxin concentrations can change rapidly.</w:t>
      </w:r>
    </w:p>
    <w:p w:rsidR="00485094" w:rsidRDefault="00485094" w:rsidP="00E10C9E">
      <w:pPr>
        <w:pStyle w:val="Bodytext"/>
      </w:pPr>
    </w:p>
    <w:p w:rsidR="00485094" w:rsidRPr="00381E7D" w:rsidRDefault="00485094" w:rsidP="00E10C9E">
      <w:pPr>
        <w:pStyle w:val="Bodytext"/>
      </w:pPr>
      <w:r w:rsidRPr="00381E7D">
        <w:t>Several drinking water facilities in Florida monitor for cyanotoxins.  Reports from the WHO and other researchers around the world indicate that conventional treatment processes are effective at eliminating the algae and the toxin, so long as treatment media (e.g., activated carbon) in the systems are maintained.  The taste, odor, and color associated with the bloom provide a clear indication of its presence and initiate the use of additional treatment.  While these treatment techniques are used to control the taste, odor, and color of the water, they are also very effective at removing or degrading the toxins.</w:t>
      </w:r>
    </w:p>
    <w:p w:rsidR="00485094" w:rsidRDefault="00485094" w:rsidP="00E10C9E">
      <w:pPr>
        <w:pStyle w:val="Bodytext"/>
      </w:pPr>
    </w:p>
    <w:p w:rsidR="00485094" w:rsidRDefault="00485094" w:rsidP="00E10C9E">
      <w:pPr>
        <w:pStyle w:val="Bodytext"/>
      </w:pPr>
      <w:r w:rsidRPr="00381E7D">
        <w:t xml:space="preserve">FDOH and FDEP have collaborated to create a new Cyanobacteria Bloom Module in the FDOH Foodborne, Waterborne, and Vectorborne Disease Surveillance System (FWVSS) </w:t>
      </w:r>
      <w:r w:rsidR="00EE4CFE">
        <w:t>d</w:t>
      </w:r>
      <w:r w:rsidR="00EE4CFE" w:rsidRPr="00381E7D">
        <w:t>atabase</w:t>
      </w:r>
      <w:r w:rsidRPr="00381E7D">
        <w:t>.  The module allows each potential responding agency (e.g., FDOH and local county health units, FDEP, FWC, the water management districts, and FDACS) to enter a new case identification number for a cyanobacteria bloom.  This system can send email notifications to the cyanobacteria bloom contacts in each agency whenever a new bloom is reported or a significant update is made to an existing case.  The use of the new tool should help improve state agencies’ response to cyanobacteria blooms.</w:t>
      </w:r>
    </w:p>
    <w:p w:rsidR="00485094" w:rsidRPr="00381E7D" w:rsidRDefault="00485094" w:rsidP="00E10C9E">
      <w:pPr>
        <w:pStyle w:val="Bodytext"/>
      </w:pPr>
    </w:p>
    <w:p w:rsidR="00485094" w:rsidRDefault="00485094">
      <w:pPr>
        <w:pStyle w:val="Heading5"/>
      </w:pPr>
      <w:r w:rsidRPr="00CA461C">
        <w:lastRenderedPageBreak/>
        <w:t>Estuarine and Marine HABS</w:t>
      </w:r>
      <w:r w:rsidRPr="00712BDF">
        <w:rPr>
          <w:rStyle w:val="FootnoteReference"/>
          <w:szCs w:val="22"/>
        </w:rPr>
        <w:footnoteReference w:id="1"/>
      </w:r>
    </w:p>
    <w:p w:rsidR="00485094" w:rsidRDefault="00485094" w:rsidP="00E10C9E">
      <w:pPr>
        <w:pStyle w:val="Bodytext"/>
      </w:pPr>
      <w:r w:rsidRPr="00381E7D">
        <w:t>With more than 50 marine and estuarine HAB species present, the</w:t>
      </w:r>
      <w:r>
        <w:t>se species</w:t>
      </w:r>
      <w:r w:rsidRPr="00381E7D">
        <w:t xml:space="preserve"> have the potential to affect public health, cause economic losses, affect living resources, disturb ecosystems, and generate water quality problems.  Any highly concentrated bloom can reduce water quality, because decomposing and respiring cells contribute to the reduction (hypoxia) or absence of oxygen (anoxia), the production of nitrogenous byproducts, or the formation of toxic sulfides.  Declining water quality can lead to animal mortality or chronic diseases, species avoidance of an area, and reduced feeding.  Such </w:t>
      </w:r>
      <w:proofErr w:type="spellStart"/>
      <w:r w:rsidRPr="00381E7D">
        <w:t>sublethal</w:t>
      </w:r>
      <w:proofErr w:type="spellEnd"/>
      <w:r w:rsidRPr="00381E7D">
        <w:t>, chronic effects on habitats can have far-reaching impacts on animal and plant communities.</w:t>
      </w:r>
    </w:p>
    <w:p w:rsidR="00485094" w:rsidRDefault="00485094" w:rsidP="00E10C9E">
      <w:pPr>
        <w:pStyle w:val="Bodytext"/>
      </w:pPr>
    </w:p>
    <w:p w:rsidR="00485094" w:rsidRDefault="00485094" w:rsidP="00156E85">
      <w:pPr>
        <w:pStyle w:val="Bodytext"/>
      </w:pPr>
      <w:r>
        <w:t xml:space="preserve">Within the Gulf of Mexico, the National Oceanic and Atmospheric Administration (NOAA) </w:t>
      </w:r>
      <w:hyperlink r:id="rId36" w:history="1">
        <w:r w:rsidRPr="002B5A03">
          <w:rPr>
            <w:rStyle w:val="Hyperlink"/>
          </w:rPr>
          <w:t>Harmful Algal Bloom Operational Forecast Syste</w:t>
        </w:r>
        <w:r>
          <w:rPr>
            <w:rStyle w:val="Hyperlink"/>
          </w:rPr>
          <w:t>m website</w:t>
        </w:r>
      </w:hyperlink>
      <w:r>
        <w:t xml:space="preserve"> provides information on the location, extent, and potential for </w:t>
      </w:r>
      <w:r w:rsidR="009744BC">
        <w:t xml:space="preserve">the </w:t>
      </w:r>
      <w:r>
        <w:t>development or movement of HABs.  T</w:t>
      </w:r>
      <w:r w:rsidRPr="00156E85">
        <w:t xml:space="preserve">he </w:t>
      </w:r>
      <w:hyperlink r:id="rId37" w:history="1">
        <w:r w:rsidRPr="00156E85">
          <w:rPr>
            <w:rStyle w:val="Hyperlink"/>
          </w:rPr>
          <w:t>Gulf of Mexic</w:t>
        </w:r>
        <w:bookmarkStart w:id="122" w:name="_Hlt256592077"/>
        <w:bookmarkStart w:id="123" w:name="_Hlt256592078"/>
        <w:r w:rsidRPr="00156E85">
          <w:rPr>
            <w:rStyle w:val="Hyperlink"/>
          </w:rPr>
          <w:t>o</w:t>
        </w:r>
        <w:bookmarkEnd w:id="122"/>
        <w:bookmarkEnd w:id="123"/>
        <w:r w:rsidRPr="00156E85">
          <w:rPr>
            <w:rStyle w:val="Hyperlink"/>
          </w:rPr>
          <w:t xml:space="preserve"> Alliance</w:t>
        </w:r>
      </w:hyperlink>
      <w:r>
        <w:t>,</w:t>
      </w:r>
      <w:r w:rsidRPr="00156E85">
        <w:t xml:space="preserve"> a partnership </w:t>
      </w:r>
      <w:r w:rsidR="009744BC">
        <w:t>between</w:t>
      </w:r>
      <w:r w:rsidRPr="00156E85">
        <w:t xml:space="preserve"> Alabama, Florida, Louisiana, Mississippi, and Texas, </w:t>
      </w:r>
      <w:r>
        <w:t>is working to increase</w:t>
      </w:r>
      <w:r w:rsidRPr="00156E85">
        <w:t xml:space="preserve"> regional collaboration to enhance the </w:t>
      </w:r>
      <w:r>
        <w:t xml:space="preserve">Gulf’s </w:t>
      </w:r>
      <w:r w:rsidRPr="00156E85">
        <w:t>ecological and economic health.</w:t>
      </w:r>
      <w:r>
        <w:t xml:space="preserve">  </w:t>
      </w:r>
      <w:r w:rsidRPr="00156E85">
        <w:t>Reduc</w:t>
      </w:r>
      <w:r>
        <w:t>ing</w:t>
      </w:r>
      <w:r w:rsidRPr="00156E85">
        <w:t xml:space="preserve"> the effects of HABs </w:t>
      </w:r>
      <w:r>
        <w:t xml:space="preserve">is one of its water quality priorities.  </w:t>
      </w:r>
    </w:p>
    <w:p w:rsidR="00485094" w:rsidRDefault="00485094" w:rsidP="00156E85">
      <w:pPr>
        <w:pStyle w:val="Bodytext"/>
      </w:pPr>
    </w:p>
    <w:p w:rsidR="0064329B" w:rsidRDefault="00485094">
      <w:pPr>
        <w:pStyle w:val="Heading6"/>
      </w:pPr>
      <w:r w:rsidRPr="00E10C9E">
        <w:t>Red Tide</w:t>
      </w:r>
    </w:p>
    <w:p w:rsidR="00485094" w:rsidRDefault="00485094" w:rsidP="0014309D">
      <w:pPr>
        <w:pStyle w:val="Bodytext"/>
      </w:pPr>
      <w:r w:rsidRPr="00381E7D">
        <w:t xml:space="preserve">While most blooms of the dinoflagellate </w:t>
      </w:r>
      <w:r w:rsidRPr="00381E7D">
        <w:rPr>
          <w:i/>
        </w:rPr>
        <w:t>Karenia brevis</w:t>
      </w:r>
      <w:r w:rsidRPr="00381E7D">
        <w:t xml:space="preserve"> occur on the west coast of Florida, red tides occasionally are entrained by the Gulf Stream and move to the east coast.  Florida’s red tides have contributed to significant economic losses, causing declines in economically valued fisheries resources and impacting businesses that depend on local tourism.</w:t>
      </w:r>
      <w:r>
        <w:t xml:space="preserve">  </w:t>
      </w:r>
      <w:r w:rsidRPr="00381E7D">
        <w:t xml:space="preserve">Historically, </w:t>
      </w:r>
      <w:r w:rsidRPr="00381E7D">
        <w:rPr>
          <w:i/>
          <w:iCs/>
        </w:rPr>
        <w:t>K.</w:t>
      </w:r>
      <w:r w:rsidRPr="00381E7D">
        <w:t xml:space="preserve"> </w:t>
      </w:r>
      <w:r w:rsidRPr="00381E7D">
        <w:rPr>
          <w:i/>
          <w:iCs/>
        </w:rPr>
        <w:t xml:space="preserve">brevis </w:t>
      </w:r>
      <w:r w:rsidRPr="00381E7D">
        <w:t xml:space="preserve">red tides producing brevetoxins, which disrupt normal neurological processes, have caused the most significant problems.  They have led to threats to the public from Neurotoxic Shellfish Poisoning (NSP) or from aerosolized toxins, annually caused the deaths of thousands of fish, and severely impacted endangered marine mammals, turtles, and birds.  Fish kills caused by </w:t>
      </w:r>
      <w:r w:rsidRPr="00381E7D">
        <w:rPr>
          <w:i/>
        </w:rPr>
        <w:t xml:space="preserve">K. brevis </w:t>
      </w:r>
      <w:r w:rsidRPr="00381E7D">
        <w:t xml:space="preserve">were first documented in 1844, but the cause was not identified until the 1946–47 red tide outbreak.  </w:t>
      </w:r>
    </w:p>
    <w:p w:rsidR="00485094" w:rsidRDefault="00485094" w:rsidP="0014309D">
      <w:pPr>
        <w:pStyle w:val="Bodytext"/>
      </w:pPr>
    </w:p>
    <w:p w:rsidR="00485094" w:rsidRPr="00381E7D" w:rsidRDefault="00485094" w:rsidP="0014309D">
      <w:pPr>
        <w:pStyle w:val="Bodytext"/>
      </w:pPr>
      <w:r w:rsidRPr="00381E7D">
        <w:t xml:space="preserve">Although human shellfish poisonings have been known in Florida since the 1880s, the connection with filter-feeding shellfish, toxicity, and </w:t>
      </w:r>
      <w:r w:rsidRPr="00381E7D">
        <w:rPr>
          <w:i/>
        </w:rPr>
        <w:t xml:space="preserve">K. brevis </w:t>
      </w:r>
      <w:r w:rsidRPr="00381E7D">
        <w:t xml:space="preserve">red tides was not identified until the 1960s.  </w:t>
      </w:r>
      <w:r w:rsidRPr="00381E7D">
        <w:rPr>
          <w:color w:val="000000"/>
        </w:rPr>
        <w:t>Over the past 40 years, human cases of NSP in Florida have only occurred when shellﬁsh were harvested illegally from state-regulated closed shellﬁsh beds or unapproved areas.</w:t>
      </w:r>
      <w:r w:rsidRPr="00381E7D">
        <w:t xml:space="preserve"> </w:t>
      </w:r>
      <w:r>
        <w:t xml:space="preserve"> </w:t>
      </w:r>
      <w:r w:rsidRPr="00381E7D">
        <w:t xml:space="preserve">There have been no human fatalities.  People can suffer respiratory irritation and other pulmonary effects when brevetoxins become aerosolized through the disruption of </w:t>
      </w:r>
      <w:r w:rsidRPr="00381E7D">
        <w:rPr>
          <w:i/>
        </w:rPr>
        <w:t>K</w:t>
      </w:r>
      <w:r w:rsidRPr="00381E7D">
        <w:t xml:space="preserve">. </w:t>
      </w:r>
      <w:r w:rsidRPr="00381E7D">
        <w:rPr>
          <w:i/>
        </w:rPr>
        <w:t>brevis</w:t>
      </w:r>
      <w:r w:rsidRPr="00381E7D">
        <w:t xml:space="preserve"> cells by breaking waves, surf, or onshore winds.  </w:t>
      </w:r>
    </w:p>
    <w:p w:rsidR="00485094" w:rsidRDefault="00485094" w:rsidP="0014309D">
      <w:pPr>
        <w:pStyle w:val="BodyText0"/>
      </w:pPr>
    </w:p>
    <w:p w:rsidR="00485094" w:rsidRPr="000B3DE6" w:rsidRDefault="00485094" w:rsidP="0014309D">
      <w:pPr>
        <w:pStyle w:val="Bodytext"/>
      </w:pPr>
      <w:r w:rsidRPr="00381E7D">
        <w:t xml:space="preserve">Although red tide blooms are natural events that start offshore, </w:t>
      </w:r>
      <w:r>
        <w:t>there is an ongoing scientific debate</w:t>
      </w:r>
      <w:r w:rsidRPr="00381E7D">
        <w:t xml:space="preserve"> </w:t>
      </w:r>
      <w:r w:rsidR="009744BC">
        <w:t>on</w:t>
      </w:r>
      <w:r w:rsidR="009744BC" w:rsidRPr="00381E7D">
        <w:t xml:space="preserve"> </w:t>
      </w:r>
      <w:r w:rsidRPr="00381E7D">
        <w:t xml:space="preserve">whether land-based human influences </w:t>
      </w:r>
      <w:r w:rsidR="009744BC">
        <w:t>affect</w:t>
      </w:r>
      <w:r w:rsidRPr="00381E7D">
        <w:t xml:space="preserve"> the longevity and persistence of red tides once they come close to shore</w:t>
      </w:r>
      <w:r>
        <w:t>.</w:t>
      </w:r>
    </w:p>
    <w:p w:rsidR="00485094" w:rsidRDefault="00485094" w:rsidP="0014309D">
      <w:pPr>
        <w:pStyle w:val="Bodytext"/>
      </w:pPr>
    </w:p>
    <w:p w:rsidR="00485094" w:rsidRDefault="00485094" w:rsidP="0014309D">
      <w:pPr>
        <w:pStyle w:val="Bodytext"/>
      </w:pPr>
      <w:r>
        <w:t xml:space="preserve">The existing red tide database suffers from a number of inconsistencies, including the presence of data collected for different purposes (experiments vs. monitoring), different sampling efforts over the years, and differences in collection and analysis techniques.  </w:t>
      </w:r>
      <w:r w:rsidRPr="000B3DE6">
        <w:t>Because of the</w:t>
      </w:r>
      <w:r>
        <w:t>se</w:t>
      </w:r>
      <w:r w:rsidRPr="000B3DE6">
        <w:t xml:space="preserve"> issues</w:t>
      </w:r>
      <w:r>
        <w:t xml:space="preserve">, the FWC </w:t>
      </w:r>
      <w:r w:rsidRPr="000B3DE6">
        <w:t>contracted wi</w:t>
      </w:r>
      <w:r>
        <w:t>th biostatisticians at the University</w:t>
      </w:r>
      <w:r w:rsidRPr="000B3DE6">
        <w:t xml:space="preserve"> of Florida </w:t>
      </w:r>
      <w:r>
        <w:t xml:space="preserve">(UF) </w:t>
      </w:r>
      <w:r w:rsidRPr="000B3DE6">
        <w:t xml:space="preserve">to analyze </w:t>
      </w:r>
      <w:r>
        <w:t xml:space="preserve">the red tide data </w:t>
      </w:r>
      <w:r w:rsidRPr="000B3DE6">
        <w:t xml:space="preserve">for long-term trends </w:t>
      </w:r>
      <w:r>
        <w:t xml:space="preserve">to determine what valid statistical conclusions could be drawn.  UF </w:t>
      </w:r>
      <w:r w:rsidRPr="000B3DE6">
        <w:t>concluded that the nature of the data</w:t>
      </w:r>
      <w:r>
        <w:t xml:space="preserve"> </w:t>
      </w:r>
      <w:r w:rsidRPr="000B3DE6">
        <w:t xml:space="preserve">prevented any valid statistical interpretation </w:t>
      </w:r>
      <w:r>
        <w:t xml:space="preserve">concerning </w:t>
      </w:r>
      <w:r>
        <w:lastRenderedPageBreak/>
        <w:t xml:space="preserve">trends and human influences on </w:t>
      </w:r>
      <w:r w:rsidRPr="00452B77">
        <w:rPr>
          <w:i/>
        </w:rPr>
        <w:t>K. brevis</w:t>
      </w:r>
      <w:r>
        <w:t xml:space="preserve"> blooms.  A summary of the UF analysis is available on the </w:t>
      </w:r>
      <w:hyperlink r:id="rId38" w:history="1">
        <w:r w:rsidRPr="00293A9E">
          <w:rPr>
            <w:rStyle w:val="Hyperlink"/>
          </w:rPr>
          <w:t>F</w:t>
        </w:r>
        <w:r>
          <w:rPr>
            <w:rStyle w:val="Hyperlink"/>
          </w:rPr>
          <w:t>WC-F</w:t>
        </w:r>
        <w:r w:rsidRPr="00293A9E">
          <w:rPr>
            <w:rStyle w:val="Hyperlink"/>
          </w:rPr>
          <w:t>WRI website</w:t>
        </w:r>
      </w:hyperlink>
      <w:r>
        <w:t>.</w:t>
      </w:r>
    </w:p>
    <w:p w:rsidR="00485094" w:rsidRDefault="00485094" w:rsidP="0014309D">
      <w:pPr>
        <w:pStyle w:val="Bodytext"/>
      </w:pPr>
    </w:p>
    <w:p w:rsidR="00485094" w:rsidRPr="00381E7D" w:rsidRDefault="00485094" w:rsidP="0014309D">
      <w:pPr>
        <w:pStyle w:val="Bodytext"/>
      </w:pPr>
      <w:r w:rsidRPr="000B3DE6">
        <w:t xml:space="preserve">Current available data from the past 10 years suggest that </w:t>
      </w:r>
      <w:r w:rsidRPr="006C1047">
        <w:rPr>
          <w:i/>
        </w:rPr>
        <w:t>K. brevis</w:t>
      </w:r>
      <w:r w:rsidRPr="000B3DE6">
        <w:t xml:space="preserve"> blooms </w:t>
      </w:r>
      <w:r>
        <w:t>may utilize</w:t>
      </w:r>
      <w:r w:rsidRPr="000B3DE6">
        <w:t xml:space="preserve"> a multi</w:t>
      </w:r>
      <w:r>
        <w:t>t</w:t>
      </w:r>
      <w:r w:rsidRPr="000B3DE6">
        <w:t xml:space="preserve">ude of nutrient sources, which vary in significance depending on </w:t>
      </w:r>
      <w:r w:rsidR="009744BC">
        <w:t>a</w:t>
      </w:r>
      <w:r w:rsidR="009744BC" w:rsidRPr="000B3DE6">
        <w:t>long</w:t>
      </w:r>
      <w:r w:rsidR="009744BC">
        <w:t>-</w:t>
      </w:r>
      <w:r w:rsidRPr="000B3DE6">
        <w:t xml:space="preserve">shore and offshore locations (Vargo et al., 2008).  </w:t>
      </w:r>
      <w:r>
        <w:t>The data suggest that</w:t>
      </w:r>
      <w:r w:rsidRPr="000B3DE6">
        <w:t xml:space="preserve"> no single nutrient source (</w:t>
      </w:r>
      <w:r>
        <w:t>including</w:t>
      </w:r>
      <w:r w:rsidRPr="000B3DE6">
        <w:t xml:space="preserve"> terrestrially derived nutrients) is sufficient to support thes</w:t>
      </w:r>
      <w:r>
        <w:t xml:space="preserve">e blooms, and that while </w:t>
      </w:r>
      <w:r w:rsidRPr="006C1047">
        <w:rPr>
          <w:i/>
        </w:rPr>
        <w:t>K. brevis</w:t>
      </w:r>
      <w:r w:rsidRPr="000B3DE6">
        <w:t xml:space="preserve"> can utilize these </w:t>
      </w:r>
      <w:proofErr w:type="spellStart"/>
      <w:r w:rsidRPr="000B3DE6">
        <w:t>nearshore</w:t>
      </w:r>
      <w:proofErr w:type="spellEnd"/>
      <w:r w:rsidRPr="000B3DE6">
        <w:t xml:space="preserve"> so</w:t>
      </w:r>
      <w:r>
        <w:t xml:space="preserve">urces, the salinity restriction on </w:t>
      </w:r>
      <w:r w:rsidRPr="006C1047">
        <w:rPr>
          <w:i/>
        </w:rPr>
        <w:t>K. brevis</w:t>
      </w:r>
      <w:r w:rsidRPr="000B3DE6">
        <w:t xml:space="preserve"> </w:t>
      </w:r>
      <w:r>
        <w:t xml:space="preserve">survival, which </w:t>
      </w:r>
      <w:r w:rsidRPr="000B3DE6">
        <w:t xml:space="preserve">does not occur at salinity </w:t>
      </w:r>
      <w:r w:rsidR="009744BC">
        <w:t xml:space="preserve">levels less than </w:t>
      </w:r>
      <w:r w:rsidRPr="000B3DE6">
        <w:t>24</w:t>
      </w:r>
      <w:r>
        <w:t xml:space="preserve"> </w:t>
      </w:r>
      <w:r w:rsidR="009744BC">
        <w:t>parts per thousand (</w:t>
      </w:r>
      <w:r w:rsidRPr="000B3DE6">
        <w:t>ppt</w:t>
      </w:r>
      <w:r w:rsidR="009744BC">
        <w:t>)</w:t>
      </w:r>
      <w:r>
        <w:t>,</w:t>
      </w:r>
      <w:r w:rsidRPr="000B3DE6">
        <w:t xml:space="preserve"> argues against a direct quantifiable link</w:t>
      </w:r>
      <w:r>
        <w:t xml:space="preserve"> to land</w:t>
      </w:r>
      <w:r w:rsidR="009744BC">
        <w:t>-</w:t>
      </w:r>
      <w:r>
        <w:t>based sources of nutrients</w:t>
      </w:r>
      <w:r w:rsidRPr="000B3DE6">
        <w:t xml:space="preserve">. </w:t>
      </w:r>
      <w:r>
        <w:t xml:space="preserve"> While </w:t>
      </w:r>
      <w:r w:rsidRPr="000B3DE6">
        <w:t xml:space="preserve">data linking nutrient loading with </w:t>
      </w:r>
      <w:r w:rsidRPr="006C1047">
        <w:rPr>
          <w:i/>
        </w:rPr>
        <w:t>K. brevis</w:t>
      </w:r>
      <w:r w:rsidRPr="000B3DE6">
        <w:t xml:space="preserve"> occurrence do</w:t>
      </w:r>
      <w:r w:rsidR="009744BC">
        <w:t xml:space="preserve"> not</w:t>
      </w:r>
      <w:r w:rsidRPr="000B3DE6">
        <w:t xml:space="preserve"> </w:t>
      </w:r>
      <w:r>
        <w:t xml:space="preserve">currently </w:t>
      </w:r>
      <w:r w:rsidRPr="000B3DE6">
        <w:t>exist</w:t>
      </w:r>
      <w:r>
        <w:t>, t</w:t>
      </w:r>
      <w:r w:rsidRPr="00B219F9">
        <w:t xml:space="preserve">he </w:t>
      </w:r>
      <w:r>
        <w:t xml:space="preserve">FWC’s </w:t>
      </w:r>
      <w:r w:rsidRPr="00381E7D">
        <w:rPr>
          <w:color w:val="000000"/>
          <w:szCs w:val="22"/>
        </w:rPr>
        <w:t xml:space="preserve">FWRI </w:t>
      </w:r>
      <w:r w:rsidRPr="00B219F9">
        <w:t>is currently conducting</w:t>
      </w:r>
      <w:r>
        <w:t xml:space="preserve"> research on this issue.</w:t>
      </w:r>
    </w:p>
    <w:p w:rsidR="00485094" w:rsidRDefault="00485094" w:rsidP="00E10C9E">
      <w:pPr>
        <w:pStyle w:val="Bodytext"/>
        <w:rPr>
          <w:color w:val="000000"/>
          <w:szCs w:val="22"/>
        </w:rPr>
      </w:pPr>
    </w:p>
    <w:p w:rsidR="00485094" w:rsidRPr="00381E7D" w:rsidRDefault="00485094" w:rsidP="00E10C9E">
      <w:pPr>
        <w:pStyle w:val="Bodytext"/>
        <w:rPr>
          <w:color w:val="000000"/>
          <w:szCs w:val="22"/>
        </w:rPr>
      </w:pPr>
      <w:r w:rsidRPr="00381E7D">
        <w:rPr>
          <w:color w:val="000000"/>
          <w:szCs w:val="22"/>
        </w:rPr>
        <w:t>FWC–FWRI</w:t>
      </w:r>
      <w:r>
        <w:rPr>
          <w:color w:val="000000"/>
          <w:szCs w:val="22"/>
        </w:rPr>
        <w:t xml:space="preserve"> also</w:t>
      </w:r>
      <w:r w:rsidRPr="00381E7D">
        <w:rPr>
          <w:color w:val="000000"/>
          <w:szCs w:val="22"/>
        </w:rPr>
        <w:t xml:space="preserve"> monitors state waters for </w:t>
      </w:r>
      <w:r w:rsidRPr="006C1047">
        <w:rPr>
          <w:i/>
          <w:color w:val="000000"/>
          <w:szCs w:val="22"/>
        </w:rPr>
        <w:t>K. brevis</w:t>
      </w:r>
      <w:r w:rsidRPr="00381E7D">
        <w:rPr>
          <w:color w:val="000000"/>
          <w:szCs w:val="22"/>
        </w:rPr>
        <w:t xml:space="preserve"> red tides in cooperation with other state regulatory agencies, such as</w:t>
      </w:r>
      <w:r w:rsidRPr="00381E7D">
        <w:rPr>
          <w:iCs/>
          <w:color w:val="000000"/>
          <w:szCs w:val="22"/>
        </w:rPr>
        <w:t xml:space="preserve"> </w:t>
      </w:r>
      <w:r w:rsidRPr="00381E7D">
        <w:rPr>
          <w:color w:val="000000"/>
          <w:szCs w:val="22"/>
        </w:rPr>
        <w:t>FDACS, FDOH, and FDEP; a volunteer network of boaters, charter boat captains, ﬁshermen, citizens; and Mote Marine Laboratory</w:t>
      </w:r>
      <w:r w:rsidR="00FD5E79">
        <w:rPr>
          <w:color w:val="000000"/>
          <w:szCs w:val="22"/>
        </w:rPr>
        <w:t xml:space="preserve"> (MML)</w:t>
      </w:r>
      <w:r w:rsidRPr="00381E7D">
        <w:rPr>
          <w:color w:val="000000"/>
          <w:szCs w:val="22"/>
        </w:rPr>
        <w:t xml:space="preserve">.  All analyses involve </w:t>
      </w:r>
      <w:r w:rsidRPr="00381E7D">
        <w:rPr>
          <w:iCs/>
          <w:color w:val="000000"/>
          <w:szCs w:val="22"/>
        </w:rPr>
        <w:t>on-site</w:t>
      </w:r>
      <w:r w:rsidRPr="00381E7D">
        <w:rPr>
          <w:i/>
          <w:iCs/>
          <w:color w:val="000000"/>
          <w:szCs w:val="22"/>
        </w:rPr>
        <w:t xml:space="preserve"> </w:t>
      </w:r>
      <w:r w:rsidRPr="00381E7D">
        <w:rPr>
          <w:color w:val="000000"/>
          <w:szCs w:val="22"/>
        </w:rPr>
        <w:t xml:space="preserve">testing, onboard testing, or onshore laboratory testing. </w:t>
      </w:r>
      <w:r>
        <w:rPr>
          <w:color w:val="000000"/>
        </w:rPr>
        <w:t xml:space="preserve"> </w:t>
      </w:r>
      <w:r>
        <w:rPr>
          <w:color w:val="000000"/>
          <w:szCs w:val="22"/>
        </w:rPr>
        <w:t>Re</w:t>
      </w:r>
      <w:r w:rsidRPr="00381E7D">
        <w:rPr>
          <w:color w:val="000000"/>
          <w:szCs w:val="22"/>
        </w:rPr>
        <w:t xml:space="preserve">sults are posted weekly on the </w:t>
      </w:r>
      <w:hyperlink r:id="rId39" w:history="1">
        <w:r w:rsidRPr="00B5140F">
          <w:rPr>
            <w:rStyle w:val="Hyperlink"/>
            <w:szCs w:val="22"/>
          </w:rPr>
          <w:t>FWC–FWRI website</w:t>
        </w:r>
      </w:hyperlink>
      <w:r w:rsidRPr="00662DA3">
        <w:rPr>
          <w:color w:val="002060"/>
          <w:szCs w:val="22"/>
        </w:rPr>
        <w:t>,</w:t>
      </w:r>
      <w:r w:rsidRPr="00662DA3">
        <w:rPr>
          <w:szCs w:val="22"/>
        </w:rPr>
        <w:t xml:space="preserve"> </w:t>
      </w:r>
      <w:r w:rsidRPr="00381E7D">
        <w:rPr>
          <w:color w:val="000000"/>
          <w:szCs w:val="22"/>
        </w:rPr>
        <w:t>and include data from a variety of sources.  A toll-free number</w:t>
      </w:r>
      <w:r>
        <w:rPr>
          <w:color w:val="000000"/>
          <w:szCs w:val="22"/>
        </w:rPr>
        <w:t xml:space="preserve"> (</w:t>
      </w:r>
      <w:r w:rsidRPr="00381E7D">
        <w:rPr>
          <w:color w:val="000000"/>
          <w:szCs w:val="22"/>
        </w:rPr>
        <w:t>1-866-300-9399</w:t>
      </w:r>
      <w:r>
        <w:rPr>
          <w:color w:val="000000"/>
          <w:szCs w:val="22"/>
        </w:rPr>
        <w:t>)</w:t>
      </w:r>
      <w:r w:rsidRPr="00381E7D">
        <w:rPr>
          <w:color w:val="000000"/>
          <w:szCs w:val="22"/>
        </w:rPr>
        <w:t xml:space="preserve"> is also available to access current Florida red tide monitoring information. </w:t>
      </w:r>
    </w:p>
    <w:p w:rsidR="00485094" w:rsidRDefault="00485094" w:rsidP="00E10C9E">
      <w:pPr>
        <w:pStyle w:val="Bodytext"/>
        <w:rPr>
          <w:rFonts w:cs="Arial"/>
          <w:color w:val="000000"/>
          <w:szCs w:val="22"/>
        </w:rPr>
      </w:pPr>
    </w:p>
    <w:p w:rsidR="00485094" w:rsidRDefault="00485094" w:rsidP="00E10C9E">
      <w:pPr>
        <w:pStyle w:val="Bodytext"/>
        <w:rPr>
          <w:rFonts w:cs="Arial"/>
          <w:color w:val="000000"/>
          <w:szCs w:val="22"/>
        </w:rPr>
      </w:pPr>
      <w:r w:rsidRPr="00381E7D">
        <w:rPr>
          <w:rFonts w:cs="Arial"/>
          <w:color w:val="000000"/>
          <w:szCs w:val="22"/>
        </w:rPr>
        <w:t xml:space="preserve">To protect public health during bloom events, FDACS’ Division of Aquaculture closes shellﬁsh areas to harvesting when </w:t>
      </w:r>
      <w:r w:rsidRPr="00381E7D">
        <w:rPr>
          <w:rFonts w:cs="Arial"/>
          <w:i/>
          <w:iCs/>
          <w:color w:val="000000"/>
          <w:szCs w:val="22"/>
        </w:rPr>
        <w:t xml:space="preserve">K. brevis </w:t>
      </w:r>
      <w:r w:rsidRPr="00381E7D">
        <w:rPr>
          <w:rFonts w:cs="Arial"/>
          <w:color w:val="000000"/>
          <w:szCs w:val="22"/>
        </w:rPr>
        <w:t xml:space="preserve">cell counts are above 5,000 cells per liter.  They are reopened when test results provided by FWC–FWRI are acceptable.  </w:t>
      </w:r>
      <w:r>
        <w:rPr>
          <w:rFonts w:cs="Arial"/>
          <w:color w:val="000000"/>
          <w:szCs w:val="22"/>
        </w:rPr>
        <w:t xml:space="preserve">The </w:t>
      </w:r>
      <w:hyperlink r:id="rId40" w:history="1">
        <w:r w:rsidRPr="00B77587">
          <w:rPr>
            <w:rStyle w:val="Hyperlink"/>
            <w:rFonts w:cs="Arial"/>
            <w:szCs w:val="22"/>
          </w:rPr>
          <w:t xml:space="preserve">FDACS </w:t>
        </w:r>
        <w:r>
          <w:rPr>
            <w:rStyle w:val="Hyperlink"/>
            <w:rFonts w:cs="Arial"/>
            <w:szCs w:val="22"/>
          </w:rPr>
          <w:t>Shellfish Harvesting w</w:t>
        </w:r>
        <w:r w:rsidRPr="00B77587">
          <w:rPr>
            <w:rStyle w:val="Hyperlink"/>
            <w:rFonts w:cs="Arial"/>
            <w:szCs w:val="22"/>
          </w:rPr>
          <w:t>ebsite</w:t>
        </w:r>
      </w:hyperlink>
      <w:r>
        <w:rPr>
          <w:rFonts w:cs="Arial"/>
          <w:color w:val="000000"/>
          <w:szCs w:val="22"/>
        </w:rPr>
        <w:t xml:space="preserve"> lists current </w:t>
      </w:r>
      <w:r w:rsidRPr="00381E7D">
        <w:rPr>
          <w:rFonts w:cs="Arial"/>
          <w:color w:val="000000"/>
          <w:szCs w:val="22"/>
        </w:rPr>
        <w:t xml:space="preserve">shellﬁsh area closures.  This protocol is in compliance with Florida’s Marine Biotoxin Control Plan (FDACS, 2007).  </w:t>
      </w:r>
    </w:p>
    <w:p w:rsidR="00485094" w:rsidRDefault="00485094" w:rsidP="00E10C9E">
      <w:pPr>
        <w:pStyle w:val="Bodytext"/>
      </w:pPr>
    </w:p>
    <w:p w:rsidR="00485094" w:rsidRDefault="00485094" w:rsidP="00E10C9E">
      <w:pPr>
        <w:pStyle w:val="Bodytext"/>
        <w:rPr>
          <w:rFonts w:cs="Arial"/>
          <w:color w:val="000000"/>
          <w:szCs w:val="22"/>
        </w:rPr>
      </w:pPr>
      <w:r>
        <w:t xml:space="preserve">The </w:t>
      </w:r>
      <w:hyperlink r:id="rId41" w:history="1">
        <w:r w:rsidRPr="002B5A03">
          <w:rPr>
            <w:rStyle w:val="Hyperlink"/>
          </w:rPr>
          <w:t>Harmful Algal Blooms Observing System (HABSOS) website</w:t>
        </w:r>
      </w:hyperlink>
      <w:r>
        <w:t xml:space="preserve"> is a web-based tool developed by a regional coalition of U.S. and Mexican federal and state agencies, as well as international researchers, to collect and disseminate information on </w:t>
      </w:r>
      <w:r w:rsidRPr="002B5A03">
        <w:rPr>
          <w:i/>
        </w:rPr>
        <w:t>K</w:t>
      </w:r>
      <w:r>
        <w:rPr>
          <w:i/>
        </w:rPr>
        <w:t>. brevis.</w:t>
      </w:r>
    </w:p>
    <w:p w:rsidR="00485094" w:rsidRDefault="00485094" w:rsidP="00E10C9E">
      <w:pPr>
        <w:pStyle w:val="Bodytext"/>
        <w:rPr>
          <w:b/>
        </w:rPr>
      </w:pPr>
    </w:p>
    <w:p w:rsidR="0064329B" w:rsidRDefault="00485094">
      <w:pPr>
        <w:pStyle w:val="Heading6"/>
      </w:pPr>
      <w:r>
        <w:t>Other</w:t>
      </w:r>
      <w:r w:rsidRPr="00E10C9E">
        <w:t xml:space="preserve"> HAB Species</w:t>
      </w:r>
    </w:p>
    <w:p w:rsidR="00A75953" w:rsidRDefault="00485094" w:rsidP="00376229">
      <w:pPr>
        <w:rPr>
          <w:rFonts w:ascii="Arial" w:hAnsi="Arial" w:cs="Arial"/>
          <w:color w:val="000000"/>
          <w:sz w:val="22"/>
          <w:szCs w:val="22"/>
        </w:rPr>
      </w:pPr>
      <w:r w:rsidRPr="000025CA">
        <w:rPr>
          <w:rFonts w:ascii="Arial" w:hAnsi="Arial" w:cs="Arial"/>
          <w:color w:val="000000"/>
          <w:sz w:val="22"/>
          <w:szCs w:val="22"/>
        </w:rPr>
        <w:t xml:space="preserve">One of the most important HAB species in Florida other than </w:t>
      </w:r>
      <w:r w:rsidR="00865445" w:rsidRPr="00865445">
        <w:rPr>
          <w:rFonts w:ascii="Arial" w:hAnsi="Arial" w:cs="Arial"/>
          <w:i/>
          <w:color w:val="000000"/>
          <w:sz w:val="22"/>
          <w:szCs w:val="22"/>
        </w:rPr>
        <w:t>K. brevis</w:t>
      </w:r>
      <w:r w:rsidRPr="000025CA">
        <w:rPr>
          <w:rFonts w:ascii="Arial" w:hAnsi="Arial" w:cs="Arial"/>
          <w:color w:val="000000"/>
          <w:sz w:val="22"/>
          <w:szCs w:val="22"/>
        </w:rPr>
        <w:t xml:space="preserve"> is the saxitoxin-  producing dinoflagellate </w:t>
      </w:r>
      <w:r w:rsidR="00865445" w:rsidRPr="00865445">
        <w:rPr>
          <w:rFonts w:ascii="Arial" w:hAnsi="Arial" w:cs="Arial"/>
          <w:i/>
          <w:color w:val="000000"/>
          <w:sz w:val="22"/>
          <w:szCs w:val="22"/>
        </w:rPr>
        <w:t>Pyrodinium bahamense</w:t>
      </w:r>
      <w:r w:rsidRPr="000025CA">
        <w:rPr>
          <w:rFonts w:ascii="Arial" w:hAnsi="Arial" w:cs="Arial"/>
          <w:color w:val="000000"/>
          <w:sz w:val="22"/>
          <w:szCs w:val="22"/>
        </w:rPr>
        <w:t xml:space="preserve"> var. bahamense.  As a tropical species, it has seldom been observed at bloom levels north of Tampa Bay on the west coast and the Indian River Lagoon on the east coast, where the blooms are generally limited to May through October (Phlips et al.</w:t>
      </w:r>
      <w:r w:rsidR="009744BC">
        <w:rPr>
          <w:rFonts w:ascii="Arial" w:hAnsi="Arial" w:cs="Arial"/>
          <w:color w:val="000000"/>
          <w:sz w:val="22"/>
          <w:szCs w:val="22"/>
        </w:rPr>
        <w:t>,</w:t>
      </w:r>
      <w:r w:rsidRPr="000025CA">
        <w:rPr>
          <w:rFonts w:ascii="Arial" w:hAnsi="Arial" w:cs="Arial"/>
          <w:color w:val="000000"/>
          <w:sz w:val="22"/>
          <w:szCs w:val="22"/>
        </w:rPr>
        <w:t xml:space="preserve"> 2006).  </w:t>
      </w:r>
      <w:r w:rsidR="00865445" w:rsidRPr="00865445">
        <w:rPr>
          <w:rFonts w:ascii="Arial" w:hAnsi="Arial" w:cs="Arial"/>
          <w:i/>
          <w:color w:val="000000"/>
          <w:sz w:val="22"/>
          <w:szCs w:val="22"/>
        </w:rPr>
        <w:t>Pyrodinium</w:t>
      </w:r>
      <w:r w:rsidRPr="000025CA">
        <w:rPr>
          <w:rFonts w:ascii="Arial" w:hAnsi="Arial" w:cs="Arial"/>
          <w:color w:val="000000"/>
          <w:sz w:val="22"/>
          <w:szCs w:val="22"/>
        </w:rPr>
        <w:t xml:space="preserve"> </w:t>
      </w:r>
      <w:r w:rsidR="00A75953">
        <w:rPr>
          <w:rFonts w:ascii="Arial" w:hAnsi="Arial" w:cs="Arial"/>
          <w:color w:val="000000"/>
          <w:sz w:val="22"/>
          <w:szCs w:val="22"/>
        </w:rPr>
        <w:t>can form</w:t>
      </w:r>
      <w:r w:rsidRPr="000025CA">
        <w:rPr>
          <w:rFonts w:ascii="Arial" w:hAnsi="Arial" w:cs="Arial"/>
          <w:color w:val="000000"/>
          <w:sz w:val="22"/>
          <w:szCs w:val="22"/>
        </w:rPr>
        <w:t xml:space="preserve"> intense blooms, which have been linked to the bioaccumulation of the neurotoxin in shellfish and fish (Landsberg et al.</w:t>
      </w:r>
      <w:r w:rsidR="009744BC">
        <w:rPr>
          <w:rFonts w:ascii="Arial" w:hAnsi="Arial" w:cs="Arial"/>
          <w:color w:val="000000"/>
          <w:sz w:val="22"/>
          <w:szCs w:val="22"/>
        </w:rPr>
        <w:t>,</w:t>
      </w:r>
      <w:r w:rsidRPr="000025CA">
        <w:rPr>
          <w:rFonts w:ascii="Arial" w:hAnsi="Arial" w:cs="Arial"/>
          <w:color w:val="000000"/>
          <w:sz w:val="22"/>
          <w:szCs w:val="22"/>
        </w:rPr>
        <w:t xml:space="preserve"> 2006)</w:t>
      </w:r>
      <w:r w:rsidR="00A75953">
        <w:rPr>
          <w:rFonts w:ascii="Arial" w:hAnsi="Arial" w:cs="Arial"/>
          <w:color w:val="000000"/>
          <w:sz w:val="22"/>
          <w:szCs w:val="22"/>
        </w:rPr>
        <w:t>.  While these blooms</w:t>
      </w:r>
      <w:r w:rsidRPr="000025CA">
        <w:rPr>
          <w:rFonts w:ascii="Arial" w:hAnsi="Arial" w:cs="Arial"/>
          <w:color w:val="000000"/>
          <w:sz w:val="22"/>
          <w:szCs w:val="22"/>
        </w:rPr>
        <w:t xml:space="preserve"> rais</w:t>
      </w:r>
      <w:r w:rsidR="00A75953">
        <w:rPr>
          <w:rFonts w:ascii="Arial" w:hAnsi="Arial" w:cs="Arial"/>
          <w:color w:val="000000"/>
          <w:sz w:val="22"/>
          <w:szCs w:val="22"/>
        </w:rPr>
        <w:t>e</w:t>
      </w:r>
      <w:r w:rsidRPr="000025CA">
        <w:rPr>
          <w:rFonts w:ascii="Arial" w:hAnsi="Arial" w:cs="Arial"/>
          <w:color w:val="000000"/>
          <w:sz w:val="22"/>
          <w:szCs w:val="22"/>
        </w:rPr>
        <w:t xml:space="preserve"> serious concerns about impact</w:t>
      </w:r>
      <w:r w:rsidR="00A75953">
        <w:rPr>
          <w:rFonts w:ascii="Arial" w:hAnsi="Arial" w:cs="Arial"/>
          <w:color w:val="000000"/>
          <w:sz w:val="22"/>
          <w:szCs w:val="22"/>
        </w:rPr>
        <w:t>s</w:t>
      </w:r>
      <w:r w:rsidRPr="000025CA">
        <w:rPr>
          <w:rFonts w:ascii="Arial" w:hAnsi="Arial" w:cs="Arial"/>
          <w:color w:val="000000"/>
          <w:sz w:val="22"/>
          <w:szCs w:val="22"/>
        </w:rPr>
        <w:t xml:space="preserve"> on the ecology of effected ecosystems and human health</w:t>
      </w:r>
      <w:r w:rsidR="00A75953">
        <w:rPr>
          <w:rFonts w:ascii="Arial" w:hAnsi="Arial" w:cs="Arial"/>
          <w:color w:val="000000"/>
          <w:sz w:val="22"/>
          <w:szCs w:val="22"/>
        </w:rPr>
        <w:t xml:space="preserve">, the blooms have been occurring naturally at levels toxic to </w:t>
      </w:r>
      <w:proofErr w:type="spellStart"/>
      <w:r w:rsidR="00A75953">
        <w:rPr>
          <w:rFonts w:ascii="Arial" w:hAnsi="Arial" w:cs="Arial"/>
          <w:color w:val="000000"/>
          <w:sz w:val="22"/>
          <w:szCs w:val="22"/>
        </w:rPr>
        <w:t>nearshore</w:t>
      </w:r>
      <w:proofErr w:type="spellEnd"/>
      <w:r w:rsidR="00A75953">
        <w:rPr>
          <w:rFonts w:ascii="Arial" w:hAnsi="Arial" w:cs="Arial"/>
          <w:color w:val="000000"/>
          <w:sz w:val="22"/>
          <w:szCs w:val="22"/>
        </w:rPr>
        <w:t xml:space="preserve"> Florida fishes and seabirds for 25 million years (</w:t>
      </w:r>
      <w:proofErr w:type="spellStart"/>
      <w:r w:rsidR="00A75953">
        <w:rPr>
          <w:rFonts w:ascii="Arial" w:hAnsi="Arial" w:cs="Arial"/>
          <w:color w:val="000000"/>
          <w:sz w:val="22"/>
          <w:szCs w:val="22"/>
        </w:rPr>
        <w:t>Emslie</w:t>
      </w:r>
      <w:proofErr w:type="spellEnd"/>
      <w:r w:rsidR="00A75953">
        <w:rPr>
          <w:rFonts w:ascii="Arial" w:hAnsi="Arial" w:cs="Arial"/>
          <w:color w:val="000000"/>
          <w:sz w:val="22"/>
          <w:szCs w:val="22"/>
        </w:rPr>
        <w:t xml:space="preserve"> et al., 1996)</w:t>
      </w:r>
      <w:r w:rsidRPr="000025CA">
        <w:rPr>
          <w:rFonts w:ascii="Arial" w:hAnsi="Arial" w:cs="Arial"/>
          <w:color w:val="000000"/>
          <w:sz w:val="22"/>
          <w:szCs w:val="22"/>
        </w:rPr>
        <w:t xml:space="preserve">.  </w:t>
      </w:r>
    </w:p>
    <w:p w:rsidR="006F7EFE" w:rsidRDefault="006F7EFE" w:rsidP="00376229">
      <w:pPr>
        <w:rPr>
          <w:rFonts w:ascii="Arial" w:hAnsi="Arial" w:cs="Arial"/>
          <w:color w:val="000000"/>
          <w:sz w:val="22"/>
          <w:szCs w:val="22"/>
        </w:rPr>
      </w:pPr>
    </w:p>
    <w:p w:rsidR="00485094" w:rsidRPr="004056E9" w:rsidRDefault="00485094" w:rsidP="00376229">
      <w:pPr>
        <w:rPr>
          <w:rFonts w:ascii="Arial" w:hAnsi="Arial" w:cs="Arial"/>
          <w:color w:val="000000"/>
          <w:sz w:val="22"/>
          <w:szCs w:val="22"/>
        </w:rPr>
      </w:pPr>
      <w:r w:rsidRPr="000025CA">
        <w:rPr>
          <w:rFonts w:ascii="Arial" w:hAnsi="Arial" w:cs="Arial"/>
          <w:color w:val="000000"/>
          <w:sz w:val="22"/>
          <w:szCs w:val="22"/>
        </w:rPr>
        <w:t xml:space="preserve">In Florida, </w:t>
      </w:r>
      <w:r w:rsidR="00865445" w:rsidRPr="00865445">
        <w:rPr>
          <w:rFonts w:ascii="Arial" w:hAnsi="Arial" w:cs="Arial"/>
          <w:i/>
          <w:color w:val="000000"/>
          <w:sz w:val="22"/>
          <w:szCs w:val="22"/>
        </w:rPr>
        <w:t>Pyrodinium</w:t>
      </w:r>
      <w:r w:rsidRPr="000025CA">
        <w:rPr>
          <w:rFonts w:ascii="Arial" w:hAnsi="Arial" w:cs="Arial"/>
          <w:color w:val="000000"/>
          <w:sz w:val="22"/>
          <w:szCs w:val="22"/>
        </w:rPr>
        <w:t xml:space="preserve"> is most prevalent in flow</w:t>
      </w:r>
      <w:r w:rsidR="009744BC">
        <w:rPr>
          <w:rFonts w:ascii="Arial" w:hAnsi="Arial" w:cs="Arial"/>
          <w:color w:val="000000"/>
          <w:sz w:val="22"/>
          <w:szCs w:val="22"/>
        </w:rPr>
        <w:t>-</w:t>
      </w:r>
      <w:r w:rsidRPr="000025CA">
        <w:rPr>
          <w:rFonts w:ascii="Arial" w:hAnsi="Arial" w:cs="Arial"/>
          <w:color w:val="000000"/>
          <w:sz w:val="22"/>
          <w:szCs w:val="22"/>
        </w:rPr>
        <w:t xml:space="preserve">restricted lagoons and bays with long water residence times and salinities between 10 and 30 </w:t>
      </w:r>
      <w:r w:rsidR="009744BC">
        <w:rPr>
          <w:rFonts w:ascii="Arial" w:hAnsi="Arial" w:cs="Arial"/>
          <w:color w:val="000000"/>
          <w:sz w:val="22"/>
          <w:szCs w:val="22"/>
        </w:rPr>
        <w:t>practical salinity units (</w:t>
      </w:r>
      <w:proofErr w:type="spellStart"/>
      <w:r w:rsidRPr="000025CA">
        <w:rPr>
          <w:rFonts w:ascii="Arial" w:hAnsi="Arial" w:cs="Arial"/>
          <w:color w:val="000000"/>
          <w:sz w:val="22"/>
          <w:szCs w:val="22"/>
        </w:rPr>
        <w:t>psu</w:t>
      </w:r>
      <w:proofErr w:type="spellEnd"/>
      <w:r w:rsidR="009744BC">
        <w:rPr>
          <w:rFonts w:ascii="Arial" w:hAnsi="Arial" w:cs="Arial"/>
          <w:color w:val="000000"/>
          <w:sz w:val="22"/>
          <w:szCs w:val="22"/>
        </w:rPr>
        <w:t>)</w:t>
      </w:r>
      <w:r w:rsidRPr="000025CA">
        <w:rPr>
          <w:rFonts w:ascii="Arial" w:hAnsi="Arial" w:cs="Arial"/>
          <w:color w:val="000000"/>
          <w:sz w:val="22"/>
          <w:szCs w:val="22"/>
        </w:rPr>
        <w:t xml:space="preserve">.  The latter conditions competitively favor </w:t>
      </w:r>
      <w:r w:rsidR="00865445" w:rsidRPr="00865445">
        <w:rPr>
          <w:rFonts w:ascii="Arial" w:hAnsi="Arial" w:cs="Arial"/>
          <w:i/>
          <w:color w:val="000000"/>
          <w:sz w:val="22"/>
          <w:szCs w:val="22"/>
        </w:rPr>
        <w:t>Pyrodinium</w:t>
      </w:r>
      <w:r w:rsidRPr="000025CA">
        <w:rPr>
          <w:rFonts w:ascii="Arial" w:hAnsi="Arial" w:cs="Arial"/>
          <w:color w:val="000000"/>
          <w:sz w:val="22"/>
          <w:szCs w:val="22"/>
        </w:rPr>
        <w:t xml:space="preserve"> because of its slow growth rates and </w:t>
      </w:r>
      <w:proofErr w:type="spellStart"/>
      <w:r w:rsidRPr="000025CA">
        <w:rPr>
          <w:rFonts w:ascii="Arial" w:hAnsi="Arial" w:cs="Arial"/>
          <w:color w:val="000000"/>
          <w:sz w:val="22"/>
          <w:szCs w:val="22"/>
        </w:rPr>
        <w:t>euryhaline</w:t>
      </w:r>
      <w:proofErr w:type="spellEnd"/>
      <w:r w:rsidRPr="000025CA">
        <w:rPr>
          <w:rFonts w:ascii="Arial" w:hAnsi="Arial" w:cs="Arial"/>
          <w:color w:val="000000"/>
          <w:sz w:val="22"/>
          <w:szCs w:val="22"/>
        </w:rPr>
        <w:t xml:space="preserve"> character (Phlips et al.</w:t>
      </w:r>
      <w:r w:rsidR="008B720C">
        <w:rPr>
          <w:rFonts w:ascii="Arial" w:hAnsi="Arial" w:cs="Arial"/>
          <w:color w:val="000000"/>
          <w:sz w:val="22"/>
          <w:szCs w:val="22"/>
        </w:rPr>
        <w:t>,</w:t>
      </w:r>
      <w:r w:rsidRPr="000025CA">
        <w:rPr>
          <w:rFonts w:ascii="Arial" w:hAnsi="Arial" w:cs="Arial"/>
          <w:color w:val="000000"/>
          <w:sz w:val="22"/>
          <w:szCs w:val="22"/>
        </w:rPr>
        <w:t xml:space="preserve"> 2006).  Blooms also appear to be accentuated during periods of elevated rainfall and nutrient loads to lagoons (Phlips et al.</w:t>
      </w:r>
      <w:r w:rsidR="008B720C">
        <w:rPr>
          <w:rFonts w:ascii="Arial" w:hAnsi="Arial" w:cs="Arial"/>
          <w:color w:val="000000"/>
          <w:sz w:val="22"/>
          <w:szCs w:val="22"/>
        </w:rPr>
        <w:t>,</w:t>
      </w:r>
      <w:r w:rsidRPr="000025CA">
        <w:rPr>
          <w:rFonts w:ascii="Arial" w:hAnsi="Arial" w:cs="Arial"/>
          <w:color w:val="000000"/>
          <w:sz w:val="22"/>
          <w:szCs w:val="22"/>
        </w:rPr>
        <w:t xml:space="preserve"> 2010a), suggesting a link between coastal eutrophication and the in</w:t>
      </w:r>
      <w:r>
        <w:rPr>
          <w:rFonts w:ascii="Arial" w:hAnsi="Arial" w:cs="Arial"/>
          <w:color w:val="000000"/>
          <w:sz w:val="22"/>
          <w:szCs w:val="22"/>
        </w:rPr>
        <w:t>tensity and frequency of blooms</w:t>
      </w:r>
      <w:r w:rsidRPr="000025CA">
        <w:rPr>
          <w:rFonts w:ascii="Arial" w:hAnsi="Arial" w:cs="Arial"/>
          <w:color w:val="000000"/>
          <w:sz w:val="22"/>
          <w:szCs w:val="22"/>
        </w:rPr>
        <w:t xml:space="preserve">.  </w:t>
      </w:r>
      <w:r w:rsidR="00A75953">
        <w:rPr>
          <w:rFonts w:ascii="Arial" w:hAnsi="Arial" w:cs="Arial"/>
          <w:color w:val="000000"/>
          <w:sz w:val="22"/>
          <w:szCs w:val="22"/>
        </w:rPr>
        <w:t xml:space="preserve">However, discharges of naturally tannic waters from wetlands during high rainfall events can also produce favorable conditions for this organism.  </w:t>
      </w:r>
      <w:r w:rsidRPr="000025CA">
        <w:rPr>
          <w:rFonts w:ascii="Arial" w:hAnsi="Arial" w:cs="Arial"/>
          <w:color w:val="000000"/>
          <w:sz w:val="22"/>
          <w:szCs w:val="22"/>
        </w:rPr>
        <w:t>These observations also point to the potential role of future climate trends in defining the dynamics of HAB species in Florida (Phlips et al.</w:t>
      </w:r>
      <w:r w:rsidR="006F7EFE">
        <w:rPr>
          <w:rFonts w:ascii="Arial" w:hAnsi="Arial" w:cs="Arial"/>
          <w:color w:val="000000"/>
          <w:sz w:val="22"/>
          <w:szCs w:val="22"/>
        </w:rPr>
        <w:t>,</w:t>
      </w:r>
      <w:r w:rsidRPr="000025CA">
        <w:rPr>
          <w:rFonts w:ascii="Arial" w:hAnsi="Arial" w:cs="Arial"/>
          <w:color w:val="000000"/>
          <w:sz w:val="22"/>
          <w:szCs w:val="22"/>
        </w:rPr>
        <w:t xml:space="preserve"> 2010a).</w:t>
      </w:r>
    </w:p>
    <w:p w:rsidR="00485094" w:rsidRDefault="00485094" w:rsidP="00376229">
      <w:pPr>
        <w:rPr>
          <w:rFonts w:ascii="Arial" w:hAnsi="Arial" w:cs="Arial"/>
          <w:color w:val="000000"/>
          <w:sz w:val="22"/>
          <w:szCs w:val="22"/>
        </w:rPr>
      </w:pPr>
    </w:p>
    <w:p w:rsidR="00485094" w:rsidRPr="004056E9" w:rsidRDefault="00485094" w:rsidP="00376229">
      <w:pPr>
        <w:rPr>
          <w:rFonts w:ascii="Arial" w:hAnsi="Arial" w:cs="Arial"/>
          <w:color w:val="000000"/>
          <w:sz w:val="22"/>
          <w:szCs w:val="22"/>
        </w:rPr>
      </w:pPr>
      <w:r w:rsidRPr="000025CA">
        <w:rPr>
          <w:rFonts w:ascii="Arial" w:hAnsi="Arial" w:cs="Arial"/>
          <w:color w:val="000000"/>
          <w:sz w:val="22"/>
          <w:szCs w:val="22"/>
        </w:rPr>
        <w:lastRenderedPageBreak/>
        <w:t>A number of other bloom-forming marine species have potentially harmful impacts in Florida</w:t>
      </w:r>
      <w:r w:rsidR="006F7EFE">
        <w:rPr>
          <w:rFonts w:ascii="Arial" w:hAnsi="Arial" w:cs="Arial"/>
          <w:color w:val="000000"/>
          <w:sz w:val="22"/>
          <w:szCs w:val="22"/>
        </w:rPr>
        <w:t>; these</w:t>
      </w:r>
      <w:r w:rsidRPr="000025CA">
        <w:rPr>
          <w:rFonts w:ascii="Arial" w:hAnsi="Arial" w:cs="Arial"/>
          <w:color w:val="000000"/>
          <w:sz w:val="22"/>
          <w:szCs w:val="22"/>
        </w:rPr>
        <w:t xml:space="preserve"> can be roughly subdivided into two categories</w:t>
      </w:r>
      <w:r w:rsidR="008B720C">
        <w:rPr>
          <w:rFonts w:ascii="Arial" w:hAnsi="Arial" w:cs="Arial"/>
          <w:color w:val="000000"/>
          <w:sz w:val="22"/>
          <w:szCs w:val="22"/>
        </w:rPr>
        <w:t xml:space="preserve">:  </w:t>
      </w:r>
      <w:r w:rsidRPr="000025CA">
        <w:rPr>
          <w:rFonts w:ascii="Arial" w:hAnsi="Arial" w:cs="Arial"/>
          <w:color w:val="000000"/>
          <w:sz w:val="22"/>
          <w:szCs w:val="22"/>
        </w:rPr>
        <w:t xml:space="preserve">toxin-producing species and taxa that form blooms associated with other important problems, such as low oxygen concentrations, physical damage to organisms, or general loss of habitat.  Potential toxin-producing </w:t>
      </w:r>
      <w:proofErr w:type="spellStart"/>
      <w:r w:rsidRPr="000025CA">
        <w:rPr>
          <w:rFonts w:ascii="Arial" w:hAnsi="Arial" w:cs="Arial"/>
          <w:color w:val="000000"/>
          <w:sz w:val="22"/>
          <w:szCs w:val="22"/>
        </w:rPr>
        <w:t>planktonic</w:t>
      </w:r>
      <w:proofErr w:type="spellEnd"/>
      <w:r w:rsidRPr="000025CA">
        <w:rPr>
          <w:rFonts w:ascii="Arial" w:hAnsi="Arial" w:cs="Arial"/>
          <w:color w:val="000000"/>
          <w:sz w:val="22"/>
          <w:szCs w:val="22"/>
        </w:rPr>
        <w:t xml:space="preserve"> marine HAB species include the diatom group </w:t>
      </w:r>
      <w:r w:rsidR="00865445" w:rsidRPr="00865445">
        <w:rPr>
          <w:rFonts w:ascii="Arial" w:hAnsi="Arial" w:cs="Arial"/>
          <w:i/>
          <w:color w:val="000000"/>
          <w:sz w:val="22"/>
          <w:szCs w:val="22"/>
        </w:rPr>
        <w:t>Pseudo-</w:t>
      </w:r>
      <w:proofErr w:type="spellStart"/>
      <w:r w:rsidR="00865445" w:rsidRPr="00865445">
        <w:rPr>
          <w:rFonts w:ascii="Arial" w:hAnsi="Arial" w:cs="Arial"/>
          <w:i/>
          <w:color w:val="000000"/>
          <w:sz w:val="22"/>
          <w:szCs w:val="22"/>
        </w:rPr>
        <w:t>nitzschia</w:t>
      </w:r>
      <w:proofErr w:type="spellEnd"/>
      <w:r w:rsidRPr="000025CA">
        <w:rPr>
          <w:rFonts w:ascii="Arial" w:hAnsi="Arial" w:cs="Arial"/>
          <w:color w:val="000000"/>
          <w:sz w:val="22"/>
          <w:szCs w:val="22"/>
        </w:rPr>
        <w:t xml:space="preserve"> spp., the </w:t>
      </w:r>
      <w:proofErr w:type="spellStart"/>
      <w:r w:rsidRPr="000025CA">
        <w:rPr>
          <w:rFonts w:ascii="Arial" w:hAnsi="Arial" w:cs="Arial"/>
          <w:color w:val="000000"/>
          <w:sz w:val="22"/>
          <w:szCs w:val="22"/>
        </w:rPr>
        <w:t>dinoflagellates</w:t>
      </w:r>
      <w:proofErr w:type="spellEnd"/>
      <w:r w:rsidRPr="000025CA">
        <w:rPr>
          <w:rFonts w:ascii="Arial" w:hAnsi="Arial" w:cs="Arial"/>
          <w:color w:val="000000"/>
          <w:sz w:val="22"/>
          <w:szCs w:val="22"/>
        </w:rPr>
        <w:t xml:space="preserve"> </w:t>
      </w:r>
      <w:r w:rsidR="00865445" w:rsidRPr="00865445">
        <w:rPr>
          <w:rFonts w:ascii="Arial" w:hAnsi="Arial" w:cs="Arial"/>
          <w:i/>
          <w:color w:val="000000"/>
          <w:sz w:val="22"/>
          <w:szCs w:val="22"/>
        </w:rPr>
        <w:t xml:space="preserve">Alexandrium monilatum, Takayama pulchella, Karenia mikimotoi, K. </w:t>
      </w:r>
      <w:proofErr w:type="spellStart"/>
      <w:r w:rsidR="00865445" w:rsidRPr="00865445">
        <w:rPr>
          <w:rFonts w:ascii="Arial" w:hAnsi="Arial" w:cs="Arial"/>
          <w:i/>
          <w:color w:val="000000"/>
          <w:sz w:val="22"/>
          <w:szCs w:val="22"/>
        </w:rPr>
        <w:t>selliformis</w:t>
      </w:r>
      <w:proofErr w:type="spellEnd"/>
      <w:r w:rsidR="00865445" w:rsidRPr="00865445">
        <w:rPr>
          <w:rFonts w:ascii="Arial" w:hAnsi="Arial" w:cs="Arial"/>
          <w:i/>
          <w:color w:val="000000"/>
          <w:sz w:val="22"/>
          <w:szCs w:val="22"/>
        </w:rPr>
        <w:t xml:space="preserve">, Karlodinium veneﬁcum, </w:t>
      </w:r>
      <w:proofErr w:type="spellStart"/>
      <w:r w:rsidR="00865445" w:rsidRPr="00865445">
        <w:rPr>
          <w:rFonts w:ascii="Arial" w:hAnsi="Arial" w:cs="Arial"/>
          <w:i/>
          <w:color w:val="000000"/>
          <w:sz w:val="22"/>
          <w:szCs w:val="22"/>
        </w:rPr>
        <w:t>Prorocentrum</w:t>
      </w:r>
      <w:proofErr w:type="spellEnd"/>
      <w:r w:rsidR="00865445" w:rsidRPr="00865445">
        <w:rPr>
          <w:rFonts w:ascii="Arial" w:hAnsi="Arial" w:cs="Arial"/>
          <w:i/>
          <w:color w:val="000000"/>
          <w:sz w:val="22"/>
          <w:szCs w:val="22"/>
        </w:rPr>
        <w:t xml:space="preserve"> minimum, P</w:t>
      </w:r>
      <w:r w:rsidR="006F7EFE">
        <w:rPr>
          <w:rFonts w:ascii="Arial" w:hAnsi="Arial" w:cs="Arial"/>
          <w:i/>
          <w:color w:val="000000"/>
          <w:sz w:val="22"/>
          <w:szCs w:val="22"/>
        </w:rPr>
        <w:t>.</w:t>
      </w:r>
      <w:r w:rsidR="00865445" w:rsidRPr="00865445">
        <w:rPr>
          <w:rFonts w:ascii="Arial" w:hAnsi="Arial" w:cs="Arial"/>
          <w:i/>
          <w:color w:val="000000"/>
          <w:sz w:val="22"/>
          <w:szCs w:val="22"/>
        </w:rPr>
        <w:t xml:space="preserve"> </w:t>
      </w:r>
      <w:proofErr w:type="spellStart"/>
      <w:r w:rsidR="00865445" w:rsidRPr="00865445">
        <w:rPr>
          <w:rFonts w:ascii="Arial" w:hAnsi="Arial" w:cs="Arial"/>
          <w:i/>
          <w:color w:val="000000"/>
          <w:sz w:val="22"/>
          <w:szCs w:val="22"/>
        </w:rPr>
        <w:t>rhathymum</w:t>
      </w:r>
      <w:proofErr w:type="spellEnd"/>
      <w:r w:rsidR="00865445" w:rsidRPr="00865445">
        <w:rPr>
          <w:rFonts w:ascii="Arial" w:hAnsi="Arial" w:cs="Arial"/>
          <w:i/>
          <w:color w:val="000000"/>
          <w:sz w:val="22"/>
          <w:szCs w:val="22"/>
        </w:rPr>
        <w:t xml:space="preserve">, </w:t>
      </w:r>
      <w:r w:rsidR="00865445" w:rsidRPr="00865445">
        <w:rPr>
          <w:rFonts w:ascii="Arial" w:hAnsi="Arial" w:cs="Arial"/>
          <w:color w:val="000000"/>
          <w:sz w:val="22"/>
          <w:szCs w:val="22"/>
        </w:rPr>
        <w:t>and</w:t>
      </w:r>
      <w:r w:rsidR="006F7EFE">
        <w:rPr>
          <w:rFonts w:ascii="Arial" w:hAnsi="Arial" w:cs="Arial"/>
          <w:i/>
          <w:color w:val="000000"/>
          <w:sz w:val="22"/>
          <w:szCs w:val="22"/>
        </w:rPr>
        <w:t xml:space="preserve"> </w:t>
      </w:r>
      <w:proofErr w:type="spellStart"/>
      <w:r w:rsidR="00865445" w:rsidRPr="00865445">
        <w:rPr>
          <w:rFonts w:ascii="Arial" w:hAnsi="Arial" w:cs="Arial"/>
          <w:i/>
          <w:color w:val="000000"/>
          <w:sz w:val="22"/>
          <w:szCs w:val="22"/>
        </w:rPr>
        <w:t>Cochliodinium</w:t>
      </w:r>
      <w:proofErr w:type="spellEnd"/>
      <w:r w:rsidR="00865445" w:rsidRPr="00865445">
        <w:rPr>
          <w:rFonts w:ascii="Arial" w:hAnsi="Arial" w:cs="Arial"/>
          <w:i/>
          <w:color w:val="000000"/>
          <w:sz w:val="22"/>
          <w:szCs w:val="22"/>
        </w:rPr>
        <w:t xml:space="preserve"> </w:t>
      </w:r>
      <w:proofErr w:type="spellStart"/>
      <w:r w:rsidR="00865445" w:rsidRPr="00865445">
        <w:rPr>
          <w:rFonts w:ascii="Arial" w:hAnsi="Arial" w:cs="Arial"/>
          <w:i/>
          <w:color w:val="000000"/>
          <w:sz w:val="22"/>
          <w:szCs w:val="22"/>
        </w:rPr>
        <w:t>polykrikoides</w:t>
      </w:r>
      <w:proofErr w:type="spellEnd"/>
      <w:r w:rsidR="00865445" w:rsidRPr="00865445">
        <w:rPr>
          <w:rFonts w:ascii="Arial" w:hAnsi="Arial" w:cs="Arial"/>
          <w:i/>
          <w:color w:val="000000"/>
          <w:sz w:val="22"/>
          <w:szCs w:val="22"/>
        </w:rPr>
        <w:t>,</w:t>
      </w:r>
      <w:r w:rsidRPr="000025CA">
        <w:rPr>
          <w:rFonts w:ascii="Arial" w:hAnsi="Arial" w:cs="Arial"/>
          <w:color w:val="000000"/>
          <w:sz w:val="22"/>
          <w:szCs w:val="22"/>
        </w:rPr>
        <w:t xml:space="preserve"> and the </w:t>
      </w:r>
      <w:proofErr w:type="spellStart"/>
      <w:r w:rsidRPr="000025CA">
        <w:rPr>
          <w:rFonts w:ascii="Arial" w:hAnsi="Arial" w:cs="Arial"/>
          <w:color w:val="000000"/>
          <w:sz w:val="22"/>
          <w:szCs w:val="22"/>
        </w:rPr>
        <w:t>microflagellates</w:t>
      </w:r>
      <w:proofErr w:type="spellEnd"/>
      <w:r w:rsidRPr="000025CA">
        <w:rPr>
          <w:rFonts w:ascii="Arial" w:hAnsi="Arial" w:cs="Arial"/>
          <w:color w:val="000000"/>
          <w:sz w:val="22"/>
          <w:szCs w:val="22"/>
        </w:rPr>
        <w:t xml:space="preserve"> </w:t>
      </w:r>
      <w:r w:rsidR="00865445" w:rsidRPr="00865445">
        <w:rPr>
          <w:rFonts w:ascii="Arial" w:hAnsi="Arial" w:cs="Arial"/>
          <w:i/>
          <w:color w:val="000000"/>
          <w:sz w:val="22"/>
          <w:szCs w:val="22"/>
        </w:rPr>
        <w:t xml:space="preserve">Prymnesium </w:t>
      </w:r>
      <w:r w:rsidRPr="009744BC">
        <w:rPr>
          <w:rFonts w:ascii="Arial" w:hAnsi="Arial" w:cs="Arial"/>
          <w:color w:val="000000"/>
          <w:sz w:val="22"/>
          <w:szCs w:val="22"/>
        </w:rPr>
        <w:t>spp</w:t>
      </w:r>
      <w:r w:rsidR="00865445" w:rsidRPr="00865445">
        <w:rPr>
          <w:rFonts w:ascii="Arial" w:hAnsi="Arial" w:cs="Arial"/>
          <w:i/>
          <w:color w:val="000000"/>
          <w:sz w:val="22"/>
          <w:szCs w:val="22"/>
        </w:rPr>
        <w:t xml:space="preserve">., </w:t>
      </w:r>
      <w:proofErr w:type="spellStart"/>
      <w:r w:rsidR="00865445" w:rsidRPr="00865445">
        <w:rPr>
          <w:rFonts w:ascii="Arial" w:hAnsi="Arial" w:cs="Arial"/>
          <w:i/>
          <w:color w:val="000000"/>
          <w:sz w:val="22"/>
          <w:szCs w:val="22"/>
        </w:rPr>
        <w:t>Chrysochromulina</w:t>
      </w:r>
      <w:proofErr w:type="spellEnd"/>
      <w:r w:rsidR="00865445" w:rsidRPr="00865445">
        <w:rPr>
          <w:rFonts w:ascii="Arial" w:hAnsi="Arial" w:cs="Arial"/>
          <w:i/>
          <w:color w:val="000000"/>
          <w:sz w:val="22"/>
          <w:szCs w:val="22"/>
        </w:rPr>
        <w:t xml:space="preserve"> </w:t>
      </w:r>
      <w:r w:rsidRPr="009744BC">
        <w:rPr>
          <w:rFonts w:ascii="Arial" w:hAnsi="Arial" w:cs="Arial"/>
          <w:color w:val="000000"/>
          <w:sz w:val="22"/>
          <w:szCs w:val="22"/>
        </w:rPr>
        <w:t>spp</w:t>
      </w:r>
      <w:r w:rsidR="00865445" w:rsidRPr="00865445">
        <w:rPr>
          <w:rFonts w:ascii="Arial" w:hAnsi="Arial" w:cs="Arial"/>
          <w:i/>
          <w:color w:val="000000"/>
          <w:sz w:val="22"/>
          <w:szCs w:val="22"/>
        </w:rPr>
        <w:t>.</w:t>
      </w:r>
      <w:r w:rsidR="006F7EFE">
        <w:rPr>
          <w:rFonts w:ascii="Arial" w:hAnsi="Arial" w:cs="Arial"/>
          <w:i/>
          <w:color w:val="000000"/>
          <w:sz w:val="22"/>
          <w:szCs w:val="22"/>
        </w:rPr>
        <w:t>,</w:t>
      </w:r>
      <w:r w:rsidRPr="000025CA">
        <w:rPr>
          <w:rFonts w:ascii="Arial" w:hAnsi="Arial" w:cs="Arial"/>
          <w:color w:val="000000"/>
          <w:sz w:val="22"/>
          <w:szCs w:val="22"/>
        </w:rPr>
        <w:t xml:space="preserve"> and </w:t>
      </w:r>
      <w:r w:rsidR="00865445" w:rsidRPr="00865445">
        <w:rPr>
          <w:rFonts w:ascii="Arial" w:hAnsi="Arial" w:cs="Arial"/>
          <w:i/>
          <w:color w:val="000000"/>
          <w:sz w:val="22"/>
          <w:szCs w:val="22"/>
        </w:rPr>
        <w:t>Chattonella</w:t>
      </w:r>
      <w:r w:rsidRPr="000025CA">
        <w:rPr>
          <w:rFonts w:ascii="Arial" w:hAnsi="Arial" w:cs="Arial"/>
          <w:color w:val="000000"/>
          <w:sz w:val="22"/>
          <w:szCs w:val="22"/>
        </w:rPr>
        <w:t xml:space="preserve"> sp. (Landsberg</w:t>
      </w:r>
      <w:r w:rsidR="009744BC">
        <w:rPr>
          <w:rFonts w:ascii="Arial" w:hAnsi="Arial" w:cs="Arial"/>
          <w:color w:val="000000"/>
          <w:sz w:val="22"/>
          <w:szCs w:val="22"/>
        </w:rPr>
        <w:t>,</w:t>
      </w:r>
      <w:r w:rsidRPr="000025CA">
        <w:rPr>
          <w:rFonts w:ascii="Arial" w:hAnsi="Arial" w:cs="Arial"/>
          <w:color w:val="000000"/>
          <w:sz w:val="22"/>
          <w:szCs w:val="22"/>
        </w:rPr>
        <w:t xml:space="preserve"> 2002).  Many of these species </w:t>
      </w:r>
      <w:r w:rsidR="009744BC">
        <w:rPr>
          <w:rFonts w:ascii="Arial" w:hAnsi="Arial" w:cs="Arial"/>
          <w:color w:val="000000"/>
          <w:sz w:val="22"/>
          <w:szCs w:val="22"/>
        </w:rPr>
        <w:t>are</w:t>
      </w:r>
      <w:r w:rsidRPr="000025CA">
        <w:rPr>
          <w:rFonts w:ascii="Arial" w:hAnsi="Arial" w:cs="Arial"/>
          <w:color w:val="000000"/>
          <w:sz w:val="22"/>
          <w:szCs w:val="22"/>
        </w:rPr>
        <w:t xml:space="preserve"> associated with fish or shellfish kills in various ecosystems around the world (Landsberg</w:t>
      </w:r>
      <w:r w:rsidR="009744BC">
        <w:rPr>
          <w:rFonts w:ascii="Arial" w:hAnsi="Arial" w:cs="Arial"/>
          <w:color w:val="000000"/>
          <w:sz w:val="22"/>
          <w:szCs w:val="22"/>
        </w:rPr>
        <w:t>,</w:t>
      </w:r>
      <w:r w:rsidRPr="000025CA">
        <w:rPr>
          <w:rFonts w:ascii="Arial" w:hAnsi="Arial" w:cs="Arial"/>
          <w:color w:val="000000"/>
          <w:sz w:val="22"/>
          <w:szCs w:val="22"/>
        </w:rPr>
        <w:t xml:space="preserve"> 2002). </w:t>
      </w:r>
    </w:p>
    <w:p w:rsidR="00485094" w:rsidRDefault="00485094" w:rsidP="00376229">
      <w:pPr>
        <w:rPr>
          <w:rFonts w:ascii="Arial" w:hAnsi="Arial" w:cs="Arial"/>
          <w:color w:val="000000"/>
          <w:sz w:val="22"/>
          <w:szCs w:val="22"/>
        </w:rPr>
      </w:pPr>
    </w:p>
    <w:p w:rsidR="00485094" w:rsidRPr="004056E9" w:rsidRDefault="00485094" w:rsidP="00376229">
      <w:pPr>
        <w:rPr>
          <w:rFonts w:ascii="Arial" w:hAnsi="Arial" w:cs="Arial"/>
          <w:color w:val="000000"/>
          <w:sz w:val="22"/>
          <w:szCs w:val="22"/>
        </w:rPr>
      </w:pPr>
      <w:r w:rsidRPr="000025CA">
        <w:rPr>
          <w:rFonts w:ascii="Arial" w:hAnsi="Arial" w:cs="Arial"/>
          <w:color w:val="000000"/>
          <w:sz w:val="22"/>
          <w:szCs w:val="22"/>
        </w:rPr>
        <w:t>Although all of these species have been observed at bloom levels in Florida (Phlips et al.</w:t>
      </w:r>
      <w:r w:rsidR="006F7EFE">
        <w:rPr>
          <w:rFonts w:ascii="Arial" w:hAnsi="Arial" w:cs="Arial"/>
          <w:color w:val="000000"/>
          <w:sz w:val="22"/>
          <w:szCs w:val="22"/>
        </w:rPr>
        <w:t>,</w:t>
      </w:r>
      <w:r w:rsidRPr="000025CA">
        <w:rPr>
          <w:rFonts w:ascii="Arial" w:hAnsi="Arial" w:cs="Arial"/>
          <w:color w:val="000000"/>
          <w:sz w:val="22"/>
          <w:szCs w:val="22"/>
        </w:rPr>
        <w:t xml:space="preserve"> 2010b), considerable uncertainty remains over the relative toxicity of the specific strains encountered in Florida.  Certain species of benthic algae also produce toxins that can impact human health, such as the </w:t>
      </w:r>
      <w:proofErr w:type="spellStart"/>
      <w:r w:rsidRPr="000025CA">
        <w:rPr>
          <w:rFonts w:ascii="Arial" w:hAnsi="Arial" w:cs="Arial"/>
          <w:color w:val="000000"/>
          <w:sz w:val="22"/>
          <w:szCs w:val="22"/>
        </w:rPr>
        <w:t>ciguatoxin</w:t>
      </w:r>
      <w:proofErr w:type="spellEnd"/>
      <w:r w:rsidRPr="000025CA">
        <w:rPr>
          <w:rFonts w:ascii="Arial" w:hAnsi="Arial" w:cs="Arial"/>
          <w:color w:val="000000"/>
          <w:sz w:val="22"/>
          <w:szCs w:val="22"/>
        </w:rPr>
        <w:t xml:space="preserve">-producing dinoflagellate </w:t>
      </w:r>
      <w:proofErr w:type="spellStart"/>
      <w:r w:rsidR="00865445" w:rsidRPr="00865445">
        <w:rPr>
          <w:rFonts w:ascii="Arial" w:hAnsi="Arial" w:cs="Arial"/>
          <w:i/>
          <w:color w:val="000000"/>
          <w:sz w:val="22"/>
          <w:szCs w:val="22"/>
        </w:rPr>
        <w:t>Gamberdiscus</w:t>
      </w:r>
      <w:proofErr w:type="spellEnd"/>
      <w:r w:rsidR="00865445" w:rsidRPr="00865445">
        <w:rPr>
          <w:rFonts w:ascii="Arial" w:hAnsi="Arial" w:cs="Arial"/>
          <w:i/>
          <w:color w:val="000000"/>
          <w:sz w:val="22"/>
          <w:szCs w:val="22"/>
        </w:rPr>
        <w:t xml:space="preserve"> </w:t>
      </w:r>
      <w:proofErr w:type="spellStart"/>
      <w:r w:rsidR="00865445" w:rsidRPr="00865445">
        <w:rPr>
          <w:rFonts w:ascii="Arial" w:hAnsi="Arial" w:cs="Arial"/>
          <w:i/>
          <w:color w:val="000000"/>
          <w:sz w:val="22"/>
          <w:szCs w:val="22"/>
        </w:rPr>
        <w:t>toxicus</w:t>
      </w:r>
      <w:proofErr w:type="spellEnd"/>
      <w:r w:rsidR="00865445" w:rsidRPr="00865445">
        <w:rPr>
          <w:rFonts w:ascii="Arial" w:hAnsi="Arial" w:cs="Arial"/>
          <w:i/>
          <w:color w:val="000000"/>
          <w:sz w:val="22"/>
          <w:szCs w:val="22"/>
        </w:rPr>
        <w:t>,</w:t>
      </w:r>
      <w:r w:rsidRPr="000025CA">
        <w:rPr>
          <w:rFonts w:ascii="Arial" w:hAnsi="Arial" w:cs="Arial"/>
          <w:color w:val="000000"/>
          <w:sz w:val="22"/>
          <w:szCs w:val="22"/>
        </w:rPr>
        <w:t xml:space="preserve"> implicated in ciguatera incidents in south Florida (Landsberg</w:t>
      </w:r>
      <w:r w:rsidR="006F7EFE">
        <w:rPr>
          <w:rFonts w:ascii="Arial" w:hAnsi="Arial" w:cs="Arial"/>
          <w:color w:val="000000"/>
          <w:sz w:val="22"/>
          <w:szCs w:val="22"/>
        </w:rPr>
        <w:t>,</w:t>
      </w:r>
      <w:r w:rsidRPr="000025CA">
        <w:rPr>
          <w:rFonts w:ascii="Arial" w:hAnsi="Arial" w:cs="Arial"/>
          <w:color w:val="000000"/>
          <w:sz w:val="22"/>
          <w:szCs w:val="22"/>
        </w:rPr>
        <w:t xml:space="preserve"> 2002).  </w:t>
      </w:r>
    </w:p>
    <w:p w:rsidR="00485094" w:rsidRDefault="00485094" w:rsidP="00376229">
      <w:pPr>
        <w:rPr>
          <w:rFonts w:ascii="Arial" w:hAnsi="Arial" w:cs="Arial"/>
          <w:color w:val="000000"/>
          <w:sz w:val="22"/>
          <w:szCs w:val="22"/>
        </w:rPr>
      </w:pPr>
    </w:p>
    <w:p w:rsidR="00485094" w:rsidRPr="004056E9" w:rsidRDefault="00485094" w:rsidP="00376229">
      <w:pPr>
        <w:rPr>
          <w:rFonts w:ascii="Arial" w:hAnsi="Arial" w:cs="Arial"/>
          <w:color w:val="000000"/>
          <w:sz w:val="22"/>
          <w:szCs w:val="22"/>
        </w:rPr>
      </w:pPr>
      <w:r w:rsidRPr="000025CA">
        <w:rPr>
          <w:rFonts w:ascii="Arial" w:hAnsi="Arial" w:cs="Arial"/>
          <w:color w:val="000000"/>
          <w:sz w:val="22"/>
          <w:szCs w:val="22"/>
        </w:rPr>
        <w:t>The list of HAB species linked to hypoxia or other density-related issues (e.g.</w:t>
      </w:r>
      <w:r w:rsidR="00550C22">
        <w:rPr>
          <w:rFonts w:ascii="Arial" w:hAnsi="Arial" w:cs="Arial"/>
          <w:color w:val="000000"/>
          <w:sz w:val="22"/>
          <w:szCs w:val="22"/>
        </w:rPr>
        <w:t>,</w:t>
      </w:r>
      <w:r w:rsidRPr="000025CA">
        <w:rPr>
          <w:rFonts w:ascii="Arial" w:hAnsi="Arial" w:cs="Arial"/>
          <w:color w:val="000000"/>
          <w:sz w:val="22"/>
          <w:szCs w:val="22"/>
        </w:rPr>
        <w:t xml:space="preserve"> </w:t>
      </w:r>
      <w:proofErr w:type="spellStart"/>
      <w:r w:rsidRPr="000025CA">
        <w:rPr>
          <w:rFonts w:ascii="Arial" w:hAnsi="Arial" w:cs="Arial"/>
          <w:color w:val="000000"/>
          <w:sz w:val="22"/>
          <w:szCs w:val="22"/>
        </w:rPr>
        <w:t>allelopathy</w:t>
      </w:r>
      <w:proofErr w:type="spellEnd"/>
      <w:r w:rsidRPr="000025CA">
        <w:rPr>
          <w:rFonts w:ascii="Arial" w:hAnsi="Arial" w:cs="Arial"/>
          <w:color w:val="000000"/>
          <w:sz w:val="22"/>
          <w:szCs w:val="22"/>
        </w:rPr>
        <w:t xml:space="preserve">, physical damage to gills of fish) is very long, including almost any species that reaches exceptionally high biomass.  Examples include the widespread bloom-forming </w:t>
      </w:r>
      <w:proofErr w:type="spellStart"/>
      <w:r w:rsidRPr="000025CA">
        <w:rPr>
          <w:rFonts w:ascii="Arial" w:hAnsi="Arial" w:cs="Arial"/>
          <w:color w:val="000000"/>
          <w:sz w:val="22"/>
          <w:szCs w:val="22"/>
        </w:rPr>
        <w:t>planktonic</w:t>
      </w:r>
      <w:proofErr w:type="spellEnd"/>
      <w:r w:rsidRPr="000025CA">
        <w:rPr>
          <w:rFonts w:ascii="Arial" w:hAnsi="Arial" w:cs="Arial"/>
          <w:color w:val="000000"/>
          <w:sz w:val="22"/>
          <w:szCs w:val="22"/>
        </w:rPr>
        <w:t xml:space="preserve"> dinoflagellate </w:t>
      </w:r>
      <w:proofErr w:type="spellStart"/>
      <w:r w:rsidR="00865445" w:rsidRPr="00865445">
        <w:rPr>
          <w:rFonts w:ascii="Arial" w:hAnsi="Arial" w:cs="Arial"/>
          <w:i/>
          <w:color w:val="000000"/>
          <w:sz w:val="22"/>
          <w:szCs w:val="22"/>
        </w:rPr>
        <w:t>Akashiwo</w:t>
      </w:r>
      <w:proofErr w:type="spellEnd"/>
      <w:r w:rsidR="00865445" w:rsidRPr="00865445">
        <w:rPr>
          <w:rFonts w:ascii="Arial" w:hAnsi="Arial" w:cs="Arial"/>
          <w:i/>
          <w:color w:val="000000"/>
          <w:sz w:val="22"/>
          <w:szCs w:val="22"/>
        </w:rPr>
        <w:t xml:space="preserve"> </w:t>
      </w:r>
      <w:proofErr w:type="spellStart"/>
      <w:r w:rsidR="00865445" w:rsidRPr="00865445">
        <w:rPr>
          <w:rFonts w:ascii="Arial" w:hAnsi="Arial" w:cs="Arial"/>
          <w:i/>
          <w:color w:val="000000"/>
          <w:sz w:val="22"/>
          <w:szCs w:val="22"/>
        </w:rPr>
        <w:t>sanguinea</w:t>
      </w:r>
      <w:proofErr w:type="spellEnd"/>
      <w:r w:rsidRPr="000025CA">
        <w:rPr>
          <w:rFonts w:ascii="Arial" w:hAnsi="Arial" w:cs="Arial"/>
          <w:color w:val="000000"/>
          <w:sz w:val="22"/>
          <w:szCs w:val="22"/>
        </w:rPr>
        <w:t>, in the Indian River Lagoon and the St. Lucie Estuary</w:t>
      </w:r>
      <w:r w:rsidR="006F7EFE">
        <w:rPr>
          <w:rFonts w:ascii="Arial" w:hAnsi="Arial" w:cs="Arial"/>
          <w:color w:val="000000"/>
          <w:sz w:val="22"/>
          <w:szCs w:val="22"/>
        </w:rPr>
        <w:t>,</w:t>
      </w:r>
      <w:r w:rsidRPr="000025CA">
        <w:rPr>
          <w:rFonts w:ascii="Arial" w:hAnsi="Arial" w:cs="Arial"/>
          <w:color w:val="000000"/>
          <w:sz w:val="22"/>
          <w:szCs w:val="22"/>
        </w:rPr>
        <w:t xml:space="preserve"> and the </w:t>
      </w:r>
      <w:proofErr w:type="spellStart"/>
      <w:r w:rsidRPr="000025CA">
        <w:rPr>
          <w:rFonts w:ascii="Arial" w:hAnsi="Arial" w:cs="Arial"/>
          <w:color w:val="000000"/>
          <w:sz w:val="22"/>
          <w:szCs w:val="22"/>
        </w:rPr>
        <w:t>cyanobacterium</w:t>
      </w:r>
      <w:proofErr w:type="spellEnd"/>
      <w:r w:rsidRPr="000025CA">
        <w:rPr>
          <w:rFonts w:ascii="Arial" w:hAnsi="Arial" w:cs="Arial"/>
          <w:color w:val="000000"/>
          <w:sz w:val="22"/>
          <w:szCs w:val="22"/>
        </w:rPr>
        <w:t xml:space="preserve"> </w:t>
      </w:r>
      <w:proofErr w:type="spellStart"/>
      <w:r w:rsidR="00865445" w:rsidRPr="00865445">
        <w:rPr>
          <w:rFonts w:ascii="Arial" w:hAnsi="Arial" w:cs="Arial"/>
          <w:i/>
          <w:color w:val="000000"/>
          <w:sz w:val="22"/>
          <w:szCs w:val="22"/>
        </w:rPr>
        <w:t>Synechococcus</w:t>
      </w:r>
      <w:proofErr w:type="spellEnd"/>
      <w:r w:rsidRPr="000025CA">
        <w:rPr>
          <w:rFonts w:ascii="Arial" w:hAnsi="Arial" w:cs="Arial"/>
          <w:color w:val="000000"/>
          <w:sz w:val="22"/>
          <w:szCs w:val="22"/>
        </w:rPr>
        <w:t xml:space="preserve"> in Florida Bay (Phlips et al.</w:t>
      </w:r>
      <w:r w:rsidR="006F7EFE">
        <w:rPr>
          <w:rFonts w:ascii="Arial" w:hAnsi="Arial" w:cs="Arial"/>
          <w:color w:val="000000"/>
          <w:sz w:val="22"/>
          <w:szCs w:val="22"/>
        </w:rPr>
        <w:t>,</w:t>
      </w:r>
      <w:r w:rsidRPr="000025CA">
        <w:rPr>
          <w:rFonts w:ascii="Arial" w:hAnsi="Arial" w:cs="Arial"/>
          <w:color w:val="000000"/>
          <w:sz w:val="22"/>
          <w:szCs w:val="22"/>
        </w:rPr>
        <w:t xml:space="preserve"> 1999</w:t>
      </w:r>
      <w:r w:rsidR="006F7EFE">
        <w:rPr>
          <w:rFonts w:ascii="Arial" w:hAnsi="Arial" w:cs="Arial"/>
          <w:color w:val="000000"/>
          <w:sz w:val="22"/>
          <w:szCs w:val="22"/>
        </w:rPr>
        <w:t>;</w:t>
      </w:r>
      <w:r w:rsidRPr="000025CA">
        <w:rPr>
          <w:rFonts w:ascii="Arial" w:hAnsi="Arial" w:cs="Arial"/>
          <w:color w:val="000000"/>
          <w:sz w:val="22"/>
          <w:szCs w:val="22"/>
        </w:rPr>
        <w:t xml:space="preserve"> Phlips et al.</w:t>
      </w:r>
      <w:r w:rsidR="006F7EFE">
        <w:rPr>
          <w:rFonts w:ascii="Arial" w:hAnsi="Arial" w:cs="Arial"/>
          <w:color w:val="000000"/>
          <w:sz w:val="22"/>
          <w:szCs w:val="22"/>
        </w:rPr>
        <w:t>,</w:t>
      </w:r>
      <w:r w:rsidRPr="000025CA">
        <w:rPr>
          <w:rFonts w:ascii="Arial" w:hAnsi="Arial" w:cs="Arial"/>
          <w:color w:val="000000"/>
          <w:sz w:val="22"/>
          <w:szCs w:val="22"/>
        </w:rPr>
        <w:t xml:space="preserve"> 2010b).  Many ﬁsh kills, particularly those occurring in the early morning hours, are due to low DO levels in the water associated with algal blooms and are not necessarily the result of toxins.  </w:t>
      </w:r>
      <w:r>
        <w:rPr>
          <w:rFonts w:ascii="Arial" w:hAnsi="Arial" w:cs="Arial"/>
          <w:color w:val="000000"/>
          <w:sz w:val="22"/>
          <w:szCs w:val="22"/>
        </w:rPr>
        <w:t>D</w:t>
      </w:r>
      <w:r w:rsidRPr="000025CA">
        <w:rPr>
          <w:rFonts w:ascii="Arial" w:hAnsi="Arial" w:cs="Arial"/>
          <w:color w:val="000000"/>
          <w:sz w:val="22"/>
          <w:szCs w:val="22"/>
        </w:rPr>
        <w:t>uring the day, the photosynthetic activity of phytoplankton and other aquatic plants produces oxygen.  At night, plants use oxygen</w:t>
      </w:r>
      <w:r w:rsidR="006F7EFE">
        <w:rPr>
          <w:rFonts w:ascii="Arial" w:hAnsi="Arial" w:cs="Arial"/>
          <w:color w:val="000000"/>
          <w:sz w:val="22"/>
          <w:szCs w:val="22"/>
        </w:rPr>
        <w:t>,</w:t>
      </w:r>
      <w:r w:rsidRPr="000025CA">
        <w:rPr>
          <w:rFonts w:ascii="Arial" w:hAnsi="Arial" w:cs="Arial"/>
          <w:color w:val="000000"/>
          <w:sz w:val="22"/>
          <w:szCs w:val="22"/>
        </w:rPr>
        <w:t xml:space="preserve"> and this can decrease the levels of DO in restricted systems.</w:t>
      </w:r>
    </w:p>
    <w:p w:rsidR="00485094" w:rsidRDefault="00485094" w:rsidP="00376229">
      <w:pPr>
        <w:rPr>
          <w:rFonts w:ascii="Arial" w:hAnsi="Arial" w:cs="Arial"/>
          <w:color w:val="000000"/>
          <w:sz w:val="22"/>
          <w:szCs w:val="22"/>
        </w:rPr>
      </w:pPr>
    </w:p>
    <w:p w:rsidR="00485094" w:rsidRDefault="00485094" w:rsidP="00376229">
      <w:pPr>
        <w:rPr>
          <w:rFonts w:ascii="Arial" w:hAnsi="Arial" w:cs="Arial"/>
          <w:color w:val="000000"/>
          <w:sz w:val="22"/>
          <w:szCs w:val="22"/>
        </w:rPr>
      </w:pPr>
      <w:r w:rsidRPr="000025CA">
        <w:rPr>
          <w:rFonts w:ascii="Arial" w:hAnsi="Arial" w:cs="Arial"/>
          <w:color w:val="000000"/>
          <w:sz w:val="22"/>
          <w:szCs w:val="22"/>
        </w:rPr>
        <w:t xml:space="preserve">Another important issue associated with HABs is the loss or alteration of overall habitat quality.  Prolonged and intense coastal eutrophication can result in the domination by a select few species, resulting in loss of diversity and alteration of food web structure and function.  For example, during major </w:t>
      </w:r>
      <w:r w:rsidR="00865445" w:rsidRPr="00865445">
        <w:rPr>
          <w:rFonts w:ascii="Arial" w:hAnsi="Arial" w:cs="Arial"/>
          <w:i/>
          <w:color w:val="000000"/>
          <w:sz w:val="22"/>
          <w:szCs w:val="22"/>
        </w:rPr>
        <w:t>Pyrodinium</w:t>
      </w:r>
      <w:r w:rsidRPr="000025CA">
        <w:rPr>
          <w:rFonts w:ascii="Arial" w:hAnsi="Arial" w:cs="Arial"/>
          <w:color w:val="000000"/>
          <w:sz w:val="22"/>
          <w:szCs w:val="22"/>
        </w:rPr>
        <w:t xml:space="preserve"> blooms</w:t>
      </w:r>
      <w:r w:rsidR="006F7EFE">
        <w:rPr>
          <w:rFonts w:ascii="Arial" w:hAnsi="Arial" w:cs="Arial"/>
          <w:color w:val="000000"/>
          <w:sz w:val="22"/>
          <w:szCs w:val="22"/>
        </w:rPr>
        <w:t>,</w:t>
      </w:r>
      <w:r w:rsidRPr="000025CA">
        <w:rPr>
          <w:rFonts w:ascii="Arial" w:hAnsi="Arial" w:cs="Arial"/>
          <w:color w:val="000000"/>
          <w:sz w:val="22"/>
          <w:szCs w:val="22"/>
        </w:rPr>
        <w:t xml:space="preserve"> over 80</w:t>
      </w:r>
      <w:r w:rsidR="006F7EFE">
        <w:rPr>
          <w:rFonts w:ascii="Arial" w:hAnsi="Arial" w:cs="Arial"/>
          <w:color w:val="000000"/>
          <w:sz w:val="22"/>
          <w:szCs w:val="22"/>
        </w:rPr>
        <w:t xml:space="preserve">% to </w:t>
      </w:r>
      <w:r w:rsidRPr="000025CA">
        <w:rPr>
          <w:rFonts w:ascii="Arial" w:hAnsi="Arial" w:cs="Arial"/>
          <w:color w:val="000000"/>
          <w:sz w:val="22"/>
          <w:szCs w:val="22"/>
        </w:rPr>
        <w:t>90% of total phytoplankton biomass is attributable to this toxic species (Phlips et al.</w:t>
      </w:r>
      <w:r w:rsidR="006F7EFE">
        <w:rPr>
          <w:rFonts w:ascii="Arial" w:hAnsi="Arial" w:cs="Arial"/>
          <w:color w:val="000000"/>
          <w:sz w:val="22"/>
          <w:szCs w:val="22"/>
        </w:rPr>
        <w:t>,</w:t>
      </w:r>
      <w:r w:rsidRPr="000025CA">
        <w:rPr>
          <w:rFonts w:ascii="Arial" w:hAnsi="Arial" w:cs="Arial"/>
          <w:color w:val="000000"/>
          <w:sz w:val="22"/>
          <w:szCs w:val="22"/>
        </w:rPr>
        <w:t xml:space="preserve"> 2006).  Similar domination by single species occurs in benthic ecosystems</w:t>
      </w:r>
      <w:r w:rsidR="006F7EFE">
        <w:rPr>
          <w:rFonts w:ascii="Arial" w:hAnsi="Arial" w:cs="Arial"/>
          <w:color w:val="000000"/>
          <w:sz w:val="22"/>
          <w:szCs w:val="22"/>
        </w:rPr>
        <w:t>,</w:t>
      </w:r>
      <w:r w:rsidRPr="000025CA">
        <w:rPr>
          <w:rFonts w:ascii="Arial" w:hAnsi="Arial" w:cs="Arial"/>
          <w:color w:val="000000"/>
          <w:sz w:val="22"/>
          <w:szCs w:val="22"/>
        </w:rPr>
        <w:t xml:space="preserve"> where massive blooms of green and red </w:t>
      </w:r>
      <w:proofErr w:type="spellStart"/>
      <w:r w:rsidRPr="000025CA">
        <w:rPr>
          <w:rFonts w:ascii="Arial" w:hAnsi="Arial" w:cs="Arial"/>
          <w:color w:val="000000"/>
          <w:sz w:val="22"/>
          <w:szCs w:val="22"/>
        </w:rPr>
        <w:t>macroalgae</w:t>
      </w:r>
      <w:proofErr w:type="spellEnd"/>
      <w:r w:rsidRPr="000025CA">
        <w:rPr>
          <w:rFonts w:ascii="Arial" w:hAnsi="Arial" w:cs="Arial"/>
          <w:color w:val="000000"/>
          <w:sz w:val="22"/>
          <w:szCs w:val="22"/>
        </w:rPr>
        <w:t xml:space="preserve"> have periodically over</w:t>
      </w:r>
      <w:r w:rsidR="006F7EFE">
        <w:rPr>
          <w:rFonts w:ascii="Arial" w:hAnsi="Arial" w:cs="Arial"/>
          <w:color w:val="000000"/>
          <w:sz w:val="22"/>
          <w:szCs w:val="22"/>
        </w:rPr>
        <w:t>-</w:t>
      </w:r>
      <w:r w:rsidRPr="000025CA">
        <w:rPr>
          <w:rFonts w:ascii="Arial" w:hAnsi="Arial" w:cs="Arial"/>
          <w:color w:val="000000"/>
          <w:sz w:val="22"/>
          <w:szCs w:val="22"/>
        </w:rPr>
        <w:t>run some shallow habitats of the Florida coast (</w:t>
      </w:r>
      <w:proofErr w:type="spellStart"/>
      <w:r w:rsidRPr="000025CA">
        <w:rPr>
          <w:rFonts w:ascii="Arial" w:hAnsi="Arial" w:cs="Arial"/>
          <w:color w:val="000000"/>
          <w:sz w:val="22"/>
          <w:szCs w:val="22"/>
        </w:rPr>
        <w:t>Lapointe</w:t>
      </w:r>
      <w:proofErr w:type="spellEnd"/>
      <w:r w:rsidRPr="000025CA">
        <w:rPr>
          <w:rFonts w:ascii="Arial" w:hAnsi="Arial" w:cs="Arial"/>
          <w:color w:val="000000"/>
          <w:sz w:val="22"/>
          <w:szCs w:val="22"/>
        </w:rPr>
        <w:t xml:space="preserve"> et al.</w:t>
      </w:r>
      <w:r w:rsidR="006F7EFE">
        <w:rPr>
          <w:rFonts w:ascii="Arial" w:hAnsi="Arial" w:cs="Arial"/>
          <w:color w:val="000000"/>
          <w:sz w:val="22"/>
          <w:szCs w:val="22"/>
        </w:rPr>
        <w:t>,</w:t>
      </w:r>
      <w:r w:rsidRPr="000025CA">
        <w:rPr>
          <w:rFonts w:ascii="Arial" w:hAnsi="Arial" w:cs="Arial"/>
          <w:color w:val="000000"/>
          <w:sz w:val="22"/>
          <w:szCs w:val="22"/>
        </w:rPr>
        <w:t xml:space="preserve"> 2007).</w:t>
      </w:r>
    </w:p>
    <w:p w:rsidR="00485094" w:rsidRPr="004056E9" w:rsidRDefault="00485094" w:rsidP="00376229">
      <w:pPr>
        <w:rPr>
          <w:rFonts w:ascii="Arial" w:hAnsi="Arial" w:cs="Arial"/>
          <w:color w:val="000000"/>
          <w:sz w:val="22"/>
          <w:szCs w:val="22"/>
        </w:rPr>
      </w:pPr>
      <w:r w:rsidRPr="000025CA">
        <w:rPr>
          <w:rFonts w:ascii="Arial" w:hAnsi="Arial" w:cs="Arial"/>
          <w:color w:val="000000"/>
          <w:sz w:val="22"/>
          <w:szCs w:val="22"/>
        </w:rPr>
        <w:t xml:space="preserve">  </w:t>
      </w:r>
    </w:p>
    <w:p w:rsidR="00485094" w:rsidRDefault="00485094" w:rsidP="00376229">
      <w:pPr>
        <w:pStyle w:val="Bodytext"/>
        <w:rPr>
          <w:rFonts w:cs="Arial"/>
          <w:color w:val="000000"/>
          <w:szCs w:val="22"/>
        </w:rPr>
      </w:pPr>
      <w:r w:rsidRPr="000025CA">
        <w:rPr>
          <w:rFonts w:cs="Arial"/>
          <w:color w:val="000000"/>
          <w:szCs w:val="22"/>
        </w:rPr>
        <w:t>The FWC responds to discolored water, ﬁsh kills, and other mortality or disease events to determine whether the cause is environmental or human</w:t>
      </w:r>
      <w:r w:rsidR="008B720C">
        <w:rPr>
          <w:rFonts w:cs="Arial"/>
          <w:color w:val="000000"/>
          <w:szCs w:val="22"/>
        </w:rPr>
        <w:t xml:space="preserve"> </w:t>
      </w:r>
      <w:r w:rsidRPr="000025CA">
        <w:rPr>
          <w:rFonts w:cs="Arial"/>
          <w:color w:val="000000"/>
          <w:szCs w:val="22"/>
        </w:rPr>
        <w:t xml:space="preserve">related.  A statewide ﬁsh kill hotline </w:t>
      </w:r>
      <w:r w:rsidRPr="000025CA">
        <w:rPr>
          <w:rFonts w:cs="Arial"/>
          <w:color w:val="000000"/>
          <w:szCs w:val="22"/>
        </w:rPr>
        <w:br/>
        <w:t xml:space="preserve">(1-800-636-0511) has been in operation for 15 years.  The </w:t>
      </w:r>
      <w:hyperlink r:id="rId42" w:history="1">
        <w:r w:rsidR="00865445" w:rsidRPr="00865445">
          <w:rPr>
            <w:rFonts w:cs="Arial"/>
            <w:color w:val="3333FF"/>
            <w:szCs w:val="22"/>
            <w:u w:val="single"/>
          </w:rPr>
          <w:t>FWC ﬁsh kill database</w:t>
        </w:r>
      </w:hyperlink>
      <w:r w:rsidRPr="000025CA">
        <w:rPr>
          <w:rFonts w:cs="Arial"/>
          <w:color w:val="000000"/>
          <w:szCs w:val="22"/>
        </w:rPr>
        <w:t xml:space="preserve"> contains information on ﬁsh kills in Florida reported to the FWC from 1972 to the present.  New ﬁsh kill reports can also be submitted through the website.</w:t>
      </w:r>
    </w:p>
    <w:p w:rsidR="00485094" w:rsidRPr="004056E9" w:rsidRDefault="00485094" w:rsidP="00376229">
      <w:pPr>
        <w:pStyle w:val="Bodytext"/>
        <w:rPr>
          <w:rFonts w:cs="Arial"/>
          <w:color w:val="000000"/>
          <w:szCs w:val="22"/>
        </w:rPr>
      </w:pPr>
    </w:p>
    <w:p w:rsidR="00485094" w:rsidRPr="008746D5" w:rsidRDefault="00485094" w:rsidP="008746D5">
      <w:pPr>
        <w:pStyle w:val="Heading2"/>
      </w:pPr>
      <w:bookmarkStart w:id="124" w:name="_Toc271279948"/>
      <w:bookmarkStart w:id="125" w:name="_Toc262740572"/>
      <w:bookmarkStart w:id="126" w:name="_Toc255822505"/>
      <w:r w:rsidRPr="008746D5">
        <w:t>Emerging Concerns and Initiatives</w:t>
      </w:r>
      <w:bookmarkEnd w:id="124"/>
    </w:p>
    <w:bookmarkEnd w:id="125"/>
    <w:p w:rsidR="00485094" w:rsidRPr="000A1EAC" w:rsidRDefault="00485094" w:rsidP="00F042B9">
      <w:pPr>
        <w:rPr>
          <w:sz w:val="22"/>
          <w:szCs w:val="22"/>
        </w:rPr>
      </w:pPr>
      <w:r>
        <w:rPr>
          <w:rFonts w:ascii="Arial" w:hAnsi="Arial" w:cs="Arial"/>
          <w:sz w:val="22"/>
          <w:szCs w:val="22"/>
        </w:rPr>
        <w:t xml:space="preserve">FDEP has identified a variety of emerging state concerns related to water quality and is </w:t>
      </w:r>
      <w:r w:rsidRPr="000A1EAC">
        <w:rPr>
          <w:rFonts w:ascii="Arial" w:hAnsi="Arial" w:cs="Arial"/>
          <w:sz w:val="22"/>
          <w:szCs w:val="22"/>
        </w:rPr>
        <w:t xml:space="preserve">addressing </w:t>
      </w:r>
      <w:r w:rsidRPr="006C1047">
        <w:rPr>
          <w:rFonts w:ascii="Arial" w:hAnsi="Arial" w:cs="Arial"/>
          <w:sz w:val="22"/>
          <w:szCs w:val="22"/>
        </w:rPr>
        <w:t xml:space="preserve">these </w:t>
      </w:r>
      <w:r w:rsidRPr="000A1EAC">
        <w:rPr>
          <w:rFonts w:ascii="Arial" w:hAnsi="Arial" w:cs="Arial"/>
          <w:sz w:val="22"/>
          <w:szCs w:val="22"/>
        </w:rPr>
        <w:t xml:space="preserve">through </w:t>
      </w:r>
      <w:r>
        <w:rPr>
          <w:rFonts w:ascii="Arial" w:hAnsi="Arial" w:cs="Arial"/>
          <w:sz w:val="22"/>
          <w:szCs w:val="22"/>
        </w:rPr>
        <w:t xml:space="preserve">the following </w:t>
      </w:r>
      <w:r w:rsidRPr="000A1EAC">
        <w:rPr>
          <w:rFonts w:ascii="Arial" w:hAnsi="Arial" w:cs="Arial"/>
          <w:sz w:val="22"/>
          <w:szCs w:val="22"/>
        </w:rPr>
        <w:t>special projects and initiatives</w:t>
      </w:r>
      <w:r>
        <w:rPr>
          <w:rFonts w:ascii="Arial" w:hAnsi="Arial" w:cs="Arial"/>
          <w:sz w:val="22"/>
          <w:szCs w:val="22"/>
        </w:rPr>
        <w:t>:</w:t>
      </w:r>
    </w:p>
    <w:p w:rsidR="00485094" w:rsidRPr="008A0F3A" w:rsidRDefault="00485094" w:rsidP="00097ED9">
      <w:pPr>
        <w:rPr>
          <w:rFonts w:cs="Arial"/>
          <w:i/>
          <w:szCs w:val="22"/>
        </w:rPr>
      </w:pPr>
    </w:p>
    <w:p w:rsidR="00485094" w:rsidRDefault="00485094" w:rsidP="008746D5">
      <w:pPr>
        <w:pStyle w:val="ListBullet"/>
      </w:pPr>
      <w:r w:rsidRPr="00DC54A8">
        <w:rPr>
          <w:b/>
        </w:rPr>
        <w:t>Nutrient Impairment.</w:t>
      </w:r>
      <w:r>
        <w:t xml:space="preserve">  Significant progress has been made in reducing nutrient loads to state waters (see </w:t>
      </w:r>
      <w:hyperlink w:anchor="_Chapter_11:_" w:history="1">
        <w:r w:rsidR="006F7EFE" w:rsidRPr="00512DF2">
          <w:rPr>
            <w:rStyle w:val="Hyperlink"/>
            <w:snapToGrid w:val="0"/>
          </w:rPr>
          <w:t>Chapter 11</w:t>
        </w:r>
      </w:hyperlink>
      <w:r>
        <w:t>, which summarizes TMDL and BMAP activities that address nutrient loading to impaired waters and describe</w:t>
      </w:r>
      <w:r w:rsidR="006F7EFE">
        <w:t>s</w:t>
      </w:r>
      <w:r>
        <w:t xml:space="preserve"> the permitting programs that have reduced nutrient loading from point sources and </w:t>
      </w:r>
      <w:r>
        <w:lastRenderedPageBreak/>
        <w:t xml:space="preserve">from new development).  However, nutrient loading </w:t>
      </w:r>
      <w:r w:rsidRPr="00F6674C">
        <w:t xml:space="preserve">and </w:t>
      </w:r>
      <w:r>
        <w:t xml:space="preserve">the </w:t>
      </w:r>
      <w:r w:rsidRPr="00F6674C">
        <w:t xml:space="preserve">resulting </w:t>
      </w:r>
      <w:r w:rsidR="006F7EFE">
        <w:t>HABs</w:t>
      </w:r>
      <w:r>
        <w:t xml:space="preserve"> continue to be an issue</w:t>
      </w:r>
      <w:r w:rsidRPr="00F6674C">
        <w:t xml:space="preserve">.  </w:t>
      </w:r>
      <w:r>
        <w:t>While t</w:t>
      </w:r>
      <w:r w:rsidRPr="00F6674C">
        <w:t>he occurrence of blue-green algae is natural and has occurred throughout history</w:t>
      </w:r>
      <w:r w:rsidR="006F7EFE">
        <w:t xml:space="preserve">, </w:t>
      </w:r>
      <w:r w:rsidRPr="00F6674C">
        <w:t xml:space="preserve">algal blooms caused by </w:t>
      </w:r>
      <w:r>
        <w:t xml:space="preserve">organic sources such as septic tanks, </w:t>
      </w:r>
      <w:r w:rsidR="006F7EFE">
        <w:t xml:space="preserve">and </w:t>
      </w:r>
      <w:r w:rsidRPr="00F6674C">
        <w:t>nutrient loading from fertilizer use, together with a growing population and the resulting increase in residential landscapes</w:t>
      </w:r>
      <w:r>
        <w:t>,</w:t>
      </w:r>
      <w:r w:rsidRPr="00F6674C">
        <w:t xml:space="preserve"> </w:t>
      </w:r>
      <w:r>
        <w:t>are an ongoing</w:t>
      </w:r>
      <w:r w:rsidRPr="00F6674C">
        <w:t xml:space="preserve"> concern</w:t>
      </w:r>
      <w:r w:rsidRPr="00635365">
        <w:t xml:space="preserve">.  </w:t>
      </w:r>
    </w:p>
    <w:p w:rsidR="00485094" w:rsidRPr="006F7EFE" w:rsidRDefault="00485094" w:rsidP="00B605D1">
      <w:pPr>
        <w:pStyle w:val="Listbulletadditional"/>
      </w:pPr>
      <w:r w:rsidRPr="00F6674C">
        <w:t xml:space="preserve">The state has collected and assessed large amounts of data related to nutrients.  FDEP convened a Numeric Nutrient Criteria Technical Advisory Committee (Nutrient TAC) that </w:t>
      </w:r>
      <w:r>
        <w:t xml:space="preserve">has </w:t>
      </w:r>
      <w:r w:rsidRPr="00F6674C">
        <w:t>met 23 times since 2003.  FDEP</w:t>
      </w:r>
      <w:r w:rsidRPr="00635365">
        <w:t xml:space="preserve"> </w:t>
      </w:r>
      <w:r w:rsidRPr="00F6674C">
        <w:t xml:space="preserve">began rulemaking for the establishment of numeric nutrient criteria in lakes and streams in 2009, but suspended its rulemaking efforts when </w:t>
      </w:r>
      <w:r>
        <w:t xml:space="preserve">the </w:t>
      </w:r>
      <w:r w:rsidRPr="00F6674C">
        <w:t xml:space="preserve">EPA signed a Settlement Agreement that included a detailed schedule for </w:t>
      </w:r>
      <w:r>
        <w:t xml:space="preserve">the </w:t>
      </w:r>
      <w:r w:rsidRPr="00F6674C">
        <w:t>EPA to promulgate nutrient criteria</w:t>
      </w:r>
      <w:r w:rsidR="006F7EFE">
        <w:t>,</w:t>
      </w:r>
      <w:r w:rsidRPr="00F6674C">
        <w:t xml:space="preserve"> and provided its data to the EPA, which published proposed criteria in January 2010.  Under </w:t>
      </w:r>
      <w:r>
        <w:t xml:space="preserve">the </w:t>
      </w:r>
      <w:r w:rsidRPr="00F6674C">
        <w:t>EPA's schedule, numeric nutrient criteria</w:t>
      </w:r>
      <w:r>
        <w:t xml:space="preserve"> will be promulgated</w:t>
      </w:r>
      <w:r w:rsidRPr="00F6674C">
        <w:t xml:space="preserve"> for lakes and flowing waters no later than</w:t>
      </w:r>
      <w:r w:rsidRPr="00635365">
        <w:t xml:space="preserve"> </w:t>
      </w:r>
      <w:r w:rsidRPr="00F6674C">
        <w:t xml:space="preserve">October 2010.  </w:t>
      </w:r>
      <w:r>
        <w:t>It</w:t>
      </w:r>
      <w:r w:rsidRPr="00F6674C">
        <w:t xml:space="preserve"> will propose numeric nutrient </w:t>
      </w:r>
      <w:r w:rsidRPr="006F7EFE">
        <w:t xml:space="preserve">criteria for </w:t>
      </w:r>
      <w:r w:rsidR="006F7EFE" w:rsidRPr="006F7EFE">
        <w:t xml:space="preserve">south </w:t>
      </w:r>
      <w:r w:rsidR="00865445" w:rsidRPr="00865445">
        <w:t>Florida canals</w:t>
      </w:r>
      <w:r w:rsidR="006F7EFE">
        <w:t xml:space="preserve"> and</w:t>
      </w:r>
      <w:r w:rsidRPr="006F7EFE">
        <w:t xml:space="preserve"> Florida's estuarine and coastal waters, </w:t>
      </w:r>
      <w:r w:rsidR="00865445" w:rsidRPr="00865445">
        <w:t>a</w:t>
      </w:r>
      <w:r w:rsidR="006F7EFE">
        <w:t>s well as</w:t>
      </w:r>
      <w:r w:rsidR="00865445" w:rsidRPr="00865445">
        <w:t xml:space="preserve"> additional flowing waters criteria designed to protect downstream estuaries (termed “Downstream Protection Values”)</w:t>
      </w:r>
      <w:r w:rsidRPr="006F7EFE">
        <w:t xml:space="preserve"> </w:t>
      </w:r>
      <w:r w:rsidR="00865445" w:rsidRPr="00865445">
        <w:t>in November 2011, with final promulgation no later than August 2012.</w:t>
      </w:r>
    </w:p>
    <w:p w:rsidR="00485094" w:rsidRDefault="00485094" w:rsidP="00B605D1">
      <w:pPr>
        <w:pStyle w:val="Listbulletadditional"/>
      </w:pPr>
      <w:r w:rsidRPr="00F6674C">
        <w:t xml:space="preserve">Additional information is available on the </w:t>
      </w:r>
      <w:hyperlink r:id="rId43" w:history="1">
        <w:r w:rsidRPr="00B605D1">
          <w:rPr>
            <w:color w:val="3333FF"/>
            <w:u w:val="single"/>
          </w:rPr>
          <w:t>FDEP Numeric Nutrient Criteria Development website</w:t>
        </w:r>
      </w:hyperlink>
      <w:r w:rsidRPr="00F6674C">
        <w:t xml:space="preserve">.  The University of Florida Institute of Food and Agricultural Sciences (UF-IFAS) document, </w:t>
      </w:r>
      <w:hyperlink r:id="rId44" w:history="1">
        <w:r w:rsidRPr="00B605D1">
          <w:rPr>
            <w:i w:val="0"/>
            <w:color w:val="3333FF"/>
            <w:u w:val="single"/>
          </w:rPr>
          <w:t>A Guide to EPA’s Proposed Numeric Nutrient Water Quality Criteria for Florida</w:t>
        </w:r>
      </w:hyperlink>
      <w:r w:rsidRPr="00F6674C">
        <w:t>, provides summary</w:t>
      </w:r>
      <w:r w:rsidRPr="00635365">
        <w:t xml:space="preserve"> </w:t>
      </w:r>
      <w:r w:rsidRPr="00F6674C">
        <w:t>information.</w:t>
      </w:r>
      <w:r>
        <w:t xml:space="preserve">  </w:t>
      </w:r>
    </w:p>
    <w:p w:rsidR="00485094" w:rsidRDefault="00485094" w:rsidP="008746D5">
      <w:pPr>
        <w:pStyle w:val="ListBullet"/>
      </w:pPr>
      <w:r w:rsidRPr="00DC54A8">
        <w:rPr>
          <w:b/>
        </w:rPr>
        <w:t>U</w:t>
      </w:r>
      <w:r w:rsidRPr="008746D5">
        <w:rPr>
          <w:b/>
        </w:rPr>
        <w:t xml:space="preserve">pdate of the State’s Stormwater Rule. </w:t>
      </w:r>
      <w:r>
        <w:t xml:space="preserve"> </w:t>
      </w:r>
      <w:r w:rsidRPr="005C05EC">
        <w:t xml:space="preserve">Since the Stormwater Rule is currently based on a minimum treatment level of 80% average annual load reduction, urban stormwater remains a </w:t>
      </w:r>
      <w:r>
        <w:t xml:space="preserve">particular </w:t>
      </w:r>
      <w:r w:rsidRPr="005C05EC">
        <w:t>concern.</w:t>
      </w:r>
      <w:r>
        <w:t xml:space="preserve"> </w:t>
      </w:r>
      <w:r w:rsidRPr="006A373D">
        <w:t xml:space="preserve"> I</w:t>
      </w:r>
      <w:r w:rsidRPr="004948B7">
        <w:t>n October 2007, FDEP’s Secretary and the Executive Directors of the state's</w:t>
      </w:r>
      <w:r>
        <w:t xml:space="preserve"> five</w:t>
      </w:r>
      <w:r w:rsidRPr="004948B7">
        <w:t xml:space="preserve"> water management districts directed FDEP and district staff to develop a statewide stormwater treatment rule based on a performance standard requiring the lesser of an 85% nutrient load reduction, or postdevelopment</w:t>
      </w:r>
      <w:r>
        <w:t xml:space="preserve"> </w:t>
      </w:r>
      <w:r w:rsidRPr="004948B7">
        <w:t xml:space="preserve">stormwater nutrient loads that do not exceed predevelopment nutrient loads, where predevelopment land use is the natural vegetative community.  </w:t>
      </w:r>
    </w:p>
    <w:p w:rsidR="00485094" w:rsidRPr="005C05EC" w:rsidRDefault="00485094" w:rsidP="007718E6">
      <w:pPr>
        <w:pStyle w:val="Listbulletadditional"/>
      </w:pPr>
      <w:r w:rsidRPr="004948B7">
        <w:t xml:space="preserve">A Technical Advisory Committee (TAC) was established to provide input to FDEP and water management district staff on the draft Applicant’s Handbook and rule.  The TAC met in 2008 and 2009.  A revised draft rule and </w:t>
      </w:r>
      <w:hyperlink r:id="rId45" w:history="1">
        <w:r>
          <w:rPr>
            <w:rStyle w:val="Hyperlink"/>
          </w:rPr>
          <w:t>Stormwater Quality A</w:t>
        </w:r>
        <w:r w:rsidRPr="00A37918">
          <w:rPr>
            <w:rStyle w:val="Hyperlink"/>
          </w:rPr>
          <w:t>pplicant’s Handbook</w:t>
        </w:r>
      </w:hyperlink>
      <w:r w:rsidRPr="004948B7">
        <w:t xml:space="preserve"> </w:t>
      </w:r>
      <w:r>
        <w:t>were published</w:t>
      </w:r>
      <w:r w:rsidRPr="004948B7">
        <w:t xml:space="preserve"> in February 2010</w:t>
      </w:r>
      <w:r>
        <w:t>,</w:t>
      </w:r>
      <w:r w:rsidRPr="004948B7">
        <w:t xml:space="preserve"> </w:t>
      </w:r>
      <w:r>
        <w:t>followed by</w:t>
      </w:r>
      <w:r w:rsidRPr="004948B7">
        <w:t xml:space="preserve"> </w:t>
      </w:r>
      <w:r>
        <w:t xml:space="preserve">a number of </w:t>
      </w:r>
      <w:r w:rsidRPr="004948B7">
        <w:t xml:space="preserve">public workshops.  Rule adoption will occur sometime between July 1, 2010, and June 30, 2011.  Additional information is available </w:t>
      </w:r>
      <w:r>
        <w:t xml:space="preserve">on the </w:t>
      </w:r>
      <w:hyperlink r:id="rId46" w:history="1">
        <w:r w:rsidRPr="00B77587">
          <w:rPr>
            <w:rStyle w:val="Hyperlink"/>
          </w:rPr>
          <w:t xml:space="preserve">FDEP </w:t>
        </w:r>
        <w:r>
          <w:rPr>
            <w:rStyle w:val="Hyperlink"/>
          </w:rPr>
          <w:t xml:space="preserve">Statewide Stormwater Treatment Rule Development </w:t>
        </w:r>
        <w:r w:rsidRPr="00B77587">
          <w:rPr>
            <w:rStyle w:val="Hyperlink"/>
          </w:rPr>
          <w:t>website</w:t>
        </w:r>
      </w:hyperlink>
      <w:r>
        <w:t>.</w:t>
      </w:r>
    </w:p>
    <w:p w:rsidR="00485094" w:rsidRDefault="00485094" w:rsidP="008746D5">
      <w:pPr>
        <w:pStyle w:val="ListBullet"/>
      </w:pPr>
      <w:r>
        <w:rPr>
          <w:b/>
          <w:iCs/>
        </w:rPr>
        <w:t>Increasing Algal Growth</w:t>
      </w:r>
      <w:r w:rsidRPr="00DC54A8">
        <w:rPr>
          <w:b/>
          <w:iCs/>
        </w:rPr>
        <w:t xml:space="preserve"> in Springs.</w:t>
      </w:r>
      <w:r>
        <w:t xml:space="preserve">  Water quality has declined in most springs s</w:t>
      </w:r>
      <w:r w:rsidRPr="00D43B65">
        <w:t>ince the 1970s</w:t>
      </w:r>
      <w:r>
        <w:t xml:space="preserve">; in particular, levels of nitrate (a nutrient) and blue-green algal growth in springs have increased.  Recognizing the need to assess the status of blue-green algae not just in springs but all waters, in 1998 the Florida Legislature approved funding for the FWC’s Harmful Algal Bloom Task Force.  This task force was initiated to address potential concerns regarding microalgae—including blue-green algae—through monitoring and investigation.  The state continues to monitor blue-green algae closely and is taking long-term </w:t>
      </w:r>
      <w:r>
        <w:lastRenderedPageBreak/>
        <w:t>measures to reduce nutrient loading and improve water quality.  FDOH’s Aquatic Toxins Program, in coordination with FDEP, has derived and implemented several tools to help identify and assess blue-green algae blooms.</w:t>
      </w:r>
    </w:p>
    <w:p w:rsidR="00485094" w:rsidRDefault="00485094" w:rsidP="008746D5">
      <w:pPr>
        <w:pStyle w:val="ListBullet"/>
        <w:rPr>
          <w:iCs/>
        </w:rPr>
      </w:pPr>
      <w:r w:rsidRPr="00DC54A8">
        <w:rPr>
          <w:b/>
          <w:iCs/>
          <w:snapToGrid w:val="0"/>
        </w:rPr>
        <w:t>Mercury in Fish Tissue.</w:t>
      </w:r>
      <w:r>
        <w:rPr>
          <w:snapToGrid w:val="0"/>
        </w:rPr>
        <w:t xml:space="preserve">  </w:t>
      </w:r>
      <w:r w:rsidRPr="00DC54A8">
        <w:rPr>
          <w:iCs/>
        </w:rPr>
        <w:t xml:space="preserve">In many coastal and inland waters, excessive concentrations of mercury in the tissue of some fish species limit the attainment of designated use.  To </w:t>
      </w:r>
      <w:r>
        <w:rPr>
          <w:iCs/>
        </w:rPr>
        <w:t>address</w:t>
      </w:r>
      <w:r w:rsidRPr="00DC54A8">
        <w:rPr>
          <w:iCs/>
        </w:rPr>
        <w:t xml:space="preserve"> this issue, FDEP initiated the development of a </w:t>
      </w:r>
      <w:r>
        <w:rPr>
          <w:iCs/>
        </w:rPr>
        <w:t xml:space="preserve">statewide </w:t>
      </w:r>
      <w:r w:rsidRPr="00DC54A8">
        <w:rPr>
          <w:iCs/>
        </w:rPr>
        <w:t>TMDL</w:t>
      </w:r>
      <w:r>
        <w:rPr>
          <w:iCs/>
        </w:rPr>
        <w:t xml:space="preserve"> for mercury</w:t>
      </w:r>
      <w:r w:rsidRPr="00DC54A8">
        <w:rPr>
          <w:iCs/>
        </w:rPr>
        <w:t xml:space="preserve"> in 2008</w:t>
      </w:r>
      <w:r>
        <w:rPr>
          <w:iCs/>
        </w:rPr>
        <w:t xml:space="preserve"> that is scheduled to be completed by </w:t>
      </w:r>
      <w:r w:rsidRPr="00730412">
        <w:rPr>
          <w:iCs/>
        </w:rPr>
        <w:t>September 2012</w:t>
      </w:r>
      <w:r w:rsidRPr="00DC54A8">
        <w:rPr>
          <w:iCs/>
        </w:rPr>
        <w:t xml:space="preserve">. </w:t>
      </w:r>
      <w:r>
        <w:rPr>
          <w:iCs/>
        </w:rPr>
        <w:t xml:space="preserve"> </w:t>
      </w:r>
      <w:r w:rsidRPr="00DC54A8">
        <w:rPr>
          <w:iCs/>
        </w:rPr>
        <w:t>The project consists of gathering and assessing a complex suite of data (</w:t>
      </w:r>
      <w:r>
        <w:rPr>
          <w:iCs/>
        </w:rPr>
        <w:t>on</w:t>
      </w:r>
      <w:r w:rsidRPr="00DC54A8">
        <w:rPr>
          <w:iCs/>
        </w:rPr>
        <w:t xml:space="preserve"> mercury emission, deposition, and aquatic cycling) and conducting modeling to quantify the needed mercury reductions </w:t>
      </w:r>
      <w:r w:rsidR="0070466C">
        <w:rPr>
          <w:iCs/>
        </w:rPr>
        <w:t xml:space="preserve">in order </w:t>
      </w:r>
      <w:r w:rsidRPr="00DC54A8">
        <w:rPr>
          <w:iCs/>
        </w:rPr>
        <w:t>to address mercury-related impairment in surface waters.  Elements of the proposed statewide mercury TMDL study include</w:t>
      </w:r>
      <w:r>
        <w:rPr>
          <w:iCs/>
        </w:rPr>
        <w:t xml:space="preserve"> the following</w:t>
      </w:r>
      <w:r w:rsidRPr="00DC54A8">
        <w:rPr>
          <w:iCs/>
        </w:rPr>
        <w:t>:</w:t>
      </w:r>
    </w:p>
    <w:p w:rsidR="00485094" w:rsidRPr="007718E6" w:rsidRDefault="00485094" w:rsidP="007718E6">
      <w:pPr>
        <w:pStyle w:val="Listbulletsub"/>
      </w:pPr>
      <w:r w:rsidRPr="007718E6">
        <w:t>C</w:t>
      </w:r>
      <w:r>
        <w:t>ollecting c</w:t>
      </w:r>
      <w:r w:rsidRPr="007718E6">
        <w:t>omprehensive, highly temporally resolved measurements of wet and dry mercury deposition at four locations, along with a suite of tracers that may be used to link deposition with sources.  These sampling areas are referred to as “Supersites.”</w:t>
      </w:r>
    </w:p>
    <w:p w:rsidR="00485094" w:rsidRPr="00E230FC" w:rsidRDefault="00485094" w:rsidP="007718E6">
      <w:pPr>
        <w:pStyle w:val="Listbulletsub"/>
      </w:pPr>
      <w:r>
        <w:t>Identifying</w:t>
      </w:r>
      <w:r w:rsidRPr="00DC54A8">
        <w:t xml:space="preserve"> all significant sources of mercury, whether fixed or mobile, in Florida (</w:t>
      </w:r>
      <w:r>
        <w:t xml:space="preserve">an </w:t>
      </w:r>
      <w:r w:rsidRPr="00DC54A8">
        <w:t xml:space="preserve">emissions inventory).  </w:t>
      </w:r>
    </w:p>
    <w:p w:rsidR="00485094" w:rsidRPr="00E230FC" w:rsidRDefault="00485094" w:rsidP="007718E6">
      <w:pPr>
        <w:pStyle w:val="Listbulletsub"/>
      </w:pPr>
      <w:r>
        <w:t>Developing an empirical,</w:t>
      </w:r>
      <w:r w:rsidRPr="00DC54A8">
        <w:t xml:space="preserve"> probabilistic aquatic</w:t>
      </w:r>
      <w:r>
        <w:t>-</w:t>
      </w:r>
      <w:r w:rsidRPr="00DC54A8">
        <w:t xml:space="preserve">cycling model to </w:t>
      </w:r>
      <w:r>
        <w:t>better understand how waterbody geochemistry affects mercury deposition with bio</w:t>
      </w:r>
      <w:r w:rsidRPr="00DC54A8">
        <w:t xml:space="preserve">magnification in fish. </w:t>
      </w:r>
    </w:p>
    <w:p w:rsidR="00485094" w:rsidRDefault="00485094" w:rsidP="007718E6">
      <w:pPr>
        <w:pStyle w:val="Listbulletsub"/>
      </w:pPr>
      <w:r w:rsidRPr="00DC54A8">
        <w:t xml:space="preserve">Conducting atmospheric modeling (both dispersion and receptor models) </w:t>
      </w:r>
      <w:r>
        <w:t>to quantify</w:t>
      </w:r>
      <w:r w:rsidRPr="00DC54A8">
        <w:t xml:space="preserve"> Florida mercury sources versus those sources outside Florida that must be controlled to satisfy the TMDL.</w:t>
      </w:r>
    </w:p>
    <w:p w:rsidR="00485094" w:rsidRDefault="00485094" w:rsidP="007718E6">
      <w:pPr>
        <w:pStyle w:val="Bodytextreduced"/>
      </w:pPr>
      <w:r w:rsidRPr="00DC54A8">
        <w:t xml:space="preserve"> </w:t>
      </w:r>
    </w:p>
    <w:p w:rsidR="00485094" w:rsidRDefault="00485094" w:rsidP="008746D5">
      <w:pPr>
        <w:pStyle w:val="ListBullet"/>
        <w:rPr>
          <w:snapToGrid w:val="0"/>
        </w:rPr>
      </w:pPr>
      <w:r>
        <w:rPr>
          <w:b/>
          <w:snapToGrid w:val="0"/>
        </w:rPr>
        <w:t>Saltwater Encroachment</w:t>
      </w:r>
      <w:r w:rsidRPr="00F5173D">
        <w:rPr>
          <w:b/>
          <w:snapToGrid w:val="0"/>
        </w:rPr>
        <w:t>.</w:t>
      </w:r>
      <w:r>
        <w:rPr>
          <w:snapToGrid w:val="0"/>
        </w:rPr>
        <w:t xml:space="preserve">  In 2010, </w:t>
      </w:r>
      <w:r w:rsidRPr="00635365">
        <w:rPr>
          <w:snapToGrid w:val="0"/>
        </w:rPr>
        <w:t>FDEP</w:t>
      </w:r>
      <w:r>
        <w:rPr>
          <w:snapToGrid w:val="0"/>
        </w:rPr>
        <w:t>’s</w:t>
      </w:r>
      <w:r w:rsidRPr="00635365">
        <w:rPr>
          <w:snapToGrid w:val="0"/>
        </w:rPr>
        <w:t xml:space="preserve"> Florida Geological Survey (FGS), in concert with the Watershed Monitoring Section, completed </w:t>
      </w:r>
      <w:r>
        <w:rPr>
          <w:snapToGrid w:val="0"/>
        </w:rPr>
        <w:t>P</w:t>
      </w:r>
      <w:r w:rsidRPr="00635365">
        <w:rPr>
          <w:snapToGrid w:val="0"/>
        </w:rPr>
        <w:t xml:space="preserve">hase </w:t>
      </w:r>
      <w:r>
        <w:rPr>
          <w:snapToGrid w:val="0"/>
        </w:rPr>
        <w:t>2</w:t>
      </w:r>
      <w:r w:rsidRPr="00635365">
        <w:rPr>
          <w:snapToGrid w:val="0"/>
        </w:rPr>
        <w:t xml:space="preserve"> of a springs and ground</w:t>
      </w:r>
      <w:r>
        <w:rPr>
          <w:snapToGrid w:val="0"/>
        </w:rPr>
        <w:t xml:space="preserve"> </w:t>
      </w:r>
      <w:r w:rsidRPr="00635365">
        <w:rPr>
          <w:snapToGrid w:val="0"/>
        </w:rPr>
        <w:t>water quality assessment (</w:t>
      </w:r>
      <w:r>
        <w:rPr>
          <w:snapToGrid w:val="0"/>
        </w:rPr>
        <w:t xml:space="preserve">using data collected from </w:t>
      </w:r>
      <w:r w:rsidRPr="00635365">
        <w:rPr>
          <w:snapToGrid w:val="0"/>
        </w:rPr>
        <w:t>2005</w:t>
      </w:r>
      <w:r>
        <w:rPr>
          <w:snapToGrid w:val="0"/>
        </w:rPr>
        <w:t xml:space="preserve"> to 20</w:t>
      </w:r>
      <w:r w:rsidRPr="00635365">
        <w:rPr>
          <w:snapToGrid w:val="0"/>
        </w:rPr>
        <w:t>09).  The assessment interpreted data from the entire period of study (both phases</w:t>
      </w:r>
      <w:r>
        <w:rPr>
          <w:snapToGrid w:val="0"/>
        </w:rPr>
        <w:t xml:space="preserve"> covered </w:t>
      </w:r>
      <w:r w:rsidRPr="00635365">
        <w:rPr>
          <w:snapToGrid w:val="0"/>
        </w:rPr>
        <w:t xml:space="preserve">1991 </w:t>
      </w:r>
      <w:r>
        <w:rPr>
          <w:snapToGrid w:val="0"/>
        </w:rPr>
        <w:t>to</w:t>
      </w:r>
      <w:r w:rsidRPr="00635365">
        <w:rPr>
          <w:snapToGrid w:val="0"/>
        </w:rPr>
        <w:t xml:space="preserve"> 2009) in context with climatic response, anthropogenic effects</w:t>
      </w:r>
      <w:r>
        <w:rPr>
          <w:snapToGrid w:val="0"/>
        </w:rPr>
        <w:t>,</w:t>
      </w:r>
      <w:r w:rsidRPr="00635365">
        <w:rPr>
          <w:snapToGrid w:val="0"/>
        </w:rPr>
        <w:t xml:space="preserve"> and </w:t>
      </w:r>
      <w:r>
        <w:rPr>
          <w:snapToGrid w:val="0"/>
        </w:rPr>
        <w:t xml:space="preserve">the </w:t>
      </w:r>
      <w:r w:rsidRPr="00635365">
        <w:rPr>
          <w:snapToGrid w:val="0"/>
        </w:rPr>
        <w:t>development of predictive tools.  Data indicate that freshwater ground</w:t>
      </w:r>
      <w:r>
        <w:rPr>
          <w:snapToGrid w:val="0"/>
        </w:rPr>
        <w:t xml:space="preserve"> </w:t>
      </w:r>
      <w:r w:rsidRPr="00635365">
        <w:rPr>
          <w:snapToGrid w:val="0"/>
        </w:rPr>
        <w:t xml:space="preserve">water supplies are being affected by saltwater intrusion and encroachment.  Induced saline-water upwelling and inland encroachment </w:t>
      </w:r>
      <w:r>
        <w:rPr>
          <w:snapToGrid w:val="0"/>
        </w:rPr>
        <w:t>are</w:t>
      </w:r>
      <w:r w:rsidRPr="00635365">
        <w:rPr>
          <w:snapToGrid w:val="0"/>
        </w:rPr>
        <w:t xml:space="preserve"> becoming a significant environmental challenge</w:t>
      </w:r>
      <w:r>
        <w:rPr>
          <w:snapToGrid w:val="0"/>
        </w:rPr>
        <w:t>,</w:t>
      </w:r>
      <w:r w:rsidRPr="00635365">
        <w:rPr>
          <w:snapToGrid w:val="0"/>
        </w:rPr>
        <w:t xml:space="preserve"> considering th</w:t>
      </w:r>
      <w:r>
        <w:rPr>
          <w:snapToGrid w:val="0"/>
        </w:rPr>
        <w:t xml:space="preserve">at the state needs </w:t>
      </w:r>
      <w:r w:rsidRPr="00635365">
        <w:rPr>
          <w:snapToGrid w:val="0"/>
        </w:rPr>
        <w:t>plentiful, good</w:t>
      </w:r>
      <w:r>
        <w:rPr>
          <w:snapToGrid w:val="0"/>
        </w:rPr>
        <w:t>-</w:t>
      </w:r>
      <w:r w:rsidRPr="00635365">
        <w:rPr>
          <w:snapToGrid w:val="0"/>
        </w:rPr>
        <w:t xml:space="preserve">quality water for drinking, agricultural and industrial </w:t>
      </w:r>
      <w:r>
        <w:rPr>
          <w:snapToGrid w:val="0"/>
        </w:rPr>
        <w:t>use</w:t>
      </w:r>
      <w:r w:rsidRPr="00635365">
        <w:rPr>
          <w:snapToGrid w:val="0"/>
        </w:rPr>
        <w:t xml:space="preserve">, </w:t>
      </w:r>
      <w:r>
        <w:rPr>
          <w:snapToGrid w:val="0"/>
        </w:rPr>
        <w:t xml:space="preserve">and the </w:t>
      </w:r>
      <w:r w:rsidRPr="00635365">
        <w:rPr>
          <w:snapToGrid w:val="0"/>
        </w:rPr>
        <w:t xml:space="preserve">maintenance of natural communities. </w:t>
      </w:r>
      <w:r>
        <w:rPr>
          <w:snapToGrid w:val="0"/>
        </w:rPr>
        <w:t xml:space="preserve"> </w:t>
      </w:r>
    </w:p>
    <w:p w:rsidR="00485094" w:rsidRPr="00097ED9" w:rsidRDefault="00485094" w:rsidP="007718E6">
      <w:pPr>
        <w:pStyle w:val="Listbulletadditional"/>
        <w:rPr>
          <w:snapToGrid w:val="0"/>
        </w:rPr>
      </w:pPr>
      <w:r w:rsidRPr="00097ED9">
        <w:rPr>
          <w:snapToGrid w:val="0"/>
        </w:rPr>
        <w:t xml:space="preserve">To address water supply issues, </w:t>
      </w:r>
      <w:r>
        <w:rPr>
          <w:snapToGrid w:val="0"/>
        </w:rPr>
        <w:t xml:space="preserve">the FGS has proposed the creation of </w:t>
      </w:r>
      <w:r w:rsidRPr="00097ED9">
        <w:rPr>
          <w:snapToGrid w:val="0"/>
        </w:rPr>
        <w:t xml:space="preserve">a new multiagency working group to </w:t>
      </w:r>
      <w:r>
        <w:rPr>
          <w:snapToGrid w:val="0"/>
        </w:rPr>
        <w:t>better align</w:t>
      </w:r>
      <w:r w:rsidRPr="00097ED9">
        <w:rPr>
          <w:snapToGrid w:val="0"/>
        </w:rPr>
        <w:t xml:space="preserve"> local, state and federal monitoring efforts, and </w:t>
      </w:r>
      <w:r>
        <w:rPr>
          <w:snapToGrid w:val="0"/>
        </w:rPr>
        <w:t xml:space="preserve">to </w:t>
      </w:r>
      <w:r w:rsidRPr="00097ED9">
        <w:rPr>
          <w:snapToGrid w:val="0"/>
        </w:rPr>
        <w:t xml:space="preserve">coordinate with the Florida Water Resources Monitoring Council.  The objectives of the group would be to organize and initiate the multiagency statewide working group needed to address </w:t>
      </w:r>
      <w:r>
        <w:rPr>
          <w:snapToGrid w:val="0"/>
        </w:rPr>
        <w:t xml:space="preserve">the issue of </w:t>
      </w:r>
      <w:r w:rsidRPr="00097ED9">
        <w:rPr>
          <w:snapToGrid w:val="0"/>
        </w:rPr>
        <w:t>saltwater encroachment.  There is further interest in developing and u</w:t>
      </w:r>
      <w:r>
        <w:rPr>
          <w:snapToGrid w:val="0"/>
        </w:rPr>
        <w:t>s</w:t>
      </w:r>
      <w:r w:rsidRPr="00097ED9">
        <w:rPr>
          <w:snapToGrid w:val="0"/>
        </w:rPr>
        <w:t xml:space="preserve">ing “report card(s)” </w:t>
      </w:r>
      <w:r>
        <w:rPr>
          <w:snapToGrid w:val="0"/>
        </w:rPr>
        <w:t>to increase</w:t>
      </w:r>
      <w:r w:rsidRPr="00097ED9">
        <w:rPr>
          <w:snapToGrid w:val="0"/>
        </w:rPr>
        <w:t xml:space="preserve"> public awareness and to keep elected officials and media engaged</w:t>
      </w:r>
      <w:r>
        <w:rPr>
          <w:snapToGrid w:val="0"/>
        </w:rPr>
        <w:t>, in order</w:t>
      </w:r>
      <w:r w:rsidRPr="00097ED9">
        <w:rPr>
          <w:snapToGrid w:val="0"/>
        </w:rPr>
        <w:t xml:space="preserve"> to encourage </w:t>
      </w:r>
      <w:r>
        <w:rPr>
          <w:snapToGrid w:val="0"/>
        </w:rPr>
        <w:t xml:space="preserve">the </w:t>
      </w:r>
      <w:r w:rsidRPr="00097ED9">
        <w:rPr>
          <w:snapToGrid w:val="0"/>
        </w:rPr>
        <w:t>continued funding of relevant long-term programs</w:t>
      </w:r>
      <w:r>
        <w:rPr>
          <w:snapToGrid w:val="0"/>
        </w:rPr>
        <w:t xml:space="preserve">, </w:t>
      </w:r>
      <w:r w:rsidRPr="00097ED9">
        <w:rPr>
          <w:snapToGrid w:val="0"/>
        </w:rPr>
        <w:t>projects</w:t>
      </w:r>
      <w:r>
        <w:rPr>
          <w:snapToGrid w:val="0"/>
        </w:rPr>
        <w:t xml:space="preserve">, and </w:t>
      </w:r>
      <w:r w:rsidRPr="00097ED9">
        <w:rPr>
          <w:snapToGrid w:val="0"/>
        </w:rPr>
        <w:t>initiatives.</w:t>
      </w:r>
    </w:p>
    <w:p w:rsidR="00485094" w:rsidRDefault="00485094" w:rsidP="008746D5">
      <w:pPr>
        <w:pStyle w:val="ListBullet"/>
      </w:pPr>
      <w:r w:rsidRPr="00DC54A8">
        <w:rPr>
          <w:b/>
        </w:rPr>
        <w:t>Arsenic in Ground Water.</w:t>
      </w:r>
      <w:r>
        <w:t xml:space="preserve">  </w:t>
      </w:r>
      <w:r w:rsidRPr="008A0F3A">
        <w:t>Over the last two decades, high levels of arsenic, which can adversely affect human health, have been found in potable water wells and monitoring wells in Florida</w:t>
      </w:r>
      <w:r>
        <w:t>.</w:t>
      </w:r>
      <w:r w:rsidRPr="008A0F3A">
        <w:t xml:space="preserve"> </w:t>
      </w:r>
      <w:r>
        <w:t xml:space="preserve"> R</w:t>
      </w:r>
      <w:r w:rsidRPr="008A0F3A">
        <w:t xml:space="preserve">egions with high exceedance levels </w:t>
      </w:r>
      <w:r w:rsidRPr="008A0F3A">
        <w:lastRenderedPageBreak/>
        <w:t xml:space="preserve">include the Springs Coast, Lower St. Johns, Ocklawaha, Suwannee, Withlacoochee, and Tampa Bay Tributaries Basins.  The arsenic may be naturally occurring, anthropogenic, or released into ground water because of human activities.  Recent </w:t>
      </w:r>
      <w:r w:rsidR="0070466C">
        <w:t>reductions in</w:t>
      </w:r>
      <w:r w:rsidRPr="008A0F3A">
        <w:t xml:space="preserve"> the ground</w:t>
      </w:r>
      <w:r>
        <w:t xml:space="preserve"> </w:t>
      </w:r>
      <w:r w:rsidRPr="008A0F3A">
        <w:t>water arsenic criteri</w:t>
      </w:r>
      <w:r>
        <w:t>on</w:t>
      </w:r>
      <w:r w:rsidRPr="008A0F3A">
        <w:t xml:space="preserve"> from 50 to 10 </w:t>
      </w:r>
      <w:r>
        <w:rPr>
          <w:rFonts w:ascii="Symbol" w:hAnsi="Symbol"/>
        </w:rPr>
        <w:t></w:t>
      </w:r>
      <w:r w:rsidRPr="00DF628B">
        <w:t xml:space="preserve">g/L </w:t>
      </w:r>
      <w:r>
        <w:t>have increased the</w:t>
      </w:r>
      <w:r w:rsidRPr="008A0F3A">
        <w:t xml:space="preserve"> number of wells that may require </w:t>
      </w:r>
      <w:r>
        <w:t>remediation, such as the insta</w:t>
      </w:r>
      <w:r w:rsidRPr="008A0F3A">
        <w:t xml:space="preserve">llation of filters. </w:t>
      </w:r>
    </w:p>
    <w:p w:rsidR="00485094" w:rsidRDefault="00485094" w:rsidP="00DF628B">
      <w:pPr>
        <w:pStyle w:val="Listbulletadditional"/>
      </w:pPr>
      <w:r w:rsidRPr="008A0F3A">
        <w:t>To address the issue of arsenic contamination in ground water, FDEP’s Ground Water and Watershed Monitoring sections,</w:t>
      </w:r>
      <w:r>
        <w:t xml:space="preserve"> the</w:t>
      </w:r>
      <w:r w:rsidRPr="008A0F3A">
        <w:t xml:space="preserve"> F</w:t>
      </w:r>
      <w:r>
        <w:t>GS,</w:t>
      </w:r>
      <w:r w:rsidRPr="008A0F3A">
        <w:t xml:space="preserve"> and the Southwest Florida Water Management District </w:t>
      </w:r>
      <w:r>
        <w:t xml:space="preserve">have </w:t>
      </w:r>
      <w:r w:rsidRPr="008A0F3A">
        <w:t xml:space="preserve">initiated a focused five-year arsenic study in four counties in southwest Florida.  The study, now in its third year, will evaluate the effect of land use, aquifer lithology, and water levels, or the interaction of all three, on arsenic levels in ground water and develop a predictive model to </w:t>
      </w:r>
      <w:r>
        <w:t xml:space="preserve">help identify the best locations for </w:t>
      </w:r>
      <w:r w:rsidRPr="008A0F3A">
        <w:t xml:space="preserve">potable water wells with </w:t>
      </w:r>
      <w:r>
        <w:t>low</w:t>
      </w:r>
      <w:r w:rsidRPr="008A0F3A">
        <w:t xml:space="preserve"> arsenic-leaching potential.</w:t>
      </w:r>
    </w:p>
    <w:p w:rsidR="00485094" w:rsidRPr="001B0F18" w:rsidRDefault="00485094" w:rsidP="008746D5">
      <w:pPr>
        <w:pStyle w:val="ListBullet"/>
        <w:rPr>
          <w:sz w:val="16"/>
        </w:rPr>
      </w:pPr>
      <w:r w:rsidRPr="00097ED9">
        <w:rPr>
          <w:b/>
          <w:snapToGrid w:val="0"/>
        </w:rPr>
        <w:t>Emerging Substances of Concern.</w:t>
      </w:r>
      <w:r w:rsidRPr="00097ED9">
        <w:rPr>
          <w:snapToGrid w:val="0"/>
        </w:rPr>
        <w:t xml:space="preserve">  In December 2008, an FDEP workgroup released a report on strategies to effectively address a wide variety of potential contaminants in surface water and g</w:t>
      </w:r>
      <w:r>
        <w:rPr>
          <w:snapToGrid w:val="0"/>
        </w:rPr>
        <w:t>round water</w:t>
      </w:r>
      <w:r w:rsidRPr="007E5F1B">
        <w:rPr>
          <w:snapToGrid w:val="0"/>
        </w:rPr>
        <w:t xml:space="preserve">.  These contaminants, </w:t>
      </w:r>
      <w:r>
        <w:rPr>
          <w:snapToGrid w:val="0"/>
        </w:rPr>
        <w:t xml:space="preserve">which are </w:t>
      </w:r>
      <w:r w:rsidRPr="007E5F1B">
        <w:rPr>
          <w:snapToGrid w:val="0"/>
        </w:rPr>
        <w:t>commonly referred to as Emerging Substances of Concern</w:t>
      </w:r>
      <w:r>
        <w:rPr>
          <w:snapToGrid w:val="0"/>
        </w:rPr>
        <w:t xml:space="preserve"> (</w:t>
      </w:r>
      <w:r w:rsidRPr="007E5F1B">
        <w:rPr>
          <w:snapToGrid w:val="0"/>
        </w:rPr>
        <w:t>ESOC</w:t>
      </w:r>
      <w:r>
        <w:rPr>
          <w:snapToGrid w:val="0"/>
        </w:rPr>
        <w:t>)</w:t>
      </w:r>
      <w:r w:rsidRPr="007E5F1B">
        <w:rPr>
          <w:snapToGrid w:val="0"/>
        </w:rPr>
        <w:t xml:space="preserve">, include global organic contaminants, endocrine-modulating chemicals, nanoparticles, and biological metabolites.  Recent improvements in laboratory analytical methods have enabled the identification of these substances, which likely have been present in waters for decades.  ESOC are particularly challenging for regulatory agencies because of their sheer numbers (there are </w:t>
      </w:r>
      <w:r>
        <w:rPr>
          <w:snapToGrid w:val="0"/>
        </w:rPr>
        <w:t>about</w:t>
      </w:r>
      <w:r w:rsidRPr="007E5F1B">
        <w:rPr>
          <w:snapToGrid w:val="0"/>
        </w:rPr>
        <w:t xml:space="preserve"> 14 million commercially available compounds in the United States) and because environmental risk cannot </w:t>
      </w:r>
      <w:r>
        <w:rPr>
          <w:snapToGrid w:val="0"/>
        </w:rPr>
        <w:t xml:space="preserve">currently </w:t>
      </w:r>
      <w:r w:rsidRPr="007E5F1B">
        <w:rPr>
          <w:snapToGrid w:val="0"/>
        </w:rPr>
        <w:t xml:space="preserve">be meaningfully assessed for the vast majority of </w:t>
      </w:r>
      <w:r>
        <w:rPr>
          <w:snapToGrid w:val="0"/>
        </w:rPr>
        <w:t>them</w:t>
      </w:r>
      <w:r w:rsidRPr="007E5F1B">
        <w:rPr>
          <w:snapToGrid w:val="0"/>
        </w:rPr>
        <w:t xml:space="preserve">.  </w:t>
      </w:r>
    </w:p>
    <w:p w:rsidR="00485094" w:rsidRPr="00F5173D" w:rsidRDefault="00485094" w:rsidP="001B0F18">
      <w:pPr>
        <w:pStyle w:val="Listbulletadditional"/>
        <w:rPr>
          <w:sz w:val="16"/>
        </w:rPr>
      </w:pPr>
      <w:r w:rsidRPr="00F11DAB">
        <w:rPr>
          <w:snapToGrid w:val="0"/>
        </w:rPr>
        <w:t>The report identified several potential strategies for addressing ESOC, including the following:</w:t>
      </w:r>
    </w:p>
    <w:p w:rsidR="00485094" w:rsidRDefault="00485094" w:rsidP="008746D5">
      <w:pPr>
        <w:pStyle w:val="Listbulletsub"/>
      </w:pPr>
      <w:r w:rsidRPr="00F11DAB">
        <w:t>P</w:t>
      </w:r>
      <w:r>
        <w:t>reventing p</w:t>
      </w:r>
      <w:r w:rsidRPr="00F11DAB">
        <w:t xml:space="preserve">ollution </w:t>
      </w:r>
      <w:r>
        <w:t>through</w:t>
      </w:r>
      <w:r w:rsidRPr="00F11DAB">
        <w:t xml:space="preserve"> stakeholder education; </w:t>
      </w:r>
    </w:p>
    <w:p w:rsidR="00485094" w:rsidRDefault="00485094" w:rsidP="008746D5">
      <w:pPr>
        <w:pStyle w:val="Listbulletsub"/>
      </w:pPr>
      <w:r w:rsidRPr="00F11DAB">
        <w:t>Assess</w:t>
      </w:r>
      <w:r>
        <w:t>ing</w:t>
      </w:r>
      <w:r w:rsidRPr="00F11DAB">
        <w:t xml:space="preserve"> ESOC data quality to better understand the magnitude of ESOC concentrations in the environment</w:t>
      </w:r>
      <w:r>
        <w:t>,</w:t>
      </w:r>
      <w:r w:rsidRPr="00F11DAB">
        <w:t xml:space="preserve"> given the incorrect reporting of ESOC levels by some key researchers;</w:t>
      </w:r>
    </w:p>
    <w:p w:rsidR="00485094" w:rsidRDefault="00485094" w:rsidP="008746D5">
      <w:pPr>
        <w:pStyle w:val="Listbulletsub"/>
      </w:pPr>
      <w:r>
        <w:t>Asking</w:t>
      </w:r>
      <w:r w:rsidRPr="00F11DAB">
        <w:t xml:space="preserve"> the </w:t>
      </w:r>
      <w:r>
        <w:t>EPA</w:t>
      </w:r>
      <w:r w:rsidRPr="00F11DAB">
        <w:t xml:space="preserve"> for specific ESOC monitoring projects; and</w:t>
      </w:r>
    </w:p>
    <w:p w:rsidR="00485094" w:rsidRDefault="00485094" w:rsidP="008746D5">
      <w:pPr>
        <w:pStyle w:val="Listbulletsub"/>
      </w:pPr>
      <w:r w:rsidRPr="00F11DAB">
        <w:t>Improv</w:t>
      </w:r>
      <w:r>
        <w:t>ing</w:t>
      </w:r>
      <w:r w:rsidRPr="00F11DAB">
        <w:t xml:space="preserve"> coordination with federal agencies.</w:t>
      </w:r>
    </w:p>
    <w:p w:rsidR="00485094" w:rsidRDefault="00485094">
      <w:pPr>
        <w:pStyle w:val="Bodytextreduced"/>
      </w:pPr>
    </w:p>
    <w:p w:rsidR="00485094" w:rsidRPr="007E5F1B" w:rsidRDefault="00485094" w:rsidP="008746D5">
      <w:pPr>
        <w:pStyle w:val="Listbulletadditional"/>
        <w:rPr>
          <w:sz w:val="16"/>
        </w:rPr>
      </w:pPr>
      <w:r w:rsidRPr="00DA441B">
        <w:rPr>
          <w:snapToGrid w:val="0"/>
        </w:rPr>
        <w:t xml:space="preserve">While the </w:t>
      </w:r>
      <w:r>
        <w:rPr>
          <w:snapToGrid w:val="0"/>
        </w:rPr>
        <w:t>report</w:t>
      </w:r>
      <w:r w:rsidRPr="00DA441B">
        <w:rPr>
          <w:snapToGrid w:val="0"/>
        </w:rPr>
        <w:t xml:space="preserve"> describes all of the strategies, the workgroup concluded that preventing ESOC from entering the environment is the most effective control strategy, and </w:t>
      </w:r>
      <w:r>
        <w:rPr>
          <w:snapToGrid w:val="0"/>
        </w:rPr>
        <w:t>FDEP’s</w:t>
      </w:r>
      <w:r w:rsidRPr="00DA441B">
        <w:rPr>
          <w:snapToGrid w:val="0"/>
        </w:rPr>
        <w:t xml:space="preserve"> initial efforts to address ESOC have focused on public education.  Additional information and the workgroup report are available on the </w:t>
      </w:r>
      <w:hyperlink r:id="rId47" w:history="1">
        <w:r w:rsidRPr="007E5F1B">
          <w:rPr>
            <w:rStyle w:val="Hyperlink"/>
            <w:snapToGrid w:val="0"/>
          </w:rPr>
          <w:t>FDEP Watershed Management website</w:t>
        </w:r>
      </w:hyperlink>
      <w:r w:rsidRPr="007E5F1B">
        <w:rPr>
          <w:snapToGrid w:val="0"/>
        </w:rPr>
        <w:t xml:space="preserve">.  </w:t>
      </w:r>
    </w:p>
    <w:p w:rsidR="00485094" w:rsidRPr="002522EC" w:rsidRDefault="00485094" w:rsidP="008746D5">
      <w:pPr>
        <w:pStyle w:val="ListBullet"/>
        <w:rPr>
          <w:snapToGrid w:val="0"/>
        </w:rPr>
      </w:pPr>
      <w:r w:rsidRPr="00DC54A8">
        <w:rPr>
          <w:b/>
          <w:iCs/>
        </w:rPr>
        <w:t>Ocean Acidification.</w:t>
      </w:r>
      <w:r>
        <w:t xml:space="preserve">  </w:t>
      </w:r>
      <w:r w:rsidRPr="003A6CE8">
        <w:t>Some recent studies have indicated a declining trend in pH in ocean waters on a global scale</w:t>
      </w:r>
      <w:r w:rsidRPr="002522EC">
        <w:rPr>
          <w:snapToGrid w:val="0"/>
        </w:rPr>
        <w:t xml:space="preserve">. </w:t>
      </w:r>
      <w:r w:rsidRPr="002522EC">
        <w:rPr>
          <w:b/>
        </w:rPr>
        <w:t xml:space="preserve"> </w:t>
      </w:r>
      <w:r w:rsidRPr="002522EC">
        <w:rPr>
          <w:snapToGrid w:val="0"/>
        </w:rPr>
        <w:t xml:space="preserve">Florida has many aquatic species that are sensitive to shifts in pH, and site-specific studies in Florida are needed.  As part of a much larger statewide initiative to investigate global warming, FDEP </w:t>
      </w:r>
      <w:r>
        <w:rPr>
          <w:snapToGrid w:val="0"/>
        </w:rPr>
        <w:t xml:space="preserve">has </w:t>
      </w:r>
      <w:r w:rsidRPr="002522EC">
        <w:rPr>
          <w:snapToGrid w:val="0"/>
        </w:rPr>
        <w:t xml:space="preserve">initiated activities to study potential impacts on the state’s aquatic resources </w:t>
      </w:r>
      <w:r>
        <w:rPr>
          <w:snapToGrid w:val="0"/>
        </w:rPr>
        <w:t>of</w:t>
      </w:r>
      <w:r w:rsidRPr="002522EC">
        <w:rPr>
          <w:snapToGrid w:val="0"/>
        </w:rPr>
        <w:t xml:space="preserve"> declining pH concentrations in the nation’s coastal waters.  At this time, it is not known if this is an issue in Florida waters, but work continues in an effort to </w:t>
      </w:r>
      <w:r w:rsidRPr="002522EC">
        <w:rPr>
          <w:snapToGrid w:val="0"/>
        </w:rPr>
        <w:lastRenderedPageBreak/>
        <w:t xml:space="preserve">answer that question.  </w:t>
      </w:r>
      <w:r>
        <w:rPr>
          <w:snapToGrid w:val="0"/>
        </w:rPr>
        <w:t xml:space="preserve">FDEP’s Office </w:t>
      </w:r>
      <w:r w:rsidR="0070466C">
        <w:rPr>
          <w:snapToGrid w:val="0"/>
        </w:rPr>
        <w:t xml:space="preserve">of </w:t>
      </w:r>
      <w:r>
        <w:rPr>
          <w:snapToGrid w:val="0"/>
        </w:rPr>
        <w:t>Coastal and Aquatic Managed Areas (</w:t>
      </w:r>
      <w:r w:rsidRPr="002522EC">
        <w:rPr>
          <w:snapToGrid w:val="0"/>
        </w:rPr>
        <w:t>CAMA</w:t>
      </w:r>
      <w:r>
        <w:rPr>
          <w:snapToGrid w:val="0"/>
        </w:rPr>
        <w:t>)</w:t>
      </w:r>
      <w:r w:rsidRPr="002522EC">
        <w:rPr>
          <w:snapToGrid w:val="0"/>
        </w:rPr>
        <w:t xml:space="preserve"> is coordinating the collection of carbon dioxide data in the vicinity of coral reefs.  It will likely take several years of data collection before any trends </w:t>
      </w:r>
      <w:r>
        <w:rPr>
          <w:snapToGrid w:val="0"/>
        </w:rPr>
        <w:t>are</w:t>
      </w:r>
      <w:r w:rsidRPr="002522EC">
        <w:rPr>
          <w:snapToGrid w:val="0"/>
        </w:rPr>
        <w:t xml:space="preserve"> observed</w:t>
      </w:r>
      <w:r w:rsidR="0070466C">
        <w:rPr>
          <w:snapToGrid w:val="0"/>
        </w:rPr>
        <w:t>.</w:t>
      </w:r>
    </w:p>
    <w:p w:rsidR="00485094" w:rsidRDefault="00485094" w:rsidP="008746D5">
      <w:pPr>
        <w:pStyle w:val="ListBullet"/>
      </w:pPr>
      <w:r w:rsidRPr="00DC54A8">
        <w:rPr>
          <w:b/>
          <w:iCs/>
        </w:rPr>
        <w:t>Revision of Fecal Coliform Criteria.</w:t>
      </w:r>
      <w:r>
        <w:t xml:space="preserve">  </w:t>
      </w:r>
      <w:r w:rsidRPr="00E675E1">
        <w:t>Based on beach advisories and shellfish bed closures, concentrations of bacteria above water quality standards in the water column sometimes limit primary contact and recreational use, as well as shellfish harvesting use support</w:t>
      </w:r>
      <w:r w:rsidRPr="00A1222C">
        <w:t>.</w:t>
      </w:r>
      <w:r>
        <w:t xml:space="preserve">  However, these advisories or closures may not accurately identify the true risk to human health due to the limitations of the criteria used to assess these uses.</w:t>
      </w:r>
      <w:r w:rsidRPr="00E675E1">
        <w:t xml:space="preserve"> </w:t>
      </w:r>
      <w:r>
        <w:t xml:space="preserve"> </w:t>
      </w:r>
      <w:r w:rsidRPr="00E675E1">
        <w:t xml:space="preserve">Current </w:t>
      </w:r>
      <w:r>
        <w:t xml:space="preserve">methods for evaluating whether </w:t>
      </w:r>
      <w:r w:rsidRPr="00E675E1">
        <w:t>recreational and shellfish</w:t>
      </w:r>
      <w:r>
        <w:t>-</w:t>
      </w:r>
      <w:r w:rsidRPr="00E675E1">
        <w:t>harvest</w:t>
      </w:r>
      <w:r>
        <w:t>ing</w:t>
      </w:r>
      <w:r w:rsidRPr="00E675E1">
        <w:t xml:space="preserve"> </w:t>
      </w:r>
      <w:r>
        <w:t xml:space="preserve">areas meet </w:t>
      </w:r>
      <w:r w:rsidRPr="00E675E1">
        <w:t xml:space="preserve">water quality criteria are based on </w:t>
      </w:r>
      <w:r>
        <w:t>the culture of</w:t>
      </w:r>
      <w:r w:rsidRPr="00E675E1">
        <w:t xml:space="preserve"> fecal </w:t>
      </w:r>
      <w:r>
        <w:t xml:space="preserve">bacteria used as </w:t>
      </w:r>
      <w:r w:rsidRPr="00E675E1">
        <w:t>indicator</w:t>
      </w:r>
      <w:r>
        <w:t>s; these evaluations require more</w:t>
      </w:r>
      <w:r w:rsidRPr="00E675E1">
        <w:t xml:space="preserve"> than 24</w:t>
      </w:r>
      <w:r>
        <w:t xml:space="preserve"> </w:t>
      </w:r>
      <w:r w:rsidRPr="00E675E1">
        <w:t xml:space="preserve">hours to perform and are not source specific, making them impractical for management decision making.  </w:t>
      </w:r>
    </w:p>
    <w:p w:rsidR="00485094" w:rsidRDefault="00485094" w:rsidP="001B0F18">
      <w:pPr>
        <w:pStyle w:val="Listbulletadditional"/>
        <w:ind w:left="630"/>
      </w:pPr>
      <w:r>
        <w:t xml:space="preserve">The </w:t>
      </w:r>
      <w:r w:rsidRPr="00E675E1">
        <w:t>EPA is currently revis</w:t>
      </w:r>
      <w:r>
        <w:t>ing</w:t>
      </w:r>
      <w:r w:rsidRPr="00E675E1">
        <w:t xml:space="preserve"> recreational water quality criteria based on more rapid molecular methods</w:t>
      </w:r>
      <w:r>
        <w:t>; however</w:t>
      </w:r>
      <w:r w:rsidRPr="00E675E1">
        <w:t xml:space="preserve">, these methods </w:t>
      </w:r>
      <w:r>
        <w:t>have a number of disadvantages, as follows</w:t>
      </w:r>
      <w:r w:rsidRPr="00E675E1">
        <w:t>:</w:t>
      </w:r>
    </w:p>
    <w:p w:rsidR="00485094" w:rsidRDefault="00485094" w:rsidP="008746D5">
      <w:pPr>
        <w:pStyle w:val="Listbulletsub"/>
      </w:pPr>
      <w:r>
        <w:t xml:space="preserve">They will </w:t>
      </w:r>
      <w:r w:rsidRPr="00E675E1">
        <w:t>still not be source specific</w:t>
      </w:r>
      <w:r>
        <w:t>;</w:t>
      </w:r>
    </w:p>
    <w:p w:rsidR="00485094" w:rsidRDefault="00485094" w:rsidP="008746D5">
      <w:pPr>
        <w:pStyle w:val="Listbulletsub"/>
      </w:pPr>
      <w:r>
        <w:t xml:space="preserve">They will </w:t>
      </w:r>
      <w:r w:rsidRPr="00E675E1">
        <w:t>still not be rapid enough for beach managers to use for same day beach notifications</w:t>
      </w:r>
      <w:r>
        <w:t>;</w:t>
      </w:r>
    </w:p>
    <w:p w:rsidR="00485094" w:rsidRDefault="00485094" w:rsidP="008746D5">
      <w:pPr>
        <w:pStyle w:val="Listbulletsub"/>
      </w:pPr>
      <w:r>
        <w:t xml:space="preserve">They will </w:t>
      </w:r>
      <w:r w:rsidRPr="00E675E1">
        <w:t>result in even greater numbers of waters being listed as impaired</w:t>
      </w:r>
      <w:r>
        <w:t>;</w:t>
      </w:r>
      <w:r w:rsidRPr="00E675E1">
        <w:t xml:space="preserve"> </w:t>
      </w:r>
    </w:p>
    <w:p w:rsidR="00485094" w:rsidRDefault="00485094" w:rsidP="008746D5">
      <w:pPr>
        <w:pStyle w:val="Listbulletsub"/>
      </w:pPr>
      <w:r>
        <w:t xml:space="preserve">They will </w:t>
      </w:r>
      <w:r w:rsidRPr="00E675E1">
        <w:t>be significantly more expensive</w:t>
      </w:r>
      <w:r>
        <w:t>; and</w:t>
      </w:r>
    </w:p>
    <w:p w:rsidR="00485094" w:rsidRDefault="00485094" w:rsidP="008746D5">
      <w:pPr>
        <w:pStyle w:val="Listbulletsub"/>
      </w:pPr>
      <w:r>
        <w:t xml:space="preserve">They will </w:t>
      </w:r>
      <w:r w:rsidRPr="00E675E1">
        <w:t>result in questionable gains in human health protection.</w:t>
      </w:r>
    </w:p>
    <w:p w:rsidR="00485094" w:rsidRDefault="00485094" w:rsidP="0073604D">
      <w:pPr>
        <w:pStyle w:val="Bodytextreduced"/>
      </w:pPr>
    </w:p>
    <w:p w:rsidR="00485094" w:rsidRDefault="00485094" w:rsidP="008746D5">
      <w:pPr>
        <w:pStyle w:val="Listbulletadditional"/>
      </w:pPr>
      <w:r w:rsidRPr="00E675E1">
        <w:t>FDEP is funding research to validate human-associated microbial source tracking tools to better distinguish when elevated fecal indicator levels are associate</w:t>
      </w:r>
      <w:r>
        <w:t>d</w:t>
      </w:r>
      <w:r w:rsidRPr="00E675E1">
        <w:t xml:space="preserve"> with human sources of fecal contamination</w:t>
      </w:r>
      <w:r>
        <w:t>,</w:t>
      </w:r>
      <w:r w:rsidRPr="00E675E1">
        <w:t xml:space="preserve"> </w:t>
      </w:r>
      <w:r>
        <w:t xml:space="preserve">and not natural sources such as wildlife, </w:t>
      </w:r>
      <w:r w:rsidRPr="00E675E1">
        <w:t>in order to prioritize restoration efforts in areas with the greatest probable risk to human health.</w:t>
      </w:r>
    </w:p>
    <w:p w:rsidR="00485094" w:rsidRPr="008746D5" w:rsidRDefault="00485094" w:rsidP="008746D5">
      <w:pPr>
        <w:pStyle w:val="ListBullet"/>
      </w:pPr>
      <w:bookmarkStart w:id="127" w:name="_Toc490373210"/>
      <w:bookmarkEnd w:id="126"/>
      <w:r w:rsidRPr="008746D5">
        <w:rPr>
          <w:b/>
        </w:rPr>
        <w:t>Revision of DO Criterion.</w:t>
      </w:r>
      <w:r w:rsidRPr="008746D5">
        <w:t xml:space="preserve">  Florida’s DO criterion currently requires that DO “shall not be less than 5.0 mg/L</w:t>
      </w:r>
      <w:r w:rsidR="00BC4A3F" w:rsidRPr="00BC4A3F">
        <w:t xml:space="preserve"> </w:t>
      </w:r>
      <w:r w:rsidR="00BC4A3F">
        <w:t>in</w:t>
      </w:r>
      <w:r w:rsidR="00BC4A3F" w:rsidRPr="008746D5">
        <w:t xml:space="preserve"> Class I and III fresh waters</w:t>
      </w:r>
      <w:r w:rsidRPr="008746D5">
        <w:t xml:space="preserve">.  </w:t>
      </w:r>
      <w:r w:rsidR="00BC4A3F">
        <w:t>Additionally, n</w:t>
      </w:r>
      <w:r w:rsidRPr="008746D5">
        <w:t>ormal daily and seasonal fluctuations above this level shall be maintained” (Subsection 62-302.530</w:t>
      </w:r>
      <w:r>
        <w:t>[</w:t>
      </w:r>
      <w:r w:rsidRPr="008746D5">
        <w:t>31</w:t>
      </w:r>
      <w:r>
        <w:t>]</w:t>
      </w:r>
      <w:r w:rsidRPr="008746D5">
        <w:t xml:space="preserve">, </w:t>
      </w:r>
      <w:r>
        <w:t>Florida Administrative Code [</w:t>
      </w:r>
      <w:r w:rsidRPr="008746D5">
        <w:t>F.A.C.</w:t>
      </w:r>
      <w:r>
        <w:t>]</w:t>
      </w:r>
      <w:r w:rsidRPr="008746D5">
        <w:t>).  Florida’s fresh waters are exposed to temperatures ranging from temperate to tropical</w:t>
      </w:r>
      <w:r>
        <w:t>,</w:t>
      </w:r>
      <w:r w:rsidRPr="008746D5">
        <w:t xml:space="preserve"> and many originate in low-oxygen environments, such as swamps and aquifers.  These sources are naturally low in DO and have daily and seasonal fluctuations where DO fall</w:t>
      </w:r>
      <w:r>
        <w:t>s</w:t>
      </w:r>
      <w:r w:rsidRPr="008746D5">
        <w:t xml:space="preserve"> below 5.0 mg/L.  Since these levels </w:t>
      </w:r>
      <w:r>
        <w:t>result from</w:t>
      </w:r>
      <w:r w:rsidRPr="008746D5">
        <w:t xml:space="preserve"> natural conditions and native flora and fauna have adapted to this varia</w:t>
      </w:r>
      <w:r>
        <w:t>bility</w:t>
      </w:r>
      <w:r w:rsidRPr="008746D5">
        <w:t xml:space="preserve">, they generally do not impact a waterbody’s designated use. </w:t>
      </w:r>
      <w:r w:rsidR="00BC4A3F">
        <w:t xml:space="preserve"> </w:t>
      </w:r>
      <w:r w:rsidR="00BC4A3F" w:rsidRPr="00D60457">
        <w:rPr>
          <w:rFonts w:cs="Arial"/>
        </w:rPr>
        <w:t xml:space="preserve">Furthermore, </w:t>
      </w:r>
      <w:r w:rsidR="0070466C" w:rsidRPr="008746D5">
        <w:t xml:space="preserve">Subsection </w:t>
      </w:r>
      <w:r w:rsidR="00BC4A3F" w:rsidRPr="00D60457">
        <w:rPr>
          <w:rFonts w:cs="Arial"/>
        </w:rPr>
        <w:t>62-302.300(15), F.A.C., states that “the Department shall not strive to abate natural conditions”</w:t>
      </w:r>
      <w:r w:rsidR="0070466C">
        <w:rPr>
          <w:rFonts w:cs="Arial"/>
        </w:rPr>
        <w:t>;</w:t>
      </w:r>
      <w:r w:rsidR="00BC4A3F" w:rsidRPr="00D60457">
        <w:rPr>
          <w:rFonts w:cs="Arial"/>
        </w:rPr>
        <w:t xml:space="preserve">  </w:t>
      </w:r>
      <w:r w:rsidR="00BC4A3F">
        <w:rPr>
          <w:rFonts w:cs="Arial"/>
        </w:rPr>
        <w:t>t</w:t>
      </w:r>
      <w:r w:rsidR="00BC4A3F" w:rsidRPr="00D60457">
        <w:rPr>
          <w:rFonts w:cs="Arial"/>
        </w:rPr>
        <w:t xml:space="preserve">herefore, </w:t>
      </w:r>
      <w:r w:rsidR="00BC4A3F">
        <w:rPr>
          <w:rFonts w:cs="Arial"/>
        </w:rPr>
        <w:t>F</w:t>
      </w:r>
      <w:r w:rsidR="00BC4A3F" w:rsidRPr="00D60457">
        <w:rPr>
          <w:rFonts w:cs="Arial"/>
        </w:rPr>
        <w:t xml:space="preserve">DEP is seeking to characterize natural conditions and identify causes of naturally low </w:t>
      </w:r>
      <w:r w:rsidR="00BC4A3F">
        <w:rPr>
          <w:rFonts w:cs="Arial"/>
        </w:rPr>
        <w:t>DO</w:t>
      </w:r>
      <w:r w:rsidR="00BC4A3F" w:rsidRPr="00D60457">
        <w:rPr>
          <w:rFonts w:cs="Arial"/>
        </w:rPr>
        <w:t xml:space="preserve"> levels to more clearly define “natural conditions.”  </w:t>
      </w:r>
    </w:p>
    <w:p w:rsidR="00485094" w:rsidRDefault="00485094" w:rsidP="008746D5">
      <w:pPr>
        <w:pStyle w:val="Listbulletadditional"/>
      </w:pPr>
      <w:r w:rsidRPr="008746D5">
        <w:t>To better understand the natural variability of DO and nutrient levels in freshwater aquatic systems around the state, FDEP conducted a major DO study in 2005–06.  Approximately 350 sites in 6 different waterbody types were monitored quarterly.  Data were collected on water quality, water chemistry, and biology.</w:t>
      </w:r>
      <w:r w:rsidR="00BC4A3F">
        <w:t xml:space="preserve">  </w:t>
      </w:r>
      <w:r w:rsidR="00BC4A3F" w:rsidRPr="00D60457">
        <w:rPr>
          <w:rFonts w:cs="Arial"/>
        </w:rPr>
        <w:t xml:space="preserve">Data collected to date suggest that </w:t>
      </w:r>
      <w:r w:rsidR="00BC4A3F">
        <w:rPr>
          <w:rFonts w:cs="Arial"/>
        </w:rPr>
        <w:t>DO</w:t>
      </w:r>
      <w:r w:rsidR="00BC4A3F" w:rsidRPr="00D60457">
        <w:rPr>
          <w:rFonts w:cs="Arial"/>
        </w:rPr>
        <w:t xml:space="preserve"> regimes naturally vary among </w:t>
      </w:r>
      <w:r w:rsidR="00BC4A3F" w:rsidRPr="00D60457">
        <w:rPr>
          <w:rFonts w:cs="Arial"/>
        </w:rPr>
        <w:lastRenderedPageBreak/>
        <w:t xml:space="preserve">different types of freshwater systems, and that revisions to the current DO criteria are warranted.  However, FDEP is currently collecting additional data to better delineate those systems, characterize the respective DO regimes, and produce DO criteria that more accurately reflect reasonable expectations for those systems.  Using this approach to refine Florida’s DO criterion will allow </w:t>
      </w:r>
      <w:r w:rsidR="00BC4A3F">
        <w:rPr>
          <w:rFonts w:cs="Arial"/>
        </w:rPr>
        <w:t>F</w:t>
      </w:r>
      <w:r w:rsidR="00BC4A3F" w:rsidRPr="00D60457">
        <w:rPr>
          <w:rFonts w:cs="Arial"/>
        </w:rPr>
        <w:t>DEP to determine when DO has been altered below these natural conditions and focus its TMDL development and restoration efforts on abating the causes of those alterations.</w:t>
      </w:r>
      <w:r w:rsidR="008C37FA">
        <w:t xml:space="preserve"> </w:t>
      </w:r>
      <w:r>
        <w:t>FDEP is also considering revisi</w:t>
      </w:r>
      <w:r w:rsidR="0070466C">
        <w:t>ng</w:t>
      </w:r>
      <w:r>
        <w:t xml:space="preserve"> the DO criteria for marine waters.</w:t>
      </w:r>
    </w:p>
    <w:p w:rsidR="00485094" w:rsidRDefault="00485094">
      <w:pPr>
        <w:pStyle w:val="Listbulletadditional"/>
        <w:ind w:left="0"/>
      </w:pPr>
    </w:p>
    <w:bookmarkEnd w:id="127"/>
    <w:p w:rsidR="00485094" w:rsidRPr="007E5F1B" w:rsidRDefault="00485094" w:rsidP="007E5F1B">
      <w:pPr>
        <w:pStyle w:val="ListBullet"/>
        <w:numPr>
          <w:ilvl w:val="0"/>
          <w:numId w:val="0"/>
        </w:numPr>
        <w:ind w:left="630" w:hanging="360"/>
        <w:rPr>
          <w:rStyle w:val="BodytextreducedChar"/>
          <w:sz w:val="16"/>
        </w:rPr>
      </w:pPr>
      <w:r>
        <w:br w:type="page"/>
      </w:r>
      <w:bookmarkStart w:id="128" w:name="_Toc255822508"/>
    </w:p>
    <w:p w:rsidR="00FC6EE0" w:rsidRDefault="00FC6EE0" w:rsidP="00FC6EE0">
      <w:pPr>
        <w:pStyle w:val="Bodytextreduced"/>
      </w:pPr>
      <w:bookmarkStart w:id="129" w:name="_Chapter_4:_"/>
      <w:bookmarkStart w:id="130" w:name="_Toc262464125"/>
      <w:bookmarkStart w:id="131" w:name="_Toc271279949"/>
      <w:bookmarkEnd w:id="128"/>
      <w:bookmarkEnd w:id="129"/>
    </w:p>
    <w:p w:rsidR="00485094" w:rsidRPr="00BA488E" w:rsidRDefault="00485094" w:rsidP="00EA3D58">
      <w:pPr>
        <w:pStyle w:val="Heading1"/>
      </w:pPr>
      <w:r>
        <w:t xml:space="preserve">Chapter 4:  </w:t>
      </w:r>
      <w:r w:rsidRPr="00BA488E">
        <w:t>Florida’s Approach to Monitoring Surface Water and Ground Water</w:t>
      </w:r>
      <w:bookmarkEnd w:id="130"/>
      <w:bookmarkEnd w:id="131"/>
    </w:p>
    <w:p w:rsidR="00485094" w:rsidRDefault="00485094" w:rsidP="00EA3D58">
      <w:pPr>
        <w:pStyle w:val="Bodytextreduced"/>
        <w:rPr>
          <w:highlight w:val="yellow"/>
        </w:rPr>
      </w:pPr>
    </w:p>
    <w:p w:rsidR="00485094" w:rsidRPr="005725BB" w:rsidRDefault="00485094" w:rsidP="00EA3D58">
      <w:pPr>
        <w:pStyle w:val="Heading2"/>
      </w:pPr>
      <w:bookmarkStart w:id="132" w:name="_Toc254269868"/>
      <w:bookmarkStart w:id="133" w:name="_Toc255822509"/>
      <w:bookmarkStart w:id="134" w:name="_Toc262464126"/>
      <w:bookmarkStart w:id="135" w:name="_Toc271279950"/>
      <w:r>
        <w:t>Background</w:t>
      </w:r>
      <w:bookmarkEnd w:id="132"/>
      <w:bookmarkEnd w:id="133"/>
      <w:bookmarkEnd w:id="134"/>
      <w:bookmarkEnd w:id="135"/>
    </w:p>
    <w:p w:rsidR="00485094" w:rsidRPr="000458DC" w:rsidRDefault="00485094" w:rsidP="00EA3D58">
      <w:pPr>
        <w:pStyle w:val="Bodytext"/>
        <w:rPr>
          <w:szCs w:val="22"/>
        </w:rPr>
      </w:pPr>
      <w:r w:rsidRPr="000458DC">
        <w:rPr>
          <w:szCs w:val="22"/>
        </w:rPr>
        <w:t xml:space="preserve">FDEP‘s approach to comprehensive surface water monitoring is designed to meet the monitoring-related requirements of the federal </w:t>
      </w:r>
      <w:r>
        <w:rPr>
          <w:szCs w:val="22"/>
        </w:rPr>
        <w:t>CWA</w:t>
      </w:r>
      <w:r w:rsidRPr="000458DC">
        <w:rPr>
          <w:szCs w:val="22"/>
        </w:rPr>
        <w:t>, as well as Florida’s statutory and regulatory monitoring requirements.</w:t>
      </w:r>
      <w:r w:rsidRPr="000458DC">
        <w:rPr>
          <w:rStyle w:val="FootnoteReference"/>
          <w:szCs w:val="22"/>
        </w:rPr>
        <w:footnoteReference w:id="2"/>
      </w:r>
      <w:r w:rsidRPr="000458DC">
        <w:rPr>
          <w:szCs w:val="22"/>
        </w:rPr>
        <w:t xml:space="preserve">  Broadly stated, these requirements are as follows:</w:t>
      </w:r>
    </w:p>
    <w:p w:rsidR="00485094" w:rsidRPr="000458DC" w:rsidRDefault="00485094" w:rsidP="00EA3D58">
      <w:pPr>
        <w:pStyle w:val="Bodytext"/>
        <w:rPr>
          <w:szCs w:val="22"/>
        </w:rPr>
      </w:pPr>
    </w:p>
    <w:p w:rsidR="00485094" w:rsidRPr="00973BDA" w:rsidRDefault="00485094" w:rsidP="00EA3D58">
      <w:pPr>
        <w:pStyle w:val="StyleListBullet11pt"/>
      </w:pPr>
      <w:r w:rsidRPr="00973BDA">
        <w:t>Determine water quality standards attainment and identify impaired waters,</w:t>
      </w:r>
    </w:p>
    <w:p w:rsidR="00485094" w:rsidRPr="00973BDA" w:rsidRDefault="00485094" w:rsidP="00EA3D58">
      <w:pPr>
        <w:pStyle w:val="StyleListBullet11pt"/>
      </w:pPr>
      <w:r w:rsidRPr="00973BDA">
        <w:t xml:space="preserve">Identify the causes and sources of water quality impairments, </w:t>
      </w:r>
    </w:p>
    <w:p w:rsidR="00485094" w:rsidRPr="00973BDA" w:rsidRDefault="00485094" w:rsidP="00EA3D58">
      <w:pPr>
        <w:pStyle w:val="StyleListBullet11pt"/>
      </w:pPr>
      <w:r w:rsidRPr="00973BDA">
        <w:t>Establish, review, and revise water quality standards,</w:t>
      </w:r>
    </w:p>
    <w:p w:rsidR="00485094" w:rsidRPr="00973BDA" w:rsidRDefault="00485094" w:rsidP="00EA3D58">
      <w:pPr>
        <w:pStyle w:val="StyleListBullet11pt"/>
      </w:pPr>
      <w:r w:rsidRPr="00973BDA">
        <w:t>Support the implementation of water management programs,</w:t>
      </w:r>
    </w:p>
    <w:p w:rsidR="00485094" w:rsidRPr="00973BDA" w:rsidRDefault="00485094" w:rsidP="00EA3D58">
      <w:pPr>
        <w:pStyle w:val="StyleListBullet11pt"/>
      </w:pPr>
      <w:r w:rsidRPr="00973BDA">
        <w:t>Establish special monitoring for unique resources, and</w:t>
      </w:r>
    </w:p>
    <w:p w:rsidR="00485094" w:rsidRPr="00973BDA" w:rsidRDefault="00485094" w:rsidP="00EA3D58">
      <w:pPr>
        <w:pStyle w:val="StyleListBullet11pt"/>
      </w:pPr>
      <w:r w:rsidRPr="00973BDA">
        <w:t>Support the evaluation of program effectiveness.</w:t>
      </w:r>
    </w:p>
    <w:p w:rsidR="00485094" w:rsidRDefault="00485094" w:rsidP="00EA3D58">
      <w:pPr>
        <w:pStyle w:val="Bodytextreduced"/>
      </w:pPr>
    </w:p>
    <w:p w:rsidR="00485094" w:rsidRPr="000E1E95" w:rsidRDefault="00485094" w:rsidP="00EA3D58">
      <w:pPr>
        <w:pStyle w:val="Bodytext"/>
      </w:pPr>
      <w:r>
        <w:t>FDEP continues to carry out extensive statewide monitoring in order to meet these federal and state requirements</w:t>
      </w:r>
      <w:r w:rsidRPr="00A46335">
        <w:t>.</w:t>
      </w:r>
      <w:r>
        <w:t xml:space="preserve">  However, </w:t>
      </w:r>
      <w:r w:rsidRPr="000E1E95">
        <w:t xml:space="preserve">other governmental entities at federal, state, </w:t>
      </w:r>
      <w:r>
        <w:t xml:space="preserve">regional, </w:t>
      </w:r>
      <w:r w:rsidRPr="000E1E95">
        <w:t>and local levels</w:t>
      </w:r>
      <w:r>
        <w:t>, as well as volunteer and private organizations, carry out monitoring</w:t>
      </w:r>
      <w:r w:rsidRPr="000E1E95">
        <w:t>.  The</w:t>
      </w:r>
      <w:r>
        <w:t xml:space="preserve"> </w:t>
      </w:r>
      <w:r w:rsidRPr="000E1E95">
        <w:t xml:space="preserve">bulk of </w:t>
      </w:r>
      <w:r>
        <w:t xml:space="preserve">the </w:t>
      </w:r>
      <w:r w:rsidRPr="000E1E95">
        <w:t xml:space="preserve">data </w:t>
      </w:r>
      <w:r>
        <w:t xml:space="preserve">used </w:t>
      </w:r>
      <w:r w:rsidRPr="000E1E95">
        <w:t xml:space="preserve">in this </w:t>
      </w:r>
      <w:r>
        <w:t>report comes from approximatel</w:t>
      </w:r>
      <w:r w:rsidRPr="00F90770">
        <w:t xml:space="preserve">y </w:t>
      </w:r>
      <w:r w:rsidRPr="006A08C9">
        <w:t xml:space="preserve">79 </w:t>
      </w:r>
      <w:r w:rsidRPr="00F90770">
        <w:t>d</w:t>
      </w:r>
      <w:r>
        <w:t>ata providers across the state who conduct ambient monitoring of water chemistry, collect biological data, and sample sediments.</w:t>
      </w:r>
      <w:r w:rsidRPr="000E1E95">
        <w:t xml:space="preserve">  </w:t>
      </w:r>
      <w:r>
        <w:t xml:space="preserve">In most cases, these data are initially loaded into the </w:t>
      </w:r>
      <w:hyperlink r:id="rId48" w:history="1">
        <w:r w:rsidRPr="003D2CD6">
          <w:rPr>
            <w:rStyle w:val="Hyperlink"/>
          </w:rPr>
          <w:t xml:space="preserve">FL(orida) </w:t>
        </w:r>
        <w:r w:rsidRPr="003D2CD6">
          <w:rPr>
            <w:rStyle w:val="Hyperlink"/>
            <w:b/>
          </w:rPr>
          <w:t>STO</w:t>
        </w:r>
        <w:r w:rsidRPr="003D2CD6">
          <w:rPr>
            <w:rStyle w:val="Hyperlink"/>
          </w:rPr>
          <w:t xml:space="preserve">rage and </w:t>
        </w:r>
        <w:r w:rsidRPr="003D2CD6">
          <w:rPr>
            <w:rStyle w:val="Hyperlink"/>
            <w:b/>
          </w:rPr>
          <w:t>RET</w:t>
        </w:r>
        <w:r w:rsidRPr="003D2CD6">
          <w:rPr>
            <w:rStyle w:val="Hyperlink"/>
          </w:rPr>
          <w:t>rieval (STORET) database</w:t>
        </w:r>
      </w:hyperlink>
      <w:r>
        <w:t xml:space="preserve"> (FL STORET), and annually uploaded to the </w:t>
      </w:r>
      <w:hyperlink r:id="rId49" w:history="1">
        <w:r w:rsidRPr="003D2CD6">
          <w:rPr>
            <w:rStyle w:val="Hyperlink"/>
          </w:rPr>
          <w:t xml:space="preserve">EPA national STORET </w:t>
        </w:r>
        <w:r>
          <w:rPr>
            <w:rStyle w:val="Hyperlink"/>
          </w:rPr>
          <w:t>database</w:t>
        </w:r>
      </w:hyperlink>
      <w:r>
        <w:t xml:space="preserve">.  FDEP evaluates these data to establish whether they meet quality assurance requirements of Chapter 62-160, F.A.C., and whether the data can be used to determine the health of the state’s ambient waters.  Some qualifiers are placed on these data.  For example, by law Florida LakeWatch data can be used only for nonregulatory proceedings and cannot be used for regulatory or enforcement </w:t>
      </w:r>
      <w:r w:rsidRPr="00355D9D">
        <w:t xml:space="preserve">activities.  </w:t>
      </w:r>
      <w:hyperlink w:anchor="_Chapter_5._" w:history="1">
        <w:r w:rsidRPr="003D2CD6">
          <w:rPr>
            <w:rStyle w:val="Hyperlink"/>
          </w:rPr>
          <w:t>Chapter 5</w:t>
        </w:r>
      </w:hyperlink>
      <w:r>
        <w:t xml:space="preserve"> provides additional details on t</w:t>
      </w:r>
      <w:r w:rsidRPr="00355D9D">
        <w:t>hese qualifiers.</w:t>
      </w:r>
    </w:p>
    <w:p w:rsidR="00485094" w:rsidRDefault="00485094" w:rsidP="00EA3D58">
      <w:pPr>
        <w:pStyle w:val="Bodytext"/>
        <w:rPr>
          <w:snapToGrid w:val="0"/>
        </w:rPr>
      </w:pPr>
    </w:p>
    <w:p w:rsidR="00485094" w:rsidRDefault="00485094" w:rsidP="00EA3D58">
      <w:pPr>
        <w:pStyle w:val="Bodytext"/>
      </w:pPr>
      <w:r w:rsidRPr="000E1E95">
        <w:t xml:space="preserve">Each </w:t>
      </w:r>
      <w:r>
        <w:t>governmental agency and volunteer or private organization h</w:t>
      </w:r>
      <w:r w:rsidRPr="000E1E95">
        <w:t xml:space="preserve">as its own </w:t>
      </w:r>
      <w:r>
        <w:t xml:space="preserve">monitoring objectives, strategy, design, and indicators, as well as procedures for quality assurance, data management, data analysis and assessment, and reporting.  However, any data derived by </w:t>
      </w:r>
      <w:r>
        <w:lastRenderedPageBreak/>
        <w:t>these organizations are beyond the scope of this report.  The various federal, state, regional, and local agencies and organizations, including FDEP, that carry out water quality monitoring statewide, are as follows:</w:t>
      </w:r>
    </w:p>
    <w:p w:rsidR="00485094" w:rsidRDefault="00485094" w:rsidP="00EA3D58">
      <w:pPr>
        <w:pStyle w:val="Bodytextreduced"/>
      </w:pPr>
    </w:p>
    <w:p w:rsidR="00485094" w:rsidRDefault="00485094" w:rsidP="00EA3D58">
      <w:pPr>
        <w:pStyle w:val="Bodytext"/>
        <w:rPr>
          <w:b/>
        </w:rPr>
      </w:pPr>
      <w:r w:rsidRPr="00D02692">
        <w:rPr>
          <w:b/>
        </w:rPr>
        <w:t>Federal Monitoring Agenc</w:t>
      </w:r>
      <w:r>
        <w:rPr>
          <w:b/>
        </w:rPr>
        <w:t>ies</w:t>
      </w:r>
      <w:r w:rsidRPr="00D02692">
        <w:rPr>
          <w:b/>
        </w:rPr>
        <w:t>/Organizations</w:t>
      </w:r>
    </w:p>
    <w:p w:rsidR="00485094" w:rsidRPr="00D02692" w:rsidRDefault="00485094" w:rsidP="00EA3D58">
      <w:pPr>
        <w:pStyle w:val="Bodytextreduced"/>
      </w:pPr>
    </w:p>
    <w:p w:rsidR="00485094" w:rsidRDefault="00485094" w:rsidP="00EA3D58">
      <w:pPr>
        <w:pStyle w:val="ListBullet"/>
      </w:pPr>
      <w:r>
        <w:t>Apalachicola National Estuarine Research Reserve</w:t>
      </w:r>
    </w:p>
    <w:p w:rsidR="00485094" w:rsidRDefault="00485094" w:rsidP="00EA3D58">
      <w:pPr>
        <w:pStyle w:val="ListBullet"/>
      </w:pPr>
      <w:r>
        <w:t xml:space="preserve">Avon Park Air Force Range </w:t>
      </w:r>
    </w:p>
    <w:p w:rsidR="00485094" w:rsidRDefault="00485094" w:rsidP="00EA3D58">
      <w:pPr>
        <w:pStyle w:val="ListBullet"/>
      </w:pPr>
      <w:r>
        <w:t>Charlotte Harbor National Estuary Program</w:t>
      </w:r>
    </w:p>
    <w:p w:rsidR="00485094" w:rsidRDefault="00485094" w:rsidP="00EA3D58">
      <w:pPr>
        <w:pStyle w:val="ListBullet"/>
      </w:pPr>
      <w:r>
        <w:t>Eglin Air Force Base</w:t>
      </w:r>
    </w:p>
    <w:p w:rsidR="00485094" w:rsidRDefault="00485094" w:rsidP="00EA3D58">
      <w:pPr>
        <w:pStyle w:val="ListBullet"/>
      </w:pPr>
      <w:r>
        <w:t>Guana Tolomato Matanzas National Estuarine Research Reserve</w:t>
      </w:r>
    </w:p>
    <w:p w:rsidR="00485094" w:rsidRDefault="00485094" w:rsidP="00EA3D58">
      <w:pPr>
        <w:pStyle w:val="ListBullet"/>
      </w:pPr>
      <w:r>
        <w:t>Indian River Lagoon National Estuary Program</w:t>
      </w:r>
    </w:p>
    <w:p w:rsidR="00485094" w:rsidRDefault="00485094" w:rsidP="00EA3D58">
      <w:pPr>
        <w:pStyle w:val="ListBullet"/>
      </w:pPr>
      <w:r>
        <w:t>National Oceanic and Atmospheric Administration</w:t>
      </w:r>
    </w:p>
    <w:p w:rsidR="00485094" w:rsidRDefault="00485094" w:rsidP="00EA3D58">
      <w:pPr>
        <w:pStyle w:val="ListBullet"/>
      </w:pPr>
      <w:r>
        <w:t>Rookery Bay National Estuarine Research Reserve</w:t>
      </w:r>
    </w:p>
    <w:p w:rsidR="00485094" w:rsidRDefault="00485094" w:rsidP="00EA3D58">
      <w:pPr>
        <w:pStyle w:val="ListBullet"/>
      </w:pPr>
      <w:r>
        <w:t>Sarasota Bay National Estuary Program</w:t>
      </w:r>
    </w:p>
    <w:p w:rsidR="00485094" w:rsidRDefault="00485094" w:rsidP="00EA3D58">
      <w:pPr>
        <w:pStyle w:val="ListBullet"/>
      </w:pPr>
      <w:r>
        <w:t>Tampa Bay National Estuary Program</w:t>
      </w:r>
    </w:p>
    <w:p w:rsidR="00485094" w:rsidRDefault="00485094" w:rsidP="00EA3D58">
      <w:pPr>
        <w:pStyle w:val="ListBullet"/>
      </w:pPr>
      <w:r>
        <w:t>U.S. Army Corps of Engineers</w:t>
      </w:r>
    </w:p>
    <w:p w:rsidR="00485094" w:rsidRDefault="00485094" w:rsidP="00EA3D58">
      <w:pPr>
        <w:pStyle w:val="ListBullet"/>
      </w:pPr>
      <w:r>
        <w:t>U.S. Environmental Protection Agency</w:t>
      </w:r>
    </w:p>
    <w:p w:rsidR="00485094" w:rsidRDefault="00485094" w:rsidP="00EA3D58">
      <w:pPr>
        <w:pStyle w:val="ListBullet"/>
      </w:pPr>
      <w:r>
        <w:t>U.S. Geological Survey</w:t>
      </w:r>
    </w:p>
    <w:p w:rsidR="00485094" w:rsidRDefault="00485094" w:rsidP="00EA3D58">
      <w:pPr>
        <w:pStyle w:val="Bodytext"/>
        <w:jc w:val="center"/>
      </w:pPr>
    </w:p>
    <w:p w:rsidR="00485094" w:rsidRDefault="00485094" w:rsidP="00EA3D58">
      <w:pPr>
        <w:pStyle w:val="Bodytext"/>
        <w:rPr>
          <w:b/>
        </w:rPr>
      </w:pPr>
      <w:r w:rsidRPr="00D02692">
        <w:rPr>
          <w:b/>
        </w:rPr>
        <w:t>Out of State Monitoring Agencies/Organizations</w:t>
      </w:r>
    </w:p>
    <w:p w:rsidR="00485094" w:rsidRPr="00D02692" w:rsidRDefault="00485094" w:rsidP="00EA3D58">
      <w:pPr>
        <w:pStyle w:val="Bodytextreduced"/>
      </w:pPr>
    </w:p>
    <w:p w:rsidR="00485094" w:rsidRDefault="00485094" w:rsidP="00EA3D58">
      <w:pPr>
        <w:pStyle w:val="ListBullet"/>
      </w:pPr>
      <w:r>
        <w:t>Georgia Department of Natural Resources</w:t>
      </w:r>
    </w:p>
    <w:p w:rsidR="00485094" w:rsidRDefault="00485094" w:rsidP="00EA3D58">
      <w:pPr>
        <w:pStyle w:val="Bodytext"/>
        <w:jc w:val="center"/>
      </w:pPr>
    </w:p>
    <w:p w:rsidR="00485094" w:rsidRDefault="00485094" w:rsidP="00EA3D58">
      <w:pPr>
        <w:pStyle w:val="Bodytext"/>
        <w:rPr>
          <w:b/>
        </w:rPr>
      </w:pPr>
      <w:r w:rsidRPr="00D02692">
        <w:rPr>
          <w:b/>
        </w:rPr>
        <w:t>Florida Monitoring Agencies/Organizations</w:t>
      </w:r>
    </w:p>
    <w:p w:rsidR="00485094" w:rsidRPr="00D02692" w:rsidRDefault="00485094" w:rsidP="00EA3D58">
      <w:pPr>
        <w:pStyle w:val="Bodytextreduced"/>
      </w:pPr>
    </w:p>
    <w:p w:rsidR="00485094" w:rsidRDefault="00485094" w:rsidP="00EA3D58">
      <w:pPr>
        <w:pStyle w:val="ListBullet"/>
      </w:pPr>
      <w:r>
        <w:t>Charlotte Harbor Aquatic/Buffer Preserves</w:t>
      </w:r>
    </w:p>
    <w:p w:rsidR="00485094" w:rsidRDefault="00485094" w:rsidP="00EA3D58">
      <w:pPr>
        <w:pStyle w:val="ListBullet"/>
      </w:pPr>
      <w:r>
        <w:t>Estero Bay Aquatic Preserve</w:t>
      </w:r>
    </w:p>
    <w:p w:rsidR="00485094" w:rsidRDefault="00485094" w:rsidP="00EA3D58">
      <w:pPr>
        <w:pStyle w:val="ListBullet"/>
      </w:pPr>
      <w:r>
        <w:t>Florida Department of Agriculture and Consumer Services</w:t>
      </w:r>
    </w:p>
    <w:p w:rsidR="00485094" w:rsidRDefault="00485094" w:rsidP="00EA3D58">
      <w:pPr>
        <w:pStyle w:val="ListBullet"/>
      </w:pPr>
      <w:r>
        <w:t>Florida Department of Environmental Protection</w:t>
      </w:r>
    </w:p>
    <w:p w:rsidR="00485094" w:rsidRDefault="00485094" w:rsidP="00EA3D58">
      <w:pPr>
        <w:pStyle w:val="ListBullet"/>
      </w:pPr>
      <w:r>
        <w:t>Florida Department of Health</w:t>
      </w:r>
    </w:p>
    <w:p w:rsidR="00485094" w:rsidRDefault="00485094" w:rsidP="00EA3D58">
      <w:pPr>
        <w:pStyle w:val="ListBullet"/>
      </w:pPr>
      <w:r>
        <w:t>Florida Fish and Wildlife Conservation Commission</w:t>
      </w:r>
    </w:p>
    <w:p w:rsidR="00485094" w:rsidRDefault="00485094" w:rsidP="00EA3D58">
      <w:pPr>
        <w:pStyle w:val="ListBullet"/>
      </w:pPr>
      <w:r>
        <w:t>Florida Marine Research Institute</w:t>
      </w:r>
    </w:p>
    <w:p w:rsidR="00485094" w:rsidRDefault="00485094" w:rsidP="00EA3D58">
      <w:pPr>
        <w:pStyle w:val="Bodytext"/>
        <w:jc w:val="center"/>
      </w:pPr>
    </w:p>
    <w:p w:rsidR="00485094" w:rsidRDefault="00485094" w:rsidP="00EA3D58">
      <w:pPr>
        <w:pStyle w:val="Bodytext"/>
        <w:rPr>
          <w:b/>
        </w:rPr>
      </w:pPr>
      <w:r w:rsidRPr="00D02692">
        <w:rPr>
          <w:b/>
        </w:rPr>
        <w:t>Regional Monitoring Agencies/Organizations</w:t>
      </w:r>
    </w:p>
    <w:p w:rsidR="00485094" w:rsidRPr="00D02692" w:rsidRDefault="00485094" w:rsidP="00EA3D58">
      <w:pPr>
        <w:pStyle w:val="Bodytextreduced"/>
      </w:pPr>
    </w:p>
    <w:p w:rsidR="00485094" w:rsidRDefault="00485094" w:rsidP="00EA3D58">
      <w:pPr>
        <w:pStyle w:val="ListBullet"/>
      </w:pPr>
      <w:r>
        <w:t>Choctawhatchee Basin Alliance</w:t>
      </w:r>
    </w:p>
    <w:p w:rsidR="00485094" w:rsidRDefault="00485094" w:rsidP="00EA3D58">
      <w:pPr>
        <w:pStyle w:val="ListBullet"/>
      </w:pPr>
      <w:r>
        <w:t>Loxahatchee River District</w:t>
      </w:r>
    </w:p>
    <w:p w:rsidR="00485094" w:rsidRDefault="00485094" w:rsidP="00EA3D58">
      <w:pPr>
        <w:pStyle w:val="ListBullet"/>
      </w:pPr>
      <w:r>
        <w:t>Peace River Manasota Regional Water Authority (PBS&amp;J)</w:t>
      </w:r>
    </w:p>
    <w:p w:rsidR="00485094" w:rsidRDefault="00485094" w:rsidP="00EA3D58">
      <w:pPr>
        <w:pStyle w:val="ListBullet"/>
        <w:tabs>
          <w:tab w:val="left" w:pos="4590"/>
        </w:tabs>
      </w:pPr>
      <w:r>
        <w:lastRenderedPageBreak/>
        <w:t>Pensacola Bay Nutrient Study (Gulf Breeze)</w:t>
      </w:r>
    </w:p>
    <w:p w:rsidR="00485094" w:rsidRDefault="00485094" w:rsidP="00EA3D58">
      <w:pPr>
        <w:pStyle w:val="ListBullet"/>
      </w:pPr>
      <w:r>
        <w:t>Northwest Florida Water Management District</w:t>
      </w:r>
      <w:r w:rsidR="00161289">
        <w:t xml:space="preserve"> (NWFWMD)</w:t>
      </w:r>
    </w:p>
    <w:p w:rsidR="00485094" w:rsidRDefault="00485094" w:rsidP="00EA3D58">
      <w:pPr>
        <w:pStyle w:val="ListBullet"/>
      </w:pPr>
      <w:r>
        <w:t>South Florida Water Management District</w:t>
      </w:r>
      <w:r w:rsidR="00161289">
        <w:t xml:space="preserve"> (SFWMD)</w:t>
      </w:r>
    </w:p>
    <w:p w:rsidR="00485094" w:rsidRDefault="00485094" w:rsidP="00EA3D58">
      <w:pPr>
        <w:pStyle w:val="ListBullet"/>
      </w:pPr>
      <w:r>
        <w:t>Southwest Florida Water Management District</w:t>
      </w:r>
      <w:r w:rsidR="00161289">
        <w:t xml:space="preserve"> (SWFWMD)</w:t>
      </w:r>
    </w:p>
    <w:p w:rsidR="00485094" w:rsidRDefault="00485094" w:rsidP="00EA3D58">
      <w:pPr>
        <w:pStyle w:val="ListBullet"/>
      </w:pPr>
      <w:r>
        <w:t>Southwest Florida Water Management District (Coast Project)</w:t>
      </w:r>
    </w:p>
    <w:p w:rsidR="00485094" w:rsidRDefault="00485094" w:rsidP="00EA3D58">
      <w:pPr>
        <w:pStyle w:val="ListBullet"/>
      </w:pPr>
      <w:r>
        <w:t>St. Johns River Water Management District</w:t>
      </w:r>
      <w:r w:rsidR="00161289">
        <w:t xml:space="preserve"> (SJRWMD)</w:t>
      </w:r>
    </w:p>
    <w:p w:rsidR="00485094" w:rsidRDefault="00485094" w:rsidP="00EA3D58">
      <w:pPr>
        <w:pStyle w:val="ListBullet"/>
      </w:pPr>
      <w:r>
        <w:t>Suwannee River Water Management District</w:t>
      </w:r>
      <w:r w:rsidR="00161289">
        <w:t xml:space="preserve"> (SRWMD)</w:t>
      </w:r>
    </w:p>
    <w:p w:rsidR="00485094" w:rsidRDefault="00485094" w:rsidP="00EA3D58">
      <w:pPr>
        <w:pStyle w:val="Bodytext"/>
        <w:jc w:val="center"/>
      </w:pPr>
    </w:p>
    <w:p w:rsidR="00485094" w:rsidRDefault="00485094" w:rsidP="00EA3D58">
      <w:pPr>
        <w:pStyle w:val="Bodytext"/>
        <w:rPr>
          <w:b/>
        </w:rPr>
      </w:pPr>
      <w:r w:rsidRPr="00D02692">
        <w:rPr>
          <w:b/>
        </w:rPr>
        <w:t>Local Monitoring Agencies/Organizations</w:t>
      </w:r>
    </w:p>
    <w:p w:rsidR="00485094" w:rsidRPr="00D02692" w:rsidRDefault="00485094" w:rsidP="00EA3D58">
      <w:pPr>
        <w:pStyle w:val="Bodytextreduced"/>
      </w:pPr>
    </w:p>
    <w:p w:rsidR="00485094" w:rsidRDefault="00485094" w:rsidP="00EA3D58">
      <w:pPr>
        <w:pStyle w:val="ListBullet"/>
      </w:pPr>
      <w:r>
        <w:t xml:space="preserve">Alachua County </w:t>
      </w:r>
    </w:p>
    <w:p w:rsidR="00485094" w:rsidRDefault="00485094" w:rsidP="00EA3D58">
      <w:pPr>
        <w:pStyle w:val="ListBullet"/>
      </w:pPr>
      <w:r>
        <w:t xml:space="preserve">Bay County </w:t>
      </w:r>
    </w:p>
    <w:p w:rsidR="00485094" w:rsidRDefault="00485094" w:rsidP="00EA3D58">
      <w:pPr>
        <w:pStyle w:val="ListBullet"/>
      </w:pPr>
      <w:r>
        <w:t>Broward County Environmental Monitoring Division</w:t>
      </w:r>
    </w:p>
    <w:p w:rsidR="00485094" w:rsidRDefault="00485094" w:rsidP="00EA3D58">
      <w:pPr>
        <w:pStyle w:val="ListBullet"/>
      </w:pPr>
      <w:r>
        <w:t>Charlotte County Storm Water</w:t>
      </w:r>
    </w:p>
    <w:p w:rsidR="00485094" w:rsidRDefault="00485094" w:rsidP="00EA3D58">
      <w:pPr>
        <w:pStyle w:val="ListBullet"/>
      </w:pPr>
      <w:r>
        <w:t>City of Cape Coral</w:t>
      </w:r>
    </w:p>
    <w:p w:rsidR="00485094" w:rsidRDefault="00485094" w:rsidP="00EA3D58">
      <w:pPr>
        <w:pStyle w:val="ListBullet"/>
      </w:pPr>
      <w:r>
        <w:t>City of Jacksonville</w:t>
      </w:r>
    </w:p>
    <w:p w:rsidR="00485094" w:rsidRDefault="00485094" w:rsidP="00EA3D58">
      <w:pPr>
        <w:pStyle w:val="ListBullet"/>
      </w:pPr>
      <w:r>
        <w:t>City of Lakeland</w:t>
      </w:r>
    </w:p>
    <w:p w:rsidR="00485094" w:rsidRDefault="00485094" w:rsidP="00EA3D58">
      <w:pPr>
        <w:pStyle w:val="ListBullet"/>
      </w:pPr>
      <w:r>
        <w:t>City of Lynn Haven</w:t>
      </w:r>
    </w:p>
    <w:p w:rsidR="00485094" w:rsidRDefault="00485094" w:rsidP="00EA3D58">
      <w:pPr>
        <w:pStyle w:val="ListBullet"/>
      </w:pPr>
      <w:r>
        <w:t>City of Key West</w:t>
      </w:r>
    </w:p>
    <w:p w:rsidR="00485094" w:rsidRDefault="00485094" w:rsidP="00EA3D58">
      <w:pPr>
        <w:pStyle w:val="ListBullet"/>
      </w:pPr>
      <w:r>
        <w:t>City of Maitland</w:t>
      </w:r>
    </w:p>
    <w:p w:rsidR="00485094" w:rsidRDefault="00485094" w:rsidP="00EA3D58">
      <w:pPr>
        <w:pStyle w:val="ListBullet"/>
      </w:pPr>
      <w:r>
        <w:t>City of Naples</w:t>
      </w:r>
    </w:p>
    <w:p w:rsidR="00485094" w:rsidRDefault="00485094" w:rsidP="00EA3D58">
      <w:pPr>
        <w:pStyle w:val="ListBullet"/>
      </w:pPr>
      <w:r>
        <w:t>City of Orlando</w:t>
      </w:r>
    </w:p>
    <w:p w:rsidR="00485094" w:rsidRDefault="00485094" w:rsidP="00EA3D58">
      <w:pPr>
        <w:pStyle w:val="ListBullet"/>
      </w:pPr>
      <w:r>
        <w:t>City of Panama City Beach</w:t>
      </w:r>
    </w:p>
    <w:p w:rsidR="00485094" w:rsidRDefault="00485094" w:rsidP="00EA3D58">
      <w:pPr>
        <w:pStyle w:val="ListBullet"/>
      </w:pPr>
      <w:r>
        <w:t>City of Port St. Joe Project  (Gulf Breeze)</w:t>
      </w:r>
    </w:p>
    <w:p w:rsidR="00485094" w:rsidRDefault="00485094" w:rsidP="00EA3D58">
      <w:pPr>
        <w:pStyle w:val="ListBullet"/>
      </w:pPr>
      <w:r>
        <w:t>City of Port St. Joe Wastewater Treatment Plant</w:t>
      </w:r>
    </w:p>
    <w:p w:rsidR="00485094" w:rsidRDefault="00485094" w:rsidP="00EA3D58">
      <w:pPr>
        <w:pStyle w:val="ListBullet"/>
      </w:pPr>
      <w:r>
        <w:t>City of Port St. Lucie</w:t>
      </w:r>
    </w:p>
    <w:p w:rsidR="00485094" w:rsidRDefault="00485094" w:rsidP="00EA3D58">
      <w:pPr>
        <w:pStyle w:val="ListBullet"/>
      </w:pPr>
      <w:r>
        <w:t>City of Punta Gorda Utilities</w:t>
      </w:r>
    </w:p>
    <w:p w:rsidR="00485094" w:rsidRDefault="00485094" w:rsidP="00EA3D58">
      <w:pPr>
        <w:pStyle w:val="ListBullet"/>
      </w:pPr>
      <w:r>
        <w:t>City of Sanibel</w:t>
      </w:r>
    </w:p>
    <w:p w:rsidR="00485094" w:rsidRDefault="00485094" w:rsidP="00EA3D58">
      <w:pPr>
        <w:pStyle w:val="ListBullet"/>
      </w:pPr>
      <w:r>
        <w:t>City of Tallahassee</w:t>
      </w:r>
    </w:p>
    <w:p w:rsidR="00485094" w:rsidRDefault="00485094" w:rsidP="00EA3D58">
      <w:pPr>
        <w:pStyle w:val="ListBullet"/>
      </w:pPr>
      <w:r>
        <w:t>City of Tampa</w:t>
      </w:r>
    </w:p>
    <w:p w:rsidR="00485094" w:rsidRDefault="00485094" w:rsidP="00EA3D58">
      <w:pPr>
        <w:pStyle w:val="ListBullet"/>
      </w:pPr>
      <w:r>
        <w:t>City of West Palm Beach</w:t>
      </w:r>
    </w:p>
    <w:p w:rsidR="00485094" w:rsidRDefault="00485094" w:rsidP="00EA3D58">
      <w:pPr>
        <w:pStyle w:val="ListBullet"/>
      </w:pPr>
      <w:r>
        <w:t>Collier County Pollution Control</w:t>
      </w:r>
    </w:p>
    <w:p w:rsidR="00485094" w:rsidRDefault="00485094" w:rsidP="00EA3D58">
      <w:pPr>
        <w:pStyle w:val="ListBullet"/>
      </w:pPr>
      <w:r>
        <w:t>Dade County Environmental Resource Management</w:t>
      </w:r>
    </w:p>
    <w:p w:rsidR="00485094" w:rsidRDefault="00485094" w:rsidP="00EA3D58">
      <w:pPr>
        <w:pStyle w:val="ListBullet"/>
      </w:pPr>
      <w:r>
        <w:t>East County Water Control District</w:t>
      </w:r>
    </w:p>
    <w:p w:rsidR="00485094" w:rsidRDefault="00485094" w:rsidP="00EA3D58">
      <w:pPr>
        <w:pStyle w:val="ListBullet"/>
      </w:pPr>
      <w:r>
        <w:lastRenderedPageBreak/>
        <w:t>Escambia County Utility Association</w:t>
      </w:r>
    </w:p>
    <w:p w:rsidR="00485094" w:rsidRDefault="00485094" w:rsidP="00EA3D58">
      <w:pPr>
        <w:pStyle w:val="ListBullet"/>
      </w:pPr>
      <w:r>
        <w:t xml:space="preserve">Hillsborough County </w:t>
      </w:r>
    </w:p>
    <w:p w:rsidR="00485094" w:rsidRDefault="00485094" w:rsidP="00EA3D58">
      <w:pPr>
        <w:pStyle w:val="ListBullet"/>
      </w:pPr>
      <w:r>
        <w:t>Lake County Water Resource Management</w:t>
      </w:r>
    </w:p>
    <w:p w:rsidR="00485094" w:rsidRDefault="00485094" w:rsidP="00EA3D58">
      <w:pPr>
        <w:pStyle w:val="ListBullet"/>
      </w:pPr>
      <w:r>
        <w:t>Lee County Environmental Laboratories</w:t>
      </w:r>
    </w:p>
    <w:p w:rsidR="00485094" w:rsidRDefault="00485094" w:rsidP="00EA3D58">
      <w:pPr>
        <w:pStyle w:val="ListBullet"/>
      </w:pPr>
      <w:r>
        <w:t>Lee County Hyacinth Control District</w:t>
      </w:r>
    </w:p>
    <w:p w:rsidR="00485094" w:rsidRDefault="00485094" w:rsidP="00EA3D58">
      <w:pPr>
        <w:pStyle w:val="ListBullet"/>
      </w:pPr>
      <w:r>
        <w:t>Manatee County Environmental Management</w:t>
      </w:r>
    </w:p>
    <w:p w:rsidR="00485094" w:rsidRDefault="00485094" w:rsidP="00EA3D58">
      <w:pPr>
        <w:pStyle w:val="ListBullet"/>
      </w:pPr>
      <w:r>
        <w:t>McGlynn Laboratories and Leon County</w:t>
      </w:r>
    </w:p>
    <w:p w:rsidR="00485094" w:rsidRDefault="00485094" w:rsidP="00EA3D58">
      <w:pPr>
        <w:pStyle w:val="ListBullet"/>
      </w:pPr>
      <w:r>
        <w:t>Okaloosa County Environmental Council</w:t>
      </w:r>
    </w:p>
    <w:p w:rsidR="00485094" w:rsidRDefault="00485094" w:rsidP="00EA3D58">
      <w:pPr>
        <w:pStyle w:val="ListBullet"/>
      </w:pPr>
      <w:r>
        <w:t>Orange County Environmental Protection Division</w:t>
      </w:r>
    </w:p>
    <w:p w:rsidR="00485094" w:rsidRDefault="00485094" w:rsidP="00EA3D58">
      <w:pPr>
        <w:pStyle w:val="ListBullet"/>
      </w:pPr>
      <w:r>
        <w:t>Palm Beach County Environmental Resource Management</w:t>
      </w:r>
    </w:p>
    <w:p w:rsidR="00485094" w:rsidRDefault="00485094" w:rsidP="00EA3D58">
      <w:pPr>
        <w:pStyle w:val="ListBullet"/>
      </w:pPr>
      <w:r>
        <w:t>Pinellas County Department of Environmental Management</w:t>
      </w:r>
    </w:p>
    <w:p w:rsidR="00485094" w:rsidRDefault="00485094" w:rsidP="00EA3D58">
      <w:pPr>
        <w:pStyle w:val="ListBullet"/>
      </w:pPr>
      <w:r>
        <w:t>Polk County Natural Resources Division</w:t>
      </w:r>
    </w:p>
    <w:p w:rsidR="00485094" w:rsidRDefault="00485094" w:rsidP="00EA3D58">
      <w:pPr>
        <w:pStyle w:val="ListBullet"/>
      </w:pPr>
      <w:r>
        <w:t>Reedy Creek Improvement District Environmental Services</w:t>
      </w:r>
    </w:p>
    <w:p w:rsidR="00485094" w:rsidRDefault="00485094" w:rsidP="00EA3D58">
      <w:pPr>
        <w:pStyle w:val="ListBullet"/>
      </w:pPr>
      <w:r>
        <w:t>Sarasota County Environmental Services</w:t>
      </w:r>
    </w:p>
    <w:p w:rsidR="00485094" w:rsidRDefault="00485094" w:rsidP="00EA3D58">
      <w:pPr>
        <w:pStyle w:val="ListBullet"/>
      </w:pPr>
      <w:r>
        <w:t>Seminole County Public Works Roads/Stormwater</w:t>
      </w:r>
    </w:p>
    <w:p w:rsidR="00485094" w:rsidRDefault="00485094" w:rsidP="00EA3D58">
      <w:pPr>
        <w:pStyle w:val="ListBullet"/>
      </w:pPr>
      <w:r>
        <w:t>Seminole Improvement District</w:t>
      </w:r>
    </w:p>
    <w:p w:rsidR="00485094" w:rsidRDefault="00485094" w:rsidP="00EA3D58">
      <w:pPr>
        <w:pStyle w:val="ListBullet"/>
      </w:pPr>
      <w:r>
        <w:t xml:space="preserve">St. Johns County </w:t>
      </w:r>
    </w:p>
    <w:p w:rsidR="00485094" w:rsidRDefault="00485094" w:rsidP="00EA3D58">
      <w:pPr>
        <w:pStyle w:val="ListBullet"/>
      </w:pPr>
      <w:r>
        <w:t>Volusia County Environmental Health Lab</w:t>
      </w:r>
    </w:p>
    <w:p w:rsidR="00485094" w:rsidRDefault="00485094" w:rsidP="00EA3D58">
      <w:pPr>
        <w:pStyle w:val="Bodytext"/>
        <w:jc w:val="center"/>
      </w:pPr>
    </w:p>
    <w:p w:rsidR="00485094" w:rsidRDefault="00485094" w:rsidP="00EA3D58">
      <w:pPr>
        <w:pStyle w:val="Bodytext"/>
        <w:rPr>
          <w:b/>
        </w:rPr>
      </w:pPr>
      <w:r w:rsidRPr="00D02692">
        <w:rPr>
          <w:b/>
        </w:rPr>
        <w:t>Volunteer/Private Monitoring Agencies/Organizations</w:t>
      </w:r>
    </w:p>
    <w:p w:rsidR="00485094" w:rsidRPr="00D02692" w:rsidRDefault="00485094" w:rsidP="00EA3D58">
      <w:pPr>
        <w:pStyle w:val="Bodytextreduced"/>
      </w:pPr>
    </w:p>
    <w:p w:rsidR="00485094" w:rsidRDefault="00485094" w:rsidP="00EA3D58">
      <w:pPr>
        <w:pStyle w:val="ListBullet"/>
      </w:pPr>
      <w:r>
        <w:t>Baskerville Donovan, Inc.</w:t>
      </w:r>
    </w:p>
    <w:p w:rsidR="00485094" w:rsidRDefault="00485094" w:rsidP="00EA3D58">
      <w:pPr>
        <w:pStyle w:val="ListBullet"/>
      </w:pPr>
      <w:r>
        <w:t>Baywatch</w:t>
      </w:r>
    </w:p>
    <w:p w:rsidR="00485094" w:rsidRDefault="00485094" w:rsidP="00EA3D58">
      <w:pPr>
        <w:pStyle w:val="ListBullet"/>
      </w:pPr>
      <w:r>
        <w:t>Biological Research Associates</w:t>
      </w:r>
    </w:p>
    <w:p w:rsidR="00485094" w:rsidRDefault="00485094" w:rsidP="00EA3D58">
      <w:pPr>
        <w:pStyle w:val="ListBullet"/>
      </w:pPr>
      <w:r>
        <w:t>Bream Fisherman's Association</w:t>
      </w:r>
    </w:p>
    <w:p w:rsidR="00485094" w:rsidRDefault="00485094" w:rsidP="00EA3D58">
      <w:pPr>
        <w:pStyle w:val="ListBullet"/>
      </w:pPr>
      <w:r>
        <w:t>Conservancy of Southwest Florida</w:t>
      </w:r>
    </w:p>
    <w:p w:rsidR="00485094" w:rsidRDefault="00485094" w:rsidP="00EA3D58">
      <w:pPr>
        <w:pStyle w:val="ListBullet"/>
      </w:pPr>
      <w:r>
        <w:t>Environmental Research and Design, Inc</w:t>
      </w:r>
    </w:p>
    <w:p w:rsidR="00485094" w:rsidRDefault="00485094" w:rsidP="00EA3D58">
      <w:pPr>
        <w:pStyle w:val="ListBullet"/>
      </w:pPr>
      <w:r>
        <w:t>Florida Center for Community Design + Research</w:t>
      </w:r>
    </w:p>
    <w:p w:rsidR="00485094" w:rsidRDefault="00485094" w:rsidP="00EA3D58">
      <w:pPr>
        <w:pStyle w:val="ListBullet"/>
      </w:pPr>
      <w:r>
        <w:t>Florida LakeWatch (identification of potentially impaired waters only)</w:t>
      </w:r>
    </w:p>
    <w:p w:rsidR="00485094" w:rsidRDefault="00485094" w:rsidP="00EA3D58">
      <w:pPr>
        <w:pStyle w:val="ListBullet"/>
      </w:pPr>
      <w:r>
        <w:t>Gulf Power Company</w:t>
      </w:r>
    </w:p>
    <w:p w:rsidR="00485094" w:rsidRDefault="00161289" w:rsidP="00EA3D58">
      <w:pPr>
        <w:pStyle w:val="ListBullet"/>
      </w:pPr>
      <w:r>
        <w:t xml:space="preserve">IMC </w:t>
      </w:r>
      <w:r w:rsidR="00485094">
        <w:t>Agrico/Phosphates</w:t>
      </w:r>
    </w:p>
    <w:p w:rsidR="00485094" w:rsidRDefault="00485094" w:rsidP="00EA3D58">
      <w:pPr>
        <w:pStyle w:val="ListBullet"/>
      </w:pPr>
      <w:r>
        <w:t>Janicki Environmental</w:t>
      </w:r>
    </w:p>
    <w:p w:rsidR="00485094" w:rsidRDefault="00485094" w:rsidP="00EA3D58">
      <w:pPr>
        <w:pStyle w:val="ListBullet"/>
      </w:pPr>
      <w:r>
        <w:t>The Nature Conservancy of the Florida Keys</w:t>
      </w:r>
    </w:p>
    <w:p w:rsidR="00485094" w:rsidRDefault="00485094" w:rsidP="00EA3D58">
      <w:pPr>
        <w:pStyle w:val="ListBullet"/>
      </w:pPr>
      <w:r>
        <w:t>Palm Coast Community Service Corp.</w:t>
      </w:r>
    </w:p>
    <w:p w:rsidR="00485094" w:rsidRDefault="00485094" w:rsidP="00EA3D58">
      <w:pPr>
        <w:pStyle w:val="ListBullet"/>
      </w:pPr>
      <w:r>
        <w:lastRenderedPageBreak/>
        <w:t>Sanibel Captiva Conservation Foundation</w:t>
      </w:r>
    </w:p>
    <w:p w:rsidR="00485094" w:rsidRDefault="00485094" w:rsidP="00EA3D58">
      <w:pPr>
        <w:pStyle w:val="ListBullet"/>
      </w:pPr>
      <w:r>
        <w:t>Southeast Environmental Research Center</w:t>
      </w:r>
    </w:p>
    <w:p w:rsidR="00485094" w:rsidRDefault="00485094" w:rsidP="00EA3D58">
      <w:pPr>
        <w:pStyle w:val="Bodytextreduced"/>
      </w:pPr>
    </w:p>
    <w:p w:rsidR="00485094" w:rsidRDefault="00485094" w:rsidP="00EA3D58">
      <w:pPr>
        <w:pStyle w:val="Heading2"/>
        <w:rPr>
          <w:snapToGrid w:val="0"/>
        </w:rPr>
      </w:pPr>
      <w:bookmarkStart w:id="136" w:name="_Toc254269869"/>
      <w:bookmarkStart w:id="137" w:name="_Toc255822510"/>
      <w:bookmarkStart w:id="138" w:name="_Toc262464127"/>
      <w:bookmarkStart w:id="139" w:name="_Toc271279951"/>
      <w:r>
        <w:rPr>
          <w:snapToGrid w:val="0"/>
        </w:rPr>
        <w:t>Florida’s Integrated Water Resources Monitoring Program</w:t>
      </w:r>
      <w:bookmarkEnd w:id="136"/>
      <w:bookmarkEnd w:id="137"/>
      <w:bookmarkEnd w:id="138"/>
      <w:bookmarkEnd w:id="139"/>
    </w:p>
    <w:p w:rsidR="00485094" w:rsidRDefault="00485094" w:rsidP="00EA3D58">
      <w:pPr>
        <w:pStyle w:val="Bodytext"/>
      </w:pPr>
      <w:r>
        <w:t xml:space="preserve">As discussed earlier, water resource monitoring in Florida is conducted by FDEP, the water management districts, local governments, and other entities.  Over the past decade, FDEP has worked closely with these monitoring entities to establish an </w:t>
      </w:r>
      <w:hyperlink r:id="rId50" w:history="1">
        <w:r w:rsidRPr="003D2CD6">
          <w:rPr>
            <w:rStyle w:val="Hyperlink"/>
          </w:rPr>
          <w:t>Integrated Water Resources Monitoring (IW</w:t>
        </w:r>
        <w:r>
          <w:rPr>
            <w:rStyle w:val="Hyperlink"/>
          </w:rPr>
          <w:t>R</w:t>
        </w:r>
        <w:r w:rsidRPr="003D2CD6">
          <w:rPr>
            <w:rStyle w:val="Hyperlink"/>
          </w:rPr>
          <w:t>M) Program</w:t>
        </w:r>
      </w:hyperlink>
      <w:r>
        <w:t xml:space="preserve"> that integrates surface water and ground water monitoring.  Since it is fiscally and logistically prohibitive to sample every segment of river or stream, every acre of lake, or each individual monitoring well in the state annually, the IWRM also integrates three tiers of monitoring—statewide ambient monitoring networks that allow statistical inferences to be made about all waters in the state (Tier 1); </w:t>
      </w:r>
      <w:r w:rsidRPr="00174C25">
        <w:rPr>
          <w:snapToGrid w:val="0"/>
        </w:rPr>
        <w:t>strategic monitoring for verification of impairment and identification of causative pollutants</w:t>
      </w:r>
      <w:r w:rsidDel="000E04AC">
        <w:t xml:space="preserve"> </w:t>
      </w:r>
      <w:r>
        <w:t xml:space="preserve">(Tier 2); and </w:t>
      </w:r>
      <w:r w:rsidRPr="00174C25">
        <w:t xml:space="preserve">specialized, site-specific monitoring </w:t>
      </w:r>
      <w:r>
        <w:t xml:space="preserve">(Tier </w:t>
      </w:r>
      <w:r w:rsidRPr="00A51190">
        <w:t xml:space="preserve">3) </w:t>
      </w:r>
      <w:r w:rsidRPr="00A51190">
        <w:rPr>
          <w:i/>
        </w:rPr>
        <w:t>(</w:t>
      </w:r>
      <w:r w:rsidRPr="00A51190">
        <w:rPr>
          <w:b/>
          <w:i/>
        </w:rPr>
        <w:t xml:space="preserve">Tables 4.1a </w:t>
      </w:r>
      <w:r w:rsidRPr="00A51190">
        <w:t>through</w:t>
      </w:r>
      <w:r w:rsidRPr="00A51190">
        <w:rPr>
          <w:b/>
          <w:i/>
        </w:rPr>
        <w:t xml:space="preserve"> 4.1d</w:t>
      </w:r>
      <w:r w:rsidRPr="00A51190">
        <w:t xml:space="preserve">).  These three tiers are composed of </w:t>
      </w:r>
      <w:r>
        <w:t>several</w:t>
      </w:r>
      <w:r w:rsidRPr="00A51190">
        <w:t xml:space="preserve"> core monitoring</w:t>
      </w:r>
      <w:r>
        <w:t xml:space="preserve"> programs in FDEP’s Division of Water Resource Management and Division of Environmental Assessment and Restoration.  These tiers are not to be viewed as a prioritization structure; they simply reflect different categorical objectives.</w:t>
      </w:r>
    </w:p>
    <w:p w:rsidR="00485094" w:rsidRDefault="00485094" w:rsidP="00EA3D58">
      <w:pPr>
        <w:pStyle w:val="Bodytext"/>
      </w:pPr>
    </w:p>
    <w:p w:rsidR="00485094" w:rsidRPr="003A021B" w:rsidRDefault="00485094" w:rsidP="00EA3D58">
      <w:pPr>
        <w:pStyle w:val="Bodytext"/>
        <w:rPr>
          <w:szCs w:val="22"/>
        </w:rPr>
      </w:pPr>
      <w:r w:rsidRPr="003A021B">
        <w:rPr>
          <w:snapToGrid w:val="0"/>
          <w:szCs w:val="22"/>
        </w:rPr>
        <w:t>The IWRM approach</w:t>
      </w:r>
      <w:r>
        <w:rPr>
          <w:snapToGrid w:val="0"/>
          <w:szCs w:val="22"/>
        </w:rPr>
        <w:t xml:space="preserve"> is consistent with the 2003 EPA</w:t>
      </w:r>
      <w:r w:rsidRPr="003A021B">
        <w:rPr>
          <w:snapToGrid w:val="0"/>
          <w:szCs w:val="22"/>
        </w:rPr>
        <w:t xml:space="preserve"> guidance document, </w:t>
      </w:r>
      <w:hyperlink r:id="rId51" w:history="1">
        <w:r w:rsidRPr="007B1044">
          <w:rPr>
            <w:rStyle w:val="Hyperlink"/>
            <w:i/>
            <w:snapToGrid w:val="0"/>
            <w:szCs w:val="22"/>
          </w:rPr>
          <w:t>Elements of a State Water Monitoring and Assessment Program</w:t>
        </w:r>
      </w:hyperlink>
      <w:r>
        <w:rPr>
          <w:snapToGrid w:val="0"/>
          <w:szCs w:val="22"/>
        </w:rPr>
        <w:t xml:space="preserve">.  In 2004, FDEP prepared and submitted a report on these elements for the different monitoring programs.  The report, </w:t>
      </w:r>
      <w:hyperlink r:id="rId52" w:history="1">
        <w:r w:rsidRPr="008F351F">
          <w:rPr>
            <w:rStyle w:val="Hyperlink"/>
            <w:i/>
            <w:snapToGrid w:val="0"/>
            <w:szCs w:val="22"/>
          </w:rPr>
          <w:t>Elements of Florida’s Water Monitoring and Assessment Program</w:t>
        </w:r>
      </w:hyperlink>
      <w:r>
        <w:rPr>
          <w:snapToGrid w:val="0"/>
          <w:szCs w:val="22"/>
        </w:rPr>
        <w:t xml:space="preserve">, </w:t>
      </w:r>
      <w:r w:rsidRPr="003A021B">
        <w:rPr>
          <w:szCs w:val="22"/>
        </w:rPr>
        <w:t xml:space="preserve">addresses the following </w:t>
      </w:r>
      <w:r>
        <w:rPr>
          <w:szCs w:val="22"/>
        </w:rPr>
        <w:t>10</w:t>
      </w:r>
      <w:r w:rsidRPr="003A021B">
        <w:rPr>
          <w:szCs w:val="22"/>
        </w:rPr>
        <w:t xml:space="preserve"> elements:</w:t>
      </w:r>
    </w:p>
    <w:p w:rsidR="00485094" w:rsidRPr="003A021B" w:rsidRDefault="00485094" w:rsidP="00EA3D58">
      <w:pPr>
        <w:pStyle w:val="Bodytextreduced"/>
      </w:pPr>
    </w:p>
    <w:p w:rsidR="00485094" w:rsidRDefault="00485094">
      <w:pPr>
        <w:pStyle w:val="Listwithnumbers"/>
        <w:numPr>
          <w:ilvl w:val="0"/>
          <w:numId w:val="9"/>
        </w:numPr>
        <w:rPr>
          <w:sz w:val="22"/>
          <w:szCs w:val="22"/>
        </w:rPr>
      </w:pPr>
      <w:r w:rsidRPr="00225788">
        <w:rPr>
          <w:sz w:val="22"/>
          <w:szCs w:val="22"/>
        </w:rPr>
        <w:t>Monitoring objectives</w:t>
      </w:r>
      <w:r>
        <w:rPr>
          <w:sz w:val="22"/>
          <w:szCs w:val="22"/>
        </w:rPr>
        <w:t>;</w:t>
      </w:r>
      <w:r w:rsidRPr="00225788">
        <w:rPr>
          <w:sz w:val="22"/>
          <w:szCs w:val="22"/>
        </w:rPr>
        <w:t xml:space="preserve"> </w:t>
      </w:r>
    </w:p>
    <w:p w:rsidR="00485094" w:rsidRDefault="00485094">
      <w:pPr>
        <w:pStyle w:val="Listwithnumbers"/>
        <w:numPr>
          <w:ilvl w:val="0"/>
          <w:numId w:val="9"/>
        </w:numPr>
        <w:rPr>
          <w:sz w:val="22"/>
          <w:szCs w:val="22"/>
        </w:rPr>
      </w:pPr>
      <w:r w:rsidRPr="00225788">
        <w:rPr>
          <w:sz w:val="22"/>
          <w:szCs w:val="22"/>
        </w:rPr>
        <w:t>Monitoring strategy</w:t>
      </w:r>
      <w:r>
        <w:rPr>
          <w:sz w:val="22"/>
          <w:szCs w:val="22"/>
        </w:rPr>
        <w:t>;</w:t>
      </w:r>
    </w:p>
    <w:p w:rsidR="00485094" w:rsidRDefault="00485094">
      <w:pPr>
        <w:pStyle w:val="Listwithnumbers"/>
        <w:numPr>
          <w:ilvl w:val="0"/>
          <w:numId w:val="9"/>
        </w:numPr>
        <w:rPr>
          <w:sz w:val="22"/>
          <w:szCs w:val="22"/>
        </w:rPr>
      </w:pPr>
      <w:r w:rsidRPr="00225788">
        <w:rPr>
          <w:sz w:val="22"/>
          <w:szCs w:val="22"/>
        </w:rPr>
        <w:t>Monitoring design</w:t>
      </w:r>
      <w:r>
        <w:rPr>
          <w:sz w:val="22"/>
          <w:szCs w:val="22"/>
        </w:rPr>
        <w:t>;</w:t>
      </w:r>
      <w:r w:rsidRPr="00225788">
        <w:rPr>
          <w:sz w:val="22"/>
          <w:szCs w:val="22"/>
        </w:rPr>
        <w:t xml:space="preserve"> </w:t>
      </w:r>
    </w:p>
    <w:p w:rsidR="00485094" w:rsidRDefault="00485094">
      <w:pPr>
        <w:pStyle w:val="Listwithnumbers"/>
        <w:numPr>
          <w:ilvl w:val="0"/>
          <w:numId w:val="9"/>
        </w:numPr>
        <w:rPr>
          <w:sz w:val="22"/>
          <w:szCs w:val="22"/>
        </w:rPr>
      </w:pPr>
      <w:r w:rsidRPr="00225788">
        <w:rPr>
          <w:sz w:val="22"/>
          <w:szCs w:val="22"/>
        </w:rPr>
        <w:t>Indicators</w:t>
      </w:r>
      <w:r>
        <w:rPr>
          <w:sz w:val="22"/>
          <w:szCs w:val="22"/>
        </w:rPr>
        <w:t>;</w:t>
      </w:r>
      <w:r w:rsidRPr="00225788">
        <w:rPr>
          <w:sz w:val="22"/>
          <w:szCs w:val="22"/>
        </w:rPr>
        <w:t xml:space="preserve"> </w:t>
      </w:r>
    </w:p>
    <w:p w:rsidR="00485094" w:rsidRDefault="00485094">
      <w:pPr>
        <w:pStyle w:val="Listwithnumbers"/>
        <w:numPr>
          <w:ilvl w:val="0"/>
          <w:numId w:val="9"/>
        </w:numPr>
        <w:rPr>
          <w:sz w:val="22"/>
          <w:szCs w:val="22"/>
        </w:rPr>
      </w:pPr>
      <w:r w:rsidRPr="00225788">
        <w:rPr>
          <w:sz w:val="22"/>
          <w:szCs w:val="22"/>
        </w:rPr>
        <w:t>Quality assurance</w:t>
      </w:r>
      <w:r>
        <w:rPr>
          <w:sz w:val="22"/>
          <w:szCs w:val="22"/>
        </w:rPr>
        <w:t>;</w:t>
      </w:r>
      <w:r w:rsidRPr="00225788">
        <w:rPr>
          <w:sz w:val="22"/>
          <w:szCs w:val="22"/>
        </w:rPr>
        <w:t xml:space="preserve"> </w:t>
      </w:r>
    </w:p>
    <w:p w:rsidR="00485094" w:rsidRDefault="00485094">
      <w:pPr>
        <w:pStyle w:val="Listwithnumbers"/>
        <w:numPr>
          <w:ilvl w:val="0"/>
          <w:numId w:val="9"/>
        </w:numPr>
        <w:rPr>
          <w:sz w:val="22"/>
          <w:szCs w:val="22"/>
        </w:rPr>
      </w:pPr>
      <w:r w:rsidRPr="00225788">
        <w:rPr>
          <w:sz w:val="22"/>
          <w:szCs w:val="22"/>
        </w:rPr>
        <w:t>Data management</w:t>
      </w:r>
      <w:r>
        <w:rPr>
          <w:sz w:val="22"/>
          <w:szCs w:val="22"/>
        </w:rPr>
        <w:t>;</w:t>
      </w:r>
      <w:r w:rsidRPr="00225788">
        <w:rPr>
          <w:sz w:val="22"/>
          <w:szCs w:val="22"/>
        </w:rPr>
        <w:t xml:space="preserve"> </w:t>
      </w:r>
    </w:p>
    <w:p w:rsidR="00485094" w:rsidRDefault="00485094">
      <w:pPr>
        <w:pStyle w:val="Listwithnumbers"/>
        <w:numPr>
          <w:ilvl w:val="0"/>
          <w:numId w:val="9"/>
        </w:numPr>
        <w:rPr>
          <w:sz w:val="22"/>
          <w:szCs w:val="22"/>
        </w:rPr>
      </w:pPr>
      <w:r w:rsidRPr="00225788">
        <w:rPr>
          <w:sz w:val="22"/>
          <w:szCs w:val="22"/>
        </w:rPr>
        <w:t>Data analysis and assessment</w:t>
      </w:r>
      <w:r>
        <w:rPr>
          <w:sz w:val="22"/>
          <w:szCs w:val="22"/>
        </w:rPr>
        <w:t>;</w:t>
      </w:r>
      <w:r w:rsidRPr="00225788">
        <w:rPr>
          <w:sz w:val="22"/>
          <w:szCs w:val="22"/>
        </w:rPr>
        <w:t xml:space="preserve"> </w:t>
      </w:r>
    </w:p>
    <w:p w:rsidR="00485094" w:rsidRDefault="00485094">
      <w:pPr>
        <w:pStyle w:val="Listwithnumbers"/>
        <w:numPr>
          <w:ilvl w:val="0"/>
          <w:numId w:val="9"/>
        </w:numPr>
        <w:rPr>
          <w:sz w:val="22"/>
          <w:szCs w:val="22"/>
        </w:rPr>
      </w:pPr>
      <w:r w:rsidRPr="00225788">
        <w:rPr>
          <w:sz w:val="22"/>
          <w:szCs w:val="22"/>
        </w:rPr>
        <w:t>Reporting</w:t>
      </w:r>
      <w:r>
        <w:rPr>
          <w:sz w:val="22"/>
          <w:szCs w:val="22"/>
        </w:rPr>
        <w:t>;</w:t>
      </w:r>
    </w:p>
    <w:p w:rsidR="00485094" w:rsidRDefault="00485094">
      <w:pPr>
        <w:pStyle w:val="Listwithnumbers"/>
        <w:numPr>
          <w:ilvl w:val="0"/>
          <w:numId w:val="9"/>
        </w:numPr>
        <w:rPr>
          <w:sz w:val="22"/>
          <w:szCs w:val="22"/>
        </w:rPr>
      </w:pPr>
      <w:r w:rsidRPr="00225788">
        <w:rPr>
          <w:sz w:val="22"/>
          <w:szCs w:val="22"/>
        </w:rPr>
        <w:t>Programmatic evaluation</w:t>
      </w:r>
      <w:r>
        <w:rPr>
          <w:sz w:val="22"/>
          <w:szCs w:val="22"/>
        </w:rPr>
        <w:t>;</w:t>
      </w:r>
      <w:r w:rsidRPr="00225788">
        <w:rPr>
          <w:sz w:val="22"/>
          <w:szCs w:val="22"/>
        </w:rPr>
        <w:t xml:space="preserve"> and </w:t>
      </w:r>
    </w:p>
    <w:p w:rsidR="00485094" w:rsidRDefault="00485094">
      <w:pPr>
        <w:pStyle w:val="Listwithnumbers"/>
        <w:numPr>
          <w:ilvl w:val="0"/>
          <w:numId w:val="9"/>
        </w:numPr>
        <w:rPr>
          <w:sz w:val="22"/>
          <w:szCs w:val="22"/>
        </w:rPr>
      </w:pPr>
      <w:r w:rsidRPr="00225788">
        <w:rPr>
          <w:sz w:val="22"/>
          <w:szCs w:val="22"/>
        </w:rPr>
        <w:t>General support and infrastructure planning.</w:t>
      </w:r>
    </w:p>
    <w:p w:rsidR="00485094" w:rsidRDefault="00485094" w:rsidP="00EA3D58">
      <w:pPr>
        <w:pStyle w:val="Bodytextreduced"/>
      </w:pPr>
    </w:p>
    <w:p w:rsidR="00485094" w:rsidRDefault="00485094" w:rsidP="00EA3D58">
      <w:pPr>
        <w:pStyle w:val="Bodytext"/>
      </w:pPr>
      <w:r>
        <w:t>This section broadly discusses Elements 1 (monitoring objectives), 2 (monitoring strategy), 5 (quality assurance), 6 (data management), 9 (programmatic evaluation), and 10 (general support and infrastructure planning).  The methodology and assessment sections of this chapter address Elements 3 (monitoring design), 4 (indicators), 7 (data analysis and assessment), and 8 (reporting).</w:t>
      </w:r>
    </w:p>
    <w:p w:rsidR="00485094" w:rsidRPr="00D2717B" w:rsidRDefault="00485094" w:rsidP="00EA3D58">
      <w:pPr>
        <w:pStyle w:val="Bodytextreduced"/>
      </w:pPr>
    </w:p>
    <w:p w:rsidR="003C6692" w:rsidRDefault="003C6692">
      <w:pPr>
        <w:rPr>
          <w:rFonts w:ascii="Arial" w:hAnsi="Arial"/>
          <w:b/>
          <w:i/>
          <w:sz w:val="20"/>
          <w:szCs w:val="20"/>
        </w:rPr>
      </w:pPr>
      <w:bookmarkStart w:id="140" w:name="_Toc262464219"/>
      <w:r>
        <w:br w:type="page"/>
      </w:r>
    </w:p>
    <w:p w:rsidR="00485094" w:rsidRDefault="00485094" w:rsidP="00EA3D58">
      <w:pPr>
        <w:pStyle w:val="Tableheading"/>
      </w:pPr>
      <w:bookmarkStart w:id="141" w:name="_Toc271280067"/>
      <w:r w:rsidRPr="009E0BCC">
        <w:lastRenderedPageBreak/>
        <w:t xml:space="preserve">Table </w:t>
      </w:r>
      <w:r>
        <w:t>4.1a</w:t>
      </w:r>
      <w:r w:rsidRPr="009E0BCC">
        <w:t xml:space="preserve">. </w:t>
      </w:r>
      <w:r>
        <w:t xml:space="preserve"> </w:t>
      </w:r>
      <w:r w:rsidRPr="009E0BCC">
        <w:t>FDEP's Tier I Monitoring Programs</w:t>
      </w:r>
      <w:bookmarkEnd w:id="140"/>
      <w:bookmarkEnd w:id="141"/>
    </w:p>
    <w:p w:rsidR="00485094" w:rsidRDefault="00485094" w:rsidP="00EA3D58">
      <w:pPr>
        <w:pStyle w:val="TabledescriptionBF"/>
      </w:pPr>
      <w:r>
        <w:t>This is a three-column table.  Column 1 lists the program, Column 2 summarizes its activities, and Column 3 lists the resources addressed.</w:t>
      </w:r>
    </w:p>
    <w:tbl>
      <w:tblPr>
        <w:tblW w:w="9252" w:type="dxa"/>
        <w:jc w:val="center"/>
        <w:tblLook w:val="04A0"/>
      </w:tblPr>
      <w:tblGrid>
        <w:gridCol w:w="1300"/>
        <w:gridCol w:w="4603"/>
        <w:gridCol w:w="3349"/>
      </w:tblGrid>
      <w:tr w:rsidR="00485094" w:rsidRPr="000F2909" w:rsidTr="000F2909">
        <w:trPr>
          <w:trHeight w:val="340"/>
          <w:jc w:val="center"/>
        </w:trPr>
        <w:tc>
          <w:tcPr>
            <w:tcW w:w="1300" w:type="dxa"/>
            <w:tcBorders>
              <w:top w:val="single" w:sz="8" w:space="0" w:color="auto"/>
              <w:left w:val="single" w:sz="8" w:space="0" w:color="auto"/>
              <w:bottom w:val="double" w:sz="4" w:space="0" w:color="auto"/>
              <w:right w:val="single" w:sz="8" w:space="0" w:color="auto"/>
            </w:tcBorders>
            <w:shd w:val="clear" w:color="auto" w:fill="BDFFFF"/>
            <w:vAlign w:val="center"/>
            <w:hideMark/>
          </w:tcPr>
          <w:p w:rsidR="00485094" w:rsidRPr="000F2909" w:rsidRDefault="00485094" w:rsidP="00453E80">
            <w:pPr>
              <w:pStyle w:val="TableText"/>
              <w:jc w:val="center"/>
              <w:rPr>
                <w:b/>
                <w:i/>
              </w:rPr>
            </w:pPr>
            <w:r w:rsidRPr="000F2909">
              <w:rPr>
                <w:b/>
                <w:i/>
              </w:rPr>
              <w:t>Program</w:t>
            </w:r>
          </w:p>
        </w:tc>
        <w:tc>
          <w:tcPr>
            <w:tcW w:w="4603" w:type="dxa"/>
            <w:tcBorders>
              <w:top w:val="single" w:sz="8" w:space="0" w:color="auto"/>
              <w:left w:val="nil"/>
              <w:bottom w:val="double" w:sz="4" w:space="0" w:color="auto"/>
              <w:right w:val="single" w:sz="8" w:space="0" w:color="auto"/>
            </w:tcBorders>
            <w:shd w:val="clear" w:color="auto" w:fill="BDFFFF"/>
            <w:vAlign w:val="center"/>
            <w:hideMark/>
          </w:tcPr>
          <w:p w:rsidR="00485094" w:rsidRPr="000F2909" w:rsidRDefault="00485094" w:rsidP="00453E80">
            <w:pPr>
              <w:pStyle w:val="TableText"/>
              <w:jc w:val="center"/>
              <w:rPr>
                <w:b/>
                <w:i/>
              </w:rPr>
            </w:pPr>
            <w:r w:rsidRPr="000F2909">
              <w:rPr>
                <w:b/>
                <w:i/>
              </w:rPr>
              <w:t>Summary</w:t>
            </w:r>
          </w:p>
        </w:tc>
        <w:tc>
          <w:tcPr>
            <w:tcW w:w="3349" w:type="dxa"/>
            <w:tcBorders>
              <w:top w:val="single" w:sz="8" w:space="0" w:color="auto"/>
              <w:left w:val="nil"/>
              <w:bottom w:val="double" w:sz="4" w:space="0" w:color="auto"/>
              <w:right w:val="single" w:sz="8" w:space="0" w:color="auto"/>
            </w:tcBorders>
            <w:shd w:val="clear" w:color="auto" w:fill="BDFFFF"/>
            <w:vAlign w:val="center"/>
            <w:hideMark/>
          </w:tcPr>
          <w:p w:rsidR="00485094" w:rsidRPr="000F2909" w:rsidRDefault="00485094" w:rsidP="00453E80">
            <w:pPr>
              <w:pStyle w:val="TableText"/>
              <w:jc w:val="center"/>
              <w:rPr>
                <w:b/>
                <w:i/>
              </w:rPr>
            </w:pPr>
            <w:r w:rsidRPr="000F2909">
              <w:rPr>
                <w:b/>
                <w:i/>
              </w:rPr>
              <w:t>Resources Addressed</w:t>
            </w:r>
          </w:p>
        </w:tc>
      </w:tr>
      <w:tr w:rsidR="00485094" w:rsidTr="00453E80">
        <w:trPr>
          <w:trHeight w:val="546"/>
          <w:jc w:val="center"/>
        </w:trPr>
        <w:tc>
          <w:tcPr>
            <w:tcW w:w="1300" w:type="dxa"/>
            <w:tcBorders>
              <w:top w:val="double" w:sz="4" w:space="0" w:color="auto"/>
              <w:left w:val="single" w:sz="8" w:space="0" w:color="auto"/>
              <w:bottom w:val="nil"/>
              <w:right w:val="single" w:sz="8" w:space="0" w:color="auto"/>
            </w:tcBorders>
            <w:shd w:val="clear" w:color="auto" w:fill="FFFFCC"/>
            <w:vAlign w:val="center"/>
            <w:hideMark/>
          </w:tcPr>
          <w:p w:rsidR="00485094" w:rsidRDefault="00485094" w:rsidP="00453E80">
            <w:pPr>
              <w:pStyle w:val="TableText"/>
              <w:jc w:val="center"/>
            </w:pPr>
            <w:r>
              <w:t>Status Network</w:t>
            </w:r>
          </w:p>
        </w:tc>
        <w:tc>
          <w:tcPr>
            <w:tcW w:w="4603" w:type="dxa"/>
            <w:tcBorders>
              <w:top w:val="double" w:sz="4" w:space="0" w:color="auto"/>
              <w:left w:val="nil"/>
              <w:bottom w:val="nil"/>
              <w:right w:val="single" w:sz="8" w:space="0" w:color="auto"/>
            </w:tcBorders>
            <w:vAlign w:val="center"/>
            <w:hideMark/>
          </w:tcPr>
          <w:p w:rsidR="00485094" w:rsidRDefault="00485094" w:rsidP="00453E80">
            <w:pPr>
              <w:pStyle w:val="TableText"/>
              <w:jc w:val="center"/>
            </w:pPr>
            <w:r>
              <w:t>Consists of a probabilistic monitoring design to estimate water quality across the entire state based on a representative subsample of water resource types.</w:t>
            </w:r>
          </w:p>
        </w:tc>
        <w:tc>
          <w:tcPr>
            <w:tcW w:w="3349" w:type="dxa"/>
            <w:tcBorders>
              <w:top w:val="double" w:sz="4" w:space="0" w:color="auto"/>
              <w:left w:val="nil"/>
              <w:bottom w:val="single" w:sz="8" w:space="0" w:color="auto"/>
              <w:right w:val="single" w:sz="8" w:space="0" w:color="auto"/>
            </w:tcBorders>
            <w:vAlign w:val="center"/>
            <w:hideMark/>
          </w:tcPr>
          <w:p w:rsidR="00485094" w:rsidRDefault="00485094" w:rsidP="00453E80">
            <w:pPr>
              <w:pStyle w:val="TableText"/>
              <w:jc w:val="center"/>
            </w:pPr>
            <w:r>
              <w:t>Large lakes, small lakes, rivers, streams, confined aquifers, and unconfined aquifers</w:t>
            </w:r>
          </w:p>
        </w:tc>
      </w:tr>
      <w:tr w:rsidR="00485094" w:rsidTr="00453E80">
        <w:trPr>
          <w:trHeight w:val="619"/>
          <w:jc w:val="center"/>
        </w:trPr>
        <w:tc>
          <w:tcPr>
            <w:tcW w:w="1300" w:type="dxa"/>
            <w:tcBorders>
              <w:top w:val="single" w:sz="8" w:space="0" w:color="auto"/>
              <w:left w:val="single" w:sz="8" w:space="0" w:color="auto"/>
              <w:bottom w:val="single" w:sz="8" w:space="0" w:color="auto"/>
              <w:right w:val="single" w:sz="8" w:space="0" w:color="auto"/>
            </w:tcBorders>
            <w:shd w:val="clear" w:color="auto" w:fill="FFFFCC"/>
            <w:vAlign w:val="center"/>
            <w:hideMark/>
          </w:tcPr>
          <w:p w:rsidR="00485094" w:rsidRDefault="00485094" w:rsidP="00453E80">
            <w:pPr>
              <w:pStyle w:val="TableText"/>
              <w:jc w:val="center"/>
            </w:pPr>
            <w:r>
              <w:t>Trend Network</w:t>
            </w:r>
          </w:p>
        </w:tc>
        <w:tc>
          <w:tcPr>
            <w:tcW w:w="4603" w:type="dxa"/>
            <w:tcBorders>
              <w:top w:val="single" w:sz="8" w:space="0" w:color="auto"/>
              <w:left w:val="nil"/>
              <w:bottom w:val="single" w:sz="8" w:space="0" w:color="auto"/>
              <w:right w:val="single" w:sz="8" w:space="0" w:color="auto"/>
            </w:tcBorders>
            <w:vAlign w:val="center"/>
            <w:hideMark/>
          </w:tcPr>
          <w:p w:rsidR="00485094" w:rsidRDefault="00485094" w:rsidP="00453E80">
            <w:pPr>
              <w:pStyle w:val="TableText"/>
              <w:jc w:val="center"/>
            </w:pPr>
            <w:r>
              <w:t>Comprises a fixed station design to examine changes in water quality and flow over time throughout the state.</w:t>
            </w:r>
          </w:p>
        </w:tc>
        <w:tc>
          <w:tcPr>
            <w:tcW w:w="3349" w:type="dxa"/>
            <w:tcBorders>
              <w:top w:val="nil"/>
              <w:left w:val="nil"/>
              <w:bottom w:val="single" w:sz="8" w:space="0" w:color="auto"/>
              <w:right w:val="single" w:sz="8" w:space="0" w:color="auto"/>
            </w:tcBorders>
            <w:vAlign w:val="center"/>
            <w:hideMark/>
          </w:tcPr>
          <w:p w:rsidR="00485094" w:rsidRDefault="00485094" w:rsidP="00453E80">
            <w:pPr>
              <w:pStyle w:val="TableText"/>
              <w:jc w:val="center"/>
            </w:pPr>
            <w:r>
              <w:t>Rivers, streams, confined aquifers, and unconfined aquifers</w:t>
            </w:r>
          </w:p>
        </w:tc>
      </w:tr>
    </w:tbl>
    <w:p w:rsidR="00485094" w:rsidRDefault="00485094" w:rsidP="00EA3D58">
      <w:pPr>
        <w:pStyle w:val="Bodytextreduced"/>
      </w:pPr>
    </w:p>
    <w:p w:rsidR="00485094" w:rsidRDefault="00485094" w:rsidP="00EA3D58">
      <w:pPr>
        <w:pStyle w:val="Bodytextreduced"/>
      </w:pPr>
    </w:p>
    <w:p w:rsidR="00485094" w:rsidRDefault="00485094" w:rsidP="00EA3D58">
      <w:pPr>
        <w:pStyle w:val="Tableheading"/>
      </w:pPr>
      <w:bookmarkStart w:id="142" w:name="_Toc262464220"/>
      <w:bookmarkStart w:id="143" w:name="_Toc271280068"/>
      <w:r w:rsidRPr="00C56A6E">
        <w:t>Tabl</w:t>
      </w:r>
      <w:r>
        <w:t>e 4.1b.  FDEP's Tier I and Tier II B</w:t>
      </w:r>
      <w:r w:rsidRPr="00C56A6E">
        <w:t>lended Monitoring Programs</w:t>
      </w:r>
      <w:bookmarkEnd w:id="142"/>
      <w:bookmarkEnd w:id="143"/>
    </w:p>
    <w:p w:rsidR="00485094" w:rsidRDefault="00485094" w:rsidP="00EA3D58">
      <w:pPr>
        <w:pStyle w:val="TabledescriptionBF"/>
        <w:rPr>
          <w:b/>
        </w:rPr>
      </w:pPr>
      <w:r>
        <w:t>This is a three-column table.  Column 1 lists the program, Column 2 summarizes its activities, and Column 3 lists the resources addressed.</w:t>
      </w:r>
    </w:p>
    <w:tbl>
      <w:tblPr>
        <w:tblW w:w="9233" w:type="dxa"/>
        <w:jc w:val="center"/>
        <w:tblLook w:val="04A0"/>
      </w:tblPr>
      <w:tblGrid>
        <w:gridCol w:w="1300"/>
        <w:gridCol w:w="4577"/>
        <w:gridCol w:w="3356"/>
      </w:tblGrid>
      <w:tr w:rsidR="00485094" w:rsidRPr="000F2909" w:rsidTr="000F2909">
        <w:trPr>
          <w:trHeight w:val="385"/>
          <w:jc w:val="center"/>
        </w:trPr>
        <w:tc>
          <w:tcPr>
            <w:tcW w:w="1300" w:type="dxa"/>
            <w:tcBorders>
              <w:top w:val="single" w:sz="8" w:space="0" w:color="auto"/>
              <w:left w:val="single" w:sz="8" w:space="0" w:color="auto"/>
              <w:bottom w:val="double" w:sz="4" w:space="0" w:color="auto"/>
              <w:right w:val="single" w:sz="8" w:space="0" w:color="auto"/>
            </w:tcBorders>
            <w:shd w:val="clear" w:color="auto" w:fill="BDFFFF"/>
            <w:vAlign w:val="center"/>
            <w:hideMark/>
          </w:tcPr>
          <w:p w:rsidR="00485094" w:rsidRPr="000F2909" w:rsidRDefault="00485094" w:rsidP="00453E80">
            <w:pPr>
              <w:pStyle w:val="TableText"/>
              <w:jc w:val="center"/>
              <w:rPr>
                <w:b/>
                <w:i/>
              </w:rPr>
            </w:pPr>
            <w:r w:rsidRPr="000F2909">
              <w:rPr>
                <w:b/>
                <w:i/>
              </w:rPr>
              <w:t>Program</w:t>
            </w:r>
          </w:p>
        </w:tc>
        <w:tc>
          <w:tcPr>
            <w:tcW w:w="4577" w:type="dxa"/>
            <w:tcBorders>
              <w:top w:val="single" w:sz="8" w:space="0" w:color="auto"/>
              <w:left w:val="nil"/>
              <w:bottom w:val="double" w:sz="4" w:space="0" w:color="auto"/>
              <w:right w:val="single" w:sz="8" w:space="0" w:color="auto"/>
            </w:tcBorders>
            <w:shd w:val="clear" w:color="auto" w:fill="BDFFFF"/>
            <w:vAlign w:val="center"/>
            <w:hideMark/>
          </w:tcPr>
          <w:p w:rsidR="00485094" w:rsidRPr="000F2909" w:rsidRDefault="00485094" w:rsidP="00453E80">
            <w:pPr>
              <w:pStyle w:val="TableText"/>
              <w:jc w:val="center"/>
              <w:rPr>
                <w:b/>
                <w:i/>
              </w:rPr>
            </w:pPr>
            <w:r w:rsidRPr="000F2909">
              <w:rPr>
                <w:b/>
                <w:i/>
              </w:rPr>
              <w:t>Summary</w:t>
            </w:r>
          </w:p>
        </w:tc>
        <w:tc>
          <w:tcPr>
            <w:tcW w:w="3356" w:type="dxa"/>
            <w:tcBorders>
              <w:top w:val="single" w:sz="8" w:space="0" w:color="auto"/>
              <w:left w:val="nil"/>
              <w:bottom w:val="double" w:sz="4" w:space="0" w:color="auto"/>
              <w:right w:val="single" w:sz="8" w:space="0" w:color="auto"/>
            </w:tcBorders>
            <w:shd w:val="clear" w:color="auto" w:fill="BDFFFF"/>
            <w:vAlign w:val="center"/>
            <w:hideMark/>
          </w:tcPr>
          <w:p w:rsidR="00485094" w:rsidRPr="000F2909" w:rsidRDefault="00485094" w:rsidP="00453E80">
            <w:pPr>
              <w:pStyle w:val="TableText"/>
              <w:jc w:val="center"/>
              <w:rPr>
                <w:b/>
                <w:i/>
              </w:rPr>
            </w:pPr>
            <w:r w:rsidRPr="000F2909">
              <w:rPr>
                <w:b/>
                <w:i/>
              </w:rPr>
              <w:t>Resources Addressed</w:t>
            </w:r>
          </w:p>
        </w:tc>
      </w:tr>
      <w:tr w:rsidR="00485094" w:rsidTr="00453E80">
        <w:trPr>
          <w:trHeight w:val="897"/>
          <w:jc w:val="center"/>
        </w:trPr>
        <w:tc>
          <w:tcPr>
            <w:tcW w:w="1300" w:type="dxa"/>
            <w:tcBorders>
              <w:top w:val="double" w:sz="4" w:space="0" w:color="auto"/>
              <w:left w:val="single" w:sz="8" w:space="0" w:color="auto"/>
              <w:bottom w:val="single" w:sz="8" w:space="0" w:color="auto"/>
              <w:right w:val="single" w:sz="8" w:space="0" w:color="auto"/>
            </w:tcBorders>
            <w:shd w:val="clear" w:color="auto" w:fill="FFFFCC"/>
            <w:vAlign w:val="center"/>
            <w:hideMark/>
          </w:tcPr>
          <w:p w:rsidR="00485094" w:rsidRDefault="00485094" w:rsidP="00453E80">
            <w:pPr>
              <w:pStyle w:val="TableText"/>
              <w:jc w:val="center"/>
            </w:pPr>
            <w:r>
              <w:t>Springs Initiative</w:t>
            </w:r>
          </w:p>
        </w:tc>
        <w:tc>
          <w:tcPr>
            <w:tcW w:w="4577" w:type="dxa"/>
            <w:tcBorders>
              <w:top w:val="double" w:sz="4" w:space="0" w:color="auto"/>
              <w:left w:val="nil"/>
              <w:bottom w:val="single" w:sz="8" w:space="0" w:color="auto"/>
              <w:right w:val="single" w:sz="8" w:space="0" w:color="auto"/>
            </w:tcBorders>
            <w:vAlign w:val="center"/>
            <w:hideMark/>
          </w:tcPr>
          <w:p w:rsidR="00485094" w:rsidRDefault="00485094" w:rsidP="00453E80">
            <w:pPr>
              <w:pStyle w:val="TableText"/>
              <w:jc w:val="center"/>
            </w:pPr>
            <w:r>
              <w:t>Consists of a fixed station network of freshwater springs intended to enhance the understanding of Florida’s springs, stop the degradation and loss of spring flow, and restore springs to their former health.</w:t>
            </w:r>
          </w:p>
        </w:tc>
        <w:tc>
          <w:tcPr>
            <w:tcW w:w="3356" w:type="dxa"/>
            <w:tcBorders>
              <w:top w:val="double" w:sz="4" w:space="0" w:color="auto"/>
              <w:left w:val="nil"/>
              <w:bottom w:val="single" w:sz="8" w:space="0" w:color="auto"/>
              <w:right w:val="single" w:sz="8" w:space="0" w:color="auto"/>
            </w:tcBorders>
            <w:vAlign w:val="center"/>
            <w:hideMark/>
          </w:tcPr>
          <w:p w:rsidR="00485094" w:rsidRDefault="00485094" w:rsidP="00453E80">
            <w:pPr>
              <w:pStyle w:val="TableText"/>
              <w:jc w:val="center"/>
            </w:pPr>
            <w:r>
              <w:t>First-magnitude springs, second-magnitude springs, subaquatic conduits, river rises, and coastal submarine springs</w:t>
            </w:r>
          </w:p>
        </w:tc>
      </w:tr>
    </w:tbl>
    <w:p w:rsidR="00485094" w:rsidRDefault="00485094" w:rsidP="00EA3D58">
      <w:pPr>
        <w:pStyle w:val="Bodytextreduced"/>
      </w:pPr>
    </w:p>
    <w:p w:rsidR="00485094" w:rsidRDefault="00485094" w:rsidP="00EA3D58">
      <w:pPr>
        <w:pStyle w:val="Bodytextreduced"/>
      </w:pPr>
    </w:p>
    <w:p w:rsidR="00485094" w:rsidRDefault="00485094" w:rsidP="00EA3D58">
      <w:pPr>
        <w:pStyle w:val="Tableheading"/>
      </w:pPr>
      <w:bookmarkStart w:id="144" w:name="_Toc262464221"/>
      <w:bookmarkStart w:id="145" w:name="_Toc271280069"/>
      <w:r w:rsidRPr="00C56A6E">
        <w:t xml:space="preserve">Table </w:t>
      </w:r>
      <w:r>
        <w:t>4.1c</w:t>
      </w:r>
      <w:r w:rsidRPr="00C56A6E">
        <w:t xml:space="preserve">. </w:t>
      </w:r>
      <w:r>
        <w:t xml:space="preserve"> </w:t>
      </w:r>
      <w:r w:rsidRPr="00C56A6E">
        <w:t>FDEP's Tier II Monitoring Programs</w:t>
      </w:r>
      <w:bookmarkEnd w:id="144"/>
      <w:bookmarkEnd w:id="145"/>
    </w:p>
    <w:p w:rsidR="00485094" w:rsidRDefault="00485094" w:rsidP="00EA3D58">
      <w:pPr>
        <w:pStyle w:val="TabledescriptionBF"/>
        <w:rPr>
          <w:b/>
        </w:rPr>
      </w:pPr>
      <w:r>
        <w:t>This is a three-column table.  Column 1 lists the program, Column 2 summarizes its activities, and Column 3 lists the resources addressed.</w:t>
      </w:r>
    </w:p>
    <w:tbl>
      <w:tblPr>
        <w:tblW w:w="9215" w:type="dxa"/>
        <w:jc w:val="center"/>
        <w:tblLook w:val="04A0"/>
      </w:tblPr>
      <w:tblGrid>
        <w:gridCol w:w="1329"/>
        <w:gridCol w:w="4539"/>
        <w:gridCol w:w="3347"/>
      </w:tblGrid>
      <w:tr w:rsidR="00485094" w:rsidRPr="000F2909" w:rsidTr="000F2909">
        <w:trPr>
          <w:trHeight w:val="421"/>
          <w:jc w:val="center"/>
        </w:trPr>
        <w:tc>
          <w:tcPr>
            <w:tcW w:w="1329" w:type="dxa"/>
            <w:tcBorders>
              <w:top w:val="single" w:sz="8" w:space="0" w:color="auto"/>
              <w:left w:val="single" w:sz="8" w:space="0" w:color="auto"/>
              <w:bottom w:val="double" w:sz="4" w:space="0" w:color="auto"/>
              <w:right w:val="single" w:sz="8" w:space="0" w:color="auto"/>
            </w:tcBorders>
            <w:shd w:val="clear" w:color="auto" w:fill="BDFFFF"/>
            <w:vAlign w:val="center"/>
            <w:hideMark/>
          </w:tcPr>
          <w:p w:rsidR="00485094" w:rsidRPr="000F2909" w:rsidRDefault="00485094" w:rsidP="00453E80">
            <w:pPr>
              <w:pStyle w:val="TableText"/>
              <w:jc w:val="center"/>
              <w:rPr>
                <w:b/>
                <w:i/>
              </w:rPr>
            </w:pPr>
            <w:r w:rsidRPr="000F2909">
              <w:rPr>
                <w:b/>
                <w:i/>
              </w:rPr>
              <w:t>Program</w:t>
            </w:r>
          </w:p>
        </w:tc>
        <w:tc>
          <w:tcPr>
            <w:tcW w:w="4539" w:type="dxa"/>
            <w:tcBorders>
              <w:top w:val="single" w:sz="8" w:space="0" w:color="auto"/>
              <w:left w:val="nil"/>
              <w:bottom w:val="double" w:sz="4" w:space="0" w:color="auto"/>
              <w:right w:val="single" w:sz="8" w:space="0" w:color="auto"/>
            </w:tcBorders>
            <w:shd w:val="clear" w:color="auto" w:fill="BDFFFF"/>
            <w:vAlign w:val="center"/>
            <w:hideMark/>
          </w:tcPr>
          <w:p w:rsidR="00485094" w:rsidRPr="000F2909" w:rsidRDefault="00485094" w:rsidP="00453E80">
            <w:pPr>
              <w:pStyle w:val="TableText"/>
              <w:jc w:val="center"/>
              <w:rPr>
                <w:b/>
                <w:i/>
              </w:rPr>
            </w:pPr>
            <w:r w:rsidRPr="000F2909">
              <w:rPr>
                <w:b/>
                <w:i/>
              </w:rPr>
              <w:t>Summary</w:t>
            </w:r>
          </w:p>
        </w:tc>
        <w:tc>
          <w:tcPr>
            <w:tcW w:w="3347" w:type="dxa"/>
            <w:tcBorders>
              <w:top w:val="single" w:sz="8" w:space="0" w:color="auto"/>
              <w:left w:val="nil"/>
              <w:bottom w:val="double" w:sz="4" w:space="0" w:color="auto"/>
              <w:right w:val="single" w:sz="8" w:space="0" w:color="auto"/>
            </w:tcBorders>
            <w:shd w:val="clear" w:color="auto" w:fill="BDFFFF"/>
            <w:vAlign w:val="center"/>
            <w:hideMark/>
          </w:tcPr>
          <w:p w:rsidR="00485094" w:rsidRPr="000F2909" w:rsidRDefault="00485094" w:rsidP="00453E80">
            <w:pPr>
              <w:pStyle w:val="TableText"/>
              <w:jc w:val="center"/>
              <w:rPr>
                <w:b/>
                <w:i/>
              </w:rPr>
            </w:pPr>
            <w:r w:rsidRPr="000F2909">
              <w:rPr>
                <w:b/>
                <w:i/>
              </w:rPr>
              <w:t>Resources Addressed</w:t>
            </w:r>
          </w:p>
        </w:tc>
      </w:tr>
      <w:tr w:rsidR="00485094" w:rsidRPr="006F31A0" w:rsidTr="00453E80">
        <w:trPr>
          <w:trHeight w:val="717"/>
          <w:jc w:val="center"/>
        </w:trPr>
        <w:tc>
          <w:tcPr>
            <w:tcW w:w="1329" w:type="dxa"/>
            <w:tcBorders>
              <w:top w:val="double" w:sz="4" w:space="0" w:color="auto"/>
              <w:left w:val="single" w:sz="8" w:space="0" w:color="auto"/>
              <w:bottom w:val="single" w:sz="8" w:space="0" w:color="auto"/>
              <w:right w:val="single" w:sz="8" w:space="0" w:color="auto"/>
            </w:tcBorders>
            <w:shd w:val="clear" w:color="auto" w:fill="FFFFCC"/>
            <w:vAlign w:val="center"/>
            <w:hideMark/>
          </w:tcPr>
          <w:p w:rsidR="00485094" w:rsidRPr="006F31A0" w:rsidRDefault="00485094" w:rsidP="00453E80">
            <w:pPr>
              <w:pStyle w:val="TableText"/>
              <w:jc w:val="center"/>
            </w:pPr>
            <w:r w:rsidRPr="006F31A0">
              <w:t>Strategic Monitoring Program</w:t>
            </w:r>
          </w:p>
        </w:tc>
        <w:tc>
          <w:tcPr>
            <w:tcW w:w="4539" w:type="dxa"/>
            <w:tcBorders>
              <w:top w:val="double" w:sz="4" w:space="0" w:color="auto"/>
              <w:left w:val="nil"/>
              <w:bottom w:val="single" w:sz="8" w:space="0" w:color="auto"/>
              <w:right w:val="single" w:sz="8" w:space="0" w:color="auto"/>
            </w:tcBorders>
            <w:vAlign w:val="center"/>
            <w:hideMark/>
          </w:tcPr>
          <w:p w:rsidR="00485094" w:rsidRPr="006F31A0" w:rsidRDefault="00485094" w:rsidP="00453E80">
            <w:pPr>
              <w:pStyle w:val="TableText"/>
              <w:jc w:val="center"/>
            </w:pPr>
            <w:r w:rsidRPr="006F31A0">
              <w:t>Addresses questions in specific basins and stream segments that are associated with determinations of waterbody impairment for the TMDL Program.</w:t>
            </w:r>
          </w:p>
        </w:tc>
        <w:tc>
          <w:tcPr>
            <w:tcW w:w="3347" w:type="dxa"/>
            <w:tcBorders>
              <w:top w:val="double" w:sz="4" w:space="0" w:color="auto"/>
              <w:left w:val="nil"/>
              <w:bottom w:val="single" w:sz="8" w:space="0" w:color="auto"/>
              <w:right w:val="single" w:sz="8" w:space="0" w:color="auto"/>
            </w:tcBorders>
            <w:vAlign w:val="center"/>
            <w:hideMark/>
          </w:tcPr>
          <w:p w:rsidR="00485094" w:rsidRPr="006F31A0" w:rsidRDefault="00485094" w:rsidP="00453E80">
            <w:pPr>
              <w:pStyle w:val="TableText"/>
              <w:jc w:val="center"/>
            </w:pPr>
            <w:r w:rsidRPr="006F31A0">
              <w:t>All surface waters based on the schedule in the watershed management cycle</w:t>
            </w:r>
          </w:p>
        </w:tc>
      </w:tr>
    </w:tbl>
    <w:p w:rsidR="00485094" w:rsidRDefault="00485094" w:rsidP="00EA3D58">
      <w:pPr>
        <w:pStyle w:val="Bodytextreduced"/>
      </w:pPr>
    </w:p>
    <w:p w:rsidR="00485094" w:rsidRDefault="00485094" w:rsidP="00EA3D58">
      <w:pPr>
        <w:pStyle w:val="Bodytextreduced"/>
      </w:pPr>
    </w:p>
    <w:p w:rsidR="00485094" w:rsidRDefault="00485094" w:rsidP="00EA3D58">
      <w:pPr>
        <w:pStyle w:val="Tableheading"/>
      </w:pPr>
      <w:bookmarkStart w:id="146" w:name="_Toc262464222"/>
      <w:bookmarkStart w:id="147" w:name="_Toc271280070"/>
      <w:r w:rsidRPr="00C56A6E">
        <w:t xml:space="preserve">Table </w:t>
      </w:r>
      <w:r>
        <w:t>4.1d</w:t>
      </w:r>
      <w:r w:rsidRPr="00C56A6E">
        <w:t xml:space="preserve">. </w:t>
      </w:r>
      <w:r>
        <w:t xml:space="preserve"> </w:t>
      </w:r>
      <w:r w:rsidRPr="00C56A6E">
        <w:t>FDEP's Tier III Monitoring Programs</w:t>
      </w:r>
      <w:bookmarkEnd w:id="146"/>
      <w:bookmarkEnd w:id="147"/>
    </w:p>
    <w:p w:rsidR="00485094" w:rsidRDefault="00485094" w:rsidP="00EA3D58">
      <w:pPr>
        <w:pStyle w:val="TabledescriptionBF"/>
        <w:rPr>
          <w:b/>
          <w:sz w:val="20"/>
        </w:rPr>
      </w:pPr>
      <w:r>
        <w:t>This is a three-column table.  Column 1 lists each program, Column 2 summarizes its activities, and Column 3 lists the resources addressed.</w:t>
      </w:r>
    </w:p>
    <w:tbl>
      <w:tblPr>
        <w:tblW w:w="9256" w:type="dxa"/>
        <w:jc w:val="center"/>
        <w:tblInd w:w="-215" w:type="dxa"/>
        <w:tblLook w:val="04A0"/>
      </w:tblPr>
      <w:tblGrid>
        <w:gridCol w:w="1381"/>
        <w:gridCol w:w="4507"/>
        <w:gridCol w:w="3368"/>
      </w:tblGrid>
      <w:tr w:rsidR="00485094" w:rsidRPr="000F2909" w:rsidTr="000F2909">
        <w:trPr>
          <w:trHeight w:val="367"/>
          <w:jc w:val="center"/>
        </w:trPr>
        <w:tc>
          <w:tcPr>
            <w:tcW w:w="1381" w:type="dxa"/>
            <w:tcBorders>
              <w:top w:val="single" w:sz="8" w:space="0" w:color="auto"/>
              <w:left w:val="single" w:sz="8" w:space="0" w:color="auto"/>
              <w:bottom w:val="double" w:sz="4" w:space="0" w:color="auto"/>
              <w:right w:val="single" w:sz="8" w:space="0" w:color="auto"/>
            </w:tcBorders>
            <w:shd w:val="clear" w:color="auto" w:fill="BDFFFF"/>
            <w:vAlign w:val="center"/>
            <w:hideMark/>
          </w:tcPr>
          <w:p w:rsidR="00485094" w:rsidRPr="000F2909" w:rsidRDefault="00485094" w:rsidP="00453E80">
            <w:pPr>
              <w:pStyle w:val="TableText"/>
              <w:jc w:val="center"/>
              <w:rPr>
                <w:b/>
                <w:i/>
              </w:rPr>
            </w:pPr>
            <w:r w:rsidRPr="000F2909">
              <w:rPr>
                <w:b/>
                <w:i/>
              </w:rPr>
              <w:t>Program</w:t>
            </w:r>
          </w:p>
        </w:tc>
        <w:tc>
          <w:tcPr>
            <w:tcW w:w="4507" w:type="dxa"/>
            <w:tcBorders>
              <w:top w:val="single" w:sz="8" w:space="0" w:color="auto"/>
              <w:left w:val="nil"/>
              <w:bottom w:val="double" w:sz="4" w:space="0" w:color="auto"/>
              <w:right w:val="single" w:sz="8" w:space="0" w:color="auto"/>
            </w:tcBorders>
            <w:shd w:val="clear" w:color="auto" w:fill="BDFFFF"/>
            <w:vAlign w:val="center"/>
            <w:hideMark/>
          </w:tcPr>
          <w:p w:rsidR="00485094" w:rsidRPr="000F2909" w:rsidRDefault="00485094" w:rsidP="00453E80">
            <w:pPr>
              <w:pStyle w:val="TableText"/>
              <w:jc w:val="center"/>
              <w:rPr>
                <w:b/>
                <w:i/>
              </w:rPr>
            </w:pPr>
            <w:r w:rsidRPr="000F2909">
              <w:rPr>
                <w:b/>
                <w:i/>
              </w:rPr>
              <w:t>Summary</w:t>
            </w:r>
          </w:p>
        </w:tc>
        <w:tc>
          <w:tcPr>
            <w:tcW w:w="3368" w:type="dxa"/>
            <w:tcBorders>
              <w:top w:val="single" w:sz="8" w:space="0" w:color="auto"/>
              <w:left w:val="nil"/>
              <w:bottom w:val="double" w:sz="4" w:space="0" w:color="auto"/>
              <w:right w:val="single" w:sz="8" w:space="0" w:color="auto"/>
            </w:tcBorders>
            <w:shd w:val="clear" w:color="auto" w:fill="BDFFFF"/>
            <w:vAlign w:val="center"/>
            <w:hideMark/>
          </w:tcPr>
          <w:p w:rsidR="00485094" w:rsidRPr="000F2909" w:rsidRDefault="00485094" w:rsidP="00453E80">
            <w:pPr>
              <w:pStyle w:val="TableText"/>
              <w:jc w:val="center"/>
              <w:rPr>
                <w:b/>
                <w:i/>
              </w:rPr>
            </w:pPr>
            <w:r w:rsidRPr="000F2909">
              <w:rPr>
                <w:b/>
                <w:i/>
              </w:rPr>
              <w:t>Resources Addressed</w:t>
            </w:r>
          </w:p>
        </w:tc>
      </w:tr>
      <w:tr w:rsidR="00485094" w:rsidRPr="006F31A0" w:rsidTr="00453E80">
        <w:trPr>
          <w:trHeight w:val="663"/>
          <w:jc w:val="center"/>
        </w:trPr>
        <w:tc>
          <w:tcPr>
            <w:tcW w:w="1381" w:type="dxa"/>
            <w:tcBorders>
              <w:top w:val="double" w:sz="4" w:space="0" w:color="auto"/>
              <w:left w:val="single" w:sz="8" w:space="0" w:color="auto"/>
              <w:bottom w:val="single" w:sz="8" w:space="0" w:color="auto"/>
              <w:right w:val="single" w:sz="8" w:space="0" w:color="auto"/>
            </w:tcBorders>
            <w:shd w:val="clear" w:color="auto" w:fill="FFFFCC"/>
            <w:vAlign w:val="center"/>
            <w:hideMark/>
          </w:tcPr>
          <w:p w:rsidR="00485094" w:rsidRPr="006F31A0" w:rsidRDefault="00485094" w:rsidP="00453E80">
            <w:pPr>
              <w:pStyle w:val="TableText"/>
              <w:jc w:val="center"/>
            </w:pPr>
            <w:r w:rsidRPr="006F31A0">
              <w:t>Intensive Surveys for TMDLs</w:t>
            </w:r>
          </w:p>
        </w:tc>
        <w:tc>
          <w:tcPr>
            <w:tcW w:w="4507" w:type="dxa"/>
            <w:tcBorders>
              <w:top w:val="double" w:sz="4" w:space="0" w:color="auto"/>
              <w:left w:val="nil"/>
              <w:bottom w:val="single" w:sz="8" w:space="0" w:color="auto"/>
              <w:right w:val="single" w:sz="8" w:space="0" w:color="auto"/>
            </w:tcBorders>
            <w:vAlign w:val="center"/>
            <w:hideMark/>
          </w:tcPr>
          <w:p w:rsidR="00485094" w:rsidRPr="006F31A0" w:rsidRDefault="00485094" w:rsidP="00453E80">
            <w:pPr>
              <w:pStyle w:val="TableText"/>
              <w:jc w:val="center"/>
            </w:pPr>
            <w:r w:rsidRPr="006F31A0">
              <w:t>Provides detailed, time-limited investigations of the conditions of specific surface water resources that are identified as impaired.</w:t>
            </w:r>
          </w:p>
        </w:tc>
        <w:tc>
          <w:tcPr>
            <w:tcW w:w="3368" w:type="dxa"/>
            <w:tcBorders>
              <w:top w:val="double" w:sz="4" w:space="0" w:color="auto"/>
              <w:left w:val="nil"/>
              <w:bottom w:val="single" w:sz="8" w:space="0" w:color="auto"/>
              <w:right w:val="single" w:sz="8" w:space="0" w:color="auto"/>
            </w:tcBorders>
            <w:vAlign w:val="center"/>
            <w:hideMark/>
          </w:tcPr>
          <w:p w:rsidR="00485094" w:rsidRPr="006F31A0" w:rsidRDefault="00485094" w:rsidP="00453E80">
            <w:pPr>
              <w:pStyle w:val="TableText"/>
              <w:jc w:val="center"/>
            </w:pPr>
            <w:r w:rsidRPr="006F31A0">
              <w:t>Specific surface water resources identified as impaired</w:t>
            </w:r>
          </w:p>
        </w:tc>
      </w:tr>
      <w:tr w:rsidR="00485094" w:rsidRPr="006F31A0" w:rsidTr="00453E80">
        <w:trPr>
          <w:trHeight w:val="889"/>
          <w:jc w:val="center"/>
        </w:trPr>
        <w:tc>
          <w:tcPr>
            <w:tcW w:w="1381" w:type="dxa"/>
            <w:tcBorders>
              <w:top w:val="nil"/>
              <w:left w:val="single" w:sz="8" w:space="0" w:color="auto"/>
              <w:bottom w:val="single" w:sz="8" w:space="0" w:color="auto"/>
              <w:right w:val="single" w:sz="8" w:space="0" w:color="auto"/>
            </w:tcBorders>
            <w:shd w:val="clear" w:color="auto" w:fill="FFFFCC"/>
            <w:vAlign w:val="center"/>
            <w:hideMark/>
          </w:tcPr>
          <w:p w:rsidR="00485094" w:rsidRPr="006F31A0" w:rsidRDefault="00485094" w:rsidP="00453E80">
            <w:pPr>
              <w:pStyle w:val="TableText"/>
              <w:jc w:val="center"/>
            </w:pPr>
            <w:r w:rsidRPr="006F31A0">
              <w:t>Water Quality Standards Development</w:t>
            </w:r>
          </w:p>
        </w:tc>
        <w:tc>
          <w:tcPr>
            <w:tcW w:w="4507" w:type="dxa"/>
            <w:tcBorders>
              <w:top w:val="nil"/>
              <w:left w:val="nil"/>
              <w:bottom w:val="single" w:sz="8" w:space="0" w:color="auto"/>
              <w:right w:val="single" w:sz="8" w:space="0" w:color="auto"/>
            </w:tcBorders>
            <w:vAlign w:val="center"/>
            <w:hideMark/>
          </w:tcPr>
          <w:p w:rsidR="00485094" w:rsidRPr="006F31A0" w:rsidRDefault="00485094" w:rsidP="00453E80">
            <w:pPr>
              <w:pStyle w:val="TableText"/>
              <w:jc w:val="center"/>
            </w:pPr>
            <w:r w:rsidRPr="006F31A0">
              <w:t>Develops, evaluates, and revises new and existing surface water quality standards.  Carries out monitoring to determine concentrations to protect aquatic life and human health.</w:t>
            </w:r>
          </w:p>
        </w:tc>
        <w:tc>
          <w:tcPr>
            <w:tcW w:w="3368" w:type="dxa"/>
            <w:tcBorders>
              <w:top w:val="nil"/>
              <w:left w:val="nil"/>
              <w:bottom w:val="single" w:sz="8" w:space="0" w:color="auto"/>
              <w:right w:val="single" w:sz="8" w:space="0" w:color="auto"/>
            </w:tcBorders>
            <w:vAlign w:val="center"/>
            <w:hideMark/>
          </w:tcPr>
          <w:p w:rsidR="00485094" w:rsidRPr="006F31A0" w:rsidRDefault="00485094" w:rsidP="00453E80">
            <w:pPr>
              <w:pStyle w:val="TableText"/>
              <w:jc w:val="center"/>
            </w:pPr>
            <w:r w:rsidRPr="006F31A0">
              <w:t xml:space="preserve">Surface water and </w:t>
            </w:r>
            <w:r>
              <w:t>g</w:t>
            </w:r>
            <w:r w:rsidRPr="006F31A0">
              <w:t>round water</w:t>
            </w:r>
          </w:p>
        </w:tc>
      </w:tr>
      <w:tr w:rsidR="00485094" w:rsidRPr="006F31A0" w:rsidTr="00453E80">
        <w:trPr>
          <w:trHeight w:val="1051"/>
          <w:jc w:val="center"/>
        </w:trPr>
        <w:tc>
          <w:tcPr>
            <w:tcW w:w="1381" w:type="dxa"/>
            <w:tcBorders>
              <w:top w:val="nil"/>
              <w:left w:val="single" w:sz="8" w:space="0" w:color="auto"/>
              <w:bottom w:val="single" w:sz="8" w:space="0" w:color="auto"/>
              <w:right w:val="single" w:sz="8" w:space="0" w:color="auto"/>
            </w:tcBorders>
            <w:shd w:val="clear" w:color="auto" w:fill="FFFFCC"/>
            <w:vAlign w:val="center"/>
            <w:hideMark/>
          </w:tcPr>
          <w:p w:rsidR="00485094" w:rsidRPr="006F31A0" w:rsidRDefault="00485094" w:rsidP="00453E80">
            <w:pPr>
              <w:pStyle w:val="TableText"/>
              <w:jc w:val="center"/>
            </w:pPr>
            <w:r w:rsidRPr="006F31A0">
              <w:t>Site-Specific Alternative Criteria</w:t>
            </w:r>
          </w:p>
        </w:tc>
        <w:tc>
          <w:tcPr>
            <w:tcW w:w="4507" w:type="dxa"/>
            <w:tcBorders>
              <w:top w:val="nil"/>
              <w:left w:val="nil"/>
              <w:bottom w:val="single" w:sz="8" w:space="0" w:color="auto"/>
              <w:right w:val="single" w:sz="8" w:space="0" w:color="auto"/>
            </w:tcBorders>
            <w:vAlign w:val="center"/>
            <w:hideMark/>
          </w:tcPr>
          <w:p w:rsidR="00485094" w:rsidRPr="006F31A0" w:rsidRDefault="00485094" w:rsidP="00453E80">
            <w:pPr>
              <w:pStyle w:val="TableText"/>
              <w:jc w:val="center"/>
            </w:pPr>
            <w:r w:rsidRPr="006F31A0">
              <w:t>Develops moderating provisions unique to a waterbody that does not meet particular water quality criteria, due to natural background conditions or human-induced conditions that cannot be controlled or abated.</w:t>
            </w:r>
          </w:p>
        </w:tc>
        <w:tc>
          <w:tcPr>
            <w:tcW w:w="3368" w:type="dxa"/>
            <w:tcBorders>
              <w:top w:val="nil"/>
              <w:left w:val="nil"/>
              <w:bottom w:val="single" w:sz="8" w:space="0" w:color="auto"/>
              <w:right w:val="single" w:sz="8" w:space="0" w:color="auto"/>
            </w:tcBorders>
            <w:vAlign w:val="center"/>
            <w:hideMark/>
          </w:tcPr>
          <w:p w:rsidR="00485094" w:rsidRPr="006F31A0" w:rsidRDefault="00485094" w:rsidP="00453E80">
            <w:pPr>
              <w:pStyle w:val="TableText"/>
              <w:jc w:val="center"/>
            </w:pPr>
            <w:r w:rsidRPr="006F31A0">
              <w:t>Surface waterbodies to which particular ambient water quality criteria may not be applicable</w:t>
            </w:r>
          </w:p>
        </w:tc>
      </w:tr>
      <w:tr w:rsidR="00485094" w:rsidRPr="006F31A0" w:rsidTr="00453E80">
        <w:trPr>
          <w:trHeight w:val="511"/>
          <w:jc w:val="center"/>
        </w:trPr>
        <w:tc>
          <w:tcPr>
            <w:tcW w:w="1381" w:type="dxa"/>
            <w:tcBorders>
              <w:top w:val="nil"/>
              <w:left w:val="single" w:sz="8" w:space="0" w:color="auto"/>
              <w:bottom w:val="single" w:sz="8" w:space="0" w:color="auto"/>
              <w:right w:val="single" w:sz="8" w:space="0" w:color="auto"/>
            </w:tcBorders>
            <w:shd w:val="clear" w:color="auto" w:fill="FFFFCC"/>
            <w:vAlign w:val="center"/>
            <w:hideMark/>
          </w:tcPr>
          <w:p w:rsidR="00485094" w:rsidRPr="006F31A0" w:rsidRDefault="00485094" w:rsidP="00453E80">
            <w:pPr>
              <w:pStyle w:val="TableText"/>
              <w:jc w:val="center"/>
            </w:pPr>
            <w:r w:rsidRPr="006F31A0">
              <w:t>Fifth-Year Inspections</w:t>
            </w:r>
          </w:p>
        </w:tc>
        <w:tc>
          <w:tcPr>
            <w:tcW w:w="4507" w:type="dxa"/>
            <w:tcBorders>
              <w:top w:val="nil"/>
              <w:left w:val="nil"/>
              <w:bottom w:val="single" w:sz="8" w:space="0" w:color="auto"/>
              <w:right w:val="single" w:sz="8" w:space="0" w:color="auto"/>
            </w:tcBorders>
            <w:vAlign w:val="center"/>
            <w:hideMark/>
          </w:tcPr>
          <w:p w:rsidR="00485094" w:rsidRPr="006F31A0" w:rsidRDefault="00485094" w:rsidP="00453E80">
            <w:pPr>
              <w:pStyle w:val="TableText"/>
              <w:jc w:val="center"/>
            </w:pPr>
            <w:r w:rsidRPr="006F31A0">
              <w:t>Achieves and maintains compliance through sound environmental monitoring and permitting practices.</w:t>
            </w:r>
          </w:p>
        </w:tc>
        <w:tc>
          <w:tcPr>
            <w:tcW w:w="3368" w:type="dxa"/>
            <w:tcBorders>
              <w:top w:val="nil"/>
              <w:left w:val="nil"/>
              <w:bottom w:val="single" w:sz="8" w:space="0" w:color="auto"/>
              <w:right w:val="single" w:sz="8" w:space="0" w:color="auto"/>
            </w:tcBorders>
            <w:vAlign w:val="center"/>
            <w:hideMark/>
          </w:tcPr>
          <w:p w:rsidR="00485094" w:rsidRPr="006F31A0" w:rsidRDefault="00485094" w:rsidP="00453E80">
            <w:pPr>
              <w:pStyle w:val="TableText"/>
              <w:jc w:val="center"/>
            </w:pPr>
            <w:r w:rsidRPr="006F31A0">
              <w:t>Surface waters that receive point source discharges</w:t>
            </w:r>
          </w:p>
        </w:tc>
      </w:tr>
    </w:tbl>
    <w:p w:rsidR="00485094" w:rsidRDefault="00485094" w:rsidP="00EA3D58">
      <w:pPr>
        <w:pStyle w:val="Bodytext"/>
        <w:rPr>
          <w:b/>
          <w:i/>
          <w:sz w:val="20"/>
        </w:rPr>
      </w:pPr>
    </w:p>
    <w:p w:rsidR="00485094" w:rsidRPr="00C56A6E" w:rsidRDefault="00485094" w:rsidP="00EA3D58">
      <w:pPr>
        <w:pStyle w:val="Bodytextreduced"/>
      </w:pPr>
    </w:p>
    <w:p w:rsidR="003C6692" w:rsidRDefault="003C6692">
      <w:pPr>
        <w:rPr>
          <w:rStyle w:val="Strong"/>
          <w:rFonts w:ascii="Arial" w:hAnsi="Arial" w:cs="Arial"/>
          <w:bCs/>
          <w:i/>
          <w:sz w:val="24"/>
          <w:szCs w:val="26"/>
        </w:rPr>
      </w:pPr>
      <w:bookmarkStart w:id="148" w:name="_Toc254269870"/>
      <w:bookmarkStart w:id="149" w:name="_Toc255822511"/>
      <w:bookmarkStart w:id="150" w:name="_Toc262464128"/>
      <w:r>
        <w:rPr>
          <w:rStyle w:val="Strong"/>
          <w:rFonts w:cs="Arial"/>
          <w:b w:val="0"/>
          <w:sz w:val="24"/>
        </w:rPr>
        <w:br w:type="page"/>
      </w:r>
    </w:p>
    <w:p w:rsidR="00485094" w:rsidRPr="00E03E3C" w:rsidRDefault="00485094" w:rsidP="00E03E3C">
      <w:pPr>
        <w:pStyle w:val="Heading3"/>
        <w:rPr>
          <w:rStyle w:val="Strong"/>
          <w:rFonts w:cs="Arial"/>
          <w:b/>
          <w:sz w:val="24"/>
        </w:rPr>
      </w:pPr>
      <w:bookmarkStart w:id="151" w:name="_Toc271279952"/>
      <w:r w:rsidRPr="00E03E3C">
        <w:rPr>
          <w:rStyle w:val="Strong"/>
          <w:rFonts w:cs="Arial"/>
          <w:b/>
          <w:sz w:val="24"/>
        </w:rPr>
        <w:lastRenderedPageBreak/>
        <w:t>Element 1:  Monitoring Objectives</w:t>
      </w:r>
      <w:bookmarkEnd w:id="148"/>
      <w:bookmarkEnd w:id="149"/>
      <w:bookmarkEnd w:id="150"/>
      <w:bookmarkEnd w:id="151"/>
    </w:p>
    <w:p w:rsidR="00485094" w:rsidRPr="003A021B" w:rsidRDefault="00485094" w:rsidP="00EA3D58">
      <w:pPr>
        <w:pStyle w:val="Bodytext"/>
        <w:rPr>
          <w:szCs w:val="22"/>
        </w:rPr>
      </w:pPr>
      <w:r w:rsidRPr="00E03E3C">
        <w:rPr>
          <w:rStyle w:val="Strong"/>
          <w:rFonts w:cs="Arial"/>
          <w:b w:val="0"/>
          <w:sz w:val="22"/>
          <w:szCs w:val="22"/>
        </w:rPr>
        <w:t xml:space="preserve">The goal of FDEP’s monitoring activities </w:t>
      </w:r>
      <w:r w:rsidRPr="00E03E3C">
        <w:rPr>
          <w:rFonts w:cs="Arial"/>
          <w:snapToGrid w:val="0"/>
          <w:szCs w:val="22"/>
        </w:rPr>
        <w:t>is</w:t>
      </w:r>
      <w:r w:rsidRPr="003A021B">
        <w:rPr>
          <w:rFonts w:cs="Arial"/>
          <w:snapToGrid w:val="0"/>
          <w:szCs w:val="22"/>
        </w:rPr>
        <w:t xml:space="preserve"> to determine the overall quality of the state’s surface and ground water, how they are changing over time, and the effectiveness of </w:t>
      </w:r>
      <w:r>
        <w:rPr>
          <w:rFonts w:cs="Arial"/>
          <w:snapToGrid w:val="0"/>
          <w:szCs w:val="22"/>
        </w:rPr>
        <w:t xml:space="preserve">water resource management, </w:t>
      </w:r>
      <w:r w:rsidRPr="003A021B">
        <w:rPr>
          <w:rFonts w:cs="Arial"/>
          <w:snapToGrid w:val="0"/>
          <w:szCs w:val="22"/>
        </w:rPr>
        <w:t>protection</w:t>
      </w:r>
      <w:r>
        <w:rPr>
          <w:rFonts w:cs="Arial"/>
          <w:snapToGrid w:val="0"/>
          <w:szCs w:val="22"/>
        </w:rPr>
        <w:t>, and restoration</w:t>
      </w:r>
      <w:r w:rsidRPr="003A021B">
        <w:rPr>
          <w:rFonts w:cs="Arial"/>
          <w:snapToGrid w:val="0"/>
          <w:szCs w:val="22"/>
        </w:rPr>
        <w:t xml:space="preserve"> programs.  </w:t>
      </w:r>
      <w:r w:rsidRPr="003A021B">
        <w:rPr>
          <w:szCs w:val="22"/>
        </w:rPr>
        <w:t>Monitoring activities collectively address the following broad objectives:</w:t>
      </w:r>
    </w:p>
    <w:p w:rsidR="00485094" w:rsidRPr="003A021B" w:rsidRDefault="00485094" w:rsidP="00EA3D58">
      <w:pPr>
        <w:pStyle w:val="Bodytext"/>
        <w:rPr>
          <w:szCs w:val="22"/>
        </w:rPr>
      </w:pPr>
    </w:p>
    <w:p w:rsidR="00485094" w:rsidRPr="003A021B" w:rsidRDefault="00485094" w:rsidP="00EA3D58">
      <w:pPr>
        <w:pStyle w:val="StyleListBullet11pt"/>
      </w:pPr>
      <w:r w:rsidRPr="003A021B">
        <w:t>Identify and document the condition of Florida’s water resources</w:t>
      </w:r>
      <w:r>
        <w:t>, spatially and temporally,</w:t>
      </w:r>
      <w:r w:rsidRPr="003A021B">
        <w:t xml:space="preserve"> with a known certainty;</w:t>
      </w:r>
    </w:p>
    <w:p w:rsidR="00485094" w:rsidRPr="003A021B" w:rsidRDefault="00485094" w:rsidP="00EA3D58">
      <w:pPr>
        <w:pStyle w:val="StyleListBullet11pt"/>
      </w:pPr>
      <w:r w:rsidRPr="003A021B">
        <w:t>Collect data on important chemical, physical, and biological parameters to characterize waterbodies</w:t>
      </w:r>
      <w:r>
        <w:t xml:space="preserve"> based on thresholds</w:t>
      </w:r>
      <w:r w:rsidRPr="003A021B">
        <w:t xml:space="preserve"> in </w:t>
      </w:r>
      <w:r>
        <w:t>Chapters</w:t>
      </w:r>
      <w:r w:rsidRPr="003A021B">
        <w:t xml:space="preserve"> 62-302;</w:t>
      </w:r>
    </w:p>
    <w:p w:rsidR="00485094" w:rsidRPr="003A021B" w:rsidRDefault="00485094" w:rsidP="00EA3D58">
      <w:pPr>
        <w:pStyle w:val="StyleListBullet11pt"/>
      </w:pPr>
      <w:r>
        <w:t>C</w:t>
      </w:r>
      <w:r w:rsidRPr="003A021B">
        <w:t xml:space="preserve">ollect data </w:t>
      </w:r>
      <w:r>
        <w:t xml:space="preserve">from impaired waters </w:t>
      </w:r>
      <w:r w:rsidRPr="003A021B">
        <w:t>that will be use</w:t>
      </w:r>
      <w:r>
        <w:t>d</w:t>
      </w:r>
      <w:r w:rsidRPr="003A021B">
        <w:t xml:space="preserve"> </w:t>
      </w:r>
      <w:r>
        <w:t>to evaluate</w:t>
      </w:r>
      <w:r w:rsidRPr="003A021B">
        <w:t xml:space="preserve"> changes over time </w:t>
      </w:r>
      <w:r>
        <w:t>in response to restoration activities</w:t>
      </w:r>
      <w:r w:rsidRPr="003A021B">
        <w:t>;</w:t>
      </w:r>
    </w:p>
    <w:p w:rsidR="00485094" w:rsidRPr="003A021B" w:rsidRDefault="00485094" w:rsidP="00EA3D58">
      <w:pPr>
        <w:pStyle w:val="StyleListBullet11pt"/>
      </w:pPr>
      <w:r w:rsidRPr="003A021B">
        <w:t xml:space="preserve">Establish a database with known data quality objectives and quality assurance </w:t>
      </w:r>
      <w:r>
        <w:t>for the purpose of</w:t>
      </w:r>
      <w:r w:rsidRPr="003A021B">
        <w:t xml:space="preserve"> determin</w:t>
      </w:r>
      <w:r>
        <w:t>ing</w:t>
      </w:r>
      <w:r w:rsidRPr="003A021B">
        <w:t xml:space="preserve"> a </w:t>
      </w:r>
      <w:r>
        <w:t>basin’s</w:t>
      </w:r>
      <w:r w:rsidRPr="003A021B">
        <w:t xml:space="preserve"> long-term </w:t>
      </w:r>
      <w:r>
        <w:t>ecologica</w:t>
      </w:r>
      <w:r w:rsidRPr="003A021B">
        <w:t>l health</w:t>
      </w:r>
      <w:r>
        <w:t xml:space="preserve"> and </w:t>
      </w:r>
      <w:r w:rsidRPr="003A021B">
        <w:t>establish</w:t>
      </w:r>
      <w:r>
        <w:t>ing</w:t>
      </w:r>
      <w:r w:rsidRPr="003A021B">
        <w:t xml:space="preserve"> water quality standards;</w:t>
      </w:r>
    </w:p>
    <w:p w:rsidR="00485094" w:rsidRPr="003A021B" w:rsidRDefault="00485094" w:rsidP="00EA3D58">
      <w:pPr>
        <w:pStyle w:val="StyleListBullet11pt"/>
      </w:pPr>
      <w:r w:rsidRPr="003A021B">
        <w:t>Provide reliable data to managers, legislators, agencies, and the public</w:t>
      </w:r>
      <w:r>
        <w:t>,</w:t>
      </w:r>
      <w:r w:rsidRPr="00F027C8">
        <w:t xml:space="preserve"> </w:t>
      </w:r>
      <w:r>
        <w:t xml:space="preserve">and aid in </w:t>
      </w:r>
      <w:r w:rsidRPr="003A021B">
        <w:t>management decision making.</w:t>
      </w:r>
    </w:p>
    <w:p w:rsidR="00485094" w:rsidRPr="003A021B" w:rsidRDefault="00485094" w:rsidP="00EA3D58">
      <w:pPr>
        <w:pStyle w:val="Bodytextreduced"/>
      </w:pPr>
    </w:p>
    <w:p w:rsidR="00485094" w:rsidRDefault="00485094" w:rsidP="00EA3D58">
      <w:pPr>
        <w:pStyle w:val="Heading3"/>
      </w:pPr>
      <w:bookmarkStart w:id="152" w:name="_Toc254269871"/>
      <w:bookmarkStart w:id="153" w:name="_Toc255822512"/>
      <w:bookmarkStart w:id="154" w:name="_Toc262464129"/>
      <w:bookmarkStart w:id="155" w:name="_Toc271279953"/>
      <w:r>
        <w:t>Element 2:  Monitoring Strategy</w:t>
      </w:r>
      <w:bookmarkEnd w:id="152"/>
      <w:bookmarkEnd w:id="153"/>
      <w:bookmarkEnd w:id="154"/>
      <w:bookmarkEnd w:id="155"/>
    </w:p>
    <w:p w:rsidR="00485094" w:rsidRDefault="00485094" w:rsidP="00EA3D58">
      <w:pPr>
        <w:pStyle w:val="Bodytext"/>
      </w:pPr>
      <w:r>
        <w:t xml:space="preserve">Under FDEP’s IWRM approach, there are three tiers of monitoring, ranging </w:t>
      </w:r>
      <w:r w:rsidRPr="00D2717B">
        <w:rPr>
          <w:snapToGrid w:val="0"/>
        </w:rPr>
        <w:t>from the general to the specific</w:t>
      </w:r>
      <w:r>
        <w:rPr>
          <w:snapToGrid w:val="0"/>
        </w:rPr>
        <w:t>, designed to fill data gaps or support specific regulatory needs.</w:t>
      </w:r>
      <w:r>
        <w:t xml:space="preserve">  </w:t>
      </w:r>
      <w:r w:rsidRPr="00F0799C">
        <w:t xml:space="preserve">Each of </w:t>
      </w:r>
      <w:r>
        <w:t>FDEP’s</w:t>
      </w:r>
      <w:r w:rsidRPr="00F0799C">
        <w:t xml:space="preserve"> core monitoring programs has a detailed monitoring design, a list of core and supplemental water quality indicators, and specific procedures for quality assurance, data management, data analysis and assessment, reporting, and programmatic evaluation.</w:t>
      </w:r>
      <w:r>
        <w:t xml:space="preserve">  </w:t>
      </w:r>
      <w:r w:rsidRPr="009E6B6E">
        <w:t xml:space="preserve">FDEP relies on both chemical </w:t>
      </w:r>
      <w:r>
        <w:t>and</w:t>
      </w:r>
      <w:r w:rsidRPr="009E6B6E">
        <w:t xml:space="preserve"> biological sampling in its monitoring programs, and </w:t>
      </w:r>
      <w:r>
        <w:t xml:space="preserve">also </w:t>
      </w:r>
      <w:r w:rsidRPr="004D09FE">
        <w:t xml:space="preserve">conducts the bulk of the biological sampling that is carried out statewide.  </w:t>
      </w:r>
      <w:r w:rsidRPr="004D09FE">
        <w:rPr>
          <w:b/>
          <w:i/>
        </w:rPr>
        <w:t xml:space="preserve">Tables 4.1a </w:t>
      </w:r>
      <w:r w:rsidRPr="004D09FE">
        <w:t>through</w:t>
      </w:r>
      <w:r w:rsidRPr="004D09FE">
        <w:rPr>
          <w:b/>
          <w:i/>
        </w:rPr>
        <w:t xml:space="preserve"> 4.1d</w:t>
      </w:r>
      <w:r w:rsidRPr="004D09FE">
        <w:rPr>
          <w:b/>
        </w:rPr>
        <w:t xml:space="preserve"> </w:t>
      </w:r>
      <w:r w:rsidRPr="004D09FE">
        <w:t>briefly describe FDEP’s approach and the water resources addressed for each FDEP</w:t>
      </w:r>
      <w:r>
        <w:t xml:space="preserve"> monitoring program.</w:t>
      </w:r>
    </w:p>
    <w:p w:rsidR="00485094" w:rsidRDefault="00485094" w:rsidP="00EA3D58">
      <w:pPr>
        <w:pStyle w:val="Bodytext"/>
      </w:pPr>
    </w:p>
    <w:p w:rsidR="00485094" w:rsidRDefault="00485094" w:rsidP="00EA3D58">
      <w:pPr>
        <w:pStyle w:val="Bodytext"/>
      </w:pPr>
      <w:r w:rsidRPr="00F0799C">
        <w:t xml:space="preserve">Based on the goals and objectives of each individual </w:t>
      </w:r>
      <w:r>
        <w:t xml:space="preserve">core </w:t>
      </w:r>
      <w:r w:rsidRPr="00F0799C">
        <w:t>monitoring program, sample locations are selected, monitoring parameters and sampling frequencies are determined, and sample collection and analysis are coordinated among FDEP’s districts</w:t>
      </w:r>
      <w:r>
        <w:t xml:space="preserve"> and</w:t>
      </w:r>
      <w:r w:rsidRPr="00F0799C">
        <w:t xml:space="preserve"> cooperating federal, state, and county agencies.</w:t>
      </w:r>
      <w:r>
        <w:t xml:space="preserve">  This close coordination with other monitoring entities around the state is essential to prevent duplication and to maximize the number of waterbodies that are monitored on a regular basis.</w:t>
      </w:r>
    </w:p>
    <w:p w:rsidR="00485094" w:rsidRPr="007B03A6" w:rsidRDefault="00485094" w:rsidP="00EA3D58">
      <w:pPr>
        <w:pStyle w:val="Bodytext"/>
      </w:pPr>
    </w:p>
    <w:p w:rsidR="00485094" w:rsidRDefault="00485094" w:rsidP="00EA3D58">
      <w:pPr>
        <w:pStyle w:val="Bodytext"/>
      </w:pPr>
      <w:r w:rsidRPr="007B03A6">
        <w:t>FDEP’s three tiers of monitoring are as follows:</w:t>
      </w:r>
    </w:p>
    <w:p w:rsidR="00485094" w:rsidRPr="007B03A6" w:rsidRDefault="00485094" w:rsidP="00EA3D58">
      <w:pPr>
        <w:pStyle w:val="Bodytext"/>
      </w:pPr>
    </w:p>
    <w:p w:rsidR="00485094" w:rsidRDefault="00485094" w:rsidP="00EA3D58">
      <w:pPr>
        <w:pStyle w:val="ListBullet"/>
      </w:pPr>
      <w:r w:rsidRPr="007B03A6">
        <w:rPr>
          <w:b/>
        </w:rPr>
        <w:t xml:space="preserve">Tier I </w:t>
      </w:r>
      <w:r w:rsidRPr="00D2717B">
        <w:t>consists of FDEP</w:t>
      </w:r>
      <w:r>
        <w:t>’s</w:t>
      </w:r>
      <w:r w:rsidRPr="00D2717B">
        <w:t xml:space="preserve"> statewide surface water and ground water Status and Trend </w:t>
      </w:r>
      <w:r>
        <w:t>N</w:t>
      </w:r>
      <w:r w:rsidRPr="00D2717B">
        <w:t>etworks.</w:t>
      </w:r>
      <w:r>
        <w:t xml:space="preserve"> </w:t>
      </w:r>
      <w:r w:rsidRPr="00D2717B">
        <w:t xml:space="preserve"> The Status </w:t>
      </w:r>
      <w:r>
        <w:t>N</w:t>
      </w:r>
      <w:r w:rsidRPr="00D2717B">
        <w:t xml:space="preserve">etwork </w:t>
      </w:r>
      <w:r>
        <w:t xml:space="preserve">employed a rotating-basin, probabilistic monitoring design to estimate water quality statewide during 2004–08, </w:t>
      </w:r>
      <w:r w:rsidRPr="00D2717B">
        <w:t xml:space="preserve">based on a </w:t>
      </w:r>
      <w:r w:rsidRPr="00DD2D57">
        <w:t>representative subsample of water resource types.  The Trend Network uses a</w:t>
      </w:r>
      <w:r w:rsidRPr="00D2717B">
        <w:t xml:space="preserve"> fixed station design to examine changes in water quality and flow over time </w:t>
      </w:r>
      <w:r>
        <w:t xml:space="preserve">in selected river and stream sites </w:t>
      </w:r>
      <w:r w:rsidRPr="00D2717B">
        <w:t xml:space="preserve">throughout the state. </w:t>
      </w:r>
      <w:r>
        <w:t xml:space="preserve"> </w:t>
      </w:r>
      <w:r w:rsidRPr="00D2717B">
        <w:t xml:space="preserve">The objective of these networks is to provide scientifically defensible information on the important chemical, physical, and biological characteristics of surface waters and major aquifer systems of Florida. </w:t>
      </w:r>
      <w:r>
        <w:t xml:space="preserve"> </w:t>
      </w:r>
      <w:r w:rsidRPr="00D2717B">
        <w:t xml:space="preserve">Both networks are designed to measure condition </w:t>
      </w:r>
      <w:r w:rsidRPr="00D2717B">
        <w:lastRenderedPageBreak/>
        <w:t>using a variety of threshold values, including water quality standards, water quality indices, and other appropriate ecological indicators.</w:t>
      </w:r>
    </w:p>
    <w:p w:rsidR="00485094" w:rsidRDefault="00485094" w:rsidP="00EA3D58">
      <w:pPr>
        <w:pStyle w:val="ListBullet"/>
      </w:pPr>
      <w:r w:rsidRPr="007B03A6">
        <w:rPr>
          <w:b/>
        </w:rPr>
        <w:t>Tier II</w:t>
      </w:r>
      <w:r>
        <w:t xml:space="preserve"> </w:t>
      </w:r>
      <w:r w:rsidRPr="00D2717B">
        <w:t xml:space="preserve">includes the Strategic Monitoring Program, </w:t>
      </w:r>
      <w:r>
        <w:t xml:space="preserve">which is </w:t>
      </w:r>
      <w:r w:rsidRPr="00D2717B">
        <w:t xml:space="preserve">designed to address </w:t>
      </w:r>
      <w:r>
        <w:t>questions in specific basins and stream segments that are associated with determinations of waterbody impairment for the TMDL Program.  In addition, this tier includes t</w:t>
      </w:r>
      <w:r w:rsidRPr="00D2717B">
        <w:t>he Springs Initiative</w:t>
      </w:r>
      <w:r>
        <w:t>, which encompasses</w:t>
      </w:r>
      <w:r w:rsidRPr="00D2717B">
        <w:t xml:space="preserve"> all of the extensive monitoring activities begun in 1999 to address the needs of Florida’s freshwater spring systems</w:t>
      </w:r>
      <w:r>
        <w:t xml:space="preserve">.  </w:t>
      </w:r>
    </w:p>
    <w:p w:rsidR="00485094" w:rsidRDefault="00485094" w:rsidP="00EA3D58">
      <w:pPr>
        <w:pStyle w:val="ListBullet"/>
      </w:pPr>
      <w:r w:rsidRPr="007450F9">
        <w:rPr>
          <w:b/>
        </w:rPr>
        <w:t>Tier II</w:t>
      </w:r>
      <w:r w:rsidRPr="007B03A6">
        <w:rPr>
          <w:b/>
        </w:rPr>
        <w:t xml:space="preserve">I </w:t>
      </w:r>
      <w:r w:rsidRPr="00E47E1E">
        <w:t>a</w:t>
      </w:r>
      <w:r>
        <w:t xml:space="preserve">ddresses </w:t>
      </w:r>
      <w:r w:rsidRPr="00E47E1E">
        <w:t xml:space="preserve">questions that are </w:t>
      </w:r>
      <w:r>
        <w:t xml:space="preserve">site-specific or </w:t>
      </w:r>
      <w:r w:rsidRPr="00E47E1E">
        <w:t>regulatory in nature.</w:t>
      </w:r>
      <w:r>
        <w:t xml:space="preserve">  </w:t>
      </w:r>
      <w:r w:rsidRPr="00E47E1E">
        <w:t xml:space="preserve">Examples </w:t>
      </w:r>
      <w:r>
        <w:t xml:space="preserve">of Tier III monitoring activities </w:t>
      </w:r>
      <w:r w:rsidRPr="00E47E1E">
        <w:t xml:space="preserve">include monitoring to determine whether </w:t>
      </w:r>
      <w:r>
        <w:t xml:space="preserve">moderating provisions such as </w:t>
      </w:r>
      <w:r w:rsidRPr="00E47E1E">
        <w:t>site</w:t>
      </w:r>
      <w:r>
        <w:t>-</w:t>
      </w:r>
      <w:r w:rsidRPr="00E47E1E">
        <w:t xml:space="preserve">specific alternative criteria </w:t>
      </w:r>
      <w:r>
        <w:t xml:space="preserve">(SSACs) </w:t>
      </w:r>
      <w:r w:rsidRPr="00E47E1E">
        <w:t xml:space="preserve">should apply </w:t>
      </w:r>
      <w:r>
        <w:t>to</w:t>
      </w:r>
      <w:r w:rsidRPr="00E47E1E">
        <w:t xml:space="preserve"> certain waters, monitoring tied to regulatory permits issued by FDEP</w:t>
      </w:r>
      <w:r>
        <w:t>, monitoring to establish TMDLs (intensive surveys), and monitoring associated with evaluating the effectiveness of BMPs.  Tier III also includes monitoring activities for the development of water quality standards.</w:t>
      </w:r>
    </w:p>
    <w:p w:rsidR="00485094" w:rsidRDefault="00485094" w:rsidP="00EA3D58">
      <w:pPr>
        <w:pStyle w:val="Bodytextreduced"/>
        <w:rPr>
          <w:snapToGrid w:val="0"/>
        </w:rPr>
      </w:pPr>
    </w:p>
    <w:p w:rsidR="00485094" w:rsidRDefault="00485094" w:rsidP="00EA3D58">
      <w:pPr>
        <w:pStyle w:val="Heading3"/>
      </w:pPr>
      <w:bookmarkStart w:id="156" w:name="_Toc254269872"/>
      <w:bookmarkStart w:id="157" w:name="_Toc255822513"/>
      <w:bookmarkStart w:id="158" w:name="_Toc262464130"/>
      <w:bookmarkStart w:id="159" w:name="_Toc271279954"/>
      <w:r>
        <w:t>Element 5:  Quality Assurance</w:t>
      </w:r>
      <w:bookmarkEnd w:id="156"/>
      <w:bookmarkEnd w:id="157"/>
      <w:bookmarkEnd w:id="158"/>
      <w:bookmarkEnd w:id="159"/>
    </w:p>
    <w:p w:rsidR="00485094" w:rsidRDefault="00485094" w:rsidP="00EA3D58">
      <w:pPr>
        <w:pStyle w:val="Bodytext"/>
      </w:pPr>
      <w:r>
        <w:t>Because water quality monitoring is carried out by many agencies and groups statewide, FDEP has a centralized quality assurance (QA) program to ensure that data are properly and consistently collected.  A Quality Assurance Officer coordinates and oversees data quality activities for each program.  However, QA is the responsibility of everyone associated with sampling, monitoring, and data analysis.  In September 2009, the FDEP Secretary approved a program directive, DEP 972, which further outlines this distributed responsibility, including each employee’s obligation to ensure that decisions are based upon defensible scientific information.</w:t>
      </w:r>
      <w:r w:rsidRPr="00E5205A">
        <w:t xml:space="preserve"> </w:t>
      </w:r>
      <w:r>
        <w:t xml:space="preserve"> Additionally, in support of the QA directive (DEP 972), all organizational units have been asked to update existing quality assurance manuals and plans, or for some groups, to create new quality plans describing internal QA procedures and criteria applied to all scientific data generation, review and use.</w:t>
      </w:r>
    </w:p>
    <w:p w:rsidR="00485094" w:rsidRDefault="00485094" w:rsidP="00EA3D58">
      <w:pPr>
        <w:pStyle w:val="Bodytext"/>
      </w:pPr>
    </w:p>
    <w:p w:rsidR="00485094" w:rsidRDefault="00485094" w:rsidP="00EA3D58">
      <w:pPr>
        <w:pStyle w:val="Bodytext"/>
      </w:pPr>
      <w:r>
        <w:t>Training classes, which are conducted by FDEP staff, focus on program-specific sampling requirements.  Any updates or changes to an individual program’s monitoring protocols are communicated through project management meetings, statewide meetings, and an Internet website.</w:t>
      </w:r>
    </w:p>
    <w:p w:rsidR="00485094" w:rsidRDefault="00485094" w:rsidP="00EA3D58">
      <w:pPr>
        <w:pStyle w:val="Bodytext"/>
      </w:pPr>
    </w:p>
    <w:p w:rsidR="00485094" w:rsidRDefault="00485094" w:rsidP="00EA3D58">
      <w:pPr>
        <w:pStyle w:val="Bodytext"/>
      </w:pPr>
      <w:r>
        <w:t>The accuracy of field measurements is assessed through internal FDEP programs.  Staff also monitor the on-site sampling environment, sampling equipment decontamination, sample container cleaning, the suitability of sample preservatives and analyte-free water, and sample transport and storage conditions, to control the impact that these activities may have on sample integrity and representativeness.</w:t>
      </w:r>
    </w:p>
    <w:p w:rsidR="00485094" w:rsidRDefault="00485094" w:rsidP="00EA3D58">
      <w:pPr>
        <w:pStyle w:val="Bodytext"/>
      </w:pPr>
    </w:p>
    <w:p w:rsidR="00485094" w:rsidRDefault="00485094" w:rsidP="00EA3D58">
      <w:pPr>
        <w:pStyle w:val="Bodytext"/>
      </w:pPr>
      <w:r>
        <w:t>For each monitoring program, field staff are instructed to follow a comprehensive set of Standard Operating Procedures (FDEP SOPs) for sample collection and field testing (e.g., field meter measurements).  These are incorporated by reference</w:t>
      </w:r>
      <w:r w:rsidRPr="003A6D43">
        <w:t xml:space="preserve"> in </w:t>
      </w:r>
      <w:r>
        <w:t>Chapter</w:t>
      </w:r>
      <w:r w:rsidRPr="003A6D43">
        <w:t xml:space="preserve"> 62-160, F.A.C., </w:t>
      </w:r>
      <w:r w:rsidRPr="002B7AD6">
        <w:rPr>
          <w:i/>
        </w:rPr>
        <w:t>Quality Assurance</w:t>
      </w:r>
      <w:r>
        <w:t xml:space="preserve">, and are specified </w:t>
      </w:r>
      <w:r w:rsidRPr="003A6D43">
        <w:t xml:space="preserve">in </w:t>
      </w:r>
      <w:r>
        <w:t xml:space="preserve">the FDEP document, </w:t>
      </w:r>
      <w:hyperlink r:id="rId53" w:history="1">
        <w:r w:rsidRPr="008F351F">
          <w:rPr>
            <w:rStyle w:val="Hyperlink"/>
            <w:i/>
          </w:rPr>
          <w:t>Standard Operating Procedures for Field Activities</w:t>
        </w:r>
      </w:hyperlink>
      <w:r w:rsidRPr="003A6D43">
        <w:t xml:space="preserve"> </w:t>
      </w:r>
      <w:r>
        <w:t>(</w:t>
      </w:r>
      <w:r w:rsidR="00E22C45">
        <w:t>F</w:t>
      </w:r>
      <w:r>
        <w:t>DEP-SOP-001/01, March 31, 2008).  Other mandatory quality assurance requirements detailed in Chapter 62-160, F.A.C., are also followed</w:t>
      </w:r>
      <w:r w:rsidRPr="003A6D43">
        <w:t>.</w:t>
      </w:r>
    </w:p>
    <w:p w:rsidR="00485094" w:rsidRDefault="00485094" w:rsidP="00EA3D58">
      <w:pPr>
        <w:pStyle w:val="Bodytext"/>
      </w:pPr>
    </w:p>
    <w:p w:rsidR="00485094" w:rsidRDefault="00485094" w:rsidP="00EA3D58">
      <w:pPr>
        <w:pStyle w:val="Bodytext"/>
      </w:pPr>
      <w:r>
        <w:lastRenderedPageBreak/>
        <w:t xml:space="preserve">Water quality samples are sent to FDEP’s Central Laboratory for analysis for the majority of programs; however, some external and overflow laboratories are also used.  FDEP laboratories have SOPs for handling and analyzing samples, reporting applicable precision, accuracy and method detection limits, and for reporting data.  Laboratory certification is maintained as required by Section 62-160.300, F.A.C.  The Quality Assurance Rule, Chapter 62-160, F.A.C. (current effective date of 12/3/08) requires all entities submitting data to FDEP be certified by the </w:t>
      </w:r>
      <w:r w:rsidRPr="00D716D4">
        <w:t xml:space="preserve">National Environmental Laboratory Accreditation Conference </w:t>
      </w:r>
      <w:r>
        <w:t>(NELAC) through FDOH.</w:t>
      </w:r>
      <w:r w:rsidRPr="00E46059">
        <w:t xml:space="preserve"> </w:t>
      </w:r>
      <w:r>
        <w:t xml:space="preserve"> </w:t>
      </w:r>
      <w:r w:rsidRPr="00E55091">
        <w:t>The</w:t>
      </w:r>
      <w:r>
        <w:t xml:space="preserve"> certification process requires the laboratory to develop a comprehensive quality manual for internal operations, analyze performance testing samples twice a year and undergo periodic systems audits conducted by FDOH inspectors.  In addition, other mandatory QA requirements specified at 62-160, F.A.C. are followed.  Contracted overflow labs are held to identical quality assurance requirements via detailed contract QA language.</w:t>
      </w:r>
    </w:p>
    <w:p w:rsidR="00485094" w:rsidRDefault="00485094" w:rsidP="00EA3D58">
      <w:pPr>
        <w:pStyle w:val="Bodytext"/>
      </w:pPr>
    </w:p>
    <w:p w:rsidR="00485094" w:rsidRDefault="00485094" w:rsidP="00EA3D58">
      <w:pPr>
        <w:pStyle w:val="Bodytext"/>
      </w:pPr>
      <w:r>
        <w:t xml:space="preserve">The sampling and testing performance of field teams is evaluated by auditors from FDEP’s QA program, which is administered by the Standards and Assessment Section.  Staff from other organizational units who have been trained as auditors also conduct these evaluations.  The criteria for field performance are those specified by Chapter 62-160, F.A.C., the FDEP SOPs, internal quality manuals or plans, and where applicable, contractual requirements. </w:t>
      </w:r>
    </w:p>
    <w:p w:rsidR="00485094" w:rsidRDefault="00485094" w:rsidP="00EA3D58">
      <w:pPr>
        <w:pStyle w:val="Bodytext"/>
      </w:pPr>
    </w:p>
    <w:p w:rsidR="00485094" w:rsidRDefault="00485094" w:rsidP="00EA3D58">
      <w:pPr>
        <w:pStyle w:val="Bodytext"/>
      </w:pPr>
      <w:r>
        <w:t>The quality of laboratory data and its usability for specific applications is also evaluated</w:t>
      </w:r>
      <w:r w:rsidRPr="00EB01EF">
        <w:t xml:space="preserve"> </w:t>
      </w:r>
      <w:r>
        <w:t>by auditors from FDEP’s QA program and other organizational units.  The criteria for laboratory data usability are those specified by Chapter 62-160, F.A.C., the FDOH certification rule, Chapter 64E-1, F.A.C., the NELAC standards, which are incorporated by reference in Chapter 64E-1, F.A.C., data quality objectives specified in FDEP internal quality manuals or plans, other applicable FDEP program rules, and, where applicable, contractual requirements.  In addition, a document describing the data evaluation process (</w:t>
      </w:r>
      <w:r w:rsidRPr="00D47239">
        <w:rPr>
          <w:i/>
        </w:rPr>
        <w:t>Process for Assessing Data Usability,</w:t>
      </w:r>
      <w:r>
        <w:t xml:space="preserve"> DEP-EA-001/07, March 31, 2008) is incorporated by reference into Chapter 62-160, F.A.C.</w:t>
      </w:r>
    </w:p>
    <w:p w:rsidR="00485094" w:rsidRDefault="00485094" w:rsidP="00EA3D58">
      <w:pPr>
        <w:pStyle w:val="Bodytext"/>
      </w:pPr>
    </w:p>
    <w:p w:rsidR="00485094" w:rsidRPr="006E6B66" w:rsidRDefault="00485094" w:rsidP="00EA3D58">
      <w:pPr>
        <w:pStyle w:val="Bodytext"/>
      </w:pPr>
      <w:r>
        <w:t>Various checklists have been developed to ensure the application of consistent and systematic procedures for auditing field and laboratory data.</w:t>
      </w:r>
    </w:p>
    <w:p w:rsidR="00485094" w:rsidRDefault="00485094" w:rsidP="00EA3D58">
      <w:pPr>
        <w:pStyle w:val="Bodytext"/>
      </w:pPr>
    </w:p>
    <w:p w:rsidR="00485094" w:rsidRDefault="00485094" w:rsidP="00EA3D58">
      <w:pPr>
        <w:pStyle w:val="Heading3"/>
      </w:pPr>
      <w:bookmarkStart w:id="160" w:name="_Toc254269873"/>
      <w:bookmarkStart w:id="161" w:name="_Toc255822514"/>
      <w:bookmarkStart w:id="162" w:name="_Toc262464131"/>
      <w:bookmarkStart w:id="163" w:name="_Toc271279955"/>
      <w:r>
        <w:t>Element 6:  Data Management</w:t>
      </w:r>
      <w:bookmarkEnd w:id="160"/>
      <w:bookmarkEnd w:id="161"/>
      <w:bookmarkEnd w:id="162"/>
      <w:bookmarkEnd w:id="163"/>
    </w:p>
    <w:p w:rsidR="00485094" w:rsidRDefault="00485094" w:rsidP="00EA3D58">
      <w:pPr>
        <w:pStyle w:val="Bodytext"/>
      </w:pPr>
      <w:r>
        <w:t xml:space="preserve">The smooth and timely flow of water quality data from sample collectors and analytical agencies </w:t>
      </w:r>
      <w:r w:rsidRPr="0060286F">
        <w:t xml:space="preserve">to data analysts is a high priority.  FDEP’s </w:t>
      </w:r>
      <w:r>
        <w:t>Bureau of Assessment and Restoration Support and Bureau of Watershed Restoration house or oversee the majority of the surface and ground water resource monitoring programs described in this report.  There are program-specific data management requirements; however, these bureaus serve as the principal warehouses for monitoring data.</w:t>
      </w:r>
      <w:r w:rsidRPr="0060286F">
        <w:t xml:space="preserve">  Assisted by cooperating federal, state, and</w:t>
      </w:r>
      <w:r>
        <w:t xml:space="preserve"> county agencies, sample locations are selected, monitoring parameters and frequencies determined, and sample collection and analysis coordinated to meet data quality objectives.</w:t>
      </w:r>
    </w:p>
    <w:p w:rsidR="00485094" w:rsidRDefault="00485094" w:rsidP="00EA3D58">
      <w:pPr>
        <w:pStyle w:val="Bodytext"/>
      </w:pPr>
    </w:p>
    <w:p w:rsidR="00485094" w:rsidRDefault="00485094" w:rsidP="00EA3D58">
      <w:pPr>
        <w:pStyle w:val="Heading3"/>
      </w:pPr>
      <w:bookmarkStart w:id="164" w:name="_Toc254269874"/>
      <w:bookmarkStart w:id="165" w:name="_Toc255822515"/>
      <w:bookmarkStart w:id="166" w:name="_Toc262464132"/>
      <w:bookmarkStart w:id="167" w:name="_Toc271279956"/>
      <w:r>
        <w:t>Element 9:  Program Evaluation</w:t>
      </w:r>
      <w:bookmarkEnd w:id="164"/>
      <w:bookmarkEnd w:id="165"/>
      <w:bookmarkEnd w:id="166"/>
      <w:bookmarkEnd w:id="167"/>
    </w:p>
    <w:p w:rsidR="00485094" w:rsidRDefault="00485094" w:rsidP="00EA3D58">
      <w:pPr>
        <w:pStyle w:val="Bodytext"/>
      </w:pPr>
      <w:r>
        <w:t>FDEP</w:t>
      </w:r>
      <w:r w:rsidRPr="00E47E1E">
        <w:t xml:space="preserve">, </w:t>
      </w:r>
      <w:r>
        <w:t xml:space="preserve">in consultation </w:t>
      </w:r>
      <w:r w:rsidRPr="00E47E1E">
        <w:t xml:space="preserve">with </w:t>
      </w:r>
      <w:r>
        <w:t xml:space="preserve">the </w:t>
      </w:r>
      <w:r w:rsidRPr="00E47E1E">
        <w:t xml:space="preserve">EPA, reviews each monitoring program to determine how well the program serves its </w:t>
      </w:r>
      <w:r>
        <w:t>water quality</w:t>
      </w:r>
      <w:r w:rsidRPr="00E47E1E">
        <w:t xml:space="preserve"> decision needs for all state waters. </w:t>
      </w:r>
      <w:r>
        <w:t xml:space="preserve"> </w:t>
      </w:r>
      <w:r w:rsidRPr="00E47E1E">
        <w:t>EPA and</w:t>
      </w:r>
      <w:r>
        <w:t xml:space="preserve"> FDEP</w:t>
      </w:r>
      <w:r w:rsidRPr="00E47E1E">
        <w:t xml:space="preserve"> QA audits </w:t>
      </w:r>
      <w:r>
        <w:t>are used in evaluating</w:t>
      </w:r>
      <w:r w:rsidRPr="00E47E1E">
        <w:t xml:space="preserve"> </w:t>
      </w:r>
      <w:r>
        <w:t>each</w:t>
      </w:r>
      <w:r w:rsidRPr="00E47E1E">
        <w:t xml:space="preserve"> program to determine how well each of the </w:t>
      </w:r>
      <w:r>
        <w:t xml:space="preserve">EPA’s recommended </w:t>
      </w:r>
      <w:r w:rsidRPr="00E47E1E">
        <w:t xml:space="preserve">elements is addressed and how </w:t>
      </w:r>
      <w:r>
        <w:t xml:space="preserve">to incorporate </w:t>
      </w:r>
      <w:r w:rsidRPr="00E47E1E">
        <w:t>needed changes and additions into future monitoring cycles.</w:t>
      </w:r>
      <w:r>
        <w:t xml:space="preserve">  Additionally, FDEP 972 (QA Directive) outlines FDEP’s distributed responsibility for ensuring that FDEP programs and organizational units meet established data quality objectives.</w:t>
      </w:r>
    </w:p>
    <w:p w:rsidR="00485094" w:rsidRDefault="00485094" w:rsidP="00EA3D58">
      <w:pPr>
        <w:pStyle w:val="Bodytext"/>
      </w:pPr>
    </w:p>
    <w:p w:rsidR="00485094" w:rsidRDefault="00485094" w:rsidP="00EA3D58">
      <w:pPr>
        <w:pStyle w:val="Heading3"/>
      </w:pPr>
      <w:bookmarkStart w:id="168" w:name="_Toc254269875"/>
      <w:bookmarkStart w:id="169" w:name="_Toc255822516"/>
      <w:bookmarkStart w:id="170" w:name="_Toc262464133"/>
      <w:bookmarkStart w:id="171" w:name="_Toc271279957"/>
      <w:r>
        <w:t>Element 10:  General Support and Infrastructure Planning</w:t>
      </w:r>
      <w:bookmarkEnd w:id="168"/>
      <w:bookmarkEnd w:id="169"/>
      <w:bookmarkEnd w:id="170"/>
      <w:bookmarkEnd w:id="171"/>
      <w:r>
        <w:t xml:space="preserve"> </w:t>
      </w:r>
    </w:p>
    <w:p w:rsidR="00485094" w:rsidRDefault="00485094" w:rsidP="00EA3D58">
      <w:pPr>
        <w:pStyle w:val="Bodytext"/>
      </w:pPr>
      <w:r>
        <w:t xml:space="preserve">The EPA’s general support and infrastructure planning element is encompassed by a number of activities.  FDEP’s Central Laboratory provides laboratory support for all the core monitoring </w:t>
      </w:r>
      <w:r w:rsidRPr="0060286F">
        <w:t xml:space="preserve">programs.  </w:t>
      </w:r>
      <w:r>
        <w:t>Staff from all programs provide substantial support for planning and refining field logistics, and also provide data management, review, analysis and reporting.  The results are often used to pursue and implement management actions to address areas of concern via differing program mechanisms.</w:t>
      </w:r>
    </w:p>
    <w:p w:rsidR="00485094" w:rsidRDefault="00485094" w:rsidP="00EA3D58">
      <w:pPr>
        <w:pStyle w:val="Bodytext"/>
      </w:pPr>
    </w:p>
    <w:p w:rsidR="00485094" w:rsidRDefault="00485094" w:rsidP="00EA3D58">
      <w:pPr>
        <w:pStyle w:val="Heading2"/>
      </w:pPr>
      <w:bookmarkStart w:id="172" w:name="_Toc254269876"/>
      <w:bookmarkStart w:id="173" w:name="_Toc255822517"/>
      <w:bookmarkStart w:id="174" w:name="_Toc262464134"/>
      <w:bookmarkStart w:id="175" w:name="_Toc271279958"/>
      <w:r>
        <w:t>Evolving Approaches to Monitoring</w:t>
      </w:r>
      <w:bookmarkEnd w:id="172"/>
      <w:bookmarkEnd w:id="173"/>
      <w:bookmarkEnd w:id="174"/>
      <w:bookmarkEnd w:id="175"/>
    </w:p>
    <w:p w:rsidR="00485094" w:rsidRPr="00C5311F" w:rsidRDefault="00485094" w:rsidP="00EA3D58">
      <w:pPr>
        <w:pStyle w:val="Bodytext"/>
      </w:pPr>
      <w:r w:rsidRPr="00C5311F">
        <w:t>Florida</w:t>
      </w:r>
      <w:r>
        <w:t xml:space="preserve"> continues to develop new approaches to monitoring.  FDEP</w:t>
      </w:r>
      <w:r w:rsidRPr="00C5311F">
        <w:t xml:space="preserve"> has developed </w:t>
      </w:r>
      <w:r>
        <w:t xml:space="preserve">a number of </w:t>
      </w:r>
      <w:r w:rsidRPr="00C5311F">
        <w:t xml:space="preserve">biological indices to characterize the condition of surface waters and has adopted these indices for use in water resource assessments at all three </w:t>
      </w:r>
      <w:r>
        <w:t>tier</w:t>
      </w:r>
      <w:r w:rsidRPr="00C5311F">
        <w:t xml:space="preserve">s of monitoring.  </w:t>
      </w:r>
      <w:r>
        <w:t>FDEP currently uses t</w:t>
      </w:r>
      <w:r w:rsidRPr="00C5311F">
        <w:t>he</w:t>
      </w:r>
      <w:r>
        <w:t xml:space="preserve"> following</w:t>
      </w:r>
      <w:r w:rsidRPr="00C5311F">
        <w:t xml:space="preserve"> indicators</w:t>
      </w:r>
      <w:r>
        <w:t xml:space="preserve"> to measure the biological health of surface waters:</w:t>
      </w:r>
    </w:p>
    <w:p w:rsidR="00485094" w:rsidRPr="00480BBC" w:rsidRDefault="00485094" w:rsidP="00EA3D58">
      <w:pPr>
        <w:pStyle w:val="Bodytext"/>
      </w:pPr>
    </w:p>
    <w:p w:rsidR="00485094" w:rsidRPr="003A021B" w:rsidRDefault="00485094" w:rsidP="00EA3D58">
      <w:pPr>
        <w:pStyle w:val="StyleListBullet11pt"/>
      </w:pPr>
      <w:r w:rsidRPr="003A021B">
        <w:t xml:space="preserve">FDEP uses a macroinvertebrate-based index, BioReconnaissance (BioRecon), as a rapid assessment tool.  </w:t>
      </w:r>
      <w:r>
        <w:t xml:space="preserve">The BioRecon is a 6-metric index ranging from 0 to 10.  If a site scores less than 6 on the index, it is recommended for a further, more intensive study using the </w:t>
      </w:r>
      <w:hyperlink r:id="rId54" w:history="1">
        <w:r w:rsidRPr="008115DE">
          <w:rPr>
            <w:rStyle w:val="Hyperlink"/>
          </w:rPr>
          <w:t>Stream Condition Index (SCI)</w:t>
        </w:r>
      </w:hyperlink>
      <w:r>
        <w:t xml:space="preserve"> method. </w:t>
      </w:r>
      <w:r w:rsidRPr="003A021B">
        <w:t xml:space="preserve"> </w:t>
      </w:r>
    </w:p>
    <w:p w:rsidR="00485094" w:rsidRPr="003A021B" w:rsidRDefault="00485094" w:rsidP="00EA3D58">
      <w:pPr>
        <w:pStyle w:val="StyleListBullet11pt"/>
      </w:pPr>
      <w:r>
        <w:t>The SCI is a</w:t>
      </w:r>
      <w:r w:rsidRPr="003A021B">
        <w:t xml:space="preserve"> </w:t>
      </w:r>
      <w:r>
        <w:t>carefully calibrated</w:t>
      </w:r>
      <w:r w:rsidRPr="003A021B">
        <w:t xml:space="preserve"> macroinvertebrate index for use in flowing streams, </w:t>
      </w:r>
      <w:r>
        <w:t>and</w:t>
      </w:r>
      <w:r w:rsidRPr="003A021B">
        <w:t xml:space="preserve"> is used </w:t>
      </w:r>
      <w:r>
        <w:t>as a definitive measure of biological health for impairment.</w:t>
      </w:r>
      <w:r w:rsidRPr="003A021B">
        <w:t xml:space="preserve">  Data generated on the species </w:t>
      </w:r>
      <w:r>
        <w:t xml:space="preserve">composition </w:t>
      </w:r>
      <w:r w:rsidRPr="003A021B">
        <w:t xml:space="preserve">and abundance of organisms in a stream are used to calculate </w:t>
      </w:r>
      <w:r>
        <w:t>10</w:t>
      </w:r>
      <w:r w:rsidRPr="003A021B">
        <w:t xml:space="preserve"> biological metrics</w:t>
      </w:r>
      <w:r>
        <w:t xml:space="preserve"> (e.g., sensitive taxa, filter feeders, clingers, very tolerant taxa, Ephemeroptera and Trichoptera taxa)</w:t>
      </w:r>
      <w:r w:rsidRPr="003A021B">
        <w:t>.  Points are assigned for each metric</w:t>
      </w:r>
      <w:r>
        <w:t>,</w:t>
      </w:r>
      <w:r w:rsidRPr="003A021B">
        <w:t xml:space="preserve"> based on regionally calibrated criteria.</w:t>
      </w:r>
    </w:p>
    <w:p w:rsidR="00485094" w:rsidRPr="003A021B" w:rsidRDefault="00485094" w:rsidP="00EA3D58">
      <w:pPr>
        <w:pStyle w:val="StyleListBullet11pt"/>
      </w:pPr>
      <w:r w:rsidRPr="003A021B">
        <w:t xml:space="preserve">Florida </w:t>
      </w:r>
      <w:r>
        <w:t>conducts</w:t>
      </w:r>
      <w:r w:rsidRPr="003A021B">
        <w:t xml:space="preserve">, the Lake Vegetation Index (LVI), </w:t>
      </w:r>
      <w:r>
        <w:t>sampling to evaluate</w:t>
      </w:r>
      <w:r w:rsidRPr="003A021B">
        <w:t xml:space="preserve"> </w:t>
      </w:r>
      <w:r>
        <w:t xml:space="preserve">lake health based on </w:t>
      </w:r>
      <w:r w:rsidRPr="003A021B">
        <w:t>plant community (macrophyte) composition.  Using transects and a visual survey, the results can be compiled for a rapid assessment of lake condition.</w:t>
      </w:r>
    </w:p>
    <w:p w:rsidR="00485094" w:rsidRPr="003A021B" w:rsidRDefault="00485094" w:rsidP="00EA3D58">
      <w:pPr>
        <w:pStyle w:val="StyleListBullet11pt"/>
      </w:pPr>
      <w:r w:rsidRPr="003A021B">
        <w:t xml:space="preserve">A Wetland Condition Index, using vegetation, macroinvertebrates, and algae, has been developed for </w:t>
      </w:r>
      <w:r>
        <w:t xml:space="preserve">some </w:t>
      </w:r>
      <w:r w:rsidRPr="003A021B">
        <w:t>freshwater wetland systems</w:t>
      </w:r>
      <w:r>
        <w:t xml:space="preserve"> (</w:t>
      </w:r>
      <w:hyperlink r:id="rId55" w:history="1">
        <w:r w:rsidRPr="00EB41C5">
          <w:rPr>
            <w:rStyle w:val="Hyperlink"/>
          </w:rPr>
          <w:t>forested wetlands</w:t>
        </w:r>
      </w:hyperlink>
      <w:r>
        <w:t xml:space="preserve"> and </w:t>
      </w:r>
      <w:hyperlink r:id="rId56" w:history="1">
        <w:r>
          <w:rPr>
            <w:rStyle w:val="Hyperlink"/>
          </w:rPr>
          <w:t>depressional</w:t>
        </w:r>
        <w:r w:rsidRPr="00EB41C5">
          <w:rPr>
            <w:rStyle w:val="Hyperlink"/>
          </w:rPr>
          <w:t xml:space="preserve"> wetlands</w:t>
        </w:r>
      </w:hyperlink>
      <w:r>
        <w:t xml:space="preserve">; a pilot study for </w:t>
      </w:r>
      <w:hyperlink r:id="rId57" w:history="1">
        <w:r w:rsidRPr="00EB41C5">
          <w:rPr>
            <w:rStyle w:val="Hyperlink"/>
          </w:rPr>
          <w:t>strands and floodplains</w:t>
        </w:r>
      </w:hyperlink>
      <w:r>
        <w:t xml:space="preserve"> was completed in 2005)</w:t>
      </w:r>
      <w:r w:rsidRPr="003A021B">
        <w:t>.  This tool is being used to refine FDEP’s rapid wetland assessment methodology for permitting/mitigation and to assess the effectiveness of wetland restoration projects.</w:t>
      </w:r>
    </w:p>
    <w:p w:rsidR="00485094" w:rsidRPr="003A021B" w:rsidRDefault="00485094" w:rsidP="00EA3D58">
      <w:pPr>
        <w:pStyle w:val="StyleListBullet11pt"/>
      </w:pPr>
      <w:r w:rsidRPr="00473985">
        <w:t>Florida has developed geochemical- and biology-based tools to measure the quality of sediments in marine and freshwater systems.  For the 2010 Integrated Report, sediments were collected from a statistical sampling of lakes in the state as part of the Status Network.  The resulting sediment chemistry results were first evaluated with a geochemical tool that identifies anthropogenic metals pollution and distinguishes it from naturally occurring sediment metals concentrations.  Next</w:t>
      </w:r>
      <w:r>
        <w:t>,</w:t>
      </w:r>
      <w:r w:rsidRPr="00473985">
        <w:t xml:space="preserve"> a biology-based sediment quality tool was used to estimate the levels of potentially toxic contaminants in sediments.</w:t>
      </w:r>
      <w:r w:rsidRPr="003A021B">
        <w:t xml:space="preserve"> </w:t>
      </w:r>
    </w:p>
    <w:p w:rsidR="00485094" w:rsidRDefault="00485094" w:rsidP="00EA3D58">
      <w:pPr>
        <w:pStyle w:val="Bodytextreduced"/>
        <w:rPr>
          <w:highlight w:val="yellow"/>
        </w:rPr>
      </w:pPr>
      <w:r>
        <w:rPr>
          <w:highlight w:val="yellow"/>
        </w:rPr>
        <w:br w:type="page"/>
      </w:r>
    </w:p>
    <w:p w:rsidR="00FC6EE0" w:rsidRDefault="00FC6EE0" w:rsidP="00FC6EE0">
      <w:pPr>
        <w:pStyle w:val="Bodytextreduced"/>
      </w:pPr>
      <w:bookmarkStart w:id="176" w:name="_Chapter_5._"/>
      <w:bookmarkStart w:id="177" w:name="_Toc234030455"/>
      <w:bookmarkStart w:id="178" w:name="_Toc248209557"/>
      <w:bookmarkStart w:id="179" w:name="_Toc255822518"/>
      <w:bookmarkStart w:id="180" w:name="_Toc262464135"/>
      <w:bookmarkStart w:id="181" w:name="_Toc271279959"/>
      <w:bookmarkEnd w:id="176"/>
    </w:p>
    <w:p w:rsidR="00485094" w:rsidRPr="00A148EC" w:rsidRDefault="00485094" w:rsidP="00EA3D58">
      <w:pPr>
        <w:pStyle w:val="Heading1"/>
        <w:rPr>
          <w:rFonts w:cs="Arial"/>
          <w:szCs w:val="32"/>
        </w:rPr>
      </w:pPr>
      <w:r>
        <w:t>Chapter 5.  De</w:t>
      </w:r>
      <w:r w:rsidRPr="00F20187">
        <w:t>sign</w:t>
      </w:r>
      <w:bookmarkEnd w:id="177"/>
      <w:bookmarkEnd w:id="178"/>
      <w:r>
        <w:t xml:space="preserve"> for the Status and Trend Networks</w:t>
      </w:r>
      <w:bookmarkEnd w:id="179"/>
      <w:bookmarkEnd w:id="180"/>
      <w:bookmarkEnd w:id="181"/>
      <w:r w:rsidRPr="00F20187">
        <w:t xml:space="preserve"> </w:t>
      </w:r>
    </w:p>
    <w:p w:rsidR="00485094" w:rsidRDefault="00485094" w:rsidP="00EA3D58">
      <w:pPr>
        <w:pStyle w:val="Bodytextreduced"/>
      </w:pPr>
    </w:p>
    <w:p w:rsidR="00485094" w:rsidRPr="00F20187" w:rsidRDefault="00485094" w:rsidP="00EA3D58">
      <w:pPr>
        <w:pStyle w:val="Heading2"/>
      </w:pPr>
      <w:bookmarkStart w:id="182" w:name="_Toc262464136"/>
      <w:bookmarkStart w:id="183" w:name="_Toc271279960"/>
      <w:r>
        <w:t>Background</w:t>
      </w:r>
      <w:bookmarkEnd w:id="182"/>
      <w:bookmarkEnd w:id="183"/>
    </w:p>
    <w:p w:rsidR="00485094" w:rsidRDefault="00485094" w:rsidP="00EA3D58">
      <w:pPr>
        <w:pStyle w:val="Bodytext"/>
      </w:pPr>
      <w:r>
        <w:t xml:space="preserve">The </w:t>
      </w:r>
      <w:hyperlink r:id="rId58" w:history="1">
        <w:r w:rsidRPr="00044ABF">
          <w:rPr>
            <w:rStyle w:val="Hyperlink"/>
          </w:rPr>
          <w:t>2002 EPA Integrated Report guidance</w:t>
        </w:r>
      </w:hyperlink>
      <w:r w:rsidRPr="000036CC">
        <w:t xml:space="preserve"> on the requirements for water quality assessment, listing, and reporting under Sections 303(d) a</w:t>
      </w:r>
      <w:r>
        <w:t xml:space="preserve">nd 305(b) of the CWA states that “. . . </w:t>
      </w:r>
      <w:r w:rsidRPr="00044ABF">
        <w:t xml:space="preserve">a probabilistic monitoring design applied over large areas, such as a state or territory, is an excellent approach to producing, with known confidence, a </w:t>
      </w:r>
      <w:r>
        <w:t>‘</w:t>
      </w:r>
      <w:r w:rsidRPr="00044ABF">
        <w:t>snapshot</w:t>
      </w:r>
      <w:r>
        <w:t>’</w:t>
      </w:r>
      <w:r w:rsidRPr="00044ABF">
        <w:t xml:space="preserve"> or statistical representation of the extent of waters that may or may not be impaired. </w:t>
      </w:r>
      <w:r>
        <w:t xml:space="preserve"> </w:t>
      </w:r>
      <w:r w:rsidRPr="00044ABF">
        <w:t>A probabilistic monitoring design can assist a state or territory in determining monitoring priorities and in targeting monitoring activities</w:t>
      </w:r>
      <w:r>
        <w:t>” (EPA, November 19, 2001)</w:t>
      </w:r>
      <w:r w:rsidRPr="000036CC">
        <w:t xml:space="preserve">. </w:t>
      </w:r>
      <w:r>
        <w:t xml:space="preserve"> B</w:t>
      </w:r>
      <w:r w:rsidRPr="000036CC">
        <w:t>eginning in 2000</w:t>
      </w:r>
      <w:r>
        <w:t>, t</w:t>
      </w:r>
      <w:r w:rsidRPr="000036CC">
        <w:t xml:space="preserve">he </w:t>
      </w:r>
      <w:hyperlink r:id="rId59" w:history="1">
        <w:r w:rsidRPr="003D2CD6">
          <w:rPr>
            <w:rStyle w:val="Hyperlink"/>
          </w:rPr>
          <w:t>Status Monitoring Network</w:t>
        </w:r>
      </w:hyperlink>
      <w:r>
        <w:t xml:space="preserve"> (Status Network), based on this p</w:t>
      </w:r>
      <w:r>
        <w:rPr>
          <w:szCs w:val="22"/>
        </w:rPr>
        <w:t xml:space="preserve">robabilistic design, provided </w:t>
      </w:r>
      <w:r w:rsidRPr="00A13D53">
        <w:rPr>
          <w:szCs w:val="22"/>
        </w:rPr>
        <w:t>an unbiased</w:t>
      </w:r>
      <w:r>
        <w:rPr>
          <w:szCs w:val="22"/>
        </w:rPr>
        <w:t>,</w:t>
      </w:r>
      <w:r w:rsidRPr="00A13D53">
        <w:rPr>
          <w:szCs w:val="22"/>
        </w:rPr>
        <w:t xml:space="preserve"> </w:t>
      </w:r>
      <w:r>
        <w:t xml:space="preserve">cost-effective </w:t>
      </w:r>
      <w:r w:rsidRPr="00A13D53">
        <w:rPr>
          <w:szCs w:val="22"/>
        </w:rPr>
        <w:t xml:space="preserve">subsampling of these resources. </w:t>
      </w:r>
      <w:r>
        <w:t xml:space="preserve"> Florida adopted this approach </w:t>
      </w:r>
      <w:r w:rsidRPr="000036CC">
        <w:t xml:space="preserve">so that the condition of the state’s surface and ground water resources could be estimated with a known statistical confidence.  Data produced by the Status Network </w:t>
      </w:r>
      <w:r>
        <w:t>co</w:t>
      </w:r>
      <w:r w:rsidRPr="000036CC">
        <w:t>mplement</w:t>
      </w:r>
      <w:r>
        <w:t>s</w:t>
      </w:r>
      <w:r w:rsidRPr="000036CC">
        <w:t xml:space="preserve"> traditional CWA 305(b) </w:t>
      </w:r>
      <w:r>
        <w:t xml:space="preserve">and 303(d) </w:t>
      </w:r>
      <w:r w:rsidRPr="000036CC">
        <w:t>reporting.</w:t>
      </w:r>
    </w:p>
    <w:p w:rsidR="00485094" w:rsidRDefault="00485094" w:rsidP="00EA3D58">
      <w:pPr>
        <w:pStyle w:val="Bodytext"/>
        <w:rPr>
          <w:szCs w:val="22"/>
        </w:rPr>
      </w:pPr>
      <w:bookmarkStart w:id="184" w:name="_Toc234030456"/>
      <w:bookmarkStart w:id="185" w:name="_Toc248209558"/>
    </w:p>
    <w:p w:rsidR="00485094" w:rsidRDefault="00485094" w:rsidP="00EA3D58">
      <w:pPr>
        <w:pStyle w:val="Bodytext"/>
        <w:rPr>
          <w:szCs w:val="22"/>
        </w:rPr>
      </w:pPr>
      <w:r>
        <w:rPr>
          <w:szCs w:val="22"/>
        </w:rPr>
        <w:t xml:space="preserve">In addition, </w:t>
      </w:r>
      <w:r w:rsidRPr="00A13D53">
        <w:rPr>
          <w:szCs w:val="22"/>
        </w:rPr>
        <w:t xml:space="preserve">FDEP has designed </w:t>
      </w:r>
      <w:r>
        <w:rPr>
          <w:szCs w:val="22"/>
        </w:rPr>
        <w:t>a</w:t>
      </w:r>
      <w:r w:rsidRPr="00A13D53">
        <w:rPr>
          <w:szCs w:val="22"/>
        </w:rPr>
        <w:t xml:space="preserve"> </w:t>
      </w:r>
      <w:hyperlink r:id="rId60" w:history="1">
        <w:r w:rsidRPr="00EB41C5">
          <w:rPr>
            <w:rStyle w:val="Hyperlink"/>
            <w:szCs w:val="22"/>
          </w:rPr>
          <w:t>Trend Monitoring Network</w:t>
        </w:r>
      </w:hyperlink>
      <w:r w:rsidRPr="00A13D53">
        <w:rPr>
          <w:szCs w:val="22"/>
        </w:rPr>
        <w:t xml:space="preserve"> </w:t>
      </w:r>
      <w:r>
        <w:rPr>
          <w:szCs w:val="22"/>
        </w:rPr>
        <w:t xml:space="preserve">(Trend Network) </w:t>
      </w:r>
      <w:r w:rsidRPr="00A13D53">
        <w:rPr>
          <w:szCs w:val="22"/>
        </w:rPr>
        <w:t xml:space="preserve">to monitor changes in </w:t>
      </w:r>
      <w:r>
        <w:rPr>
          <w:szCs w:val="22"/>
        </w:rPr>
        <w:t xml:space="preserve">water quality in rivers, streams, and aquifers (via wells) </w:t>
      </w:r>
      <w:r w:rsidRPr="00A13D53">
        <w:rPr>
          <w:szCs w:val="22"/>
        </w:rPr>
        <w:t xml:space="preserve">over time.  To achieve this goal, </w:t>
      </w:r>
      <w:r>
        <w:rPr>
          <w:szCs w:val="22"/>
        </w:rPr>
        <w:t xml:space="preserve">sites </w:t>
      </w:r>
      <w:r w:rsidRPr="00A13D53">
        <w:rPr>
          <w:szCs w:val="22"/>
        </w:rPr>
        <w:t>at fixed locations</w:t>
      </w:r>
      <w:r>
        <w:rPr>
          <w:szCs w:val="22"/>
        </w:rPr>
        <w:t xml:space="preserve"> </w:t>
      </w:r>
      <w:r w:rsidRPr="00A13D53">
        <w:rPr>
          <w:szCs w:val="22"/>
        </w:rPr>
        <w:t>are sampled</w:t>
      </w:r>
      <w:r>
        <w:rPr>
          <w:szCs w:val="22"/>
        </w:rPr>
        <w:t xml:space="preserve"> monthly or quarterly</w:t>
      </w:r>
      <w:r w:rsidRPr="00A13D53">
        <w:rPr>
          <w:szCs w:val="22"/>
        </w:rPr>
        <w:t>.  The Trend Network complements the Status Network by providing spatial and temporal information about resources and potential changes from anthropogenic or natural influences</w:t>
      </w:r>
      <w:r>
        <w:rPr>
          <w:szCs w:val="22"/>
        </w:rPr>
        <w:t>,</w:t>
      </w:r>
      <w:r w:rsidRPr="00A13D53">
        <w:rPr>
          <w:szCs w:val="22"/>
        </w:rPr>
        <w:t xml:space="preserve"> including extreme events (i.e.</w:t>
      </w:r>
      <w:r>
        <w:rPr>
          <w:szCs w:val="22"/>
        </w:rPr>
        <w:t xml:space="preserve">, </w:t>
      </w:r>
      <w:r w:rsidRPr="00A13D53">
        <w:rPr>
          <w:szCs w:val="22"/>
        </w:rPr>
        <w:t>drought</w:t>
      </w:r>
      <w:r>
        <w:rPr>
          <w:szCs w:val="22"/>
        </w:rPr>
        <w:t>s</w:t>
      </w:r>
      <w:r w:rsidRPr="00A13D53">
        <w:rPr>
          <w:szCs w:val="22"/>
        </w:rPr>
        <w:t xml:space="preserve"> and hurricanes).</w:t>
      </w:r>
    </w:p>
    <w:p w:rsidR="00485094" w:rsidRPr="00A13D53" w:rsidRDefault="00485094" w:rsidP="00EA3D58">
      <w:pPr>
        <w:pStyle w:val="Bodytext"/>
        <w:rPr>
          <w:szCs w:val="22"/>
        </w:rPr>
      </w:pPr>
    </w:p>
    <w:bookmarkEnd w:id="184"/>
    <w:bookmarkEnd w:id="185"/>
    <w:p w:rsidR="00485094" w:rsidRDefault="00485094" w:rsidP="00EA3D58">
      <w:pPr>
        <w:pStyle w:val="Bodytext"/>
      </w:pPr>
      <w:r w:rsidRPr="000F332D">
        <w:t xml:space="preserve">The following resources are monitored </w:t>
      </w:r>
      <w:r>
        <w:t xml:space="preserve">in the </w:t>
      </w:r>
      <w:r w:rsidRPr="000F332D">
        <w:t xml:space="preserve">Status </w:t>
      </w:r>
      <w:r>
        <w:t xml:space="preserve">and/or Trend </w:t>
      </w:r>
      <w:r w:rsidRPr="000F332D">
        <w:t>Network</w:t>
      </w:r>
      <w:r>
        <w:t xml:space="preserve">s:  </w:t>
      </w:r>
    </w:p>
    <w:p w:rsidR="00485094" w:rsidRDefault="00485094" w:rsidP="00EA3D58">
      <w:pPr>
        <w:pStyle w:val="Bodytext"/>
      </w:pPr>
    </w:p>
    <w:p w:rsidR="00485094" w:rsidRPr="00BF0CA5" w:rsidRDefault="00485094" w:rsidP="00EA3D58">
      <w:pPr>
        <w:pStyle w:val="ListBullet"/>
        <w:rPr>
          <w:bCs/>
          <w:shadow/>
          <w:szCs w:val="22"/>
        </w:rPr>
      </w:pPr>
      <w:r w:rsidRPr="00BF0CA5">
        <w:rPr>
          <w:b/>
        </w:rPr>
        <w:t xml:space="preserve">Rivers and streams (including canals): </w:t>
      </w:r>
      <w:r>
        <w:t xml:space="preserve"> Rivers, streams, and canals that are sampled include linear</w:t>
      </w:r>
      <w:r w:rsidRPr="00BF0CA5">
        <w:t xml:space="preserve"> waterbodies with perennial flow that are waters of the state (Chapter</w:t>
      </w:r>
      <w:r w:rsidRPr="00BF0CA5">
        <w:rPr>
          <w:szCs w:val="22"/>
        </w:rPr>
        <w:t xml:space="preserve"> 403, F.S.</w:t>
      </w:r>
      <w:r w:rsidRPr="00BF0CA5">
        <w:t>)</w:t>
      </w:r>
      <w:r>
        <w:t xml:space="preserve"> or flow into waters of the state.</w:t>
      </w:r>
    </w:p>
    <w:p w:rsidR="00485094" w:rsidRPr="00BF0CA5" w:rsidRDefault="00485094" w:rsidP="00EA3D58">
      <w:pPr>
        <w:pStyle w:val="ListBullet"/>
        <w:rPr>
          <w:szCs w:val="22"/>
        </w:rPr>
      </w:pPr>
      <w:r w:rsidRPr="00BF0CA5">
        <w:rPr>
          <w:b/>
        </w:rPr>
        <w:t xml:space="preserve">Lakes (Status Network only):  </w:t>
      </w:r>
      <w:r w:rsidRPr="00BF0CA5">
        <w:t>Lakes include n</w:t>
      </w:r>
      <w:r w:rsidRPr="00BF0CA5">
        <w:rPr>
          <w:szCs w:val="22"/>
        </w:rPr>
        <w:t xml:space="preserve">atural bodies of standing water and reservoirs that are waters of the state and are designated as lakes on the USGS </w:t>
      </w:r>
      <w:r>
        <w:rPr>
          <w:szCs w:val="22"/>
        </w:rPr>
        <w:t xml:space="preserve">re-leveled </w:t>
      </w:r>
      <w:r w:rsidRPr="00BF0CA5">
        <w:rPr>
          <w:szCs w:val="22"/>
        </w:rPr>
        <w:t>National Hydrography Dataset (</w:t>
      </w:r>
      <w:r>
        <w:rPr>
          <w:szCs w:val="22"/>
        </w:rPr>
        <w:t>r</w:t>
      </w:r>
      <w:r w:rsidRPr="00BF0CA5">
        <w:rPr>
          <w:szCs w:val="22"/>
        </w:rPr>
        <w:t xml:space="preserve">NHD).  </w:t>
      </w:r>
      <w:r>
        <w:rPr>
          <w:szCs w:val="22"/>
        </w:rPr>
        <w:t xml:space="preserve">The lakes population </w:t>
      </w:r>
      <w:r w:rsidRPr="00BF0CA5">
        <w:rPr>
          <w:szCs w:val="22"/>
        </w:rPr>
        <w:t xml:space="preserve">does not include many types of artificially created waterbodies, or streams/rivers impounded for agricultural use or private water supply.  </w:t>
      </w:r>
    </w:p>
    <w:p w:rsidR="00485094" w:rsidRPr="00BF0CA5" w:rsidRDefault="00485094" w:rsidP="00EA3D58">
      <w:pPr>
        <w:pStyle w:val="ListBullet"/>
      </w:pPr>
      <w:r w:rsidRPr="00BF0CA5">
        <w:rPr>
          <w:b/>
        </w:rPr>
        <w:t xml:space="preserve">Ground water (confined and unconfined aquifers):  </w:t>
      </w:r>
      <w:r>
        <w:t>The term g</w:t>
      </w:r>
      <w:r w:rsidRPr="00BF0CA5">
        <w:t>round water</w:t>
      </w:r>
      <w:r>
        <w:t>, as used here, refers to</w:t>
      </w:r>
      <w:r w:rsidRPr="00BF0CA5">
        <w:t xml:space="preserve"> those portions of F</w:t>
      </w:r>
      <w:r>
        <w:t xml:space="preserve">lorida’s aquifers that have the </w:t>
      </w:r>
      <w:r w:rsidRPr="00BF0CA5">
        <w:t>potential for supplying potable water or affecting the quality of currently potable water.  However, this does not include ground water that lies directly within or beneath a permitted fac</w:t>
      </w:r>
      <w:r>
        <w:t xml:space="preserve">ility’s zone of discharge or </w:t>
      </w:r>
      <w:r w:rsidRPr="00BF0CA5">
        <w:t>water influenced by deep well injection (Class I and II wells).</w:t>
      </w:r>
    </w:p>
    <w:p w:rsidR="00485094" w:rsidRPr="00BF0CA5" w:rsidRDefault="00485094" w:rsidP="00EA3D58">
      <w:pPr>
        <w:pStyle w:val="Bodytextreduced"/>
      </w:pPr>
    </w:p>
    <w:p w:rsidR="00485094" w:rsidRPr="00BF0CA5" w:rsidRDefault="00485094" w:rsidP="00EA3D58">
      <w:pPr>
        <w:pStyle w:val="Bodytext"/>
      </w:pPr>
      <w:r w:rsidRPr="00BF0CA5">
        <w:t xml:space="preserve">Neither the Status </w:t>
      </w:r>
      <w:r>
        <w:t xml:space="preserve">Network </w:t>
      </w:r>
      <w:r w:rsidRPr="00BF0CA5">
        <w:t>nor</w:t>
      </w:r>
      <w:r>
        <w:t xml:space="preserve"> the</w:t>
      </w:r>
      <w:r w:rsidRPr="00BF0CA5">
        <w:t xml:space="preserve"> Trend Network is currently intended to monitor estuaries, springs, wetlands, or marine waters.</w:t>
      </w:r>
      <w:r>
        <w:t xml:space="preserve">  Other sections within FDEP regulate and monitor these resources.</w:t>
      </w:r>
    </w:p>
    <w:p w:rsidR="00485094" w:rsidRPr="00F20187" w:rsidRDefault="00485094" w:rsidP="00EA3D58">
      <w:pPr>
        <w:pStyle w:val="Heading2"/>
      </w:pPr>
      <w:bookmarkStart w:id="186" w:name="_Toc234030458"/>
      <w:bookmarkStart w:id="187" w:name="_Toc248209560"/>
      <w:bookmarkStart w:id="188" w:name="_Toc255822520"/>
      <w:bookmarkStart w:id="189" w:name="_Toc262464137"/>
      <w:bookmarkStart w:id="190" w:name="_Toc271279961"/>
      <w:r w:rsidRPr="00F20187">
        <w:lastRenderedPageBreak/>
        <w:t>Status Network</w:t>
      </w:r>
      <w:bookmarkEnd w:id="186"/>
      <w:bookmarkEnd w:id="187"/>
      <w:r>
        <w:t xml:space="preserve"> Monitoring</w:t>
      </w:r>
      <w:bookmarkEnd w:id="188"/>
      <w:bookmarkEnd w:id="189"/>
      <w:bookmarkEnd w:id="190"/>
    </w:p>
    <w:p w:rsidR="00485094" w:rsidRDefault="00485094" w:rsidP="00EA3D58">
      <w:pPr>
        <w:pStyle w:val="Bodytext"/>
      </w:pPr>
      <w:r>
        <w:t>S</w:t>
      </w:r>
      <w:r w:rsidRPr="00E47E1E">
        <w:t>tratified</w:t>
      </w:r>
      <w:r>
        <w:t>,</w:t>
      </w:r>
      <w:r w:rsidRPr="00E47E1E">
        <w:t xml:space="preserve"> random sampling</w:t>
      </w:r>
      <w:r>
        <w:t xml:space="preserve"> (probabilistic)</w:t>
      </w:r>
      <w:r w:rsidRPr="00E47E1E">
        <w:t xml:space="preserve"> networks</w:t>
      </w:r>
      <w:r>
        <w:t>, such as the Status Network, sample</w:t>
      </w:r>
      <w:r w:rsidRPr="00E47E1E">
        <w:t xml:space="preserve"> predefined geographic </w:t>
      </w:r>
      <w:r>
        <w:t>sub</w:t>
      </w:r>
      <w:r w:rsidRPr="00E47E1E">
        <w:t>units</w:t>
      </w:r>
      <w:r>
        <w:t xml:space="preserve"> (basins)</w:t>
      </w:r>
      <w:r w:rsidRPr="00E47E1E">
        <w:t xml:space="preserve"> that </w:t>
      </w:r>
      <w:r>
        <w:t xml:space="preserve">together </w:t>
      </w:r>
      <w:r w:rsidRPr="00E47E1E">
        <w:t>comprise the whole</w:t>
      </w:r>
      <w:r>
        <w:t xml:space="preserve"> state.</w:t>
      </w:r>
      <w:r w:rsidRPr="00E47E1E">
        <w:t xml:space="preserve"> </w:t>
      </w:r>
      <w:r>
        <w:t xml:space="preserve"> The</w:t>
      </w:r>
      <w:r w:rsidRPr="00E47E1E">
        <w:t xml:space="preserve"> resulting data can address questions at statewide and </w:t>
      </w:r>
      <w:r>
        <w:t xml:space="preserve">specific </w:t>
      </w:r>
      <w:r w:rsidRPr="00E47E1E">
        <w:t>basin scales.</w:t>
      </w:r>
      <w:r>
        <w:t xml:space="preserve">  </w:t>
      </w:r>
    </w:p>
    <w:p w:rsidR="00485094" w:rsidRDefault="00485094" w:rsidP="00EA3D58">
      <w:pPr>
        <w:pStyle w:val="Bodytext"/>
      </w:pPr>
    </w:p>
    <w:p w:rsidR="00485094" w:rsidRDefault="00485094" w:rsidP="00EA3D58">
      <w:pPr>
        <w:pStyle w:val="Bodytext"/>
      </w:pPr>
      <w:r>
        <w:t>The</w:t>
      </w:r>
      <w:r w:rsidRPr="00E47E1E">
        <w:t xml:space="preserve"> state is divided into 29 basins</w:t>
      </w:r>
      <w:r>
        <w:t xml:space="preserve"> as the foundation for the basin assessments (</w:t>
      </w:r>
      <w:r w:rsidRPr="008430DA">
        <w:rPr>
          <w:b/>
          <w:i/>
        </w:rPr>
        <w:t>Table 5.1</w:t>
      </w:r>
      <w:r>
        <w:t>)</w:t>
      </w:r>
      <w:r w:rsidRPr="00E47E1E">
        <w:t>.</w:t>
      </w:r>
      <w:r>
        <w:t xml:space="preserve">  </w:t>
      </w:r>
      <w:r w:rsidRPr="00E47E1E">
        <w:t xml:space="preserve">During the </w:t>
      </w:r>
      <w:r>
        <w:t>five</w:t>
      </w:r>
      <w:r w:rsidRPr="00E47E1E">
        <w:t xml:space="preserve">-year </w:t>
      </w:r>
      <w:r>
        <w:t>cycle of the Status Network (</w:t>
      </w:r>
      <w:r w:rsidRPr="00E47E1E">
        <w:t>January 2004 through December 2008</w:t>
      </w:r>
      <w:r>
        <w:t>)</w:t>
      </w:r>
      <w:r w:rsidRPr="00E47E1E">
        <w:t xml:space="preserve">, all </w:t>
      </w:r>
      <w:r w:rsidRPr="00E66886">
        <w:t xml:space="preserve">basins were sampled in a predetermined sequence, using the </w:t>
      </w:r>
      <w:r>
        <w:t>five</w:t>
      </w:r>
      <w:r w:rsidRPr="00E66886">
        <w:t xml:space="preserve">-year rotation design adopted by </w:t>
      </w:r>
      <w:r>
        <w:t>FDEP’s</w:t>
      </w:r>
      <w:r w:rsidRPr="00E66886">
        <w:t xml:space="preserve"> </w:t>
      </w:r>
      <w:hyperlink r:id="rId61" w:history="1">
        <w:r w:rsidR="0070466C" w:rsidRPr="0070466C">
          <w:rPr>
            <w:rStyle w:val="Hyperlink"/>
          </w:rPr>
          <w:t>Watershed Management Program</w:t>
        </w:r>
      </w:hyperlink>
      <w:r w:rsidRPr="00E66886">
        <w:t xml:space="preserve">. </w:t>
      </w:r>
      <w:r>
        <w:t xml:space="preserve"> </w:t>
      </w:r>
      <w:r w:rsidRPr="00E66886">
        <w:t xml:space="preserve">The basins were sampled in order; however, sampling was conducted </w:t>
      </w:r>
      <w:r>
        <w:t xml:space="preserve">one to two </w:t>
      </w:r>
      <w:r w:rsidRPr="00E66886">
        <w:t>years prior to the basin assessments to allow the Status Network data to be available for these assessments.</w:t>
      </w:r>
    </w:p>
    <w:p w:rsidR="00485094" w:rsidRDefault="00485094" w:rsidP="00EA3D58">
      <w:pPr>
        <w:pStyle w:val="Bodytext"/>
      </w:pPr>
    </w:p>
    <w:p w:rsidR="00485094" w:rsidRDefault="00485094" w:rsidP="00EA3D58">
      <w:pPr>
        <w:pStyle w:val="Tableheading"/>
      </w:pPr>
      <w:bookmarkStart w:id="191" w:name="_Toc255482793"/>
      <w:bookmarkStart w:id="192" w:name="_Toc255807453"/>
      <w:bookmarkStart w:id="193" w:name="_Toc262464223"/>
      <w:bookmarkStart w:id="194" w:name="_Toc271280071"/>
      <w:bookmarkStart w:id="195" w:name="_Toc134347538"/>
      <w:r>
        <w:t>Table 5.1.  Basin Groups for Implementing the 2004–08 Statewide Assessment</w:t>
      </w:r>
      <w:bookmarkEnd w:id="191"/>
      <w:bookmarkEnd w:id="192"/>
      <w:bookmarkEnd w:id="193"/>
      <w:bookmarkEnd w:id="194"/>
    </w:p>
    <w:p w:rsidR="00485094" w:rsidRDefault="00485094" w:rsidP="00EA3D58">
      <w:pPr>
        <w:pStyle w:val="TabledescriptionBF"/>
      </w:pPr>
      <w:r>
        <w:t>This is a six-column table.  Column 1 lists the FDEP districts and Columns 2 through 5 list the Group 1 through 5 basins, respectively.</w:t>
      </w:r>
    </w:p>
    <w:p w:rsidR="00485094" w:rsidRDefault="00485094" w:rsidP="00EA3D58">
      <w:pPr>
        <w:pStyle w:val="TabledescriptionBF"/>
      </w:pPr>
      <w:r>
        <w:t xml:space="preserve"> </w:t>
      </w:r>
      <w:bookmarkEnd w:id="195"/>
    </w:p>
    <w:p w:rsidR="00485094" w:rsidRDefault="00485094" w:rsidP="00EA3D58">
      <w:pPr>
        <w:pStyle w:val="Bodytextreduced"/>
      </w:pPr>
      <w:r w:rsidRPr="00EC4B99">
        <w:t xml:space="preserve">- = Empty cell/no </w:t>
      </w:r>
      <w:r>
        <w:t>basin sampled</w:t>
      </w:r>
    </w:p>
    <w:tbl>
      <w:tblPr>
        <w:tblW w:w="946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tblPr>
      <w:tblGrid>
        <w:gridCol w:w="1098"/>
        <w:gridCol w:w="1710"/>
        <w:gridCol w:w="1710"/>
        <w:gridCol w:w="1710"/>
        <w:gridCol w:w="1800"/>
        <w:gridCol w:w="1440"/>
      </w:tblGrid>
      <w:tr w:rsidR="00485094" w:rsidRPr="005A1F92" w:rsidTr="000F2909">
        <w:trPr>
          <w:trHeight w:val="576"/>
          <w:jc w:val="center"/>
        </w:trPr>
        <w:tc>
          <w:tcPr>
            <w:tcW w:w="1098" w:type="dxa"/>
            <w:tcBorders>
              <w:bottom w:val="double" w:sz="4" w:space="0" w:color="auto"/>
            </w:tcBorders>
            <w:shd w:val="clear" w:color="auto" w:fill="BDFFFF"/>
            <w:vAlign w:val="bottom"/>
          </w:tcPr>
          <w:p w:rsidR="00485094" w:rsidRPr="005A1F92" w:rsidRDefault="00485094" w:rsidP="00453E80">
            <w:pPr>
              <w:pStyle w:val="TableText"/>
              <w:jc w:val="center"/>
              <w:rPr>
                <w:b/>
                <w:i/>
              </w:rPr>
            </w:pPr>
            <w:r w:rsidRPr="005A1F92">
              <w:rPr>
                <w:b/>
                <w:i/>
              </w:rPr>
              <w:t>FDEP District</w:t>
            </w:r>
          </w:p>
        </w:tc>
        <w:tc>
          <w:tcPr>
            <w:tcW w:w="1710" w:type="dxa"/>
            <w:tcBorders>
              <w:bottom w:val="double" w:sz="4" w:space="0" w:color="auto"/>
            </w:tcBorders>
            <w:shd w:val="clear" w:color="auto" w:fill="BDFFFF"/>
            <w:vAlign w:val="bottom"/>
          </w:tcPr>
          <w:p w:rsidR="00485094" w:rsidRPr="005A1F92" w:rsidRDefault="00485094" w:rsidP="00453E80">
            <w:pPr>
              <w:pStyle w:val="TableText"/>
              <w:jc w:val="center"/>
              <w:rPr>
                <w:b/>
                <w:i/>
              </w:rPr>
            </w:pPr>
            <w:r w:rsidRPr="005A1F92">
              <w:rPr>
                <w:b/>
                <w:i/>
              </w:rPr>
              <w:t>Group 1</w:t>
            </w:r>
          </w:p>
          <w:p w:rsidR="00485094" w:rsidRPr="005A1F92" w:rsidRDefault="00485094" w:rsidP="00453E80">
            <w:pPr>
              <w:pStyle w:val="TableText"/>
              <w:jc w:val="center"/>
              <w:rPr>
                <w:b/>
                <w:i/>
              </w:rPr>
            </w:pPr>
            <w:r w:rsidRPr="005A1F92">
              <w:rPr>
                <w:b/>
                <w:i/>
              </w:rPr>
              <w:t>Basins</w:t>
            </w:r>
          </w:p>
          <w:p w:rsidR="00485094" w:rsidRPr="005A1F92" w:rsidRDefault="00485094" w:rsidP="00453E80">
            <w:pPr>
              <w:pStyle w:val="TableText"/>
              <w:jc w:val="center"/>
              <w:rPr>
                <w:b/>
                <w:i/>
              </w:rPr>
            </w:pPr>
            <w:r w:rsidRPr="005A1F92">
              <w:rPr>
                <w:b/>
                <w:i/>
              </w:rPr>
              <w:t>(2004)</w:t>
            </w:r>
          </w:p>
        </w:tc>
        <w:tc>
          <w:tcPr>
            <w:tcW w:w="1710" w:type="dxa"/>
            <w:tcBorders>
              <w:bottom w:val="double" w:sz="4" w:space="0" w:color="auto"/>
            </w:tcBorders>
            <w:shd w:val="clear" w:color="auto" w:fill="BDFFFF"/>
            <w:vAlign w:val="bottom"/>
          </w:tcPr>
          <w:p w:rsidR="00485094" w:rsidRPr="005A1F92" w:rsidRDefault="00485094" w:rsidP="00453E80">
            <w:pPr>
              <w:pStyle w:val="TableText"/>
              <w:jc w:val="center"/>
              <w:rPr>
                <w:b/>
                <w:i/>
              </w:rPr>
            </w:pPr>
            <w:r w:rsidRPr="005A1F92">
              <w:rPr>
                <w:b/>
                <w:i/>
              </w:rPr>
              <w:t>Group 2</w:t>
            </w:r>
          </w:p>
          <w:p w:rsidR="00485094" w:rsidRPr="005A1F92" w:rsidRDefault="00485094" w:rsidP="00453E80">
            <w:pPr>
              <w:pStyle w:val="TableText"/>
              <w:jc w:val="center"/>
              <w:rPr>
                <w:b/>
                <w:i/>
              </w:rPr>
            </w:pPr>
            <w:r w:rsidRPr="005A1F92">
              <w:rPr>
                <w:b/>
                <w:i/>
              </w:rPr>
              <w:t>Basins</w:t>
            </w:r>
          </w:p>
          <w:p w:rsidR="00485094" w:rsidRPr="005A1F92" w:rsidRDefault="00485094" w:rsidP="00453E80">
            <w:pPr>
              <w:pStyle w:val="TableText"/>
              <w:jc w:val="center"/>
              <w:rPr>
                <w:b/>
                <w:i/>
              </w:rPr>
            </w:pPr>
            <w:r w:rsidRPr="005A1F92">
              <w:rPr>
                <w:b/>
                <w:i/>
              </w:rPr>
              <w:t>(2005)</w:t>
            </w:r>
          </w:p>
        </w:tc>
        <w:tc>
          <w:tcPr>
            <w:tcW w:w="1710" w:type="dxa"/>
            <w:tcBorders>
              <w:bottom w:val="double" w:sz="4" w:space="0" w:color="auto"/>
            </w:tcBorders>
            <w:shd w:val="clear" w:color="auto" w:fill="BDFFFF"/>
            <w:vAlign w:val="bottom"/>
          </w:tcPr>
          <w:p w:rsidR="00485094" w:rsidRPr="005A1F92" w:rsidRDefault="00485094" w:rsidP="00453E80">
            <w:pPr>
              <w:pStyle w:val="TableText"/>
              <w:jc w:val="center"/>
              <w:rPr>
                <w:b/>
                <w:i/>
              </w:rPr>
            </w:pPr>
            <w:r w:rsidRPr="005A1F92">
              <w:rPr>
                <w:b/>
                <w:i/>
              </w:rPr>
              <w:t>Group 3</w:t>
            </w:r>
          </w:p>
          <w:p w:rsidR="00485094" w:rsidRPr="005A1F92" w:rsidRDefault="00485094" w:rsidP="00453E80">
            <w:pPr>
              <w:pStyle w:val="TableText"/>
              <w:jc w:val="center"/>
              <w:rPr>
                <w:b/>
                <w:i/>
              </w:rPr>
            </w:pPr>
            <w:r w:rsidRPr="005A1F92">
              <w:rPr>
                <w:b/>
                <w:i/>
              </w:rPr>
              <w:t>Basins</w:t>
            </w:r>
          </w:p>
          <w:p w:rsidR="00485094" w:rsidRPr="005A1F92" w:rsidRDefault="00485094" w:rsidP="00453E80">
            <w:pPr>
              <w:pStyle w:val="TableText"/>
              <w:jc w:val="center"/>
              <w:rPr>
                <w:b/>
                <w:i/>
              </w:rPr>
            </w:pPr>
            <w:r w:rsidRPr="005A1F92">
              <w:rPr>
                <w:b/>
                <w:i/>
              </w:rPr>
              <w:t>(2006)</w:t>
            </w:r>
          </w:p>
        </w:tc>
        <w:tc>
          <w:tcPr>
            <w:tcW w:w="1800" w:type="dxa"/>
            <w:tcBorders>
              <w:bottom w:val="double" w:sz="4" w:space="0" w:color="auto"/>
            </w:tcBorders>
            <w:shd w:val="clear" w:color="auto" w:fill="BDFFFF"/>
            <w:vAlign w:val="bottom"/>
          </w:tcPr>
          <w:p w:rsidR="00485094" w:rsidRPr="005A1F92" w:rsidRDefault="00485094" w:rsidP="00453E80">
            <w:pPr>
              <w:pStyle w:val="TableText"/>
              <w:jc w:val="center"/>
              <w:rPr>
                <w:b/>
                <w:i/>
              </w:rPr>
            </w:pPr>
            <w:r w:rsidRPr="005A1F92">
              <w:rPr>
                <w:b/>
                <w:i/>
              </w:rPr>
              <w:t>Group 4</w:t>
            </w:r>
          </w:p>
          <w:p w:rsidR="00485094" w:rsidRPr="005A1F92" w:rsidRDefault="00485094" w:rsidP="00453E80">
            <w:pPr>
              <w:pStyle w:val="TableText"/>
              <w:jc w:val="center"/>
              <w:rPr>
                <w:b/>
                <w:i/>
              </w:rPr>
            </w:pPr>
            <w:r w:rsidRPr="005A1F92">
              <w:rPr>
                <w:b/>
                <w:i/>
              </w:rPr>
              <w:t>Basins</w:t>
            </w:r>
          </w:p>
          <w:p w:rsidR="00485094" w:rsidRPr="005A1F92" w:rsidRDefault="00485094" w:rsidP="00453E80">
            <w:pPr>
              <w:pStyle w:val="TableText"/>
              <w:jc w:val="center"/>
              <w:rPr>
                <w:b/>
                <w:i/>
              </w:rPr>
            </w:pPr>
            <w:r w:rsidRPr="005A1F92">
              <w:rPr>
                <w:b/>
                <w:i/>
              </w:rPr>
              <w:t>(200</w:t>
            </w:r>
            <w:r>
              <w:rPr>
                <w:b/>
                <w:i/>
              </w:rPr>
              <w:t>7</w:t>
            </w:r>
            <w:r w:rsidRPr="005A1F92">
              <w:rPr>
                <w:b/>
                <w:i/>
              </w:rPr>
              <w:t>)</w:t>
            </w:r>
          </w:p>
        </w:tc>
        <w:tc>
          <w:tcPr>
            <w:tcW w:w="1440" w:type="dxa"/>
            <w:tcBorders>
              <w:bottom w:val="double" w:sz="4" w:space="0" w:color="auto"/>
            </w:tcBorders>
            <w:shd w:val="clear" w:color="auto" w:fill="BDFFFF"/>
            <w:vAlign w:val="bottom"/>
          </w:tcPr>
          <w:p w:rsidR="00485094" w:rsidRPr="005A1F92" w:rsidRDefault="00485094" w:rsidP="00453E80">
            <w:pPr>
              <w:pStyle w:val="TableText"/>
              <w:jc w:val="center"/>
              <w:rPr>
                <w:b/>
                <w:i/>
              </w:rPr>
            </w:pPr>
            <w:r w:rsidRPr="005A1F92">
              <w:rPr>
                <w:b/>
                <w:i/>
              </w:rPr>
              <w:t>Group 5</w:t>
            </w:r>
          </w:p>
          <w:p w:rsidR="00485094" w:rsidRPr="005A1F92" w:rsidRDefault="00485094" w:rsidP="00453E80">
            <w:pPr>
              <w:pStyle w:val="TableText"/>
              <w:jc w:val="center"/>
              <w:rPr>
                <w:b/>
                <w:i/>
              </w:rPr>
            </w:pPr>
            <w:r w:rsidRPr="005A1F92">
              <w:rPr>
                <w:b/>
                <w:i/>
              </w:rPr>
              <w:t>Basins</w:t>
            </w:r>
          </w:p>
          <w:p w:rsidR="00485094" w:rsidRPr="005A1F92" w:rsidRDefault="00485094" w:rsidP="00453E80">
            <w:pPr>
              <w:pStyle w:val="TableText"/>
              <w:jc w:val="center"/>
              <w:rPr>
                <w:b/>
                <w:i/>
              </w:rPr>
            </w:pPr>
            <w:r w:rsidRPr="005A1F92">
              <w:rPr>
                <w:b/>
                <w:i/>
              </w:rPr>
              <w:t>(2008)</w:t>
            </w:r>
          </w:p>
        </w:tc>
      </w:tr>
      <w:tr w:rsidR="00485094" w:rsidTr="00453E80">
        <w:trPr>
          <w:jc w:val="center"/>
        </w:trPr>
        <w:tc>
          <w:tcPr>
            <w:tcW w:w="1098" w:type="dxa"/>
            <w:tcBorders>
              <w:top w:val="double" w:sz="4" w:space="0" w:color="auto"/>
            </w:tcBorders>
            <w:shd w:val="clear" w:color="auto" w:fill="FFFFCC"/>
            <w:vAlign w:val="center"/>
          </w:tcPr>
          <w:p w:rsidR="00485094" w:rsidRDefault="00485094" w:rsidP="00453E80">
            <w:pPr>
              <w:pStyle w:val="TableText"/>
              <w:jc w:val="center"/>
            </w:pPr>
            <w:r>
              <w:t>Northwest</w:t>
            </w:r>
          </w:p>
        </w:tc>
        <w:tc>
          <w:tcPr>
            <w:tcW w:w="1710" w:type="dxa"/>
            <w:tcBorders>
              <w:top w:val="double" w:sz="4" w:space="0" w:color="auto"/>
            </w:tcBorders>
            <w:vAlign w:val="center"/>
          </w:tcPr>
          <w:p w:rsidR="00485094" w:rsidRDefault="00485094" w:rsidP="00453E80">
            <w:pPr>
              <w:pStyle w:val="TableText"/>
              <w:jc w:val="center"/>
            </w:pPr>
            <w:r>
              <w:t>Ochlockonee–</w:t>
            </w:r>
          </w:p>
          <w:p w:rsidR="00485094" w:rsidRDefault="00485094" w:rsidP="00453E80">
            <w:pPr>
              <w:pStyle w:val="TableText"/>
              <w:jc w:val="center"/>
            </w:pPr>
            <w:r>
              <w:t>St. Marks</w:t>
            </w:r>
          </w:p>
        </w:tc>
        <w:tc>
          <w:tcPr>
            <w:tcW w:w="1710" w:type="dxa"/>
            <w:tcBorders>
              <w:top w:val="double" w:sz="4" w:space="0" w:color="auto"/>
            </w:tcBorders>
            <w:vAlign w:val="center"/>
          </w:tcPr>
          <w:p w:rsidR="00485094" w:rsidRDefault="00485094" w:rsidP="00453E80">
            <w:pPr>
              <w:pStyle w:val="TableText"/>
              <w:jc w:val="center"/>
            </w:pPr>
            <w:r>
              <w:t>Apalachicola–Chipola</w:t>
            </w:r>
          </w:p>
        </w:tc>
        <w:tc>
          <w:tcPr>
            <w:tcW w:w="1710" w:type="dxa"/>
            <w:tcBorders>
              <w:top w:val="double" w:sz="4" w:space="0" w:color="auto"/>
            </w:tcBorders>
            <w:vAlign w:val="center"/>
          </w:tcPr>
          <w:p w:rsidR="00485094" w:rsidRDefault="00485094" w:rsidP="00453E80">
            <w:pPr>
              <w:pStyle w:val="TableText"/>
              <w:jc w:val="center"/>
            </w:pPr>
            <w:r>
              <w:t>Choctawhatchee– St. Andrew</w:t>
            </w:r>
          </w:p>
        </w:tc>
        <w:tc>
          <w:tcPr>
            <w:tcW w:w="1800" w:type="dxa"/>
            <w:tcBorders>
              <w:top w:val="double" w:sz="4" w:space="0" w:color="auto"/>
            </w:tcBorders>
            <w:vAlign w:val="center"/>
          </w:tcPr>
          <w:p w:rsidR="00485094" w:rsidRDefault="00485094" w:rsidP="00453E80">
            <w:pPr>
              <w:pStyle w:val="TableText"/>
              <w:jc w:val="center"/>
            </w:pPr>
            <w:r>
              <w:t>Pensacola</w:t>
            </w:r>
          </w:p>
        </w:tc>
        <w:tc>
          <w:tcPr>
            <w:tcW w:w="1440" w:type="dxa"/>
            <w:tcBorders>
              <w:top w:val="double" w:sz="4" w:space="0" w:color="auto"/>
            </w:tcBorders>
            <w:vAlign w:val="center"/>
          </w:tcPr>
          <w:p w:rsidR="00485094" w:rsidRDefault="00485094" w:rsidP="00453E80">
            <w:pPr>
              <w:pStyle w:val="TableText"/>
              <w:jc w:val="center"/>
            </w:pPr>
            <w:r>
              <w:t>Perdido</w:t>
            </w:r>
          </w:p>
        </w:tc>
      </w:tr>
      <w:tr w:rsidR="00485094" w:rsidTr="00453E80">
        <w:trPr>
          <w:jc w:val="center"/>
        </w:trPr>
        <w:tc>
          <w:tcPr>
            <w:tcW w:w="1098" w:type="dxa"/>
            <w:shd w:val="clear" w:color="auto" w:fill="FFFFCC"/>
            <w:vAlign w:val="center"/>
          </w:tcPr>
          <w:p w:rsidR="00485094" w:rsidRDefault="00485094" w:rsidP="00453E80">
            <w:pPr>
              <w:pStyle w:val="TableText"/>
              <w:jc w:val="center"/>
            </w:pPr>
            <w:r>
              <w:t>Northeast</w:t>
            </w:r>
          </w:p>
        </w:tc>
        <w:tc>
          <w:tcPr>
            <w:tcW w:w="1710" w:type="dxa"/>
            <w:vAlign w:val="center"/>
          </w:tcPr>
          <w:p w:rsidR="00485094" w:rsidRDefault="00485094" w:rsidP="00453E80">
            <w:pPr>
              <w:pStyle w:val="TableText"/>
              <w:jc w:val="center"/>
            </w:pPr>
            <w:r>
              <w:t>Suwannee</w:t>
            </w:r>
          </w:p>
        </w:tc>
        <w:tc>
          <w:tcPr>
            <w:tcW w:w="1710" w:type="dxa"/>
            <w:vAlign w:val="center"/>
          </w:tcPr>
          <w:p w:rsidR="00485094" w:rsidRDefault="00485094" w:rsidP="00453E80">
            <w:pPr>
              <w:pStyle w:val="TableText"/>
              <w:jc w:val="center"/>
            </w:pPr>
            <w:r>
              <w:t>Lower St. Johns</w:t>
            </w:r>
          </w:p>
        </w:tc>
        <w:tc>
          <w:tcPr>
            <w:tcW w:w="1710" w:type="dxa"/>
            <w:vAlign w:val="center"/>
          </w:tcPr>
          <w:p w:rsidR="00485094" w:rsidRDefault="00485094" w:rsidP="00453E80">
            <w:pPr>
              <w:pStyle w:val="TableText"/>
              <w:jc w:val="center"/>
            </w:pPr>
            <w:r>
              <w:t>-</w:t>
            </w:r>
          </w:p>
        </w:tc>
        <w:tc>
          <w:tcPr>
            <w:tcW w:w="1800" w:type="dxa"/>
            <w:vAlign w:val="center"/>
          </w:tcPr>
          <w:p w:rsidR="00485094" w:rsidRDefault="00485094" w:rsidP="00453E80">
            <w:pPr>
              <w:pStyle w:val="TableText"/>
              <w:jc w:val="center"/>
            </w:pPr>
            <w:r>
              <w:t>Nassau–St. Marys</w:t>
            </w:r>
          </w:p>
        </w:tc>
        <w:tc>
          <w:tcPr>
            <w:tcW w:w="1440" w:type="dxa"/>
            <w:vAlign w:val="center"/>
          </w:tcPr>
          <w:p w:rsidR="00485094" w:rsidRDefault="00485094" w:rsidP="00453E80">
            <w:pPr>
              <w:pStyle w:val="TableText"/>
              <w:jc w:val="center"/>
            </w:pPr>
            <w:r>
              <w:t>Upper East Coast</w:t>
            </w:r>
          </w:p>
        </w:tc>
      </w:tr>
      <w:tr w:rsidR="00485094" w:rsidTr="00453E80">
        <w:trPr>
          <w:jc w:val="center"/>
        </w:trPr>
        <w:tc>
          <w:tcPr>
            <w:tcW w:w="1098" w:type="dxa"/>
            <w:shd w:val="clear" w:color="auto" w:fill="FFFFCC"/>
            <w:vAlign w:val="center"/>
          </w:tcPr>
          <w:p w:rsidR="00485094" w:rsidRDefault="00485094" w:rsidP="00453E80">
            <w:pPr>
              <w:pStyle w:val="TableText"/>
              <w:jc w:val="center"/>
            </w:pPr>
            <w:r>
              <w:t>Central</w:t>
            </w:r>
          </w:p>
        </w:tc>
        <w:tc>
          <w:tcPr>
            <w:tcW w:w="1710" w:type="dxa"/>
            <w:vAlign w:val="center"/>
          </w:tcPr>
          <w:p w:rsidR="00485094" w:rsidRDefault="00485094" w:rsidP="00453E80">
            <w:pPr>
              <w:pStyle w:val="TableText"/>
              <w:jc w:val="center"/>
            </w:pPr>
            <w:r>
              <w:t>Ocklawaha</w:t>
            </w:r>
          </w:p>
        </w:tc>
        <w:tc>
          <w:tcPr>
            <w:tcW w:w="1710" w:type="dxa"/>
            <w:vAlign w:val="center"/>
          </w:tcPr>
          <w:p w:rsidR="00485094" w:rsidRDefault="00485094" w:rsidP="00453E80">
            <w:pPr>
              <w:pStyle w:val="TableText"/>
              <w:jc w:val="center"/>
            </w:pPr>
            <w:r>
              <w:t>Middle St. Johns</w:t>
            </w:r>
          </w:p>
        </w:tc>
        <w:tc>
          <w:tcPr>
            <w:tcW w:w="1710" w:type="dxa"/>
            <w:vAlign w:val="center"/>
          </w:tcPr>
          <w:p w:rsidR="00485094" w:rsidRDefault="00485094" w:rsidP="00453E80">
            <w:pPr>
              <w:pStyle w:val="TableText"/>
              <w:jc w:val="center"/>
            </w:pPr>
            <w:r>
              <w:t>Upper St. Johns</w:t>
            </w:r>
          </w:p>
        </w:tc>
        <w:tc>
          <w:tcPr>
            <w:tcW w:w="1800" w:type="dxa"/>
            <w:vAlign w:val="center"/>
          </w:tcPr>
          <w:p w:rsidR="00485094" w:rsidRDefault="00485094" w:rsidP="00453E80">
            <w:pPr>
              <w:pStyle w:val="TableText"/>
              <w:jc w:val="center"/>
            </w:pPr>
            <w:r>
              <w:t>Kissimmee River</w:t>
            </w:r>
          </w:p>
        </w:tc>
        <w:tc>
          <w:tcPr>
            <w:tcW w:w="1440" w:type="dxa"/>
            <w:vAlign w:val="center"/>
          </w:tcPr>
          <w:p w:rsidR="00485094" w:rsidRDefault="00485094" w:rsidP="00453E80">
            <w:pPr>
              <w:pStyle w:val="TableText"/>
              <w:jc w:val="center"/>
            </w:pPr>
            <w:r>
              <w:t>Indian River Lagoon</w:t>
            </w:r>
          </w:p>
        </w:tc>
      </w:tr>
      <w:tr w:rsidR="00485094" w:rsidTr="00453E80">
        <w:trPr>
          <w:jc w:val="center"/>
        </w:trPr>
        <w:tc>
          <w:tcPr>
            <w:tcW w:w="1098" w:type="dxa"/>
            <w:shd w:val="clear" w:color="auto" w:fill="FFFFCC"/>
            <w:vAlign w:val="center"/>
          </w:tcPr>
          <w:p w:rsidR="00485094" w:rsidRDefault="00485094" w:rsidP="00453E80">
            <w:pPr>
              <w:pStyle w:val="TableText"/>
              <w:jc w:val="center"/>
            </w:pPr>
            <w:r>
              <w:t>Southwest</w:t>
            </w:r>
          </w:p>
        </w:tc>
        <w:tc>
          <w:tcPr>
            <w:tcW w:w="1710" w:type="dxa"/>
            <w:vAlign w:val="center"/>
          </w:tcPr>
          <w:p w:rsidR="00485094" w:rsidRDefault="00485094" w:rsidP="00453E80">
            <w:pPr>
              <w:pStyle w:val="TableText"/>
              <w:jc w:val="center"/>
            </w:pPr>
            <w:r>
              <w:t>Tampa Bay</w:t>
            </w:r>
          </w:p>
        </w:tc>
        <w:tc>
          <w:tcPr>
            <w:tcW w:w="1710" w:type="dxa"/>
            <w:vAlign w:val="center"/>
          </w:tcPr>
          <w:p w:rsidR="00485094" w:rsidRDefault="00485094" w:rsidP="00453E80">
            <w:pPr>
              <w:pStyle w:val="TableText"/>
              <w:jc w:val="center"/>
            </w:pPr>
            <w:r>
              <w:t>Tampa Bay Tributaries</w:t>
            </w:r>
          </w:p>
        </w:tc>
        <w:tc>
          <w:tcPr>
            <w:tcW w:w="1710" w:type="dxa"/>
            <w:vAlign w:val="center"/>
          </w:tcPr>
          <w:p w:rsidR="00485094" w:rsidRDefault="00485094" w:rsidP="00453E80">
            <w:pPr>
              <w:pStyle w:val="TableText"/>
              <w:jc w:val="center"/>
            </w:pPr>
            <w:r>
              <w:t>Sarasota Bay–Peace–Myakka</w:t>
            </w:r>
          </w:p>
        </w:tc>
        <w:tc>
          <w:tcPr>
            <w:tcW w:w="1800" w:type="dxa"/>
            <w:vAlign w:val="center"/>
          </w:tcPr>
          <w:p w:rsidR="00485094" w:rsidRDefault="00485094" w:rsidP="00453E80">
            <w:pPr>
              <w:pStyle w:val="TableText"/>
              <w:jc w:val="center"/>
            </w:pPr>
            <w:r>
              <w:t>Withlacoochee</w:t>
            </w:r>
          </w:p>
        </w:tc>
        <w:tc>
          <w:tcPr>
            <w:tcW w:w="1440" w:type="dxa"/>
            <w:vAlign w:val="center"/>
          </w:tcPr>
          <w:p w:rsidR="00485094" w:rsidRDefault="00485094" w:rsidP="00453E80">
            <w:pPr>
              <w:pStyle w:val="TableText"/>
              <w:jc w:val="center"/>
            </w:pPr>
            <w:r>
              <w:t>Springs Coast</w:t>
            </w:r>
          </w:p>
        </w:tc>
      </w:tr>
      <w:tr w:rsidR="00485094" w:rsidTr="00453E80">
        <w:trPr>
          <w:jc w:val="center"/>
        </w:trPr>
        <w:tc>
          <w:tcPr>
            <w:tcW w:w="1098" w:type="dxa"/>
            <w:shd w:val="clear" w:color="auto" w:fill="FFFFCC"/>
            <w:vAlign w:val="center"/>
          </w:tcPr>
          <w:p w:rsidR="00485094" w:rsidRDefault="00485094" w:rsidP="00453E80">
            <w:pPr>
              <w:pStyle w:val="TableText"/>
              <w:jc w:val="center"/>
            </w:pPr>
            <w:r>
              <w:t>South</w:t>
            </w:r>
          </w:p>
        </w:tc>
        <w:tc>
          <w:tcPr>
            <w:tcW w:w="1710" w:type="dxa"/>
            <w:vAlign w:val="center"/>
          </w:tcPr>
          <w:p w:rsidR="00485094" w:rsidRDefault="00485094" w:rsidP="00453E80">
            <w:pPr>
              <w:pStyle w:val="TableText"/>
              <w:jc w:val="center"/>
            </w:pPr>
            <w:r>
              <w:t>Everglades West</w:t>
            </w:r>
          </w:p>
          <w:p w:rsidR="00485094" w:rsidRDefault="00485094" w:rsidP="00453E80">
            <w:pPr>
              <w:pStyle w:val="TableText"/>
              <w:jc w:val="center"/>
            </w:pPr>
            <w:r>
              <w:t>Coast</w:t>
            </w:r>
          </w:p>
        </w:tc>
        <w:tc>
          <w:tcPr>
            <w:tcW w:w="1710" w:type="dxa"/>
            <w:vAlign w:val="center"/>
          </w:tcPr>
          <w:p w:rsidR="00485094" w:rsidRDefault="00485094" w:rsidP="00453E80">
            <w:pPr>
              <w:pStyle w:val="TableText"/>
              <w:jc w:val="center"/>
            </w:pPr>
            <w:r>
              <w:t>Charlotte Harbor</w:t>
            </w:r>
          </w:p>
        </w:tc>
        <w:tc>
          <w:tcPr>
            <w:tcW w:w="1710" w:type="dxa"/>
            <w:vAlign w:val="center"/>
          </w:tcPr>
          <w:p w:rsidR="00485094" w:rsidRDefault="00485094" w:rsidP="00453E80">
            <w:pPr>
              <w:pStyle w:val="TableText"/>
              <w:jc w:val="center"/>
            </w:pPr>
            <w:r>
              <w:t>Caloosahatchee</w:t>
            </w:r>
          </w:p>
        </w:tc>
        <w:tc>
          <w:tcPr>
            <w:tcW w:w="1800" w:type="dxa"/>
            <w:vAlign w:val="center"/>
          </w:tcPr>
          <w:p w:rsidR="00485094" w:rsidRDefault="00485094" w:rsidP="00453E80">
            <w:pPr>
              <w:pStyle w:val="TableText"/>
              <w:jc w:val="center"/>
            </w:pPr>
            <w:r>
              <w:t>Fisheating Creek</w:t>
            </w:r>
          </w:p>
        </w:tc>
        <w:tc>
          <w:tcPr>
            <w:tcW w:w="1440" w:type="dxa"/>
            <w:vAlign w:val="center"/>
          </w:tcPr>
          <w:p w:rsidR="00485094" w:rsidRDefault="00485094" w:rsidP="00453E80">
            <w:pPr>
              <w:pStyle w:val="TableText"/>
              <w:jc w:val="center"/>
            </w:pPr>
            <w:r>
              <w:t>Florida Keys</w:t>
            </w:r>
          </w:p>
        </w:tc>
      </w:tr>
      <w:tr w:rsidR="00485094" w:rsidTr="00453E80">
        <w:trPr>
          <w:jc w:val="center"/>
        </w:trPr>
        <w:tc>
          <w:tcPr>
            <w:tcW w:w="1098" w:type="dxa"/>
            <w:shd w:val="clear" w:color="auto" w:fill="FFFFCC"/>
            <w:vAlign w:val="center"/>
          </w:tcPr>
          <w:p w:rsidR="00485094" w:rsidRDefault="00485094" w:rsidP="00453E80">
            <w:pPr>
              <w:pStyle w:val="TableText"/>
              <w:jc w:val="center"/>
            </w:pPr>
            <w:r>
              <w:t>Southeast</w:t>
            </w:r>
          </w:p>
        </w:tc>
        <w:tc>
          <w:tcPr>
            <w:tcW w:w="1710" w:type="dxa"/>
            <w:vAlign w:val="center"/>
          </w:tcPr>
          <w:p w:rsidR="00485094" w:rsidRDefault="00485094" w:rsidP="00453E80">
            <w:pPr>
              <w:pStyle w:val="TableText"/>
              <w:jc w:val="center"/>
            </w:pPr>
            <w:r>
              <w:t>Lake Okeechobee</w:t>
            </w:r>
          </w:p>
        </w:tc>
        <w:tc>
          <w:tcPr>
            <w:tcW w:w="1710" w:type="dxa"/>
            <w:vAlign w:val="center"/>
          </w:tcPr>
          <w:p w:rsidR="00485094" w:rsidRDefault="00485094" w:rsidP="00453E80">
            <w:pPr>
              <w:pStyle w:val="TableText"/>
              <w:jc w:val="center"/>
            </w:pPr>
            <w:r>
              <w:t>St. Lucie–Loxahatchee</w:t>
            </w:r>
          </w:p>
        </w:tc>
        <w:tc>
          <w:tcPr>
            <w:tcW w:w="1710" w:type="dxa"/>
            <w:vAlign w:val="center"/>
          </w:tcPr>
          <w:p w:rsidR="00485094" w:rsidRDefault="00485094" w:rsidP="00453E80">
            <w:pPr>
              <w:pStyle w:val="TableText"/>
              <w:jc w:val="center"/>
            </w:pPr>
            <w:r>
              <w:t>Lake Worth Lagoon–</w:t>
            </w:r>
          </w:p>
          <w:p w:rsidR="00485094" w:rsidRDefault="00485094" w:rsidP="00453E80">
            <w:pPr>
              <w:pStyle w:val="TableText"/>
              <w:jc w:val="center"/>
            </w:pPr>
            <w:r>
              <w:t>Palm Beach Coast</w:t>
            </w:r>
          </w:p>
        </w:tc>
        <w:tc>
          <w:tcPr>
            <w:tcW w:w="1800" w:type="dxa"/>
            <w:vAlign w:val="center"/>
          </w:tcPr>
          <w:p w:rsidR="00485094" w:rsidRDefault="00485094" w:rsidP="00453E80">
            <w:pPr>
              <w:pStyle w:val="TableText"/>
              <w:jc w:val="center"/>
            </w:pPr>
            <w:r>
              <w:t>Southeast Coast–Biscayne Bay</w:t>
            </w:r>
          </w:p>
        </w:tc>
        <w:tc>
          <w:tcPr>
            <w:tcW w:w="1440" w:type="dxa"/>
            <w:vAlign w:val="center"/>
          </w:tcPr>
          <w:p w:rsidR="00485094" w:rsidRDefault="00485094" w:rsidP="00453E80">
            <w:pPr>
              <w:pStyle w:val="TableText"/>
              <w:jc w:val="center"/>
            </w:pPr>
            <w:r>
              <w:t>Everglades</w:t>
            </w:r>
          </w:p>
        </w:tc>
      </w:tr>
    </w:tbl>
    <w:p w:rsidR="00485094" w:rsidRDefault="00485094" w:rsidP="00EA3D58">
      <w:pPr>
        <w:pStyle w:val="Bodytextreduced"/>
      </w:pPr>
    </w:p>
    <w:p w:rsidR="00485094" w:rsidRDefault="00485094" w:rsidP="00EA3D58">
      <w:pPr>
        <w:pStyle w:val="Bodytextreduced"/>
      </w:pPr>
    </w:p>
    <w:p w:rsidR="00485094" w:rsidRDefault="00485094" w:rsidP="00EA3D58">
      <w:pPr>
        <w:pStyle w:val="Bodytext"/>
        <w:rPr>
          <w:szCs w:val="22"/>
        </w:rPr>
      </w:pPr>
      <w:r w:rsidRPr="00A13D53">
        <w:rPr>
          <w:szCs w:val="22"/>
        </w:rPr>
        <w:t xml:space="preserve">The </w:t>
      </w:r>
      <w:r>
        <w:rPr>
          <w:szCs w:val="22"/>
        </w:rPr>
        <w:t xml:space="preserve">Status Network uses the </w:t>
      </w:r>
      <w:r w:rsidRPr="00A13D53">
        <w:rPr>
          <w:szCs w:val="22"/>
        </w:rPr>
        <w:t xml:space="preserve">Generalized Random Tessellation Stratified (GRTS) sampling design, supported by </w:t>
      </w:r>
      <w:r>
        <w:rPr>
          <w:szCs w:val="22"/>
        </w:rPr>
        <w:t>the EPA</w:t>
      </w:r>
      <w:r w:rsidRPr="00A13D53">
        <w:rPr>
          <w:szCs w:val="22"/>
        </w:rPr>
        <w:t xml:space="preserve">’s </w:t>
      </w:r>
      <w:hyperlink r:id="rId62" w:history="1">
        <w:r w:rsidRPr="00044ABF">
          <w:rPr>
            <w:rStyle w:val="Hyperlink"/>
            <w:szCs w:val="22"/>
          </w:rPr>
          <w:t>Environmental Monitoring and Assessment Program (EMAP)</w:t>
        </w:r>
      </w:hyperlink>
      <w:r w:rsidRPr="00A13D53">
        <w:rPr>
          <w:szCs w:val="22"/>
        </w:rPr>
        <w:t>, to select sampling sites</w:t>
      </w:r>
      <w:r>
        <w:rPr>
          <w:szCs w:val="22"/>
        </w:rPr>
        <w:t xml:space="preserve">.  Geographic stratification breaks the state into basins, from which the sample sites are chosen </w:t>
      </w:r>
      <w:r w:rsidRPr="00A13D53">
        <w:rPr>
          <w:szCs w:val="22"/>
        </w:rPr>
        <w:t>from a</w:t>
      </w:r>
      <w:r>
        <w:rPr>
          <w:szCs w:val="22"/>
        </w:rPr>
        <w:t xml:space="preserve"> target population </w:t>
      </w:r>
      <w:r w:rsidRPr="00A13D53">
        <w:rPr>
          <w:szCs w:val="22"/>
        </w:rPr>
        <w:t>(list frame)</w:t>
      </w:r>
      <w:r>
        <w:rPr>
          <w:szCs w:val="22"/>
        </w:rPr>
        <w:t xml:space="preserve"> using simple random selection</w:t>
      </w:r>
      <w:r w:rsidRPr="00A13D53">
        <w:rPr>
          <w:szCs w:val="22"/>
        </w:rPr>
        <w:t>.</w:t>
      </w:r>
      <w:r>
        <w:rPr>
          <w:szCs w:val="22"/>
        </w:rPr>
        <w:t xml:space="preserve">  GRTS</w:t>
      </w:r>
      <w:r w:rsidRPr="00A13D53">
        <w:rPr>
          <w:szCs w:val="22"/>
        </w:rPr>
        <w:t xml:space="preserve"> design ensures that the sites are representative of the target resources and that their s</w:t>
      </w:r>
      <w:r>
        <w:rPr>
          <w:szCs w:val="22"/>
        </w:rPr>
        <w:t xml:space="preserve">election is not biased.  </w:t>
      </w:r>
    </w:p>
    <w:p w:rsidR="00485094" w:rsidRDefault="00485094" w:rsidP="00EA3D58">
      <w:pPr>
        <w:pStyle w:val="Bodytext"/>
        <w:rPr>
          <w:szCs w:val="22"/>
        </w:rPr>
      </w:pPr>
    </w:p>
    <w:p w:rsidR="00485094" w:rsidRDefault="00485094" w:rsidP="00EA3D58">
      <w:pPr>
        <w:pStyle w:val="Bodytext"/>
      </w:pPr>
      <w:r>
        <w:t>FDEP made adjustments to</w:t>
      </w:r>
      <w:r w:rsidRPr="00FE5DFF">
        <w:t xml:space="preserve"> the GRTS sample design due to the unequal distribution of water resources.  For example, there are few lakes in the southern portion of the state</w:t>
      </w:r>
      <w:r>
        <w:t>, which is dominated by wetlands and canals</w:t>
      </w:r>
      <w:r w:rsidRPr="00FE5DFF">
        <w:t>.  Other factors, such as periods of drought or denials of access from large landowners, can limit the list of possible sites to sample.  Target resource lists are continually updated via field staff comments.</w:t>
      </w:r>
    </w:p>
    <w:p w:rsidR="00485094" w:rsidRPr="00FE5DFF" w:rsidRDefault="00485094" w:rsidP="00EA3D58">
      <w:pPr>
        <w:pStyle w:val="Bodytext"/>
      </w:pPr>
    </w:p>
    <w:p w:rsidR="00485094" w:rsidRPr="00FE5DFF" w:rsidRDefault="00485094" w:rsidP="00EA3D58">
      <w:pPr>
        <w:pStyle w:val="Heading3"/>
      </w:pPr>
      <w:bookmarkStart w:id="196" w:name="_Toc255822521"/>
      <w:bookmarkStart w:id="197" w:name="_Toc262464138"/>
      <w:bookmarkStart w:id="198" w:name="_Toc271279962"/>
      <w:bookmarkStart w:id="199" w:name="_Toc234030460"/>
      <w:bookmarkStart w:id="200" w:name="_Toc248209562"/>
      <w:r w:rsidRPr="00FE5DFF">
        <w:t>Water Resource Types</w:t>
      </w:r>
      <w:bookmarkEnd w:id="196"/>
      <w:bookmarkEnd w:id="197"/>
      <w:bookmarkEnd w:id="198"/>
    </w:p>
    <w:p w:rsidR="00485094" w:rsidRPr="002A79CF" w:rsidRDefault="00485094" w:rsidP="00EA3D58">
      <w:pPr>
        <w:pStyle w:val="Bodytext"/>
      </w:pPr>
      <w:r w:rsidRPr="002A79CF">
        <w:t xml:space="preserve">The parent populations for the Status Network are all statewide surface and ground waters.  The </w:t>
      </w:r>
      <w:r>
        <w:t xml:space="preserve">following </w:t>
      </w:r>
      <w:r w:rsidRPr="002A79CF">
        <w:t>water resources are the target populations</w:t>
      </w:r>
      <w:r>
        <w:t>:</w:t>
      </w:r>
      <w:r w:rsidRPr="002A79CF">
        <w:t xml:space="preserve">  </w:t>
      </w:r>
      <w:bookmarkEnd w:id="199"/>
      <w:bookmarkEnd w:id="200"/>
    </w:p>
    <w:p w:rsidR="00485094" w:rsidRPr="002A79CF" w:rsidRDefault="00485094" w:rsidP="00EA3D58">
      <w:pPr>
        <w:pStyle w:val="Bodytext"/>
      </w:pPr>
      <w:bookmarkStart w:id="201" w:name="_Toc248209564"/>
    </w:p>
    <w:p w:rsidR="00485094" w:rsidRDefault="00485094" w:rsidP="00EA3D58">
      <w:pPr>
        <w:pStyle w:val="ListBullet"/>
      </w:pPr>
      <w:r w:rsidRPr="00382EB4">
        <w:rPr>
          <w:b/>
        </w:rPr>
        <w:t>Surface Water</w:t>
      </w:r>
      <w:bookmarkEnd w:id="201"/>
      <w:r>
        <w:t>—</w:t>
      </w:r>
      <w:r w:rsidRPr="0066318D">
        <w:t>Florida’s surface waters are diverse and challenging to categorize.  Surface waters are divided into two groups</w:t>
      </w:r>
      <w:r>
        <w:t>:</w:t>
      </w:r>
      <w:r w:rsidRPr="0066318D">
        <w:t xml:space="preserve"> flowing (l</w:t>
      </w:r>
      <w:r>
        <w:t xml:space="preserve">otic) or still </w:t>
      </w:r>
      <w:r w:rsidRPr="0066318D">
        <w:t>(l</w:t>
      </w:r>
      <w:r>
        <w:t>en</w:t>
      </w:r>
      <w:r w:rsidRPr="0066318D">
        <w:t>tic).  The l</w:t>
      </w:r>
      <w:r>
        <w:t>o</w:t>
      </w:r>
      <w:r w:rsidRPr="0066318D">
        <w:t xml:space="preserve">tic group consists of rivers, </w:t>
      </w:r>
      <w:r>
        <w:t xml:space="preserve">streams, </w:t>
      </w:r>
      <w:r w:rsidRPr="0066318D">
        <w:t xml:space="preserve">springs, </w:t>
      </w:r>
      <w:r>
        <w:t xml:space="preserve">and canals.  </w:t>
      </w:r>
      <w:r w:rsidRPr="0066318D">
        <w:t xml:space="preserve"> In Florida, </w:t>
      </w:r>
      <w:r>
        <w:t xml:space="preserve">the lentic group consists of </w:t>
      </w:r>
      <w:r w:rsidRPr="0066318D">
        <w:t>many types of natural lakes, including sand</w:t>
      </w:r>
      <w:r>
        <w:t xml:space="preserve"> </w:t>
      </w:r>
      <w:r w:rsidRPr="0066318D">
        <w:t>hill lakes, sinkhole lakes, oxbow lakes</w:t>
      </w:r>
      <w:r>
        <w:t xml:space="preserve">, and established reservoirs.  </w:t>
      </w:r>
      <w:r w:rsidRPr="0066318D">
        <w:t xml:space="preserve">These range in size from less than an acre to over 500,000 acres. </w:t>
      </w:r>
      <w:r>
        <w:t xml:space="preserve"> </w:t>
      </w:r>
      <w:r w:rsidRPr="0066318D">
        <w:t xml:space="preserve">Artificial waterbodies, such as stormwater retention ponds, </w:t>
      </w:r>
      <w:r>
        <w:t xml:space="preserve">impoundments used for agriculture, </w:t>
      </w:r>
      <w:r w:rsidRPr="0066318D">
        <w:t>golf course ponds, or other man</w:t>
      </w:r>
      <w:r>
        <w:t>-</w:t>
      </w:r>
      <w:r w:rsidRPr="0066318D">
        <w:t xml:space="preserve">made water features </w:t>
      </w:r>
      <w:r>
        <w:t xml:space="preserve">that are not waters of the state </w:t>
      </w:r>
      <w:r w:rsidRPr="0066318D">
        <w:t xml:space="preserve">are </w:t>
      </w:r>
      <w:r>
        <w:t xml:space="preserve">common but are not part of the target population, and are </w:t>
      </w:r>
      <w:r w:rsidRPr="0066318D">
        <w:t>removed from the resource list</w:t>
      </w:r>
      <w:r>
        <w:t xml:space="preserve"> frame</w:t>
      </w:r>
      <w:r w:rsidRPr="0066318D">
        <w:t xml:space="preserve">.  </w:t>
      </w:r>
    </w:p>
    <w:p w:rsidR="00485094" w:rsidRDefault="00485094">
      <w:pPr>
        <w:pStyle w:val="Listbulletsub"/>
        <w:numPr>
          <w:ilvl w:val="0"/>
          <w:numId w:val="15"/>
        </w:numPr>
        <w:ind w:left="1008" w:hanging="288"/>
      </w:pPr>
      <w:r w:rsidRPr="00382EB4">
        <w:rPr>
          <w:b/>
        </w:rPr>
        <w:t>Rivers, Streams, and Canals</w:t>
      </w:r>
      <w:r>
        <w:t>—Flowing surface waters that are waters of the state</w:t>
      </w:r>
      <w:r w:rsidRPr="000F332D">
        <w:t xml:space="preserve"> </w:t>
      </w:r>
      <w:r>
        <w:t>are</w:t>
      </w:r>
      <w:r w:rsidRPr="000F332D">
        <w:t xml:space="preserve"> divided into rivers </w:t>
      </w:r>
      <w:r>
        <w:t>or</w:t>
      </w:r>
      <w:r w:rsidRPr="000F332D">
        <w:t xml:space="preserve"> stream</w:t>
      </w:r>
      <w:r>
        <w:t xml:space="preserve">s </w:t>
      </w:r>
      <w:r w:rsidRPr="000F332D">
        <w:t xml:space="preserve">based on </w:t>
      </w:r>
      <w:r>
        <w:t>size, as recommended by FDEP and</w:t>
      </w:r>
      <w:r w:rsidRPr="000F332D">
        <w:t xml:space="preserve"> </w:t>
      </w:r>
      <w:r>
        <w:t>water management district</w:t>
      </w:r>
      <w:r w:rsidRPr="000F332D">
        <w:t xml:space="preserve"> </w:t>
      </w:r>
      <w:r>
        <w:t>staff</w:t>
      </w:r>
      <w:r w:rsidRPr="000F332D">
        <w:t xml:space="preserve">. </w:t>
      </w:r>
      <w:r>
        <w:t xml:space="preserve"> Large ri</w:t>
      </w:r>
      <w:r w:rsidRPr="000F332D">
        <w:t xml:space="preserve">vers </w:t>
      </w:r>
      <w:r>
        <w:t>are initially identified, and</w:t>
      </w:r>
      <w:r w:rsidRPr="000F332D">
        <w:t xml:space="preserve"> the remaining</w:t>
      </w:r>
      <w:r>
        <w:t>, smaller</w:t>
      </w:r>
      <w:r w:rsidRPr="000F332D">
        <w:t xml:space="preserve"> </w:t>
      </w:r>
      <w:r>
        <w:t>flowing surface waters are</w:t>
      </w:r>
      <w:r w:rsidRPr="000F332D">
        <w:t xml:space="preserve"> </w:t>
      </w:r>
      <w:r>
        <w:t>classified as strea</w:t>
      </w:r>
      <w:r w:rsidRPr="000F332D">
        <w:t>ms</w:t>
      </w:r>
      <w:r>
        <w:t>.</w:t>
      </w:r>
      <w:r w:rsidRPr="000F332D">
        <w:t xml:space="preserve"> </w:t>
      </w:r>
      <w:r>
        <w:t xml:space="preserve"> Rivers and streams that are mostly or entirely channelized are deemed canals and are still considered part of the target population.  Segments of rivers and streams that are impounded are not included in this resource.  </w:t>
      </w:r>
    </w:p>
    <w:p w:rsidR="00485094" w:rsidRDefault="00485094">
      <w:pPr>
        <w:pStyle w:val="Listbulletsub"/>
        <w:numPr>
          <w:ilvl w:val="0"/>
          <w:numId w:val="15"/>
        </w:numPr>
        <w:ind w:left="1008" w:hanging="288"/>
      </w:pPr>
      <w:bookmarkStart w:id="202" w:name="_Toc248209563"/>
      <w:bookmarkStart w:id="203" w:name="_Toc248209565"/>
      <w:r w:rsidRPr="00382EB4">
        <w:rPr>
          <w:b/>
        </w:rPr>
        <w:t>Large and Small Lakes</w:t>
      </w:r>
      <w:r>
        <w:t>—</w:t>
      </w:r>
      <w:r w:rsidRPr="000F332D">
        <w:t xml:space="preserve">Lakes are subdivided into two </w:t>
      </w:r>
      <w:r>
        <w:t>populations</w:t>
      </w:r>
      <w:r w:rsidRPr="000F332D">
        <w:t>:</w:t>
      </w:r>
      <w:r>
        <w:t xml:space="preserve"> </w:t>
      </w:r>
      <w:r w:rsidRPr="000F332D">
        <w:t xml:space="preserve"> </w:t>
      </w:r>
      <w:r>
        <w:t>(1)</w:t>
      </w:r>
      <w:r w:rsidRPr="000F332D">
        <w:t xml:space="preserve"> small lakes</w:t>
      </w:r>
      <w:r>
        <w:t xml:space="preserve"> </w:t>
      </w:r>
      <w:r w:rsidRPr="000F332D">
        <w:t xml:space="preserve">between </w:t>
      </w:r>
      <w:r>
        <w:t>2.5</w:t>
      </w:r>
      <w:r w:rsidRPr="000F332D">
        <w:t xml:space="preserve"> and </w:t>
      </w:r>
      <w:r>
        <w:t>25 a</w:t>
      </w:r>
      <w:r w:rsidRPr="000F332D">
        <w:t>c</w:t>
      </w:r>
      <w:r>
        <w:t xml:space="preserve">res; and </w:t>
      </w:r>
      <w:r w:rsidRPr="00C234AF">
        <w:t>(2)</w:t>
      </w:r>
      <w:r w:rsidRPr="000F332D">
        <w:t xml:space="preserve"> </w:t>
      </w:r>
      <w:r>
        <w:t>large lakes over 25 acres</w:t>
      </w:r>
      <w:r w:rsidRPr="000F332D">
        <w:t xml:space="preserve">. </w:t>
      </w:r>
      <w:r>
        <w:t xml:space="preserve"> The</w:t>
      </w:r>
      <w:r w:rsidRPr="000F332D">
        <w:t xml:space="preserve"> differentiation on the basis of size is intended to accommodate different sampling strategies and allow</w:t>
      </w:r>
      <w:r>
        <w:t>s</w:t>
      </w:r>
      <w:r w:rsidRPr="000F332D">
        <w:t xml:space="preserve"> better representation of the resource</w:t>
      </w:r>
      <w:r>
        <w:t xml:space="preserve"> types.</w:t>
      </w:r>
      <w:r w:rsidRPr="004F5832">
        <w:t xml:space="preserve"> </w:t>
      </w:r>
      <w:r>
        <w:t xml:space="preserve"> If</w:t>
      </w:r>
      <w:r w:rsidRPr="000F332D">
        <w:t xml:space="preserve"> all lakes </w:t>
      </w:r>
      <w:r>
        <w:t>were</w:t>
      </w:r>
      <w:r w:rsidRPr="000F332D">
        <w:t xml:space="preserve"> in one category</w:t>
      </w:r>
      <w:r>
        <w:t>,</w:t>
      </w:r>
      <w:r w:rsidRPr="000F332D">
        <w:t xml:space="preserve"> </w:t>
      </w:r>
      <w:r>
        <w:t>t</w:t>
      </w:r>
      <w:r w:rsidRPr="000F332D">
        <w:t xml:space="preserve">he size of large lakes would skew </w:t>
      </w:r>
      <w:r>
        <w:t xml:space="preserve">site </w:t>
      </w:r>
      <w:r w:rsidRPr="000F332D">
        <w:t>selection and cause smal</w:t>
      </w:r>
      <w:r>
        <w:t>l lakes to be under-represented.</w:t>
      </w:r>
    </w:p>
    <w:p w:rsidR="00485094" w:rsidRPr="00D47239" w:rsidRDefault="00485094" w:rsidP="00D47239">
      <w:pPr>
        <w:pStyle w:val="Bodytextreduced"/>
      </w:pPr>
    </w:p>
    <w:p w:rsidR="00485094" w:rsidRDefault="00485094" w:rsidP="00EA3D58">
      <w:pPr>
        <w:pStyle w:val="ListBullet"/>
      </w:pPr>
      <w:r w:rsidRPr="00382EB4">
        <w:rPr>
          <w:b/>
        </w:rPr>
        <w:t>Ground Water</w:t>
      </w:r>
      <w:bookmarkEnd w:id="202"/>
      <w:r>
        <w:t xml:space="preserve">—Ground water resources are </w:t>
      </w:r>
      <w:r w:rsidRPr="000F332D">
        <w:t>subdivided into two target populations</w:t>
      </w:r>
      <w:r>
        <w:t xml:space="preserve"> </w:t>
      </w:r>
      <w:r w:rsidRPr="000F332D">
        <w:t>for the purposes of sampling and resource characterization:</w:t>
      </w:r>
      <w:r>
        <w:t xml:space="preserve"> </w:t>
      </w:r>
      <w:r w:rsidRPr="000F332D">
        <w:t xml:space="preserve"> (1) unconfined aquifers and (2) confined aquifers</w:t>
      </w:r>
      <w:r w:rsidRPr="00A74AFF">
        <w:t xml:space="preserve">. </w:t>
      </w:r>
      <w:r>
        <w:t xml:space="preserve"> U</w:t>
      </w:r>
      <w:r w:rsidRPr="00A74AFF">
        <w:t xml:space="preserve">nconfined </w:t>
      </w:r>
      <w:r>
        <w:t>aquifers are</w:t>
      </w:r>
      <w:r w:rsidRPr="00A74AFF">
        <w:t xml:space="preserve"> near the land surface</w:t>
      </w:r>
      <w:r>
        <w:t xml:space="preserve"> and</w:t>
      </w:r>
      <w:r w:rsidRPr="00A74AFF">
        <w:t xml:space="preserve"> can be readily affected by human activities. </w:t>
      </w:r>
      <w:r>
        <w:t xml:space="preserve"> </w:t>
      </w:r>
      <w:r w:rsidRPr="000F332D">
        <w:t>The confined</w:t>
      </w:r>
      <w:r>
        <w:t xml:space="preserve"> </w:t>
      </w:r>
      <w:r w:rsidRPr="000F332D">
        <w:t xml:space="preserve">aquifer target population includes </w:t>
      </w:r>
      <w:r>
        <w:t>aquifers that</w:t>
      </w:r>
      <w:r w:rsidRPr="000F332D">
        <w:t xml:space="preserve"> </w:t>
      </w:r>
      <w:r>
        <w:t>are</w:t>
      </w:r>
      <w:r w:rsidRPr="000F332D">
        <w:t xml:space="preserve"> </w:t>
      </w:r>
      <w:r>
        <w:t xml:space="preserve">below a confining unit and are </w:t>
      </w:r>
      <w:r w:rsidRPr="000F332D">
        <w:t>heavily used as a source of</w:t>
      </w:r>
      <w:r>
        <w:t xml:space="preserve"> </w:t>
      </w:r>
      <w:r w:rsidRPr="000F332D">
        <w:t>water.</w:t>
      </w:r>
      <w:r>
        <w:t xml:space="preserve">  I</w:t>
      </w:r>
      <w:r w:rsidRPr="000F332D">
        <w:t xml:space="preserve">ndividual wells </w:t>
      </w:r>
      <w:r>
        <w:t xml:space="preserve">are </w:t>
      </w:r>
      <w:r w:rsidRPr="000F332D">
        <w:t>selected from a</w:t>
      </w:r>
      <w:r>
        <w:t>n</w:t>
      </w:r>
      <w:r w:rsidRPr="000F332D">
        <w:t xml:space="preserve"> </w:t>
      </w:r>
      <w:r>
        <w:t>annually updated list provided to FDEP by the water management districts.</w:t>
      </w:r>
      <w:r w:rsidRPr="00EF4CB6">
        <w:t xml:space="preserve">  The ground water target population is chosen </w:t>
      </w:r>
      <w:r>
        <w:t xml:space="preserve">to represent ambient ground water conditions, avoiding wells </w:t>
      </w:r>
      <w:r w:rsidRPr="00EF4CB6">
        <w:t xml:space="preserve">in </w:t>
      </w:r>
      <w:r>
        <w:t xml:space="preserve">areas of known contamination </w:t>
      </w:r>
      <w:r w:rsidRPr="00EF4CB6">
        <w:t>and saltwater intrusion</w:t>
      </w:r>
      <w:r>
        <w:t>.</w:t>
      </w:r>
      <w:r w:rsidRPr="00EF4CB6">
        <w:t xml:space="preserve">  Only upgradient wells from FDEP-permitted facilities</w:t>
      </w:r>
      <w:r>
        <w:t>, such as regulated landfill or wastewater treatment plants,</w:t>
      </w:r>
      <w:r w:rsidRPr="00EF4CB6">
        <w:t xml:space="preserve"> are included on the list and considered for sampling.  The target population </w:t>
      </w:r>
      <w:r>
        <w:t xml:space="preserve">also </w:t>
      </w:r>
      <w:r w:rsidRPr="00EF4CB6">
        <w:t>includes public supply wells because pumping typicall</w:t>
      </w:r>
      <w:r>
        <w:t>y removes high volumes of water.</w:t>
      </w:r>
      <w:bookmarkStart w:id="204" w:name="_Toc243369007"/>
      <w:bookmarkEnd w:id="203"/>
    </w:p>
    <w:p w:rsidR="00485094" w:rsidRDefault="00485094" w:rsidP="00EA3D58">
      <w:pPr>
        <w:pStyle w:val="Bodytextreduced"/>
      </w:pPr>
    </w:p>
    <w:p w:rsidR="00485094" w:rsidRPr="002A79CF" w:rsidRDefault="00485094" w:rsidP="00EA3D58">
      <w:pPr>
        <w:pStyle w:val="Heading3"/>
      </w:pPr>
      <w:bookmarkStart w:id="205" w:name="_Geographic_Design"/>
      <w:bookmarkStart w:id="206" w:name="_Toc248209566"/>
      <w:bookmarkStart w:id="207" w:name="_Toc255822522"/>
      <w:bookmarkStart w:id="208" w:name="_Toc262464139"/>
      <w:bookmarkStart w:id="209" w:name="_Toc271279963"/>
      <w:bookmarkEnd w:id="204"/>
      <w:bookmarkEnd w:id="205"/>
      <w:r w:rsidRPr="002A79CF">
        <w:t>Geographic Design</w:t>
      </w:r>
      <w:bookmarkEnd w:id="206"/>
      <w:r w:rsidRPr="002A79CF">
        <w:t xml:space="preserve"> and Site Selection</w:t>
      </w:r>
      <w:bookmarkEnd w:id="207"/>
      <w:bookmarkEnd w:id="208"/>
      <w:bookmarkEnd w:id="209"/>
    </w:p>
    <w:p w:rsidR="00485094" w:rsidRDefault="00485094" w:rsidP="00EA3D58">
      <w:pPr>
        <w:pStyle w:val="Bodytext"/>
      </w:pPr>
      <w:r w:rsidRPr="003D745C">
        <w:t xml:space="preserve">Location information </w:t>
      </w:r>
      <w:r>
        <w:t xml:space="preserve">for the state’s </w:t>
      </w:r>
      <w:r w:rsidRPr="003D745C">
        <w:t xml:space="preserve">water resources </w:t>
      </w:r>
      <w:r>
        <w:t xml:space="preserve">resides in </w:t>
      </w:r>
      <w:r w:rsidRPr="003D745C">
        <w:t xml:space="preserve">a </w:t>
      </w:r>
      <w:r>
        <w:t>GIS database.  Spatial representations of the targeted water resources are sent in a GIS file with associated information (metadata</w:t>
      </w:r>
      <w:r w:rsidRPr="0097516D">
        <w:rPr>
          <w:rStyle w:val="FootnoteReference"/>
        </w:rPr>
        <w:footnoteReference w:id="3"/>
      </w:r>
      <w:r>
        <w:t xml:space="preserve">) to the EPA in Corvallis, Oregon, for site selections.  </w:t>
      </w:r>
      <w:r w:rsidRPr="00E61C8C">
        <w:t>T</w:t>
      </w:r>
      <w:r>
        <w:t>hirty</w:t>
      </w:r>
      <w:r w:rsidRPr="00E61C8C">
        <w:t xml:space="preserve"> random primary sites and a </w:t>
      </w:r>
      <w:r>
        <w:t>5</w:t>
      </w:r>
      <w:r w:rsidRPr="00E61C8C">
        <w:t>-time oversample (alternate sites), for a total of 1</w:t>
      </w:r>
      <w:r>
        <w:t>8</w:t>
      </w:r>
      <w:r w:rsidRPr="00E61C8C">
        <w:t xml:space="preserve">0 possible sites, are selected from each water resource </w:t>
      </w:r>
      <w:r>
        <w:t xml:space="preserve">type </w:t>
      </w:r>
      <w:r w:rsidRPr="00E61C8C">
        <w:t xml:space="preserve">in each </w:t>
      </w:r>
      <w:r>
        <w:t>basin</w:t>
      </w:r>
      <w:r w:rsidRPr="00E61C8C">
        <w:t xml:space="preserve">, resulting in </w:t>
      </w:r>
      <w:r>
        <w:t>1,08</w:t>
      </w:r>
      <w:r w:rsidRPr="00E61C8C">
        <w:t>0 potential sample sites statewide</w:t>
      </w:r>
      <w:r>
        <w:t xml:space="preserve">.  </w:t>
      </w:r>
      <w:r w:rsidRPr="00E61C8C">
        <w:t xml:space="preserve">The </w:t>
      </w:r>
      <w:r>
        <w:t>alternate sites are</w:t>
      </w:r>
      <w:r w:rsidRPr="00E61C8C">
        <w:t xml:space="preserve"> required </w:t>
      </w:r>
      <w:r>
        <w:t>due to</w:t>
      </w:r>
      <w:r w:rsidRPr="00E61C8C">
        <w:t xml:space="preserve"> the high probability of sampling problems, such as </w:t>
      </w:r>
      <w:r>
        <w:t xml:space="preserve">landowner denials of </w:t>
      </w:r>
      <w:r w:rsidRPr="00E61C8C">
        <w:t>access, dry resources, and other challenges associated with random versus fixed station sampling designs</w:t>
      </w:r>
      <w:r>
        <w:t>.</w:t>
      </w:r>
    </w:p>
    <w:p w:rsidR="00485094" w:rsidRPr="00D81E68" w:rsidRDefault="00485094" w:rsidP="00EA3D58">
      <w:pPr>
        <w:pStyle w:val="Bodytextreduced"/>
      </w:pPr>
      <w:r w:rsidRPr="00D81E68">
        <w:t xml:space="preserve"> </w:t>
      </w:r>
    </w:p>
    <w:p w:rsidR="00485094" w:rsidRPr="00586904" w:rsidRDefault="00485094" w:rsidP="00EA3D58">
      <w:pPr>
        <w:pStyle w:val="Heading3"/>
      </w:pPr>
      <w:bookmarkStart w:id="210" w:name="_Toc248209569"/>
      <w:bookmarkStart w:id="211" w:name="_Toc255822523"/>
      <w:bookmarkStart w:id="212" w:name="_Toc262464140"/>
      <w:bookmarkStart w:id="213" w:name="_Toc271279964"/>
      <w:r w:rsidRPr="00586904">
        <w:t>Sampling and Frequency</w:t>
      </w:r>
      <w:bookmarkEnd w:id="210"/>
      <w:bookmarkEnd w:id="211"/>
      <w:bookmarkEnd w:id="212"/>
      <w:bookmarkEnd w:id="213"/>
    </w:p>
    <w:p w:rsidR="00485094" w:rsidRDefault="00485094" w:rsidP="00EA3D58">
      <w:pPr>
        <w:pStyle w:val="Bodytext"/>
        <w:rPr>
          <w:sz w:val="18"/>
          <w:szCs w:val="18"/>
        </w:rPr>
      </w:pPr>
      <w:r>
        <w:t>The annual goal of the Status Network is to collect 30 samples f</w:t>
      </w:r>
      <w:r w:rsidRPr="000F332D">
        <w:t>r</w:t>
      </w:r>
      <w:r>
        <w:t>om</w:t>
      </w:r>
      <w:r w:rsidRPr="000F332D">
        <w:t xml:space="preserve"> each water resource </w:t>
      </w:r>
      <w:r>
        <w:t xml:space="preserve">type in the basin, for a total of 180 samples statewide.  </w:t>
      </w:r>
      <w:r w:rsidRPr="00A51190">
        <w:rPr>
          <w:b/>
          <w:i/>
        </w:rPr>
        <w:t>Figure 5.1</w:t>
      </w:r>
      <w:r w:rsidRPr="00C86F09">
        <w:t xml:space="preserve"> represents the sampling scheme used from 2004 to 2008.  Each water resource type was sampled over a two</w:t>
      </w:r>
      <w:r>
        <w:t>-</w:t>
      </w:r>
      <w:r w:rsidRPr="00C86F09">
        <w:t>month period</w:t>
      </w:r>
      <w:r>
        <w:t>,</w:t>
      </w:r>
      <w:r w:rsidRPr="00C86F09">
        <w:t xml:space="preserve"> with a third “overflow” month available if needed.  The</w:t>
      </w:r>
      <w:r>
        <w:t xml:space="preserve"> state is divided into two sections, Panhandle and Peninsula, and sample collection is scheduled when water quality indicators are expected to show the greatest response or the least variability.</w:t>
      </w:r>
      <w:r w:rsidRPr="001A4617">
        <w:rPr>
          <w:sz w:val="18"/>
          <w:szCs w:val="18"/>
        </w:rPr>
        <w:t xml:space="preserve">  </w:t>
      </w:r>
    </w:p>
    <w:p w:rsidR="00485094" w:rsidRPr="00355D9D" w:rsidRDefault="00485094" w:rsidP="00EA3D58">
      <w:pPr>
        <w:pStyle w:val="Bodytext"/>
      </w:pPr>
    </w:p>
    <w:p w:rsidR="00485094" w:rsidRDefault="00485094" w:rsidP="00FF4CBF">
      <w:pPr>
        <w:pStyle w:val="Caption"/>
      </w:pPr>
      <w:bookmarkStart w:id="214" w:name="_Toc262464224"/>
      <w:bookmarkStart w:id="215" w:name="_Toc271280142"/>
      <w:r>
        <w:t>Figure 5.1.  Status Network Sampling Periods</w:t>
      </w:r>
      <w:bookmarkEnd w:id="214"/>
      <w:r>
        <w:t xml:space="preserve"> for the Florida Panhandle and Florida Peninsula</w:t>
      </w:r>
      <w:bookmarkEnd w:id="215"/>
      <w:r>
        <w:t xml:space="preserve"> </w:t>
      </w:r>
    </w:p>
    <w:p w:rsidR="00485094" w:rsidRPr="00FF4CBF" w:rsidRDefault="00485094" w:rsidP="00FF4CBF">
      <w:pPr>
        <w:pStyle w:val="Bodytext"/>
      </w:pPr>
    </w:p>
    <w:p w:rsidR="00485094" w:rsidRDefault="001717CD" w:rsidP="00EA3D58">
      <w:pPr>
        <w:pStyle w:val="Bodytextreduced"/>
      </w:pPr>
      <w:r>
        <w:rPr>
          <w:noProof/>
        </w:rPr>
        <w:drawing>
          <wp:anchor distT="0" distB="0" distL="114300" distR="114300" simplePos="0" relativeHeight="251651584" behindDoc="0" locked="0" layoutInCell="1" allowOverlap="1">
            <wp:simplePos x="0" y="0"/>
            <wp:positionH relativeFrom="column">
              <wp:align>center</wp:align>
            </wp:positionH>
            <wp:positionV relativeFrom="paragraph">
              <wp:posOffset>1905</wp:posOffset>
            </wp:positionV>
            <wp:extent cx="5486400" cy="3571240"/>
            <wp:effectExtent l="19050" t="0" r="0" b="0"/>
            <wp:wrapTopAndBottom/>
            <wp:docPr id="50" name="Picture 0" descr="Figure 5.1.  Status Network Sampling Periods for the Florida Panhandle and Florida Peninsula.  This is a chart with the months of the year across the top with the resources sampled down the side of the chart.  Months of the year are shaded to show when samples were collected for each resource in two different areas of the state, the Florida panhandle and the Florida peninsul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igure 5.1.  Status Network Sampling Periods for the Florida Panhandle and Florida Peninsula "/>
                    <pic:cNvPicPr>
                      <a:picLocks noChangeAspect="1" noChangeArrowheads="1"/>
                    </pic:cNvPicPr>
                  </pic:nvPicPr>
                  <pic:blipFill>
                    <a:blip r:embed="rId63"/>
                    <a:srcRect l="1801" t="1733" r="2901" b="15601"/>
                    <a:stretch>
                      <a:fillRect/>
                    </a:stretch>
                  </pic:blipFill>
                  <pic:spPr bwMode="auto">
                    <a:xfrm>
                      <a:off x="0" y="0"/>
                      <a:ext cx="5486400" cy="3571240"/>
                    </a:xfrm>
                    <a:prstGeom prst="rect">
                      <a:avLst/>
                    </a:prstGeom>
                    <a:noFill/>
                    <a:ln w="9525">
                      <a:noFill/>
                      <a:miter lim="800000"/>
                      <a:headEnd/>
                      <a:tailEnd/>
                    </a:ln>
                  </pic:spPr>
                </pic:pic>
              </a:graphicData>
            </a:graphic>
          </wp:anchor>
        </w:drawing>
      </w:r>
    </w:p>
    <w:p w:rsidR="00485094" w:rsidRDefault="00485094" w:rsidP="00EA3D58">
      <w:pPr>
        <w:pStyle w:val="Bodytextreduced"/>
      </w:pPr>
      <w:bookmarkStart w:id="216" w:name="_Toc243369009"/>
    </w:p>
    <w:p w:rsidR="00485094" w:rsidRPr="002A79CF" w:rsidRDefault="00485094" w:rsidP="00EA3D58">
      <w:pPr>
        <w:pStyle w:val="Heading3"/>
      </w:pPr>
      <w:bookmarkStart w:id="217" w:name="_Toc255822524"/>
      <w:bookmarkStart w:id="218" w:name="_Toc262464141"/>
      <w:bookmarkStart w:id="219" w:name="_Toc271279965"/>
      <w:r w:rsidRPr="002A79CF">
        <w:t>Status Network Core and Supplemental Indicators</w:t>
      </w:r>
      <w:bookmarkEnd w:id="217"/>
      <w:bookmarkEnd w:id="218"/>
      <w:bookmarkEnd w:id="219"/>
    </w:p>
    <w:p w:rsidR="00485094" w:rsidRDefault="00485094" w:rsidP="00EA3D58">
      <w:pPr>
        <w:pStyle w:val="Bodytext"/>
      </w:pPr>
      <w:r w:rsidRPr="000F332D">
        <w:rPr>
          <w:snapToGrid w:val="0"/>
        </w:rPr>
        <w:t xml:space="preserve">While most </w:t>
      </w:r>
      <w:r>
        <w:rPr>
          <w:snapToGrid w:val="0"/>
        </w:rPr>
        <w:t xml:space="preserve">water quality </w:t>
      </w:r>
      <w:r w:rsidRPr="000F332D">
        <w:rPr>
          <w:snapToGrid w:val="0"/>
        </w:rPr>
        <w:t xml:space="preserve">monitoring has historically focused on chemistry, </w:t>
      </w:r>
      <w:r w:rsidRPr="000F332D">
        <w:t xml:space="preserve">FDEP’s </w:t>
      </w:r>
      <w:r>
        <w:t>Status and Trend Networks</w:t>
      </w:r>
      <w:r w:rsidRPr="000F332D">
        <w:t xml:space="preserve"> expand th</w:t>
      </w:r>
      <w:r>
        <w:t>is</w:t>
      </w:r>
      <w:r w:rsidRPr="000F332D">
        <w:t xml:space="preserve"> scope to </w:t>
      </w:r>
      <w:r>
        <w:t>include</w:t>
      </w:r>
      <w:r w:rsidRPr="000F332D">
        <w:t xml:space="preserve"> biological and physical indicators</w:t>
      </w:r>
      <w:r>
        <w:t>.</w:t>
      </w:r>
      <w:r w:rsidRPr="000F332D">
        <w:t xml:space="preserve"> </w:t>
      </w:r>
      <w:r>
        <w:t xml:space="preserve"> Together, the chemical, physical, and biological </w:t>
      </w:r>
      <w:r w:rsidRPr="000F332D">
        <w:t xml:space="preserve">indicators provide scientific information </w:t>
      </w:r>
      <w:r>
        <w:t>about</w:t>
      </w:r>
      <w:r w:rsidRPr="000F332D">
        <w:t xml:space="preserve"> the condition of </w:t>
      </w:r>
      <w:r>
        <w:t>the state’s water resources and whether they meet their designated uses based on state and EPA guidance.</w:t>
      </w:r>
      <w:r w:rsidRPr="0010357F">
        <w:t xml:space="preserve"> </w:t>
      </w:r>
      <w:r>
        <w:t xml:space="preserve"> </w:t>
      </w:r>
      <w:r>
        <w:rPr>
          <w:rFonts w:cs="Arial"/>
          <w:szCs w:val="24"/>
        </w:rPr>
        <w:t>Core indicators</w:t>
      </w:r>
      <w:r w:rsidRPr="000F332D">
        <w:rPr>
          <w:rFonts w:cs="Arial"/>
          <w:szCs w:val="24"/>
        </w:rPr>
        <w:t xml:space="preserve"> provide information about the chemical</w:t>
      </w:r>
      <w:r>
        <w:rPr>
          <w:rFonts w:cs="Arial"/>
          <w:szCs w:val="24"/>
        </w:rPr>
        <w:t>, physical,</w:t>
      </w:r>
      <w:r w:rsidRPr="000F332D">
        <w:rPr>
          <w:rFonts w:cs="Arial"/>
          <w:szCs w:val="24"/>
        </w:rPr>
        <w:t xml:space="preserve"> and biological status of surface and ground water, including suitability for human and aquatic use</w:t>
      </w:r>
      <w:r>
        <w:rPr>
          <w:rFonts w:cs="Arial"/>
          <w:szCs w:val="24"/>
        </w:rPr>
        <w:t>s</w:t>
      </w:r>
      <w:r w:rsidRPr="000F332D">
        <w:rPr>
          <w:rFonts w:cs="Arial"/>
          <w:szCs w:val="24"/>
        </w:rPr>
        <w:t xml:space="preserve">. </w:t>
      </w:r>
      <w:r>
        <w:rPr>
          <w:rFonts w:cs="Arial"/>
          <w:szCs w:val="24"/>
        </w:rPr>
        <w:t xml:space="preserve"> </w:t>
      </w:r>
      <w:r w:rsidRPr="000F332D">
        <w:rPr>
          <w:rFonts w:cs="Arial"/>
          <w:szCs w:val="24"/>
        </w:rPr>
        <w:t xml:space="preserve">These </w:t>
      </w:r>
      <w:r>
        <w:rPr>
          <w:rFonts w:cs="Arial"/>
          <w:szCs w:val="24"/>
        </w:rPr>
        <w:t>data</w:t>
      </w:r>
      <w:r w:rsidRPr="000F332D">
        <w:rPr>
          <w:rFonts w:cs="Arial"/>
          <w:szCs w:val="24"/>
        </w:rPr>
        <w:t xml:space="preserve"> can be used </w:t>
      </w:r>
      <w:r>
        <w:rPr>
          <w:rFonts w:cs="Arial"/>
          <w:szCs w:val="24"/>
        </w:rPr>
        <w:t>to</w:t>
      </w:r>
      <w:r w:rsidRPr="000F332D">
        <w:rPr>
          <w:rFonts w:cs="Arial"/>
          <w:szCs w:val="24"/>
        </w:rPr>
        <w:t xml:space="preserve"> gage condition based on </w:t>
      </w:r>
      <w:r>
        <w:rPr>
          <w:rFonts w:cs="Arial"/>
          <w:szCs w:val="24"/>
        </w:rPr>
        <w:t xml:space="preserve">water quality </w:t>
      </w:r>
      <w:r w:rsidRPr="000F332D">
        <w:rPr>
          <w:rFonts w:cs="Arial"/>
          <w:szCs w:val="24"/>
        </w:rPr>
        <w:t>standard</w:t>
      </w:r>
      <w:r>
        <w:rPr>
          <w:rFonts w:cs="Arial"/>
          <w:szCs w:val="24"/>
        </w:rPr>
        <w:t>s</w:t>
      </w:r>
      <w:r w:rsidRPr="000F332D">
        <w:rPr>
          <w:rFonts w:cs="Arial"/>
          <w:szCs w:val="24"/>
        </w:rPr>
        <w:t xml:space="preserve"> or guidance.</w:t>
      </w:r>
      <w:r>
        <w:rPr>
          <w:rFonts w:cs="Arial"/>
          <w:szCs w:val="24"/>
        </w:rPr>
        <w:t xml:space="preserve"> </w:t>
      </w:r>
      <w:r w:rsidRPr="000F332D">
        <w:rPr>
          <w:rFonts w:cs="Arial"/>
          <w:szCs w:val="24"/>
        </w:rPr>
        <w:t xml:space="preserve"> </w:t>
      </w:r>
      <w:r>
        <w:rPr>
          <w:rFonts w:cs="Arial"/>
          <w:szCs w:val="24"/>
        </w:rPr>
        <w:t>Supplemental indicators</w:t>
      </w:r>
      <w:r w:rsidRPr="000F332D">
        <w:rPr>
          <w:rFonts w:cs="Arial"/>
          <w:szCs w:val="24"/>
        </w:rPr>
        <w:t xml:space="preserve"> provide </w:t>
      </w:r>
      <w:r>
        <w:rPr>
          <w:rFonts w:cs="Arial"/>
          <w:szCs w:val="24"/>
        </w:rPr>
        <w:t xml:space="preserve">additional </w:t>
      </w:r>
      <w:r w:rsidRPr="000F332D">
        <w:rPr>
          <w:rFonts w:cs="Arial"/>
          <w:szCs w:val="24"/>
        </w:rPr>
        <w:t xml:space="preserve">information </w:t>
      </w:r>
      <w:r>
        <w:rPr>
          <w:rFonts w:cs="Arial"/>
          <w:szCs w:val="24"/>
        </w:rPr>
        <w:t xml:space="preserve">and aid in screening for potential pollutants of concern.  </w:t>
      </w:r>
      <w:r>
        <w:t>Certain b</w:t>
      </w:r>
      <w:r w:rsidRPr="000F332D">
        <w:t xml:space="preserve">iological </w:t>
      </w:r>
      <w:r>
        <w:t>indicators are collected only in</w:t>
      </w:r>
      <w:r w:rsidRPr="000F332D">
        <w:t xml:space="preserve"> rivers</w:t>
      </w:r>
      <w:r>
        <w:t xml:space="preserve">, </w:t>
      </w:r>
      <w:r w:rsidRPr="000F332D">
        <w:t>streams</w:t>
      </w:r>
      <w:r>
        <w:t>,</w:t>
      </w:r>
      <w:r w:rsidRPr="000F332D">
        <w:t xml:space="preserve"> and</w:t>
      </w:r>
      <w:r>
        <w:t xml:space="preserve"> lakes (i.e., chlorophyll </w:t>
      </w:r>
      <w:r w:rsidRPr="00DA08C4">
        <w:rPr>
          <w:i/>
        </w:rPr>
        <w:t>a</w:t>
      </w:r>
      <w:r>
        <w:t>).</w:t>
      </w:r>
    </w:p>
    <w:p w:rsidR="00485094" w:rsidRDefault="00485094" w:rsidP="00EA3D58">
      <w:pPr>
        <w:pStyle w:val="Bodytext"/>
      </w:pPr>
    </w:p>
    <w:p w:rsidR="00485094" w:rsidRDefault="00485094" w:rsidP="00EA3D58">
      <w:pPr>
        <w:pStyle w:val="Bodytext"/>
      </w:pPr>
      <w:r>
        <w:rPr>
          <w:rFonts w:cs="Arial"/>
          <w:szCs w:val="24"/>
        </w:rPr>
        <w:t>These core and supplemental indicators</w:t>
      </w:r>
      <w:r w:rsidRPr="000F332D">
        <w:rPr>
          <w:rFonts w:cs="Arial"/>
          <w:szCs w:val="24"/>
        </w:rPr>
        <w:t xml:space="preserve"> </w:t>
      </w:r>
      <w:r>
        <w:rPr>
          <w:rFonts w:cs="Arial"/>
          <w:szCs w:val="24"/>
        </w:rPr>
        <w:t>are often chosen to support special projects or used to develop water quality criteria.</w:t>
      </w:r>
      <w:r w:rsidRPr="000F332D">
        <w:t xml:space="preserve"> </w:t>
      </w:r>
      <w:r>
        <w:t xml:space="preserve"> Some indicators are combined to form indices that evaluate waterbody condition—for example, the Trophic State Index (TSI) uses TN, TP, and chlorophyll </w:t>
      </w:r>
      <w:r w:rsidRPr="009D19A3">
        <w:rPr>
          <w:i/>
        </w:rPr>
        <w:t>a</w:t>
      </w:r>
      <w:r>
        <w:t xml:space="preserve"> values to provide a broader understanding of a waterbody’s status.  Selected i</w:t>
      </w:r>
      <w:r w:rsidRPr="000F332D">
        <w:t>ndicators,</w:t>
      </w:r>
      <w:r>
        <w:t xml:space="preserve"> such as</w:t>
      </w:r>
      <w:r w:rsidRPr="000F332D">
        <w:t xml:space="preserve"> chloride, nitrate, and bacteria</w:t>
      </w:r>
      <w:r>
        <w:t>,</w:t>
      </w:r>
      <w:r w:rsidRPr="000F332D">
        <w:t xml:space="preserve"> serve to assess the suitability of </w:t>
      </w:r>
      <w:r>
        <w:t>ground water</w:t>
      </w:r>
      <w:r w:rsidRPr="000F332D">
        <w:t xml:space="preserve"> for drinking water purposes.</w:t>
      </w:r>
      <w:r>
        <w:t xml:space="preserve"> </w:t>
      </w:r>
      <w:r w:rsidRPr="000F332D">
        <w:t xml:space="preserve"> Likewise, the indicator lists for surface water resources are </w:t>
      </w:r>
      <w:r>
        <w:t>selected</w:t>
      </w:r>
      <w:r w:rsidRPr="000F332D">
        <w:t xml:space="preserve"> to detect threats to water quality, such as</w:t>
      </w:r>
      <w:r>
        <w:t xml:space="preserve"> nutrient enrichment, which can lead to </w:t>
      </w:r>
      <w:r w:rsidRPr="000F332D">
        <w:t>eutrophication and habitat loss.</w:t>
      </w:r>
      <w:r>
        <w:t xml:space="preserve">  The Status Network has supported the development of biological indices to evaluate waterbody condition in Florida, and includes sampling for both the </w:t>
      </w:r>
      <w:hyperlink r:id="rId64" w:history="1">
        <w:r w:rsidRPr="00044ABF">
          <w:rPr>
            <w:rStyle w:val="Hyperlink"/>
          </w:rPr>
          <w:t>Stream Condition Index [SCI]</w:t>
        </w:r>
      </w:hyperlink>
      <w:r>
        <w:t xml:space="preserve"> and the </w:t>
      </w:r>
      <w:hyperlink r:id="rId65" w:history="1">
        <w:r>
          <w:rPr>
            <w:rStyle w:val="Hyperlink"/>
          </w:rPr>
          <w:t>Lake V</w:t>
        </w:r>
        <w:r w:rsidRPr="00044ABF">
          <w:rPr>
            <w:rStyle w:val="Hyperlink"/>
          </w:rPr>
          <w:t>egetation Index [LVI]</w:t>
        </w:r>
      </w:hyperlink>
      <w:r w:rsidRPr="001116E4">
        <w:t>)</w:t>
      </w:r>
      <w:r>
        <w:t>.</w:t>
      </w:r>
    </w:p>
    <w:p w:rsidR="00485094" w:rsidRPr="001116E4" w:rsidRDefault="00485094" w:rsidP="00EA3D58">
      <w:pPr>
        <w:pStyle w:val="Bodytext"/>
      </w:pPr>
    </w:p>
    <w:p w:rsidR="00485094" w:rsidRDefault="00485094" w:rsidP="00EA3D58">
      <w:pPr>
        <w:pStyle w:val="Bodytext"/>
        <w:rPr>
          <w:rFonts w:cs="Arial"/>
          <w:szCs w:val="22"/>
        </w:rPr>
      </w:pPr>
      <w:r w:rsidRPr="00F17C07">
        <w:rPr>
          <w:rFonts w:cs="Arial"/>
          <w:szCs w:val="22"/>
        </w:rPr>
        <w:t>In addition to the suite of water quality indicators (</w:t>
      </w:r>
      <w:r w:rsidRPr="00F17C07">
        <w:rPr>
          <w:rFonts w:cs="Arial"/>
          <w:b/>
          <w:i/>
          <w:szCs w:val="22"/>
        </w:rPr>
        <w:t xml:space="preserve">Tables 5.2a </w:t>
      </w:r>
      <w:r w:rsidRPr="00F17C07">
        <w:rPr>
          <w:rFonts w:cs="Arial"/>
          <w:szCs w:val="22"/>
        </w:rPr>
        <w:t>through</w:t>
      </w:r>
      <w:r w:rsidRPr="00F17C07">
        <w:rPr>
          <w:rFonts w:cs="Arial"/>
          <w:b/>
          <w:i/>
          <w:szCs w:val="22"/>
        </w:rPr>
        <w:t xml:space="preserve"> 5.2f</w:t>
      </w:r>
      <w:r w:rsidRPr="00F17C07">
        <w:rPr>
          <w:rFonts w:cs="Arial"/>
          <w:szCs w:val="22"/>
        </w:rPr>
        <w:t>), sediment chemistry is a useful supplemental indicator of an aquatic system’s ecological health (</w:t>
      </w:r>
      <w:r w:rsidRPr="00F17C07">
        <w:rPr>
          <w:rFonts w:cs="Arial"/>
          <w:b/>
          <w:i/>
          <w:szCs w:val="22"/>
        </w:rPr>
        <w:t xml:space="preserve">Tables 5.3a </w:t>
      </w:r>
      <w:r w:rsidRPr="00F17C07">
        <w:rPr>
          <w:rFonts w:cs="Arial"/>
          <w:szCs w:val="22"/>
        </w:rPr>
        <w:t>through</w:t>
      </w:r>
      <w:r w:rsidRPr="00F17C07">
        <w:rPr>
          <w:rFonts w:cs="Arial"/>
          <w:b/>
          <w:i/>
          <w:szCs w:val="22"/>
        </w:rPr>
        <w:t xml:space="preserve"> 5.3c</w:t>
      </w:r>
      <w:r w:rsidRPr="00F17C07">
        <w:rPr>
          <w:rFonts w:cs="Arial"/>
          <w:szCs w:val="22"/>
        </w:rPr>
        <w:t xml:space="preserve">).  Florida has developed geochemical and biological-based tools to assess sediment quality.  </w:t>
      </w:r>
      <w:r w:rsidRPr="00F17C07">
        <w:rPr>
          <w:rFonts w:cs="Arial"/>
          <w:snapToGrid w:val="0"/>
          <w:color w:val="000000"/>
          <w:szCs w:val="22"/>
        </w:rPr>
        <w:t xml:space="preserve">The interpretation of sediment metals data is not straightforward because </w:t>
      </w:r>
      <w:r w:rsidRPr="00AA6893">
        <w:rPr>
          <w:rFonts w:cs="Arial"/>
          <w:snapToGrid w:val="0"/>
          <w:color w:val="000000"/>
          <w:szCs w:val="22"/>
        </w:rPr>
        <w:t xml:space="preserve">metals </w:t>
      </w:r>
      <w:r>
        <w:rPr>
          <w:rFonts w:cs="Arial"/>
          <w:snapToGrid w:val="0"/>
          <w:color w:val="000000"/>
          <w:szCs w:val="22"/>
        </w:rPr>
        <w:t>occur</w:t>
      </w:r>
      <w:r w:rsidRPr="00AA6893">
        <w:rPr>
          <w:rFonts w:cs="Arial"/>
          <w:snapToGrid w:val="0"/>
          <w:color w:val="000000"/>
          <w:szCs w:val="22"/>
        </w:rPr>
        <w:t xml:space="preserve"> naturally in Florida sediment.</w:t>
      </w:r>
      <w:r>
        <w:rPr>
          <w:rFonts w:cs="Arial"/>
          <w:snapToGrid w:val="0"/>
          <w:color w:val="000000"/>
          <w:szCs w:val="22"/>
        </w:rPr>
        <w:t xml:space="preserve"> </w:t>
      </w:r>
      <w:r w:rsidRPr="00AA6893">
        <w:rPr>
          <w:rFonts w:cs="Arial"/>
          <w:snapToGrid w:val="0"/>
          <w:color w:val="000000"/>
          <w:szCs w:val="22"/>
        </w:rPr>
        <w:t xml:space="preserve"> Thus, depending on the source region, Florida sediment metal </w:t>
      </w:r>
      <w:r w:rsidRPr="00537EFE">
        <w:rPr>
          <w:rFonts w:cs="Arial"/>
          <w:snapToGrid w:val="0"/>
          <w:color w:val="000000"/>
          <w:szCs w:val="22"/>
        </w:rPr>
        <w:t xml:space="preserve">concentrations range by two orders of magnitude.  </w:t>
      </w:r>
      <w:r w:rsidRPr="00537EFE">
        <w:rPr>
          <w:rFonts w:cs="Arial"/>
          <w:szCs w:val="22"/>
        </w:rPr>
        <w:t xml:space="preserve">FDEP uses the guidance outlined in </w:t>
      </w:r>
      <w:hyperlink r:id="rId66" w:history="1">
        <w:r w:rsidRPr="00537EFE">
          <w:rPr>
            <w:rStyle w:val="Hyperlink"/>
            <w:rFonts w:cs="Arial"/>
            <w:i/>
            <w:snapToGrid w:val="0"/>
            <w:szCs w:val="22"/>
          </w:rPr>
          <w:t>An Interpret</w:t>
        </w:r>
        <w:r>
          <w:rPr>
            <w:rStyle w:val="Hyperlink"/>
            <w:rFonts w:cs="Arial"/>
            <w:i/>
            <w:snapToGrid w:val="0"/>
            <w:szCs w:val="22"/>
          </w:rPr>
          <w:t>at</w:t>
        </w:r>
        <w:r w:rsidRPr="00537EFE">
          <w:rPr>
            <w:rStyle w:val="Hyperlink"/>
            <w:rFonts w:cs="Arial"/>
            <w:i/>
            <w:snapToGrid w:val="0"/>
            <w:szCs w:val="22"/>
          </w:rPr>
          <w:t>ive Tool for the Assessment of Metal Enrichment in Florida Freshwater Sediment</w:t>
        </w:r>
      </w:hyperlink>
      <w:r>
        <w:t xml:space="preserve"> (Carvalho and Schropp et al., 2003)</w:t>
      </w:r>
      <w:r w:rsidRPr="00537EFE">
        <w:t>,</w:t>
      </w:r>
      <w:r w:rsidRPr="00537EFE">
        <w:rPr>
          <w:rFonts w:cs="Arial"/>
          <w:snapToGrid w:val="0"/>
          <w:szCs w:val="22"/>
          <w:vertAlign w:val="superscript"/>
        </w:rPr>
        <w:t xml:space="preserve"> </w:t>
      </w:r>
      <w:r w:rsidRPr="00537EFE">
        <w:rPr>
          <w:rFonts w:cs="Arial"/>
          <w:snapToGrid w:val="0"/>
          <w:szCs w:val="22"/>
        </w:rPr>
        <w:t>which</w:t>
      </w:r>
      <w:r w:rsidRPr="00537EFE">
        <w:rPr>
          <w:rFonts w:cs="Arial"/>
          <w:szCs w:val="22"/>
        </w:rPr>
        <w:t xml:space="preserve"> </w:t>
      </w:r>
      <w:r w:rsidRPr="00537EFE">
        <w:rPr>
          <w:rFonts w:cs="Arial"/>
          <w:snapToGrid w:val="0"/>
          <w:szCs w:val="22"/>
        </w:rPr>
        <w:t xml:space="preserve">estimates contamination through the use of a statistical normalizing technique.  </w:t>
      </w:r>
      <w:r w:rsidRPr="00537EFE">
        <w:rPr>
          <w:rFonts w:cs="Arial"/>
          <w:szCs w:val="22"/>
        </w:rPr>
        <w:t xml:space="preserve">Additionally, FDEP follows the guidance outlined in </w:t>
      </w:r>
      <w:hyperlink r:id="rId67" w:history="1">
        <w:r w:rsidRPr="00537EFE">
          <w:rPr>
            <w:rStyle w:val="Hyperlink"/>
            <w:rFonts w:cs="Arial"/>
            <w:i/>
            <w:szCs w:val="22"/>
          </w:rPr>
          <w:t>Development and Evaluation of Numerical Sediment Quality Assessment Guidelines for Florida Inland Waters</w:t>
        </w:r>
      </w:hyperlink>
      <w:r>
        <w:t xml:space="preserve"> (MacDonald Environmental Sciences Ltd. and USGS, 2003)</w:t>
      </w:r>
      <w:r w:rsidRPr="00537EFE">
        <w:rPr>
          <w:rFonts w:cs="Arial"/>
          <w:i/>
          <w:szCs w:val="22"/>
        </w:rPr>
        <w:t>,</w:t>
      </w:r>
      <w:r w:rsidRPr="00537EFE">
        <w:rPr>
          <w:rFonts w:cs="Arial"/>
          <w:snapToGrid w:val="0"/>
          <w:szCs w:val="22"/>
          <w:vertAlign w:val="superscript"/>
        </w:rPr>
        <w:t xml:space="preserve"> </w:t>
      </w:r>
      <w:r w:rsidRPr="00537EFE">
        <w:rPr>
          <w:rFonts w:cs="Arial"/>
          <w:szCs w:val="22"/>
        </w:rPr>
        <w:t>a biolog</w:t>
      </w:r>
      <w:r>
        <w:rPr>
          <w:rFonts w:cs="Arial"/>
          <w:szCs w:val="22"/>
        </w:rPr>
        <w:t>y</w:t>
      </w:r>
      <w:r w:rsidRPr="00537EFE">
        <w:rPr>
          <w:rFonts w:cs="Arial"/>
          <w:szCs w:val="22"/>
        </w:rPr>
        <w:t>-based tool that</w:t>
      </w:r>
      <w:r w:rsidRPr="00AA6893">
        <w:rPr>
          <w:rFonts w:cs="Arial"/>
          <w:szCs w:val="22"/>
        </w:rPr>
        <w:t xml:space="preserve"> estimates the </w:t>
      </w:r>
      <w:r>
        <w:rPr>
          <w:rFonts w:cs="Arial"/>
          <w:szCs w:val="22"/>
        </w:rPr>
        <w:t>effects</w:t>
      </w:r>
      <w:r w:rsidRPr="00AA6893">
        <w:rPr>
          <w:rFonts w:cs="Arial"/>
          <w:szCs w:val="22"/>
        </w:rPr>
        <w:t xml:space="preserve"> of potentially toxic</w:t>
      </w:r>
      <w:r>
        <w:rPr>
          <w:rFonts w:cs="Arial"/>
          <w:szCs w:val="22"/>
        </w:rPr>
        <w:t xml:space="preserve"> contaminants in lake sediments. </w:t>
      </w:r>
    </w:p>
    <w:p w:rsidR="00485094" w:rsidRDefault="00485094" w:rsidP="00EA3D58">
      <w:pPr>
        <w:pStyle w:val="Bodytext"/>
        <w:rPr>
          <w:rFonts w:cs="Arial"/>
          <w:szCs w:val="22"/>
        </w:rPr>
      </w:pPr>
    </w:p>
    <w:p w:rsidR="00485094" w:rsidRDefault="00485094" w:rsidP="00EA3D58">
      <w:pPr>
        <w:pStyle w:val="Tableheading"/>
      </w:pPr>
      <w:bookmarkStart w:id="220" w:name="_Toc255482794"/>
      <w:bookmarkStart w:id="221" w:name="_Toc255807454"/>
      <w:bookmarkStart w:id="222" w:name="_Toc262464225"/>
      <w:bookmarkStart w:id="223" w:name="_Toc271280072"/>
      <w:bookmarkStart w:id="224" w:name="_Toc243369002"/>
      <w:r>
        <w:t>Table 5.2a</w:t>
      </w:r>
      <w:r w:rsidRPr="00D33C11">
        <w:t>.</w:t>
      </w:r>
      <w:r>
        <w:t xml:space="preserve">  </w:t>
      </w:r>
      <w:r w:rsidRPr="00D33C11">
        <w:t xml:space="preserve">Status Network </w:t>
      </w:r>
      <w:r>
        <w:t>C</w:t>
      </w:r>
      <w:r w:rsidRPr="00D33C11">
        <w:t xml:space="preserve">ore and </w:t>
      </w:r>
      <w:r>
        <w:t>S</w:t>
      </w:r>
      <w:r w:rsidRPr="00D33C11">
        <w:t xml:space="preserve">upplemental </w:t>
      </w:r>
      <w:r>
        <w:t>I</w:t>
      </w:r>
      <w:r w:rsidRPr="00D33C11">
        <w:t>ndicators</w:t>
      </w:r>
      <w:r>
        <w:t xml:space="preserve"> for Field Measurements</w:t>
      </w:r>
      <w:bookmarkEnd w:id="220"/>
      <w:bookmarkEnd w:id="221"/>
      <w:bookmarkEnd w:id="222"/>
      <w:bookmarkEnd w:id="223"/>
    </w:p>
    <w:p w:rsidR="00485094" w:rsidRDefault="00485094" w:rsidP="00EA3D58">
      <w:pPr>
        <w:pStyle w:val="Bodytextreduced"/>
        <w:rPr>
          <w:highlight w:val="yellow"/>
        </w:rPr>
      </w:pPr>
    </w:p>
    <w:p w:rsidR="00485094" w:rsidRDefault="00485094" w:rsidP="00EA3D58">
      <w:pPr>
        <w:pStyle w:val="Bodytextreduced"/>
      </w:pPr>
      <w:bookmarkStart w:id="225" w:name="_Toc255482795"/>
      <w:bookmarkEnd w:id="224"/>
      <w:r w:rsidRPr="005A1F92">
        <w:rPr>
          <w:b/>
        </w:rPr>
        <w:t>Note:</w:t>
      </w:r>
      <w:r>
        <w:t xml:space="preserve">  </w:t>
      </w:r>
      <w:r w:rsidRPr="005A1F92">
        <w:t>For</w:t>
      </w:r>
      <w:r w:rsidRPr="005A1F92">
        <w:rPr>
          <w:b/>
        </w:rPr>
        <w:t xml:space="preserve"> </w:t>
      </w:r>
      <w:r w:rsidRPr="005A1F92">
        <w:rPr>
          <w:b/>
          <w:i/>
        </w:rPr>
        <w:t xml:space="preserve">Tables </w:t>
      </w:r>
      <w:r>
        <w:rPr>
          <w:b/>
          <w:i/>
        </w:rPr>
        <w:t>5.2a</w:t>
      </w:r>
      <w:r>
        <w:t xml:space="preserve"> through </w:t>
      </w:r>
      <w:r w:rsidR="008A5E02" w:rsidRPr="008A5E02">
        <w:rPr>
          <w:b/>
          <w:i/>
        </w:rPr>
        <w:t>5.</w:t>
      </w:r>
      <w:r w:rsidRPr="005A1F92">
        <w:rPr>
          <w:b/>
          <w:i/>
        </w:rPr>
        <w:t>2f</w:t>
      </w:r>
      <w:r>
        <w:t xml:space="preserve">, all samples are unfiltered unless stated.  All methods, unless otherwise stated, are based on </w:t>
      </w:r>
      <w:r w:rsidRPr="00D278AF">
        <w:rPr>
          <w:i/>
        </w:rPr>
        <w:t>EPA 600, Methods for Chemical Analysis of Water and Wastes</w:t>
      </w:r>
      <w:r>
        <w:t>.</w:t>
      </w:r>
    </w:p>
    <w:p w:rsidR="00485094" w:rsidRPr="00EE47B8" w:rsidRDefault="00485094" w:rsidP="00EA3D58">
      <w:pPr>
        <w:pStyle w:val="Bodytextreduced"/>
      </w:pPr>
    </w:p>
    <w:p w:rsidR="00485094" w:rsidRDefault="00485094" w:rsidP="00EA3D58">
      <w:pPr>
        <w:pStyle w:val="TabledescriptionBF"/>
      </w:pPr>
      <w:r w:rsidRPr="00EE47B8">
        <w:t>This is a three-column table</w:t>
      </w:r>
      <w:r>
        <w:t xml:space="preserve">. </w:t>
      </w:r>
      <w:r w:rsidRPr="00EE47B8">
        <w:t xml:space="preserve"> Column 1 list</w:t>
      </w:r>
      <w:r>
        <w:t>s</w:t>
      </w:r>
      <w:r w:rsidRPr="00EE47B8">
        <w:t xml:space="preserve"> the indicator, Column 2 </w:t>
      </w:r>
      <w:r>
        <w:t>lists</w:t>
      </w:r>
      <w:r w:rsidRPr="00EE47B8">
        <w:t xml:space="preserve"> the analytical method numbers, and Column 3 </w:t>
      </w:r>
      <w:r>
        <w:t>lists</w:t>
      </w:r>
      <w:r w:rsidRPr="00EE47B8">
        <w:t xml:space="preserve"> the sampled resource</w:t>
      </w:r>
      <w:r w:rsidR="00F01F27">
        <w:t>(s)</w:t>
      </w:r>
      <w:r w:rsidRPr="00EE47B8">
        <w:t>.</w:t>
      </w:r>
      <w:bookmarkEnd w:id="225"/>
    </w:p>
    <w:p w:rsidR="00485094" w:rsidRPr="00EE47B8" w:rsidRDefault="00485094" w:rsidP="00EA3D58">
      <w:pPr>
        <w:pStyle w:val="TabledescriptionBF"/>
        <w:rPr>
          <w:b/>
        </w:rPr>
      </w:pPr>
    </w:p>
    <w:tbl>
      <w:tblPr>
        <w:tblW w:w="9225" w:type="dxa"/>
        <w:jc w:val="center"/>
        <w:tblInd w:w="-36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30" w:type="dxa"/>
          <w:right w:w="30" w:type="dxa"/>
        </w:tblCellMar>
        <w:tblLook w:val="0000"/>
      </w:tblPr>
      <w:tblGrid>
        <w:gridCol w:w="3263"/>
        <w:gridCol w:w="3037"/>
        <w:gridCol w:w="2925"/>
      </w:tblGrid>
      <w:tr w:rsidR="00485094" w:rsidRPr="005A1F92" w:rsidTr="000F2909">
        <w:trPr>
          <w:trHeight w:val="288"/>
          <w:tblHeader/>
          <w:jc w:val="center"/>
        </w:trPr>
        <w:tc>
          <w:tcPr>
            <w:tcW w:w="3263" w:type="dxa"/>
            <w:tcBorders>
              <w:top w:val="single" w:sz="2" w:space="0" w:color="auto"/>
              <w:bottom w:val="double" w:sz="4" w:space="0" w:color="auto"/>
            </w:tcBorders>
            <w:shd w:val="clear" w:color="auto" w:fill="BDFFFF"/>
            <w:vAlign w:val="center"/>
          </w:tcPr>
          <w:p w:rsidR="00485094" w:rsidRPr="005A1F92" w:rsidRDefault="00485094" w:rsidP="00F01F27">
            <w:pPr>
              <w:pStyle w:val="TableText"/>
              <w:jc w:val="center"/>
              <w:rPr>
                <w:b/>
                <w:i/>
              </w:rPr>
            </w:pPr>
            <w:bookmarkStart w:id="226" w:name="OLE_LINK9"/>
            <w:r w:rsidRPr="005A1F92">
              <w:rPr>
                <w:b/>
                <w:i/>
              </w:rPr>
              <w:t>Field Measurement Indicator</w:t>
            </w:r>
          </w:p>
        </w:tc>
        <w:tc>
          <w:tcPr>
            <w:tcW w:w="3037" w:type="dxa"/>
            <w:tcBorders>
              <w:top w:val="single" w:sz="2" w:space="0" w:color="auto"/>
              <w:bottom w:val="double" w:sz="4" w:space="0" w:color="auto"/>
            </w:tcBorders>
            <w:shd w:val="clear" w:color="auto" w:fill="BDFFFF"/>
            <w:vAlign w:val="center"/>
          </w:tcPr>
          <w:p w:rsidR="00485094" w:rsidRPr="005A1F92" w:rsidRDefault="00485094" w:rsidP="00453E80">
            <w:pPr>
              <w:pStyle w:val="TableText"/>
              <w:jc w:val="center"/>
              <w:rPr>
                <w:b/>
                <w:i/>
              </w:rPr>
            </w:pPr>
            <w:r w:rsidRPr="005A1F92">
              <w:rPr>
                <w:b/>
                <w:i/>
              </w:rPr>
              <w:t>Analysis Method</w:t>
            </w:r>
          </w:p>
        </w:tc>
        <w:tc>
          <w:tcPr>
            <w:tcW w:w="2925" w:type="dxa"/>
            <w:tcBorders>
              <w:top w:val="single" w:sz="2" w:space="0" w:color="auto"/>
              <w:bottom w:val="double" w:sz="4" w:space="0" w:color="auto"/>
            </w:tcBorders>
            <w:shd w:val="clear" w:color="auto" w:fill="BDFFFF"/>
            <w:vAlign w:val="center"/>
          </w:tcPr>
          <w:p w:rsidR="00485094" w:rsidRPr="005A1F92" w:rsidRDefault="00485094" w:rsidP="00453E80">
            <w:pPr>
              <w:pStyle w:val="TableText"/>
              <w:jc w:val="center"/>
              <w:rPr>
                <w:b/>
                <w:i/>
              </w:rPr>
            </w:pPr>
            <w:r w:rsidRPr="005A1F92">
              <w:rPr>
                <w:b/>
                <w:i/>
              </w:rPr>
              <w:t>Sampled Resource</w:t>
            </w:r>
            <w:r w:rsidR="00F01F27">
              <w:rPr>
                <w:b/>
                <w:i/>
              </w:rPr>
              <w:t>(</w:t>
            </w:r>
            <w:r w:rsidRPr="005A1F92">
              <w:rPr>
                <w:b/>
                <w:i/>
              </w:rPr>
              <w:t>s</w:t>
            </w:r>
            <w:r w:rsidR="00F01F27">
              <w:rPr>
                <w:b/>
                <w:i/>
              </w:rPr>
              <w:t>)</w:t>
            </w:r>
          </w:p>
        </w:tc>
      </w:tr>
      <w:tr w:rsidR="00485094" w:rsidRPr="000F352A" w:rsidTr="008F1C14">
        <w:trPr>
          <w:trHeight w:val="288"/>
          <w:jc w:val="center"/>
        </w:trPr>
        <w:tc>
          <w:tcPr>
            <w:tcW w:w="3263" w:type="dxa"/>
            <w:tcBorders>
              <w:top w:val="double" w:sz="4" w:space="0" w:color="auto"/>
            </w:tcBorders>
            <w:shd w:val="clear" w:color="auto" w:fill="FFFFCC"/>
            <w:vAlign w:val="center"/>
          </w:tcPr>
          <w:p w:rsidR="00485094" w:rsidRPr="00590B64" w:rsidRDefault="00485094" w:rsidP="00453E80">
            <w:pPr>
              <w:pStyle w:val="TableText"/>
              <w:jc w:val="center"/>
            </w:pPr>
            <w:r w:rsidRPr="00590B64">
              <w:t>pH</w:t>
            </w:r>
          </w:p>
        </w:tc>
        <w:tc>
          <w:tcPr>
            <w:tcW w:w="3037" w:type="dxa"/>
            <w:tcBorders>
              <w:top w:val="double" w:sz="4" w:space="0" w:color="auto"/>
            </w:tcBorders>
            <w:vAlign w:val="center"/>
          </w:tcPr>
          <w:p w:rsidR="00485094" w:rsidRPr="00590B64" w:rsidRDefault="00485094" w:rsidP="00453E80">
            <w:pPr>
              <w:pStyle w:val="TableText"/>
              <w:jc w:val="center"/>
            </w:pPr>
            <w:r w:rsidRPr="00590B64">
              <w:t>Method 150.1</w:t>
            </w:r>
          </w:p>
        </w:tc>
        <w:tc>
          <w:tcPr>
            <w:tcW w:w="2925" w:type="dxa"/>
            <w:tcBorders>
              <w:top w:val="double" w:sz="4" w:space="0" w:color="auto"/>
            </w:tcBorders>
            <w:vAlign w:val="center"/>
          </w:tcPr>
          <w:p w:rsidR="00485094" w:rsidRPr="00590B64" w:rsidRDefault="00485094" w:rsidP="00453E80">
            <w:pPr>
              <w:pStyle w:val="TableText"/>
              <w:jc w:val="center"/>
            </w:pPr>
            <w:r>
              <w:t>Lakes, Streams/Rivers, Aquifers</w:t>
            </w:r>
          </w:p>
        </w:tc>
      </w:tr>
      <w:tr w:rsidR="00485094" w:rsidRPr="000F352A" w:rsidTr="008F1C14">
        <w:trPr>
          <w:trHeight w:val="288"/>
          <w:jc w:val="center"/>
        </w:trPr>
        <w:tc>
          <w:tcPr>
            <w:tcW w:w="3263" w:type="dxa"/>
            <w:shd w:val="clear" w:color="auto" w:fill="FFFFCC"/>
            <w:vAlign w:val="center"/>
          </w:tcPr>
          <w:p w:rsidR="00485094" w:rsidRPr="00590B64" w:rsidRDefault="00485094" w:rsidP="00453E80">
            <w:pPr>
              <w:pStyle w:val="TableText"/>
              <w:jc w:val="center"/>
            </w:pPr>
            <w:r w:rsidRPr="00590B64">
              <w:t>Temperature</w:t>
            </w:r>
          </w:p>
        </w:tc>
        <w:tc>
          <w:tcPr>
            <w:tcW w:w="3037" w:type="dxa"/>
            <w:vAlign w:val="center"/>
          </w:tcPr>
          <w:p w:rsidR="00485094" w:rsidRPr="00590B64" w:rsidRDefault="00485094" w:rsidP="00453E80">
            <w:pPr>
              <w:pStyle w:val="TableText"/>
              <w:jc w:val="center"/>
            </w:pPr>
            <w:r w:rsidRPr="00590B64">
              <w:t>Method 170.1</w:t>
            </w:r>
          </w:p>
        </w:tc>
        <w:tc>
          <w:tcPr>
            <w:tcW w:w="2925" w:type="dxa"/>
            <w:vAlign w:val="center"/>
          </w:tcPr>
          <w:p w:rsidR="00485094" w:rsidRPr="00590B64" w:rsidRDefault="00485094" w:rsidP="00453E80">
            <w:pPr>
              <w:pStyle w:val="TableText"/>
              <w:jc w:val="center"/>
            </w:pPr>
            <w:r>
              <w:t>Lakes, Streams/Rivers, Aquifers</w:t>
            </w:r>
          </w:p>
        </w:tc>
      </w:tr>
      <w:tr w:rsidR="00485094" w:rsidRPr="000F352A" w:rsidTr="008F1C14">
        <w:trPr>
          <w:trHeight w:val="288"/>
          <w:jc w:val="center"/>
        </w:trPr>
        <w:tc>
          <w:tcPr>
            <w:tcW w:w="3263" w:type="dxa"/>
            <w:shd w:val="clear" w:color="auto" w:fill="FFFFCC"/>
            <w:vAlign w:val="center"/>
          </w:tcPr>
          <w:p w:rsidR="00485094" w:rsidRPr="00590B64" w:rsidRDefault="00485094" w:rsidP="00453E80">
            <w:pPr>
              <w:pStyle w:val="TableText"/>
              <w:jc w:val="center"/>
            </w:pPr>
            <w:r w:rsidRPr="00590B64">
              <w:t>Specific Conductance</w:t>
            </w:r>
          </w:p>
        </w:tc>
        <w:tc>
          <w:tcPr>
            <w:tcW w:w="3037" w:type="dxa"/>
            <w:vAlign w:val="center"/>
          </w:tcPr>
          <w:p w:rsidR="00485094" w:rsidRPr="00590B64" w:rsidRDefault="00485094" w:rsidP="00453E80">
            <w:pPr>
              <w:pStyle w:val="TableText"/>
              <w:jc w:val="center"/>
            </w:pPr>
            <w:r w:rsidRPr="00590B64">
              <w:t>Method 120.1</w:t>
            </w:r>
          </w:p>
        </w:tc>
        <w:tc>
          <w:tcPr>
            <w:tcW w:w="2925" w:type="dxa"/>
            <w:vAlign w:val="center"/>
          </w:tcPr>
          <w:p w:rsidR="00485094" w:rsidRPr="00590B64" w:rsidRDefault="00485094" w:rsidP="00453E80">
            <w:pPr>
              <w:pStyle w:val="TableText"/>
              <w:jc w:val="center"/>
            </w:pPr>
            <w:r>
              <w:t>Lakes, Streams/Rivers, Aquifers</w:t>
            </w:r>
          </w:p>
        </w:tc>
      </w:tr>
      <w:tr w:rsidR="00485094" w:rsidRPr="000F352A" w:rsidTr="008F1C14">
        <w:trPr>
          <w:trHeight w:val="288"/>
          <w:jc w:val="center"/>
        </w:trPr>
        <w:tc>
          <w:tcPr>
            <w:tcW w:w="3263" w:type="dxa"/>
            <w:shd w:val="clear" w:color="auto" w:fill="FFFFCC"/>
            <w:vAlign w:val="center"/>
          </w:tcPr>
          <w:p w:rsidR="00485094" w:rsidRPr="00590B64" w:rsidRDefault="00485094" w:rsidP="00453E80">
            <w:pPr>
              <w:pStyle w:val="TableText"/>
              <w:jc w:val="center"/>
            </w:pPr>
            <w:r>
              <w:t>DO</w:t>
            </w:r>
          </w:p>
        </w:tc>
        <w:tc>
          <w:tcPr>
            <w:tcW w:w="3037" w:type="dxa"/>
            <w:vAlign w:val="center"/>
          </w:tcPr>
          <w:p w:rsidR="00485094" w:rsidRPr="00590B64" w:rsidRDefault="00485094" w:rsidP="00453E80">
            <w:pPr>
              <w:pStyle w:val="TableText"/>
              <w:jc w:val="center"/>
            </w:pPr>
            <w:r w:rsidRPr="00590B64">
              <w:t>Method 360.1</w:t>
            </w:r>
          </w:p>
        </w:tc>
        <w:tc>
          <w:tcPr>
            <w:tcW w:w="2925" w:type="dxa"/>
            <w:vAlign w:val="center"/>
          </w:tcPr>
          <w:p w:rsidR="00485094" w:rsidRPr="00590B64" w:rsidRDefault="00485094" w:rsidP="00453E80">
            <w:pPr>
              <w:pStyle w:val="TableText"/>
              <w:jc w:val="center"/>
            </w:pPr>
            <w:r>
              <w:t>Lakes, Streams/Rivers, Aquifers</w:t>
            </w:r>
          </w:p>
        </w:tc>
      </w:tr>
      <w:tr w:rsidR="00485094" w:rsidRPr="000F352A" w:rsidTr="008F1C14">
        <w:trPr>
          <w:trHeight w:val="288"/>
          <w:jc w:val="center"/>
        </w:trPr>
        <w:tc>
          <w:tcPr>
            <w:tcW w:w="3263" w:type="dxa"/>
            <w:shd w:val="clear" w:color="auto" w:fill="FFFFCC"/>
            <w:vAlign w:val="center"/>
          </w:tcPr>
          <w:p w:rsidR="00485094" w:rsidRPr="00590B64" w:rsidRDefault="00485094" w:rsidP="00453E80">
            <w:pPr>
              <w:pStyle w:val="TableText"/>
              <w:jc w:val="center"/>
            </w:pPr>
            <w:r>
              <w:t>Turbidity</w:t>
            </w:r>
          </w:p>
        </w:tc>
        <w:tc>
          <w:tcPr>
            <w:tcW w:w="3037" w:type="dxa"/>
            <w:vAlign w:val="center"/>
          </w:tcPr>
          <w:p w:rsidR="00485094" w:rsidRPr="00590B64" w:rsidRDefault="00485094" w:rsidP="00453E80">
            <w:pPr>
              <w:pStyle w:val="TableText"/>
              <w:jc w:val="center"/>
            </w:pPr>
            <w:r>
              <w:t>DEP-SOP-001/01 FT 1600</w:t>
            </w:r>
          </w:p>
        </w:tc>
        <w:tc>
          <w:tcPr>
            <w:tcW w:w="2925" w:type="dxa"/>
            <w:vAlign w:val="center"/>
          </w:tcPr>
          <w:p w:rsidR="00485094" w:rsidRPr="00590B64" w:rsidRDefault="00485094" w:rsidP="00453E80">
            <w:pPr>
              <w:pStyle w:val="TableText"/>
              <w:jc w:val="center"/>
            </w:pPr>
            <w:r>
              <w:t>Aquifers</w:t>
            </w:r>
          </w:p>
        </w:tc>
      </w:tr>
      <w:tr w:rsidR="00485094" w:rsidRPr="000F352A" w:rsidTr="008F1C14">
        <w:trPr>
          <w:trHeight w:val="288"/>
          <w:jc w:val="center"/>
        </w:trPr>
        <w:tc>
          <w:tcPr>
            <w:tcW w:w="3263" w:type="dxa"/>
            <w:shd w:val="clear" w:color="auto" w:fill="FFFFCC"/>
            <w:vAlign w:val="center"/>
          </w:tcPr>
          <w:p w:rsidR="00485094" w:rsidRPr="00590B64" w:rsidRDefault="00485094" w:rsidP="00453E80">
            <w:pPr>
              <w:pStyle w:val="TableText"/>
              <w:jc w:val="center"/>
            </w:pPr>
            <w:r w:rsidRPr="00590B64">
              <w:t>Secchi Depth</w:t>
            </w:r>
          </w:p>
        </w:tc>
        <w:tc>
          <w:tcPr>
            <w:tcW w:w="3037" w:type="dxa"/>
            <w:vAlign w:val="center"/>
          </w:tcPr>
          <w:p w:rsidR="00485094" w:rsidRPr="00590B64" w:rsidRDefault="00485094" w:rsidP="00453E80">
            <w:pPr>
              <w:pStyle w:val="TableText"/>
              <w:jc w:val="center"/>
            </w:pPr>
            <w:r w:rsidRPr="00590B64">
              <w:t>Welch (1948); EPA 620/R-97/001</w:t>
            </w:r>
          </w:p>
        </w:tc>
        <w:tc>
          <w:tcPr>
            <w:tcW w:w="2925" w:type="dxa"/>
            <w:vAlign w:val="center"/>
          </w:tcPr>
          <w:p w:rsidR="00485094" w:rsidRPr="00590B64" w:rsidRDefault="00485094" w:rsidP="00453E80">
            <w:pPr>
              <w:pStyle w:val="TableText"/>
              <w:jc w:val="center"/>
            </w:pPr>
            <w:r>
              <w:t>Lakes, Streams/Rivers</w:t>
            </w:r>
          </w:p>
        </w:tc>
      </w:tr>
      <w:tr w:rsidR="00485094" w:rsidRPr="000F352A" w:rsidTr="008F1C14">
        <w:trPr>
          <w:trHeight w:val="288"/>
          <w:jc w:val="center"/>
        </w:trPr>
        <w:tc>
          <w:tcPr>
            <w:tcW w:w="3263" w:type="dxa"/>
            <w:shd w:val="clear" w:color="auto" w:fill="FFFFCC"/>
            <w:vAlign w:val="center"/>
          </w:tcPr>
          <w:p w:rsidR="00485094" w:rsidRPr="00590B64" w:rsidRDefault="00485094" w:rsidP="00453E80">
            <w:pPr>
              <w:pStyle w:val="TableText"/>
              <w:jc w:val="center"/>
            </w:pPr>
            <w:r w:rsidRPr="00590B64">
              <w:t>Total Depth</w:t>
            </w:r>
          </w:p>
        </w:tc>
        <w:tc>
          <w:tcPr>
            <w:tcW w:w="3037" w:type="dxa"/>
            <w:vAlign w:val="center"/>
          </w:tcPr>
          <w:p w:rsidR="00485094" w:rsidRPr="00590B64" w:rsidRDefault="00485094" w:rsidP="00453E80">
            <w:pPr>
              <w:pStyle w:val="TableText"/>
              <w:jc w:val="center"/>
            </w:pPr>
            <w:r>
              <w:t>Manual</w:t>
            </w:r>
            <w:r w:rsidRPr="00590B64">
              <w:t>/electronic measuring devi</w:t>
            </w:r>
            <w:r>
              <w:t>c</w:t>
            </w:r>
            <w:r w:rsidRPr="00590B64">
              <w:t>e</w:t>
            </w:r>
          </w:p>
        </w:tc>
        <w:tc>
          <w:tcPr>
            <w:tcW w:w="2925" w:type="dxa"/>
            <w:vAlign w:val="center"/>
          </w:tcPr>
          <w:p w:rsidR="00485094" w:rsidRPr="00590B64" w:rsidRDefault="00485094" w:rsidP="00453E80">
            <w:pPr>
              <w:pStyle w:val="TableText"/>
              <w:jc w:val="center"/>
            </w:pPr>
            <w:r>
              <w:t>Lakes, Streams/Rivers</w:t>
            </w:r>
          </w:p>
        </w:tc>
      </w:tr>
      <w:tr w:rsidR="00485094" w:rsidRPr="000F352A" w:rsidTr="008F1C14">
        <w:trPr>
          <w:trHeight w:val="288"/>
          <w:jc w:val="center"/>
        </w:trPr>
        <w:tc>
          <w:tcPr>
            <w:tcW w:w="3263" w:type="dxa"/>
            <w:shd w:val="clear" w:color="auto" w:fill="FFFFCC"/>
            <w:vAlign w:val="center"/>
          </w:tcPr>
          <w:p w:rsidR="00485094" w:rsidRPr="00590B64" w:rsidRDefault="00485094" w:rsidP="00453E80">
            <w:pPr>
              <w:pStyle w:val="TableText"/>
              <w:jc w:val="center"/>
            </w:pPr>
            <w:r w:rsidRPr="00590B64">
              <w:t>Sample Depth</w:t>
            </w:r>
          </w:p>
        </w:tc>
        <w:tc>
          <w:tcPr>
            <w:tcW w:w="3037" w:type="dxa"/>
            <w:vAlign w:val="center"/>
          </w:tcPr>
          <w:p w:rsidR="00485094" w:rsidRPr="00590B64" w:rsidRDefault="00485094" w:rsidP="00453E80">
            <w:pPr>
              <w:pStyle w:val="TableText"/>
              <w:jc w:val="center"/>
            </w:pPr>
            <w:r>
              <w:t>Manual</w:t>
            </w:r>
            <w:r w:rsidRPr="00590B64">
              <w:t>/electronic measuring devi</w:t>
            </w:r>
            <w:r>
              <w:t>c</w:t>
            </w:r>
            <w:r w:rsidRPr="00590B64">
              <w:t>e</w:t>
            </w:r>
          </w:p>
        </w:tc>
        <w:tc>
          <w:tcPr>
            <w:tcW w:w="2925" w:type="dxa"/>
            <w:vAlign w:val="center"/>
          </w:tcPr>
          <w:p w:rsidR="00485094" w:rsidRPr="00590B64" w:rsidRDefault="00485094" w:rsidP="00453E80">
            <w:pPr>
              <w:pStyle w:val="TableText"/>
              <w:jc w:val="center"/>
            </w:pPr>
            <w:r>
              <w:t>Lakes, Streams/Rivers</w:t>
            </w:r>
          </w:p>
        </w:tc>
      </w:tr>
      <w:tr w:rsidR="00485094" w:rsidRPr="000F352A" w:rsidTr="008F1C14">
        <w:trPr>
          <w:trHeight w:val="288"/>
          <w:jc w:val="center"/>
        </w:trPr>
        <w:tc>
          <w:tcPr>
            <w:tcW w:w="3263" w:type="dxa"/>
            <w:shd w:val="clear" w:color="auto" w:fill="FFFFCC"/>
            <w:vAlign w:val="center"/>
          </w:tcPr>
          <w:p w:rsidR="00485094" w:rsidRPr="00590B64" w:rsidRDefault="00485094" w:rsidP="00453E80">
            <w:pPr>
              <w:pStyle w:val="TableText"/>
              <w:jc w:val="center"/>
            </w:pPr>
            <w:r w:rsidRPr="00590B64">
              <w:t>Micro Land Use</w:t>
            </w:r>
          </w:p>
        </w:tc>
        <w:tc>
          <w:tcPr>
            <w:tcW w:w="3037" w:type="dxa"/>
            <w:vAlign w:val="center"/>
          </w:tcPr>
          <w:p w:rsidR="00485094" w:rsidRPr="00590B64" w:rsidRDefault="00485094" w:rsidP="00453E80">
            <w:pPr>
              <w:pStyle w:val="TableText"/>
              <w:jc w:val="center"/>
            </w:pPr>
            <w:r>
              <w:t>Sampling manual (01/09), Section 4</w:t>
            </w:r>
          </w:p>
        </w:tc>
        <w:tc>
          <w:tcPr>
            <w:tcW w:w="2925" w:type="dxa"/>
            <w:vAlign w:val="center"/>
          </w:tcPr>
          <w:p w:rsidR="00485094" w:rsidRPr="00590B64" w:rsidRDefault="00485094" w:rsidP="00453E80">
            <w:pPr>
              <w:pStyle w:val="TableText"/>
              <w:jc w:val="center"/>
            </w:pPr>
            <w:r>
              <w:t>Aquifers</w:t>
            </w:r>
          </w:p>
        </w:tc>
      </w:tr>
      <w:tr w:rsidR="00485094" w:rsidRPr="000F352A" w:rsidTr="008F1C14">
        <w:trPr>
          <w:trHeight w:val="288"/>
          <w:jc w:val="center"/>
        </w:trPr>
        <w:tc>
          <w:tcPr>
            <w:tcW w:w="3263" w:type="dxa"/>
            <w:tcBorders>
              <w:bottom w:val="single" w:sz="2" w:space="0" w:color="auto"/>
            </w:tcBorders>
            <w:shd w:val="clear" w:color="auto" w:fill="FFFFCC"/>
            <w:vAlign w:val="center"/>
          </w:tcPr>
          <w:p w:rsidR="00485094" w:rsidRPr="00590B64" w:rsidRDefault="00485094" w:rsidP="00453E80">
            <w:pPr>
              <w:pStyle w:val="TableText"/>
              <w:jc w:val="center"/>
            </w:pPr>
            <w:r w:rsidRPr="00590B64">
              <w:t>Depth to Water</w:t>
            </w:r>
          </w:p>
        </w:tc>
        <w:tc>
          <w:tcPr>
            <w:tcW w:w="3037" w:type="dxa"/>
            <w:tcBorders>
              <w:bottom w:val="single" w:sz="2" w:space="0" w:color="auto"/>
            </w:tcBorders>
            <w:vAlign w:val="center"/>
          </w:tcPr>
          <w:p w:rsidR="00485094" w:rsidRPr="00590B64" w:rsidRDefault="00485094" w:rsidP="00453E80">
            <w:pPr>
              <w:pStyle w:val="TableText"/>
              <w:jc w:val="center"/>
            </w:pPr>
            <w:r>
              <w:t>Steel tape and/or chalk</w:t>
            </w:r>
          </w:p>
        </w:tc>
        <w:tc>
          <w:tcPr>
            <w:tcW w:w="2925" w:type="dxa"/>
            <w:tcBorders>
              <w:bottom w:val="single" w:sz="2" w:space="0" w:color="auto"/>
            </w:tcBorders>
            <w:vAlign w:val="center"/>
          </w:tcPr>
          <w:p w:rsidR="00485094" w:rsidRPr="00590B64" w:rsidRDefault="00485094" w:rsidP="00453E80">
            <w:pPr>
              <w:pStyle w:val="TableText"/>
              <w:jc w:val="center"/>
            </w:pPr>
            <w:r>
              <w:t>Aquifers</w:t>
            </w:r>
          </w:p>
        </w:tc>
      </w:tr>
      <w:bookmarkEnd w:id="226"/>
    </w:tbl>
    <w:p w:rsidR="00485094" w:rsidRDefault="00485094" w:rsidP="00EA3D58">
      <w:pPr>
        <w:pStyle w:val="Bodytextreduced"/>
      </w:pPr>
    </w:p>
    <w:p w:rsidR="00485094" w:rsidRPr="00065DA9" w:rsidRDefault="00485094" w:rsidP="00EA3D58">
      <w:pPr>
        <w:pStyle w:val="Bodytextreduced"/>
      </w:pPr>
      <w:r>
        <w:br w:type="page"/>
      </w:r>
    </w:p>
    <w:p w:rsidR="00485094" w:rsidRDefault="00485094" w:rsidP="00EA3D58">
      <w:pPr>
        <w:pStyle w:val="Tableheading"/>
      </w:pPr>
      <w:bookmarkStart w:id="227" w:name="_Toc255482796"/>
      <w:bookmarkStart w:id="228" w:name="_Toc255807455"/>
      <w:bookmarkStart w:id="229" w:name="_Toc262464226"/>
      <w:bookmarkStart w:id="230" w:name="_Toc271280073"/>
      <w:r>
        <w:t>Table 5.2b</w:t>
      </w:r>
      <w:r w:rsidRPr="00D33C11">
        <w:t>.</w:t>
      </w:r>
      <w:r>
        <w:t xml:space="preserve">  </w:t>
      </w:r>
      <w:r w:rsidRPr="00D33C11">
        <w:t xml:space="preserve">Status Network </w:t>
      </w:r>
      <w:r>
        <w:t>C</w:t>
      </w:r>
      <w:r w:rsidRPr="00D33C11">
        <w:t xml:space="preserve">ore and </w:t>
      </w:r>
      <w:r>
        <w:t>S</w:t>
      </w:r>
      <w:r w:rsidRPr="00D33C11">
        <w:t xml:space="preserve">upplemental </w:t>
      </w:r>
      <w:r>
        <w:t>I</w:t>
      </w:r>
      <w:r w:rsidRPr="00D33C11">
        <w:t>ndicators</w:t>
      </w:r>
      <w:r>
        <w:t xml:space="preserve"> for Biological and Microbiological Indicators</w:t>
      </w:r>
      <w:bookmarkEnd w:id="227"/>
      <w:bookmarkEnd w:id="228"/>
      <w:bookmarkEnd w:id="229"/>
      <w:bookmarkEnd w:id="230"/>
    </w:p>
    <w:p w:rsidR="00485094" w:rsidRDefault="00485094" w:rsidP="00EA3D58">
      <w:pPr>
        <w:pStyle w:val="TabledescriptionBF"/>
      </w:pPr>
      <w:bookmarkStart w:id="231" w:name="_Toc255482797"/>
      <w:r>
        <w:t>This is a three-</w:t>
      </w:r>
      <w:r w:rsidRPr="00065DA9">
        <w:t>column table</w:t>
      </w:r>
      <w:r>
        <w:t>.  Column 1 lists t</w:t>
      </w:r>
      <w:r w:rsidRPr="00065DA9">
        <w:t xml:space="preserve">he indicator, </w:t>
      </w:r>
      <w:r>
        <w:t>Column 2</w:t>
      </w:r>
      <w:r w:rsidRPr="00065DA9">
        <w:t xml:space="preserve"> </w:t>
      </w:r>
      <w:r>
        <w:t xml:space="preserve">lists </w:t>
      </w:r>
      <w:r w:rsidRPr="00065DA9">
        <w:t xml:space="preserve">the analytical method numbers, and </w:t>
      </w:r>
      <w:r>
        <w:t xml:space="preserve">Column 3 lists the </w:t>
      </w:r>
      <w:r w:rsidRPr="00065DA9">
        <w:t xml:space="preserve">sampled </w:t>
      </w:r>
      <w:r w:rsidR="00F01F27" w:rsidRPr="00EE47B8">
        <w:t>resource</w:t>
      </w:r>
      <w:r w:rsidR="00F01F27">
        <w:t>(s)</w:t>
      </w:r>
      <w:r>
        <w:t>.</w:t>
      </w:r>
      <w:bookmarkEnd w:id="231"/>
    </w:p>
    <w:p w:rsidR="00485094" w:rsidRDefault="00485094" w:rsidP="00EA3D58">
      <w:pPr>
        <w:pStyle w:val="Tabledescription"/>
      </w:pPr>
    </w:p>
    <w:p w:rsidR="00485094" w:rsidRDefault="00485094" w:rsidP="00EA3D58">
      <w:pPr>
        <w:rPr>
          <w:rFonts w:ascii="Arial" w:hAnsi="Arial" w:cs="Arial"/>
          <w:sz w:val="16"/>
          <w:szCs w:val="16"/>
        </w:rPr>
      </w:pPr>
      <w:r w:rsidRPr="00DB3E80">
        <w:rPr>
          <w:rFonts w:ascii="Arial" w:hAnsi="Arial" w:cs="Arial"/>
          <w:sz w:val="16"/>
          <w:szCs w:val="16"/>
          <w:vertAlign w:val="superscript"/>
        </w:rPr>
        <w:t>1</w:t>
      </w:r>
      <w:r>
        <w:rPr>
          <w:rFonts w:ascii="Arial" w:hAnsi="Arial" w:cs="Arial"/>
          <w:sz w:val="16"/>
          <w:szCs w:val="16"/>
          <w:vertAlign w:val="superscript"/>
        </w:rPr>
        <w:t xml:space="preserve"> </w:t>
      </w:r>
      <w:r>
        <w:rPr>
          <w:rFonts w:ascii="Arial" w:hAnsi="Arial" w:cs="Arial"/>
          <w:sz w:val="16"/>
          <w:szCs w:val="16"/>
        </w:rPr>
        <w:t>Dropped in 2005</w:t>
      </w:r>
    </w:p>
    <w:p w:rsidR="00485094" w:rsidRDefault="00485094" w:rsidP="00EA3D58">
      <w:r w:rsidRPr="00DB3E80">
        <w:rPr>
          <w:rFonts w:ascii="Arial" w:hAnsi="Arial" w:cs="Arial"/>
          <w:sz w:val="16"/>
          <w:szCs w:val="16"/>
          <w:vertAlign w:val="superscript"/>
        </w:rPr>
        <w:t>2</w:t>
      </w:r>
      <w:r>
        <w:rPr>
          <w:rFonts w:ascii="Arial" w:hAnsi="Arial" w:cs="Arial"/>
          <w:sz w:val="16"/>
          <w:szCs w:val="16"/>
          <w:vertAlign w:val="superscript"/>
        </w:rPr>
        <w:t xml:space="preserve"> </w:t>
      </w:r>
      <w:r w:rsidRPr="00DB3E80">
        <w:rPr>
          <w:rFonts w:ascii="Arial" w:hAnsi="Arial" w:cs="Arial"/>
          <w:sz w:val="16"/>
          <w:szCs w:val="16"/>
        </w:rPr>
        <w:t>2004</w:t>
      </w:r>
      <w:r>
        <w:rPr>
          <w:rFonts w:ascii="Arial" w:hAnsi="Arial" w:cs="Arial"/>
          <w:sz w:val="16"/>
          <w:szCs w:val="16"/>
        </w:rPr>
        <w:t>–</w:t>
      </w:r>
      <w:r w:rsidRPr="00DB3E80">
        <w:rPr>
          <w:rFonts w:ascii="Arial" w:hAnsi="Arial" w:cs="Arial"/>
          <w:sz w:val="16"/>
          <w:szCs w:val="16"/>
        </w:rPr>
        <w:t>2007 SM 9230C</w:t>
      </w:r>
      <w:r>
        <w:rPr>
          <w:rFonts w:ascii="Arial" w:hAnsi="Arial" w:cs="Arial"/>
          <w:sz w:val="16"/>
          <w:szCs w:val="16"/>
        </w:rPr>
        <w:t xml:space="preserve">  </w:t>
      </w:r>
    </w:p>
    <w:tbl>
      <w:tblPr>
        <w:tblW w:w="9225" w:type="dxa"/>
        <w:jc w:val="center"/>
        <w:tblInd w:w="-36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30" w:type="dxa"/>
          <w:right w:w="30" w:type="dxa"/>
        </w:tblCellMar>
        <w:tblLook w:val="0000"/>
      </w:tblPr>
      <w:tblGrid>
        <w:gridCol w:w="3263"/>
        <w:gridCol w:w="3037"/>
        <w:gridCol w:w="2925"/>
      </w:tblGrid>
      <w:tr w:rsidR="00485094" w:rsidRPr="005A1F92" w:rsidTr="000F2909">
        <w:trPr>
          <w:trHeight w:val="235"/>
          <w:jc w:val="center"/>
        </w:trPr>
        <w:tc>
          <w:tcPr>
            <w:tcW w:w="3263" w:type="dxa"/>
            <w:tcBorders>
              <w:top w:val="single" w:sz="2" w:space="0" w:color="auto"/>
              <w:bottom w:val="double" w:sz="4" w:space="0" w:color="auto"/>
            </w:tcBorders>
            <w:shd w:val="clear" w:color="auto" w:fill="BDFFFF"/>
            <w:vAlign w:val="center"/>
          </w:tcPr>
          <w:p w:rsidR="00485094" w:rsidRPr="005A1F92" w:rsidRDefault="00485094" w:rsidP="00F01F27">
            <w:pPr>
              <w:pStyle w:val="TableText"/>
              <w:jc w:val="center"/>
              <w:rPr>
                <w:b/>
                <w:i/>
              </w:rPr>
            </w:pPr>
            <w:r w:rsidRPr="005A1F92">
              <w:rPr>
                <w:b/>
                <w:i/>
              </w:rPr>
              <w:t>Biological/Microbiological Indicator</w:t>
            </w:r>
          </w:p>
        </w:tc>
        <w:tc>
          <w:tcPr>
            <w:tcW w:w="3037" w:type="dxa"/>
            <w:tcBorders>
              <w:top w:val="single" w:sz="2" w:space="0" w:color="auto"/>
              <w:bottom w:val="double" w:sz="4" w:space="0" w:color="auto"/>
            </w:tcBorders>
            <w:shd w:val="clear" w:color="auto" w:fill="BDFFFF"/>
            <w:vAlign w:val="center"/>
          </w:tcPr>
          <w:p w:rsidR="00485094" w:rsidRPr="005A1F92" w:rsidRDefault="00485094" w:rsidP="00453E80">
            <w:pPr>
              <w:pStyle w:val="TableText"/>
              <w:jc w:val="center"/>
              <w:rPr>
                <w:b/>
                <w:i/>
              </w:rPr>
            </w:pPr>
            <w:r w:rsidRPr="005A1F92">
              <w:rPr>
                <w:b/>
                <w:i/>
              </w:rPr>
              <w:t>Analysis Method</w:t>
            </w:r>
          </w:p>
        </w:tc>
        <w:tc>
          <w:tcPr>
            <w:tcW w:w="2925" w:type="dxa"/>
            <w:tcBorders>
              <w:top w:val="single" w:sz="2" w:space="0" w:color="auto"/>
              <w:bottom w:val="double" w:sz="4" w:space="0" w:color="auto"/>
            </w:tcBorders>
            <w:shd w:val="clear" w:color="auto" w:fill="BDFFFF"/>
            <w:vAlign w:val="center"/>
          </w:tcPr>
          <w:p w:rsidR="00485094" w:rsidRPr="005A1F92" w:rsidRDefault="00485094" w:rsidP="00453E80">
            <w:pPr>
              <w:pStyle w:val="TableText"/>
              <w:jc w:val="center"/>
              <w:rPr>
                <w:i/>
              </w:rPr>
            </w:pPr>
            <w:r w:rsidRPr="005A1F92">
              <w:rPr>
                <w:b/>
                <w:i/>
              </w:rPr>
              <w:t xml:space="preserve">Sampled </w:t>
            </w:r>
            <w:r w:rsidR="00F01F27" w:rsidRPr="005A1F92">
              <w:rPr>
                <w:b/>
                <w:i/>
              </w:rPr>
              <w:t>Resource</w:t>
            </w:r>
            <w:r w:rsidR="00F01F27">
              <w:rPr>
                <w:b/>
                <w:i/>
              </w:rPr>
              <w:t>(</w:t>
            </w:r>
            <w:r w:rsidR="00F01F27" w:rsidRPr="005A1F92">
              <w:rPr>
                <w:b/>
                <w:i/>
              </w:rPr>
              <w:t>s</w:t>
            </w:r>
            <w:r w:rsidR="00F01F27">
              <w:rPr>
                <w:b/>
                <w:i/>
              </w:rPr>
              <w:t>)</w:t>
            </w:r>
          </w:p>
        </w:tc>
      </w:tr>
      <w:tr w:rsidR="00485094" w:rsidRPr="00590B64" w:rsidTr="00453E80">
        <w:trPr>
          <w:trHeight w:val="235"/>
          <w:jc w:val="center"/>
        </w:trPr>
        <w:tc>
          <w:tcPr>
            <w:tcW w:w="3263" w:type="dxa"/>
            <w:tcBorders>
              <w:top w:val="double" w:sz="4" w:space="0" w:color="auto"/>
            </w:tcBorders>
            <w:shd w:val="clear" w:color="auto" w:fill="FFFFCC"/>
            <w:vAlign w:val="center"/>
          </w:tcPr>
          <w:p w:rsidR="00485094" w:rsidRPr="00590B64" w:rsidRDefault="00485094" w:rsidP="00453E80">
            <w:pPr>
              <w:pStyle w:val="TableText"/>
              <w:jc w:val="center"/>
            </w:pPr>
            <w:r w:rsidRPr="00590B64">
              <w:t>Chlorophyll</w:t>
            </w:r>
            <w:r>
              <w:t xml:space="preserve"> </w:t>
            </w:r>
            <w:r w:rsidRPr="00D278AF">
              <w:rPr>
                <w:i/>
              </w:rPr>
              <w:t>a</w:t>
            </w:r>
          </w:p>
        </w:tc>
        <w:tc>
          <w:tcPr>
            <w:tcW w:w="3037" w:type="dxa"/>
            <w:tcBorders>
              <w:top w:val="double" w:sz="4" w:space="0" w:color="auto"/>
            </w:tcBorders>
            <w:vAlign w:val="center"/>
          </w:tcPr>
          <w:p w:rsidR="00485094" w:rsidRPr="00590B64" w:rsidRDefault="00485094" w:rsidP="00453E80">
            <w:pPr>
              <w:pStyle w:val="TableText"/>
              <w:jc w:val="center"/>
            </w:pPr>
            <w:r w:rsidRPr="00590B64">
              <w:t>SM 10200 H (modified)</w:t>
            </w:r>
          </w:p>
        </w:tc>
        <w:tc>
          <w:tcPr>
            <w:tcW w:w="2925" w:type="dxa"/>
            <w:tcBorders>
              <w:top w:val="double" w:sz="4" w:space="0" w:color="auto"/>
            </w:tcBorders>
            <w:vAlign w:val="center"/>
          </w:tcPr>
          <w:p w:rsidR="00485094" w:rsidRPr="00590B64" w:rsidRDefault="00485094" w:rsidP="00453E80">
            <w:pPr>
              <w:pStyle w:val="TableText"/>
              <w:jc w:val="center"/>
            </w:pPr>
            <w:r>
              <w:t>Lakes, Streams/Rivers</w:t>
            </w:r>
          </w:p>
        </w:tc>
      </w:tr>
      <w:tr w:rsidR="00485094" w:rsidRPr="00590B64" w:rsidTr="00453E80">
        <w:trPr>
          <w:trHeight w:val="235"/>
          <w:jc w:val="center"/>
        </w:trPr>
        <w:tc>
          <w:tcPr>
            <w:tcW w:w="3263" w:type="dxa"/>
            <w:shd w:val="clear" w:color="auto" w:fill="FFFFCC"/>
            <w:vAlign w:val="center"/>
          </w:tcPr>
          <w:p w:rsidR="00485094" w:rsidRPr="00590B64" w:rsidRDefault="00485094" w:rsidP="00453E80">
            <w:pPr>
              <w:pStyle w:val="TableText"/>
              <w:jc w:val="center"/>
            </w:pPr>
            <w:r w:rsidRPr="00590B64">
              <w:t>Biological Community (SCI)</w:t>
            </w:r>
          </w:p>
        </w:tc>
        <w:tc>
          <w:tcPr>
            <w:tcW w:w="3037" w:type="dxa"/>
            <w:vAlign w:val="center"/>
          </w:tcPr>
          <w:p w:rsidR="00485094" w:rsidRPr="00590B64" w:rsidRDefault="00485094" w:rsidP="00453E80">
            <w:pPr>
              <w:pStyle w:val="TableText"/>
              <w:jc w:val="center"/>
            </w:pPr>
            <w:r w:rsidRPr="00590B64">
              <w:t>SM 10500 C (modified)</w:t>
            </w:r>
          </w:p>
        </w:tc>
        <w:tc>
          <w:tcPr>
            <w:tcW w:w="2925" w:type="dxa"/>
            <w:vAlign w:val="center"/>
          </w:tcPr>
          <w:p w:rsidR="00485094" w:rsidRPr="00590B64" w:rsidRDefault="00485094" w:rsidP="00453E80">
            <w:pPr>
              <w:pStyle w:val="TableText"/>
              <w:jc w:val="center"/>
            </w:pPr>
            <w:r>
              <w:t>Streams/Rivers</w:t>
            </w:r>
          </w:p>
        </w:tc>
      </w:tr>
      <w:tr w:rsidR="00485094" w:rsidRPr="00590B64" w:rsidTr="00453E80">
        <w:trPr>
          <w:trHeight w:val="235"/>
          <w:jc w:val="center"/>
        </w:trPr>
        <w:tc>
          <w:tcPr>
            <w:tcW w:w="3263" w:type="dxa"/>
            <w:shd w:val="clear" w:color="auto" w:fill="FFFFCC"/>
            <w:vAlign w:val="center"/>
          </w:tcPr>
          <w:p w:rsidR="00485094" w:rsidRPr="00590B64" w:rsidRDefault="00485094" w:rsidP="00453E80">
            <w:pPr>
              <w:pStyle w:val="TableText"/>
              <w:jc w:val="center"/>
            </w:pPr>
            <w:r>
              <w:t>Algal Growth Potential</w:t>
            </w:r>
            <w:r w:rsidRPr="00DB3E80">
              <w:rPr>
                <w:vertAlign w:val="superscript"/>
              </w:rPr>
              <w:t>1</w:t>
            </w:r>
          </w:p>
        </w:tc>
        <w:tc>
          <w:tcPr>
            <w:tcW w:w="3037" w:type="dxa"/>
            <w:vAlign w:val="center"/>
          </w:tcPr>
          <w:p w:rsidR="00485094" w:rsidRPr="00590B64" w:rsidRDefault="00485094" w:rsidP="00453E80">
            <w:pPr>
              <w:pStyle w:val="TableText"/>
              <w:jc w:val="center"/>
            </w:pPr>
            <w:r>
              <w:t>Method 9-78-018 (modified)</w:t>
            </w:r>
          </w:p>
        </w:tc>
        <w:tc>
          <w:tcPr>
            <w:tcW w:w="2925" w:type="dxa"/>
            <w:vAlign w:val="center"/>
          </w:tcPr>
          <w:p w:rsidR="00485094" w:rsidRDefault="00485094" w:rsidP="00453E80">
            <w:pPr>
              <w:pStyle w:val="TableText"/>
              <w:jc w:val="center"/>
            </w:pPr>
            <w:r>
              <w:t>Small Lakes</w:t>
            </w:r>
          </w:p>
        </w:tc>
      </w:tr>
      <w:tr w:rsidR="00485094" w:rsidRPr="00590B64" w:rsidTr="00453E80">
        <w:trPr>
          <w:trHeight w:val="235"/>
          <w:jc w:val="center"/>
        </w:trPr>
        <w:tc>
          <w:tcPr>
            <w:tcW w:w="3263" w:type="dxa"/>
            <w:shd w:val="clear" w:color="auto" w:fill="FFFFCC"/>
            <w:vAlign w:val="center"/>
          </w:tcPr>
          <w:p w:rsidR="00485094" w:rsidRPr="00590B64" w:rsidRDefault="00485094" w:rsidP="00453E80">
            <w:pPr>
              <w:pStyle w:val="TableText"/>
              <w:jc w:val="center"/>
            </w:pPr>
            <w:r>
              <w:t>Phytoplankton</w:t>
            </w:r>
          </w:p>
        </w:tc>
        <w:tc>
          <w:tcPr>
            <w:tcW w:w="3037" w:type="dxa"/>
            <w:vAlign w:val="center"/>
          </w:tcPr>
          <w:p w:rsidR="00485094" w:rsidRPr="00590B64" w:rsidRDefault="00485094" w:rsidP="00453E80">
            <w:pPr>
              <w:pStyle w:val="TableText"/>
              <w:jc w:val="center"/>
            </w:pPr>
            <w:r>
              <w:t>SM 10200 F.1; 10200 F.2</w:t>
            </w:r>
          </w:p>
        </w:tc>
        <w:tc>
          <w:tcPr>
            <w:tcW w:w="2925" w:type="dxa"/>
            <w:vAlign w:val="center"/>
          </w:tcPr>
          <w:p w:rsidR="00485094" w:rsidRDefault="00485094" w:rsidP="00453E80">
            <w:pPr>
              <w:pStyle w:val="TableText"/>
              <w:jc w:val="center"/>
            </w:pPr>
            <w:r>
              <w:t>Lakes</w:t>
            </w:r>
          </w:p>
        </w:tc>
      </w:tr>
      <w:tr w:rsidR="00485094" w:rsidRPr="00590B64" w:rsidTr="00453E80">
        <w:trPr>
          <w:trHeight w:val="235"/>
          <w:jc w:val="center"/>
        </w:trPr>
        <w:tc>
          <w:tcPr>
            <w:tcW w:w="3263" w:type="dxa"/>
            <w:shd w:val="clear" w:color="auto" w:fill="FFFFCC"/>
            <w:vAlign w:val="center"/>
          </w:tcPr>
          <w:p w:rsidR="00485094" w:rsidRPr="00590B64" w:rsidRDefault="00485094" w:rsidP="00453E80">
            <w:pPr>
              <w:pStyle w:val="TableText"/>
              <w:jc w:val="center"/>
            </w:pPr>
            <w:r w:rsidRPr="00590B64">
              <w:t>Habitat Assessment</w:t>
            </w:r>
          </w:p>
        </w:tc>
        <w:tc>
          <w:tcPr>
            <w:tcW w:w="3037" w:type="dxa"/>
            <w:vAlign w:val="center"/>
          </w:tcPr>
          <w:p w:rsidR="00485094" w:rsidRPr="00590B64" w:rsidRDefault="00485094" w:rsidP="00453E80">
            <w:pPr>
              <w:pStyle w:val="TableText"/>
              <w:jc w:val="center"/>
            </w:pPr>
            <w:r>
              <w:t>DEP-SOP-001/01 FT 3000</w:t>
            </w:r>
          </w:p>
        </w:tc>
        <w:tc>
          <w:tcPr>
            <w:tcW w:w="2925" w:type="dxa"/>
            <w:vAlign w:val="center"/>
          </w:tcPr>
          <w:p w:rsidR="00485094" w:rsidRPr="00590B64" w:rsidRDefault="00485094" w:rsidP="00453E80">
            <w:pPr>
              <w:pStyle w:val="TableText"/>
              <w:jc w:val="center"/>
            </w:pPr>
            <w:r>
              <w:t>Streams/Rivers</w:t>
            </w:r>
          </w:p>
        </w:tc>
      </w:tr>
      <w:tr w:rsidR="00485094" w:rsidRPr="00590B64" w:rsidTr="00453E80">
        <w:trPr>
          <w:trHeight w:val="235"/>
          <w:jc w:val="center"/>
        </w:trPr>
        <w:tc>
          <w:tcPr>
            <w:tcW w:w="3263" w:type="dxa"/>
            <w:shd w:val="clear" w:color="auto" w:fill="FFFFCC"/>
            <w:vAlign w:val="center"/>
          </w:tcPr>
          <w:p w:rsidR="00485094" w:rsidRPr="00590B64" w:rsidRDefault="00485094" w:rsidP="00453E80">
            <w:pPr>
              <w:pStyle w:val="TableText"/>
              <w:jc w:val="center"/>
            </w:pPr>
            <w:r w:rsidRPr="00590B64">
              <w:t>L</w:t>
            </w:r>
            <w:r>
              <w:t>VI</w:t>
            </w:r>
          </w:p>
        </w:tc>
        <w:tc>
          <w:tcPr>
            <w:tcW w:w="3037" w:type="dxa"/>
            <w:vAlign w:val="center"/>
          </w:tcPr>
          <w:p w:rsidR="00485094" w:rsidRPr="00590B64" w:rsidRDefault="00485094" w:rsidP="00453E80">
            <w:pPr>
              <w:pStyle w:val="TableText"/>
              <w:jc w:val="center"/>
            </w:pPr>
            <w:r>
              <w:t>DEP-SOP-001/01 FS 7220</w:t>
            </w:r>
          </w:p>
        </w:tc>
        <w:tc>
          <w:tcPr>
            <w:tcW w:w="2925" w:type="dxa"/>
            <w:vAlign w:val="center"/>
          </w:tcPr>
          <w:p w:rsidR="00485094" w:rsidRPr="00590B64" w:rsidRDefault="00485094" w:rsidP="00453E80">
            <w:pPr>
              <w:pStyle w:val="TableText"/>
              <w:jc w:val="center"/>
            </w:pPr>
            <w:r>
              <w:t>Small Lakes</w:t>
            </w:r>
          </w:p>
        </w:tc>
      </w:tr>
      <w:tr w:rsidR="00485094" w:rsidRPr="00590B64" w:rsidTr="00453E80">
        <w:trPr>
          <w:trHeight w:val="235"/>
          <w:jc w:val="center"/>
        </w:trPr>
        <w:tc>
          <w:tcPr>
            <w:tcW w:w="3263" w:type="dxa"/>
            <w:shd w:val="clear" w:color="auto" w:fill="FFFFCC"/>
            <w:vAlign w:val="center"/>
          </w:tcPr>
          <w:p w:rsidR="00485094" w:rsidRPr="00590B64" w:rsidRDefault="00485094" w:rsidP="00453E80">
            <w:pPr>
              <w:pStyle w:val="TableText"/>
              <w:jc w:val="center"/>
            </w:pPr>
            <w:r w:rsidRPr="00590B64">
              <w:t>Total Coliform</w:t>
            </w:r>
          </w:p>
        </w:tc>
        <w:tc>
          <w:tcPr>
            <w:tcW w:w="3037" w:type="dxa"/>
            <w:vAlign w:val="center"/>
          </w:tcPr>
          <w:p w:rsidR="00485094" w:rsidRPr="00590B64" w:rsidRDefault="00485094" w:rsidP="00453E80">
            <w:pPr>
              <w:pStyle w:val="TableText"/>
              <w:jc w:val="center"/>
            </w:pPr>
            <w:r w:rsidRPr="00590B64">
              <w:t xml:space="preserve">SM </w:t>
            </w:r>
            <w:r>
              <w:t>9222</w:t>
            </w:r>
            <w:r w:rsidRPr="00590B64">
              <w:t>B</w:t>
            </w:r>
          </w:p>
        </w:tc>
        <w:tc>
          <w:tcPr>
            <w:tcW w:w="2925" w:type="dxa"/>
            <w:vAlign w:val="center"/>
          </w:tcPr>
          <w:p w:rsidR="00485094" w:rsidRPr="00590B64" w:rsidRDefault="00485094" w:rsidP="00453E80">
            <w:pPr>
              <w:pStyle w:val="TableText"/>
              <w:jc w:val="center"/>
            </w:pPr>
            <w:r>
              <w:t>Aquifers</w:t>
            </w:r>
          </w:p>
        </w:tc>
      </w:tr>
      <w:tr w:rsidR="00485094" w:rsidRPr="00590B64" w:rsidTr="00453E80">
        <w:trPr>
          <w:trHeight w:val="235"/>
          <w:jc w:val="center"/>
        </w:trPr>
        <w:tc>
          <w:tcPr>
            <w:tcW w:w="3263" w:type="dxa"/>
            <w:shd w:val="clear" w:color="auto" w:fill="FFFFCC"/>
            <w:vAlign w:val="center"/>
          </w:tcPr>
          <w:p w:rsidR="00485094" w:rsidRPr="00590B64" w:rsidRDefault="00485094" w:rsidP="00453E80">
            <w:pPr>
              <w:pStyle w:val="TableText"/>
              <w:jc w:val="center"/>
            </w:pPr>
            <w:r w:rsidRPr="00590B64">
              <w:t>Fecal Coliform</w:t>
            </w:r>
          </w:p>
        </w:tc>
        <w:tc>
          <w:tcPr>
            <w:tcW w:w="3037" w:type="dxa"/>
            <w:vAlign w:val="center"/>
          </w:tcPr>
          <w:p w:rsidR="00485094" w:rsidRPr="00590B64" w:rsidRDefault="00485094" w:rsidP="00453E80">
            <w:pPr>
              <w:pStyle w:val="TableText"/>
              <w:jc w:val="center"/>
            </w:pPr>
            <w:r>
              <w:t>SM 9222</w:t>
            </w:r>
            <w:r w:rsidRPr="00590B64">
              <w:t>D</w:t>
            </w:r>
          </w:p>
        </w:tc>
        <w:tc>
          <w:tcPr>
            <w:tcW w:w="2925" w:type="dxa"/>
            <w:vAlign w:val="center"/>
          </w:tcPr>
          <w:p w:rsidR="00485094" w:rsidRPr="00590B64" w:rsidRDefault="00485094" w:rsidP="00453E80">
            <w:pPr>
              <w:pStyle w:val="TableText"/>
              <w:jc w:val="center"/>
            </w:pPr>
            <w:r>
              <w:t>Lakes, Streams/Rivers, Aquifers</w:t>
            </w:r>
          </w:p>
        </w:tc>
      </w:tr>
      <w:tr w:rsidR="00485094" w:rsidRPr="00590B64" w:rsidTr="00453E80">
        <w:trPr>
          <w:trHeight w:val="265"/>
          <w:jc w:val="center"/>
        </w:trPr>
        <w:tc>
          <w:tcPr>
            <w:tcW w:w="3263" w:type="dxa"/>
            <w:tcBorders>
              <w:bottom w:val="single" w:sz="2" w:space="0" w:color="auto"/>
            </w:tcBorders>
            <w:shd w:val="clear" w:color="auto" w:fill="FFFFCC"/>
            <w:vAlign w:val="center"/>
          </w:tcPr>
          <w:p w:rsidR="00485094" w:rsidRPr="00590B64" w:rsidRDefault="00485094" w:rsidP="00453E80">
            <w:pPr>
              <w:pStyle w:val="TableText"/>
              <w:jc w:val="center"/>
            </w:pPr>
            <w:r w:rsidRPr="00590B64">
              <w:t>Enterococci</w:t>
            </w:r>
          </w:p>
        </w:tc>
        <w:tc>
          <w:tcPr>
            <w:tcW w:w="3037" w:type="dxa"/>
            <w:tcBorders>
              <w:bottom w:val="single" w:sz="2" w:space="0" w:color="auto"/>
            </w:tcBorders>
            <w:vAlign w:val="center"/>
          </w:tcPr>
          <w:p w:rsidR="00485094" w:rsidRPr="00590B64" w:rsidRDefault="00485094" w:rsidP="00453E80">
            <w:pPr>
              <w:pStyle w:val="TableText"/>
              <w:jc w:val="center"/>
            </w:pPr>
            <w:r w:rsidRPr="00590B64">
              <w:t>EPA 1600</w:t>
            </w:r>
            <w:r w:rsidRPr="00821D52">
              <w:rPr>
                <w:vertAlign w:val="superscript"/>
              </w:rPr>
              <w:t>2</w:t>
            </w:r>
          </w:p>
        </w:tc>
        <w:tc>
          <w:tcPr>
            <w:tcW w:w="2925" w:type="dxa"/>
            <w:tcBorders>
              <w:bottom w:val="single" w:sz="2" w:space="0" w:color="auto"/>
            </w:tcBorders>
            <w:vAlign w:val="center"/>
          </w:tcPr>
          <w:p w:rsidR="00485094" w:rsidRPr="00590B64" w:rsidRDefault="00485094" w:rsidP="00453E80">
            <w:pPr>
              <w:pStyle w:val="TableText"/>
              <w:jc w:val="center"/>
            </w:pPr>
            <w:r>
              <w:t>Lakes, Streams/Rivers</w:t>
            </w:r>
          </w:p>
        </w:tc>
      </w:tr>
    </w:tbl>
    <w:p w:rsidR="00485094" w:rsidRDefault="00485094" w:rsidP="00EA3D58">
      <w:pPr>
        <w:pStyle w:val="Bodytextreduced"/>
      </w:pPr>
    </w:p>
    <w:p w:rsidR="00485094" w:rsidRPr="00065DA9" w:rsidRDefault="00485094" w:rsidP="00EA3D58">
      <w:pPr>
        <w:pStyle w:val="Bodytextreduced"/>
      </w:pPr>
    </w:p>
    <w:p w:rsidR="00485094" w:rsidRDefault="00485094" w:rsidP="00EA3D58">
      <w:pPr>
        <w:pStyle w:val="Tableheading"/>
      </w:pPr>
      <w:bookmarkStart w:id="232" w:name="_Toc255482798"/>
      <w:bookmarkStart w:id="233" w:name="_Toc255807456"/>
      <w:bookmarkStart w:id="234" w:name="_Toc262464227"/>
      <w:bookmarkStart w:id="235" w:name="_Toc271280074"/>
      <w:r>
        <w:t>Table 5.2c</w:t>
      </w:r>
      <w:r w:rsidRPr="00D33C11">
        <w:t>.</w:t>
      </w:r>
      <w:r>
        <w:t xml:space="preserve">  </w:t>
      </w:r>
      <w:r w:rsidRPr="00D33C11">
        <w:t xml:space="preserve">Status Network </w:t>
      </w:r>
      <w:r>
        <w:t>C</w:t>
      </w:r>
      <w:r w:rsidRPr="00D33C11">
        <w:t xml:space="preserve">ore and </w:t>
      </w:r>
      <w:r>
        <w:t>S</w:t>
      </w:r>
      <w:r w:rsidRPr="00D33C11">
        <w:t xml:space="preserve">upplemental </w:t>
      </w:r>
      <w:r>
        <w:t>I</w:t>
      </w:r>
      <w:r w:rsidRPr="00D33C11">
        <w:t>ndicators</w:t>
      </w:r>
      <w:r>
        <w:t xml:space="preserve"> for Organic and Nutrient Indicators</w:t>
      </w:r>
      <w:bookmarkEnd w:id="232"/>
      <w:bookmarkEnd w:id="233"/>
      <w:bookmarkEnd w:id="234"/>
      <w:bookmarkEnd w:id="235"/>
    </w:p>
    <w:p w:rsidR="00485094" w:rsidRDefault="00485094" w:rsidP="00EA3D58">
      <w:pPr>
        <w:pStyle w:val="Bodytextreduced"/>
      </w:pPr>
    </w:p>
    <w:p w:rsidR="00485094" w:rsidRDefault="00485094" w:rsidP="00EA3D58">
      <w:pPr>
        <w:pStyle w:val="TabledescriptionBF"/>
      </w:pPr>
      <w:r>
        <w:t>This is a three-</w:t>
      </w:r>
      <w:r w:rsidRPr="00065DA9">
        <w:t>column table</w:t>
      </w:r>
      <w:r>
        <w:t>.  Column 1 lists t</w:t>
      </w:r>
      <w:r w:rsidRPr="00065DA9">
        <w:t xml:space="preserve">he indicator, </w:t>
      </w:r>
      <w:r>
        <w:t>Column 2</w:t>
      </w:r>
      <w:r w:rsidRPr="00065DA9">
        <w:t xml:space="preserve"> </w:t>
      </w:r>
      <w:r>
        <w:t xml:space="preserve">lists </w:t>
      </w:r>
      <w:r w:rsidRPr="00065DA9">
        <w:t xml:space="preserve">the analytical method numbers, and </w:t>
      </w:r>
      <w:r>
        <w:t xml:space="preserve">Column 3 lists the </w:t>
      </w:r>
      <w:r w:rsidRPr="00065DA9">
        <w:t xml:space="preserve">sampled </w:t>
      </w:r>
      <w:r w:rsidR="00F01F27" w:rsidRPr="00EE47B8">
        <w:t>resource</w:t>
      </w:r>
      <w:r w:rsidR="00F01F27">
        <w:t>(s)</w:t>
      </w:r>
      <w:r>
        <w:t>.</w:t>
      </w:r>
    </w:p>
    <w:tbl>
      <w:tblPr>
        <w:tblW w:w="9225" w:type="dxa"/>
        <w:jc w:val="center"/>
        <w:tblInd w:w="-36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30" w:type="dxa"/>
          <w:right w:w="30" w:type="dxa"/>
        </w:tblCellMar>
        <w:tblLook w:val="0000"/>
      </w:tblPr>
      <w:tblGrid>
        <w:gridCol w:w="3263"/>
        <w:gridCol w:w="3037"/>
        <w:gridCol w:w="2925"/>
      </w:tblGrid>
      <w:tr w:rsidR="00485094" w:rsidRPr="005A1F92" w:rsidTr="000F2909">
        <w:trPr>
          <w:trHeight w:val="235"/>
          <w:jc w:val="center"/>
        </w:trPr>
        <w:tc>
          <w:tcPr>
            <w:tcW w:w="3263" w:type="dxa"/>
            <w:tcBorders>
              <w:top w:val="single" w:sz="2" w:space="0" w:color="auto"/>
              <w:bottom w:val="double" w:sz="4" w:space="0" w:color="auto"/>
            </w:tcBorders>
            <w:shd w:val="clear" w:color="auto" w:fill="BDFFFF"/>
            <w:vAlign w:val="center"/>
          </w:tcPr>
          <w:p w:rsidR="00485094" w:rsidRPr="005A1F92" w:rsidRDefault="00485094" w:rsidP="00F01F27">
            <w:pPr>
              <w:pStyle w:val="TableText"/>
              <w:jc w:val="center"/>
              <w:rPr>
                <w:b/>
                <w:i/>
              </w:rPr>
            </w:pPr>
            <w:r w:rsidRPr="005A1F92">
              <w:rPr>
                <w:b/>
                <w:i/>
              </w:rPr>
              <w:t>Organic/Nutrient Indicator</w:t>
            </w:r>
          </w:p>
        </w:tc>
        <w:tc>
          <w:tcPr>
            <w:tcW w:w="3037" w:type="dxa"/>
            <w:tcBorders>
              <w:top w:val="single" w:sz="2" w:space="0" w:color="auto"/>
              <w:bottom w:val="double" w:sz="4" w:space="0" w:color="auto"/>
            </w:tcBorders>
            <w:shd w:val="clear" w:color="auto" w:fill="BDFFFF"/>
            <w:vAlign w:val="center"/>
          </w:tcPr>
          <w:p w:rsidR="00485094" w:rsidRPr="005A1F92" w:rsidRDefault="00485094" w:rsidP="00453E80">
            <w:pPr>
              <w:pStyle w:val="TableText"/>
              <w:jc w:val="center"/>
              <w:rPr>
                <w:b/>
                <w:i/>
              </w:rPr>
            </w:pPr>
            <w:r w:rsidRPr="005A1F92">
              <w:rPr>
                <w:b/>
                <w:i/>
              </w:rPr>
              <w:t>Analysis Method</w:t>
            </w:r>
          </w:p>
        </w:tc>
        <w:tc>
          <w:tcPr>
            <w:tcW w:w="2925" w:type="dxa"/>
            <w:tcBorders>
              <w:top w:val="single" w:sz="2" w:space="0" w:color="auto"/>
              <w:bottom w:val="double" w:sz="4" w:space="0" w:color="auto"/>
            </w:tcBorders>
            <w:shd w:val="clear" w:color="auto" w:fill="BDFFFF"/>
            <w:vAlign w:val="center"/>
          </w:tcPr>
          <w:p w:rsidR="00485094" w:rsidRPr="005A1F92" w:rsidRDefault="00485094" w:rsidP="00453E80">
            <w:pPr>
              <w:pStyle w:val="TableText"/>
              <w:jc w:val="center"/>
              <w:rPr>
                <w:b/>
                <w:i/>
              </w:rPr>
            </w:pPr>
            <w:r w:rsidRPr="005A1F92">
              <w:rPr>
                <w:b/>
                <w:i/>
              </w:rPr>
              <w:t xml:space="preserve">Sampled </w:t>
            </w:r>
            <w:r w:rsidR="00F01F27" w:rsidRPr="005A1F92">
              <w:rPr>
                <w:b/>
                <w:i/>
              </w:rPr>
              <w:t>Resource</w:t>
            </w:r>
            <w:r w:rsidR="00F01F27">
              <w:rPr>
                <w:b/>
                <w:i/>
              </w:rPr>
              <w:t>(</w:t>
            </w:r>
            <w:r w:rsidR="00F01F27" w:rsidRPr="005A1F92">
              <w:rPr>
                <w:b/>
                <w:i/>
              </w:rPr>
              <w:t>s</w:t>
            </w:r>
            <w:r w:rsidR="00F01F27">
              <w:rPr>
                <w:b/>
                <w:i/>
              </w:rPr>
              <w:t>)</w:t>
            </w:r>
          </w:p>
        </w:tc>
      </w:tr>
      <w:tr w:rsidR="00485094" w:rsidRPr="00590B64" w:rsidTr="00453E80">
        <w:trPr>
          <w:trHeight w:val="235"/>
          <w:jc w:val="center"/>
        </w:trPr>
        <w:tc>
          <w:tcPr>
            <w:tcW w:w="3263" w:type="dxa"/>
            <w:tcBorders>
              <w:top w:val="double" w:sz="4" w:space="0" w:color="auto"/>
            </w:tcBorders>
            <w:shd w:val="clear" w:color="auto" w:fill="FFFFCC"/>
            <w:vAlign w:val="center"/>
          </w:tcPr>
          <w:p w:rsidR="00485094" w:rsidRPr="00590B64" w:rsidRDefault="00485094" w:rsidP="00453E80">
            <w:pPr>
              <w:pStyle w:val="TableText"/>
              <w:jc w:val="center"/>
            </w:pPr>
            <w:r w:rsidRPr="00590B64">
              <w:t>Nitrate + Nitrite</w:t>
            </w:r>
          </w:p>
        </w:tc>
        <w:tc>
          <w:tcPr>
            <w:tcW w:w="3037" w:type="dxa"/>
            <w:tcBorders>
              <w:top w:val="double" w:sz="4" w:space="0" w:color="auto"/>
            </w:tcBorders>
            <w:vAlign w:val="center"/>
          </w:tcPr>
          <w:p w:rsidR="00485094" w:rsidRPr="00590B64" w:rsidRDefault="00485094" w:rsidP="00453E80">
            <w:pPr>
              <w:pStyle w:val="TableText"/>
              <w:jc w:val="center"/>
            </w:pPr>
            <w:r w:rsidRPr="00590B64">
              <w:t>Method 353.2</w:t>
            </w:r>
          </w:p>
        </w:tc>
        <w:tc>
          <w:tcPr>
            <w:tcW w:w="2925" w:type="dxa"/>
            <w:tcBorders>
              <w:top w:val="double" w:sz="4" w:space="0" w:color="auto"/>
            </w:tcBorders>
            <w:vAlign w:val="center"/>
          </w:tcPr>
          <w:p w:rsidR="00485094" w:rsidRPr="00590B64" w:rsidRDefault="00485094" w:rsidP="00453E80">
            <w:pPr>
              <w:pStyle w:val="TableText"/>
              <w:jc w:val="center"/>
            </w:pPr>
            <w:r>
              <w:t>Lakes, Streams/Rivers, Aquifers</w:t>
            </w:r>
          </w:p>
        </w:tc>
      </w:tr>
      <w:tr w:rsidR="00485094" w:rsidRPr="00590B64" w:rsidTr="00453E80">
        <w:trPr>
          <w:trHeight w:val="288"/>
          <w:jc w:val="center"/>
        </w:trPr>
        <w:tc>
          <w:tcPr>
            <w:tcW w:w="3263" w:type="dxa"/>
            <w:shd w:val="clear" w:color="auto" w:fill="FFFFCC"/>
            <w:vAlign w:val="center"/>
          </w:tcPr>
          <w:p w:rsidR="00485094" w:rsidRPr="00590B64" w:rsidRDefault="00485094" w:rsidP="00453E80">
            <w:pPr>
              <w:pStyle w:val="TableText"/>
              <w:jc w:val="center"/>
            </w:pPr>
            <w:r w:rsidRPr="00590B64">
              <w:t>Ammonia</w:t>
            </w:r>
          </w:p>
        </w:tc>
        <w:tc>
          <w:tcPr>
            <w:tcW w:w="3037" w:type="dxa"/>
            <w:vAlign w:val="center"/>
          </w:tcPr>
          <w:p w:rsidR="00485094" w:rsidRPr="00590B64" w:rsidRDefault="00485094" w:rsidP="00453E80">
            <w:pPr>
              <w:pStyle w:val="TableText"/>
              <w:jc w:val="center"/>
            </w:pPr>
            <w:r w:rsidRPr="00590B64">
              <w:t>Method 350.1</w:t>
            </w:r>
          </w:p>
        </w:tc>
        <w:tc>
          <w:tcPr>
            <w:tcW w:w="2925" w:type="dxa"/>
            <w:vAlign w:val="center"/>
          </w:tcPr>
          <w:p w:rsidR="00485094" w:rsidRPr="00590B64" w:rsidRDefault="00485094" w:rsidP="00453E80">
            <w:pPr>
              <w:pStyle w:val="TableText"/>
              <w:jc w:val="center"/>
            </w:pPr>
            <w:r>
              <w:t>Lakes, Streams/Rivers, Aquifers</w:t>
            </w:r>
          </w:p>
        </w:tc>
      </w:tr>
      <w:tr w:rsidR="00485094" w:rsidRPr="00590B64" w:rsidTr="00453E80">
        <w:trPr>
          <w:trHeight w:val="235"/>
          <w:jc w:val="center"/>
        </w:trPr>
        <w:tc>
          <w:tcPr>
            <w:tcW w:w="3263" w:type="dxa"/>
            <w:shd w:val="clear" w:color="auto" w:fill="FFFFCC"/>
            <w:vAlign w:val="center"/>
          </w:tcPr>
          <w:p w:rsidR="00485094" w:rsidRPr="00590B64" w:rsidRDefault="003C6692" w:rsidP="00453E80">
            <w:pPr>
              <w:pStyle w:val="TableText"/>
              <w:jc w:val="center"/>
            </w:pPr>
            <w:r w:rsidRPr="00590B64">
              <w:t>Total Kjeldahl Nitrogen</w:t>
            </w:r>
            <w:r>
              <w:t xml:space="preserve"> (</w:t>
            </w:r>
            <w:r w:rsidR="00485094" w:rsidRPr="00590B64">
              <w:t>T</w:t>
            </w:r>
            <w:r w:rsidR="00485094">
              <w:t>KN</w:t>
            </w:r>
            <w:r>
              <w:t>)</w:t>
            </w:r>
          </w:p>
        </w:tc>
        <w:tc>
          <w:tcPr>
            <w:tcW w:w="3037" w:type="dxa"/>
            <w:vAlign w:val="center"/>
          </w:tcPr>
          <w:p w:rsidR="00485094" w:rsidRPr="00590B64" w:rsidRDefault="00485094" w:rsidP="00453E80">
            <w:pPr>
              <w:pStyle w:val="TableText"/>
              <w:jc w:val="center"/>
            </w:pPr>
            <w:r w:rsidRPr="00590B64">
              <w:t>Method 351.2</w:t>
            </w:r>
          </w:p>
        </w:tc>
        <w:tc>
          <w:tcPr>
            <w:tcW w:w="2925" w:type="dxa"/>
            <w:vAlign w:val="center"/>
          </w:tcPr>
          <w:p w:rsidR="00485094" w:rsidRPr="00590B64" w:rsidRDefault="00485094" w:rsidP="00453E80">
            <w:pPr>
              <w:pStyle w:val="TableText"/>
              <w:jc w:val="center"/>
            </w:pPr>
            <w:r>
              <w:t>Lakes, Streams/Rivers, Aquifers</w:t>
            </w:r>
          </w:p>
        </w:tc>
      </w:tr>
      <w:tr w:rsidR="00485094" w:rsidRPr="00590B64" w:rsidTr="00453E80">
        <w:trPr>
          <w:trHeight w:val="235"/>
          <w:jc w:val="center"/>
        </w:trPr>
        <w:tc>
          <w:tcPr>
            <w:tcW w:w="3263" w:type="dxa"/>
            <w:tcBorders>
              <w:bottom w:val="single" w:sz="2" w:space="0" w:color="auto"/>
            </w:tcBorders>
            <w:shd w:val="clear" w:color="auto" w:fill="FFFFCC"/>
            <w:vAlign w:val="center"/>
          </w:tcPr>
          <w:p w:rsidR="00485094" w:rsidRPr="00590B64" w:rsidRDefault="00485094" w:rsidP="00453E80">
            <w:pPr>
              <w:pStyle w:val="TableText"/>
              <w:jc w:val="center"/>
            </w:pPr>
            <w:r w:rsidRPr="00590B64">
              <w:t>Phosphorus</w:t>
            </w:r>
          </w:p>
        </w:tc>
        <w:tc>
          <w:tcPr>
            <w:tcW w:w="3037" w:type="dxa"/>
            <w:tcBorders>
              <w:bottom w:val="single" w:sz="2" w:space="0" w:color="auto"/>
            </w:tcBorders>
            <w:vAlign w:val="center"/>
          </w:tcPr>
          <w:p w:rsidR="00485094" w:rsidRPr="00590B64" w:rsidRDefault="00485094" w:rsidP="00453E80">
            <w:pPr>
              <w:pStyle w:val="TableText"/>
              <w:jc w:val="center"/>
            </w:pPr>
            <w:r w:rsidRPr="00590B64">
              <w:t>Method 365.1</w:t>
            </w:r>
            <w:r>
              <w:t>/365.4</w:t>
            </w:r>
          </w:p>
        </w:tc>
        <w:tc>
          <w:tcPr>
            <w:tcW w:w="2925" w:type="dxa"/>
            <w:tcBorders>
              <w:bottom w:val="single" w:sz="2" w:space="0" w:color="auto"/>
            </w:tcBorders>
            <w:vAlign w:val="center"/>
          </w:tcPr>
          <w:p w:rsidR="00485094" w:rsidRPr="00590B64" w:rsidRDefault="00485094" w:rsidP="00453E80">
            <w:pPr>
              <w:pStyle w:val="TableText"/>
              <w:jc w:val="center"/>
            </w:pPr>
            <w:r>
              <w:t>Lakes, Streams/Rivers, Aquifers</w:t>
            </w:r>
          </w:p>
        </w:tc>
      </w:tr>
    </w:tbl>
    <w:p w:rsidR="00485094" w:rsidRDefault="00485094" w:rsidP="00EA3D58">
      <w:pPr>
        <w:pStyle w:val="Bodytextreduced"/>
      </w:pPr>
    </w:p>
    <w:p w:rsidR="00485094" w:rsidRPr="00065DA9" w:rsidRDefault="00485094" w:rsidP="00EA3D58">
      <w:pPr>
        <w:pStyle w:val="Bodytextreduced"/>
      </w:pPr>
    </w:p>
    <w:p w:rsidR="00485094" w:rsidRDefault="00485094" w:rsidP="00EA3D58">
      <w:pPr>
        <w:pStyle w:val="Tableheading"/>
      </w:pPr>
      <w:bookmarkStart w:id="236" w:name="_Toc255482800"/>
      <w:bookmarkStart w:id="237" w:name="_Toc255807458"/>
      <w:bookmarkStart w:id="238" w:name="_Toc262464228"/>
      <w:bookmarkStart w:id="239" w:name="_Toc271280075"/>
      <w:r>
        <w:t>Table 5.2d</w:t>
      </w:r>
      <w:r w:rsidRPr="00D33C11">
        <w:t>.</w:t>
      </w:r>
      <w:r>
        <w:t xml:space="preserve">  </w:t>
      </w:r>
      <w:r w:rsidRPr="00D33C11">
        <w:t xml:space="preserve">Status Network </w:t>
      </w:r>
      <w:r>
        <w:t>C</w:t>
      </w:r>
      <w:r w:rsidRPr="00D33C11">
        <w:t xml:space="preserve">ore and </w:t>
      </w:r>
      <w:r>
        <w:t>S</w:t>
      </w:r>
      <w:r w:rsidRPr="00D33C11">
        <w:t xml:space="preserve">upplemental </w:t>
      </w:r>
      <w:r>
        <w:t>I</w:t>
      </w:r>
      <w:r w:rsidRPr="00D33C11">
        <w:t>ndicators</w:t>
      </w:r>
      <w:r>
        <w:t xml:space="preserve"> for Major Ion Indicators</w:t>
      </w:r>
      <w:bookmarkEnd w:id="236"/>
      <w:bookmarkEnd w:id="237"/>
      <w:bookmarkEnd w:id="238"/>
      <w:bookmarkEnd w:id="239"/>
    </w:p>
    <w:p w:rsidR="00485094" w:rsidRDefault="00485094" w:rsidP="00EA3D58">
      <w:pPr>
        <w:pStyle w:val="Bodytextreduced"/>
      </w:pPr>
    </w:p>
    <w:p w:rsidR="00485094" w:rsidRDefault="00485094" w:rsidP="00EA3D58">
      <w:pPr>
        <w:pStyle w:val="TabledescriptionBF"/>
      </w:pPr>
      <w:r>
        <w:t>This is a three-</w:t>
      </w:r>
      <w:r w:rsidRPr="00065DA9">
        <w:t>column table</w:t>
      </w:r>
      <w:r>
        <w:t>.  Column 1 lists t</w:t>
      </w:r>
      <w:r w:rsidRPr="00065DA9">
        <w:t xml:space="preserve">he indicator, </w:t>
      </w:r>
      <w:r>
        <w:t>Column 2</w:t>
      </w:r>
      <w:r w:rsidRPr="00065DA9">
        <w:t xml:space="preserve"> </w:t>
      </w:r>
      <w:r>
        <w:t xml:space="preserve">lists </w:t>
      </w:r>
      <w:r w:rsidRPr="00065DA9">
        <w:t xml:space="preserve">the analytical method numbers, and </w:t>
      </w:r>
      <w:r>
        <w:t xml:space="preserve">Column 3 lists the </w:t>
      </w:r>
      <w:r w:rsidRPr="00065DA9">
        <w:t xml:space="preserve">sampled </w:t>
      </w:r>
      <w:r w:rsidR="00F01F27" w:rsidRPr="00EE47B8">
        <w:t>resource</w:t>
      </w:r>
      <w:r w:rsidR="00F01F27">
        <w:t>(s)</w:t>
      </w:r>
      <w:r>
        <w:t>.</w:t>
      </w:r>
    </w:p>
    <w:tbl>
      <w:tblPr>
        <w:tblW w:w="9225" w:type="dxa"/>
        <w:jc w:val="center"/>
        <w:tblInd w:w="-36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30" w:type="dxa"/>
          <w:right w:w="30" w:type="dxa"/>
        </w:tblCellMar>
        <w:tblLook w:val="0000"/>
      </w:tblPr>
      <w:tblGrid>
        <w:gridCol w:w="3263"/>
        <w:gridCol w:w="3037"/>
        <w:gridCol w:w="2925"/>
      </w:tblGrid>
      <w:tr w:rsidR="00485094" w:rsidRPr="005A1F92" w:rsidTr="000F2909">
        <w:trPr>
          <w:trHeight w:val="235"/>
          <w:jc w:val="center"/>
        </w:trPr>
        <w:tc>
          <w:tcPr>
            <w:tcW w:w="3263" w:type="dxa"/>
            <w:tcBorders>
              <w:top w:val="single" w:sz="2" w:space="0" w:color="auto"/>
              <w:bottom w:val="double" w:sz="4" w:space="0" w:color="auto"/>
            </w:tcBorders>
            <w:shd w:val="clear" w:color="auto" w:fill="BDFFFF"/>
            <w:vAlign w:val="center"/>
          </w:tcPr>
          <w:p w:rsidR="00485094" w:rsidRPr="005A1F92" w:rsidRDefault="00485094" w:rsidP="00F01F27">
            <w:pPr>
              <w:pStyle w:val="TableText"/>
              <w:jc w:val="center"/>
              <w:rPr>
                <w:b/>
                <w:i/>
              </w:rPr>
            </w:pPr>
            <w:r w:rsidRPr="005A1F92">
              <w:rPr>
                <w:b/>
                <w:i/>
              </w:rPr>
              <w:t>Major Ion Indicator</w:t>
            </w:r>
          </w:p>
        </w:tc>
        <w:tc>
          <w:tcPr>
            <w:tcW w:w="3037" w:type="dxa"/>
            <w:tcBorders>
              <w:top w:val="single" w:sz="2" w:space="0" w:color="auto"/>
              <w:bottom w:val="double" w:sz="4" w:space="0" w:color="auto"/>
            </w:tcBorders>
            <w:shd w:val="clear" w:color="auto" w:fill="BDFFFF"/>
            <w:vAlign w:val="center"/>
          </w:tcPr>
          <w:p w:rsidR="00485094" w:rsidRPr="005A1F92" w:rsidRDefault="00485094" w:rsidP="00453E80">
            <w:pPr>
              <w:pStyle w:val="TableText"/>
              <w:jc w:val="center"/>
              <w:rPr>
                <w:b/>
                <w:i/>
              </w:rPr>
            </w:pPr>
            <w:r w:rsidRPr="005A1F92">
              <w:rPr>
                <w:b/>
                <w:i/>
              </w:rPr>
              <w:t>Analysis Method</w:t>
            </w:r>
          </w:p>
        </w:tc>
        <w:tc>
          <w:tcPr>
            <w:tcW w:w="2925" w:type="dxa"/>
            <w:tcBorders>
              <w:top w:val="single" w:sz="2" w:space="0" w:color="auto"/>
              <w:bottom w:val="double" w:sz="4" w:space="0" w:color="auto"/>
            </w:tcBorders>
            <w:shd w:val="clear" w:color="auto" w:fill="BDFFFF"/>
            <w:vAlign w:val="center"/>
          </w:tcPr>
          <w:p w:rsidR="00485094" w:rsidRPr="005A1F92" w:rsidRDefault="00485094" w:rsidP="00453E80">
            <w:pPr>
              <w:pStyle w:val="TableText"/>
              <w:jc w:val="center"/>
              <w:rPr>
                <w:b/>
                <w:i/>
              </w:rPr>
            </w:pPr>
            <w:r w:rsidRPr="005A1F92">
              <w:rPr>
                <w:b/>
                <w:i/>
              </w:rPr>
              <w:t xml:space="preserve">Sampled </w:t>
            </w:r>
            <w:r w:rsidR="00F01F27" w:rsidRPr="005A1F92">
              <w:rPr>
                <w:b/>
                <w:i/>
              </w:rPr>
              <w:t>Resource</w:t>
            </w:r>
            <w:r w:rsidR="00F01F27">
              <w:rPr>
                <w:b/>
                <w:i/>
              </w:rPr>
              <w:t>(</w:t>
            </w:r>
            <w:r w:rsidR="00F01F27" w:rsidRPr="005A1F92">
              <w:rPr>
                <w:b/>
                <w:i/>
              </w:rPr>
              <w:t>s</w:t>
            </w:r>
            <w:r w:rsidR="00F01F27">
              <w:rPr>
                <w:b/>
                <w:i/>
              </w:rPr>
              <w:t>)</w:t>
            </w:r>
          </w:p>
        </w:tc>
      </w:tr>
      <w:tr w:rsidR="00485094" w:rsidRPr="00590B64" w:rsidTr="00453E80">
        <w:trPr>
          <w:trHeight w:val="235"/>
          <w:jc w:val="center"/>
        </w:trPr>
        <w:tc>
          <w:tcPr>
            <w:tcW w:w="3263" w:type="dxa"/>
            <w:tcBorders>
              <w:top w:val="double" w:sz="4" w:space="0" w:color="auto"/>
            </w:tcBorders>
            <w:shd w:val="clear" w:color="auto" w:fill="FFFFCC"/>
            <w:vAlign w:val="center"/>
          </w:tcPr>
          <w:p w:rsidR="00485094" w:rsidRPr="00590B64" w:rsidRDefault="00485094" w:rsidP="00453E80">
            <w:pPr>
              <w:pStyle w:val="TableText"/>
              <w:jc w:val="center"/>
            </w:pPr>
            <w:r w:rsidRPr="00590B64">
              <w:t>Chloride</w:t>
            </w:r>
          </w:p>
        </w:tc>
        <w:tc>
          <w:tcPr>
            <w:tcW w:w="3037" w:type="dxa"/>
            <w:tcBorders>
              <w:top w:val="double" w:sz="4" w:space="0" w:color="auto"/>
            </w:tcBorders>
            <w:vAlign w:val="center"/>
          </w:tcPr>
          <w:p w:rsidR="00485094" w:rsidRPr="00590B64" w:rsidRDefault="00485094" w:rsidP="00453E80">
            <w:pPr>
              <w:pStyle w:val="TableText"/>
              <w:jc w:val="center"/>
            </w:pPr>
            <w:r w:rsidRPr="00590B64">
              <w:t>Method 300</w:t>
            </w:r>
          </w:p>
        </w:tc>
        <w:tc>
          <w:tcPr>
            <w:tcW w:w="2925" w:type="dxa"/>
            <w:tcBorders>
              <w:top w:val="double" w:sz="4" w:space="0" w:color="auto"/>
            </w:tcBorders>
            <w:vAlign w:val="center"/>
          </w:tcPr>
          <w:p w:rsidR="00485094" w:rsidRPr="00590B64" w:rsidRDefault="00485094" w:rsidP="00453E80">
            <w:pPr>
              <w:pStyle w:val="TableText"/>
              <w:jc w:val="center"/>
            </w:pPr>
            <w:r>
              <w:t>Aquifers</w:t>
            </w:r>
          </w:p>
        </w:tc>
      </w:tr>
      <w:tr w:rsidR="00485094" w:rsidRPr="00590B64" w:rsidTr="00453E80">
        <w:trPr>
          <w:trHeight w:val="235"/>
          <w:jc w:val="center"/>
        </w:trPr>
        <w:tc>
          <w:tcPr>
            <w:tcW w:w="3263" w:type="dxa"/>
            <w:shd w:val="clear" w:color="auto" w:fill="FFFFCC"/>
            <w:vAlign w:val="center"/>
          </w:tcPr>
          <w:p w:rsidR="00485094" w:rsidRPr="00590B64" w:rsidRDefault="00485094" w:rsidP="00453E80">
            <w:pPr>
              <w:pStyle w:val="TableText"/>
              <w:jc w:val="center"/>
            </w:pPr>
            <w:r w:rsidRPr="00590B64">
              <w:t>Sulfate</w:t>
            </w:r>
          </w:p>
        </w:tc>
        <w:tc>
          <w:tcPr>
            <w:tcW w:w="3037" w:type="dxa"/>
            <w:vAlign w:val="center"/>
          </w:tcPr>
          <w:p w:rsidR="00485094" w:rsidRPr="00590B64" w:rsidRDefault="00485094" w:rsidP="00453E80">
            <w:pPr>
              <w:pStyle w:val="TableText"/>
              <w:jc w:val="center"/>
            </w:pPr>
            <w:r w:rsidRPr="00590B64">
              <w:t>Method 300</w:t>
            </w:r>
          </w:p>
        </w:tc>
        <w:tc>
          <w:tcPr>
            <w:tcW w:w="2925" w:type="dxa"/>
            <w:vAlign w:val="center"/>
          </w:tcPr>
          <w:p w:rsidR="00485094" w:rsidRPr="00821D52" w:rsidRDefault="00485094" w:rsidP="00453E80">
            <w:pPr>
              <w:jc w:val="center"/>
              <w:rPr>
                <w:rFonts w:ascii="Arial" w:hAnsi="Arial" w:cs="Arial"/>
                <w:sz w:val="18"/>
                <w:szCs w:val="18"/>
              </w:rPr>
            </w:pPr>
            <w:r w:rsidRPr="00821D52">
              <w:rPr>
                <w:rFonts w:ascii="Arial" w:hAnsi="Arial" w:cs="Arial"/>
                <w:sz w:val="18"/>
                <w:szCs w:val="18"/>
              </w:rPr>
              <w:t>Aquifers</w:t>
            </w:r>
          </w:p>
        </w:tc>
      </w:tr>
      <w:tr w:rsidR="00485094" w:rsidRPr="00590B64" w:rsidTr="00453E80">
        <w:trPr>
          <w:trHeight w:val="235"/>
          <w:jc w:val="center"/>
        </w:trPr>
        <w:tc>
          <w:tcPr>
            <w:tcW w:w="3263" w:type="dxa"/>
            <w:shd w:val="clear" w:color="auto" w:fill="FFFFCC"/>
            <w:vAlign w:val="center"/>
          </w:tcPr>
          <w:p w:rsidR="00485094" w:rsidRPr="00590B64" w:rsidRDefault="00485094" w:rsidP="00453E80">
            <w:pPr>
              <w:pStyle w:val="TableText"/>
              <w:jc w:val="center"/>
            </w:pPr>
            <w:r w:rsidRPr="00590B64">
              <w:t>Fluoride</w:t>
            </w:r>
          </w:p>
        </w:tc>
        <w:tc>
          <w:tcPr>
            <w:tcW w:w="3037" w:type="dxa"/>
            <w:vAlign w:val="center"/>
          </w:tcPr>
          <w:p w:rsidR="00485094" w:rsidRPr="00590B64" w:rsidRDefault="00485094" w:rsidP="00453E80">
            <w:pPr>
              <w:pStyle w:val="TableText"/>
              <w:jc w:val="center"/>
            </w:pPr>
            <w:r>
              <w:t>Method 340.2</w:t>
            </w:r>
          </w:p>
        </w:tc>
        <w:tc>
          <w:tcPr>
            <w:tcW w:w="2925" w:type="dxa"/>
            <w:vAlign w:val="center"/>
          </w:tcPr>
          <w:p w:rsidR="00485094" w:rsidRPr="00821D52" w:rsidRDefault="00485094" w:rsidP="00453E80">
            <w:pPr>
              <w:jc w:val="center"/>
              <w:rPr>
                <w:rFonts w:ascii="Arial" w:hAnsi="Arial" w:cs="Arial"/>
                <w:sz w:val="18"/>
                <w:szCs w:val="18"/>
              </w:rPr>
            </w:pPr>
            <w:r w:rsidRPr="00821D52">
              <w:rPr>
                <w:rFonts w:ascii="Arial" w:hAnsi="Arial" w:cs="Arial"/>
                <w:sz w:val="18"/>
                <w:szCs w:val="18"/>
              </w:rPr>
              <w:t>Aquifers</w:t>
            </w:r>
          </w:p>
        </w:tc>
      </w:tr>
      <w:tr w:rsidR="00485094" w:rsidRPr="00590B64" w:rsidTr="00453E80">
        <w:trPr>
          <w:trHeight w:val="235"/>
          <w:jc w:val="center"/>
        </w:trPr>
        <w:tc>
          <w:tcPr>
            <w:tcW w:w="3263" w:type="dxa"/>
            <w:shd w:val="clear" w:color="auto" w:fill="FFFFCC"/>
            <w:vAlign w:val="center"/>
          </w:tcPr>
          <w:p w:rsidR="00485094" w:rsidRPr="00590B64" w:rsidRDefault="00485094" w:rsidP="00453E80">
            <w:pPr>
              <w:pStyle w:val="TableText"/>
              <w:jc w:val="center"/>
            </w:pPr>
            <w:r w:rsidRPr="00590B64">
              <w:t>Calcium</w:t>
            </w:r>
          </w:p>
        </w:tc>
        <w:tc>
          <w:tcPr>
            <w:tcW w:w="3037" w:type="dxa"/>
            <w:vAlign w:val="center"/>
          </w:tcPr>
          <w:p w:rsidR="00485094" w:rsidRPr="00590B64" w:rsidRDefault="00485094" w:rsidP="00453E80">
            <w:pPr>
              <w:pStyle w:val="TableText"/>
              <w:jc w:val="center"/>
            </w:pPr>
            <w:r w:rsidRPr="00590B64">
              <w:t>Method 200.7</w:t>
            </w:r>
          </w:p>
        </w:tc>
        <w:tc>
          <w:tcPr>
            <w:tcW w:w="2925" w:type="dxa"/>
            <w:vAlign w:val="center"/>
          </w:tcPr>
          <w:p w:rsidR="00485094" w:rsidRPr="00821D52" w:rsidRDefault="00485094" w:rsidP="00453E80">
            <w:pPr>
              <w:jc w:val="center"/>
              <w:rPr>
                <w:rFonts w:ascii="Arial" w:hAnsi="Arial" w:cs="Arial"/>
                <w:sz w:val="18"/>
                <w:szCs w:val="18"/>
              </w:rPr>
            </w:pPr>
            <w:r w:rsidRPr="00821D52">
              <w:rPr>
                <w:rFonts w:ascii="Arial" w:hAnsi="Arial" w:cs="Arial"/>
                <w:sz w:val="18"/>
                <w:szCs w:val="18"/>
              </w:rPr>
              <w:t>Aquifers</w:t>
            </w:r>
          </w:p>
        </w:tc>
      </w:tr>
      <w:tr w:rsidR="00485094" w:rsidRPr="00590B64" w:rsidTr="00453E80">
        <w:trPr>
          <w:trHeight w:val="235"/>
          <w:jc w:val="center"/>
        </w:trPr>
        <w:tc>
          <w:tcPr>
            <w:tcW w:w="3263" w:type="dxa"/>
            <w:shd w:val="clear" w:color="auto" w:fill="FFFFCC"/>
            <w:vAlign w:val="center"/>
          </w:tcPr>
          <w:p w:rsidR="00485094" w:rsidRPr="00590B64" w:rsidRDefault="00485094" w:rsidP="00453E80">
            <w:pPr>
              <w:pStyle w:val="TableText"/>
              <w:jc w:val="center"/>
            </w:pPr>
            <w:r w:rsidRPr="00590B64">
              <w:t>Magnesium</w:t>
            </w:r>
          </w:p>
        </w:tc>
        <w:tc>
          <w:tcPr>
            <w:tcW w:w="3037" w:type="dxa"/>
            <w:vAlign w:val="center"/>
          </w:tcPr>
          <w:p w:rsidR="00485094" w:rsidRPr="00590B64" w:rsidRDefault="00485094" w:rsidP="00453E80">
            <w:pPr>
              <w:pStyle w:val="TableText"/>
              <w:jc w:val="center"/>
            </w:pPr>
            <w:r w:rsidRPr="00590B64">
              <w:t>Method 200.7</w:t>
            </w:r>
          </w:p>
        </w:tc>
        <w:tc>
          <w:tcPr>
            <w:tcW w:w="2925" w:type="dxa"/>
            <w:vAlign w:val="center"/>
          </w:tcPr>
          <w:p w:rsidR="00485094" w:rsidRPr="00821D52" w:rsidRDefault="00485094" w:rsidP="00453E80">
            <w:pPr>
              <w:jc w:val="center"/>
              <w:rPr>
                <w:rFonts w:ascii="Arial" w:hAnsi="Arial" w:cs="Arial"/>
                <w:sz w:val="18"/>
                <w:szCs w:val="18"/>
              </w:rPr>
            </w:pPr>
            <w:r w:rsidRPr="00821D52">
              <w:rPr>
                <w:rFonts w:ascii="Arial" w:hAnsi="Arial" w:cs="Arial"/>
                <w:sz w:val="18"/>
                <w:szCs w:val="18"/>
              </w:rPr>
              <w:t>Aquifers</w:t>
            </w:r>
          </w:p>
        </w:tc>
      </w:tr>
      <w:tr w:rsidR="00485094" w:rsidRPr="00590B64" w:rsidTr="00453E80">
        <w:trPr>
          <w:trHeight w:val="235"/>
          <w:jc w:val="center"/>
        </w:trPr>
        <w:tc>
          <w:tcPr>
            <w:tcW w:w="3263" w:type="dxa"/>
            <w:tcBorders>
              <w:bottom w:val="single" w:sz="2" w:space="0" w:color="auto"/>
            </w:tcBorders>
            <w:shd w:val="clear" w:color="auto" w:fill="FFFFCC"/>
            <w:vAlign w:val="center"/>
          </w:tcPr>
          <w:p w:rsidR="00485094" w:rsidRPr="00590B64" w:rsidRDefault="00485094" w:rsidP="00453E80">
            <w:pPr>
              <w:pStyle w:val="TableText"/>
              <w:jc w:val="center"/>
            </w:pPr>
            <w:r w:rsidRPr="00590B64">
              <w:t>Sodium</w:t>
            </w:r>
          </w:p>
        </w:tc>
        <w:tc>
          <w:tcPr>
            <w:tcW w:w="3037" w:type="dxa"/>
            <w:tcBorders>
              <w:bottom w:val="single" w:sz="2" w:space="0" w:color="auto"/>
            </w:tcBorders>
            <w:vAlign w:val="center"/>
          </w:tcPr>
          <w:p w:rsidR="00485094" w:rsidRPr="00590B64" w:rsidRDefault="00485094" w:rsidP="00453E80">
            <w:pPr>
              <w:pStyle w:val="TableText"/>
              <w:jc w:val="center"/>
            </w:pPr>
            <w:r w:rsidRPr="00590B64">
              <w:t>Method 200.7</w:t>
            </w:r>
          </w:p>
        </w:tc>
        <w:tc>
          <w:tcPr>
            <w:tcW w:w="2925" w:type="dxa"/>
            <w:tcBorders>
              <w:bottom w:val="single" w:sz="2" w:space="0" w:color="auto"/>
            </w:tcBorders>
            <w:vAlign w:val="center"/>
          </w:tcPr>
          <w:p w:rsidR="00485094" w:rsidRPr="00821D52" w:rsidRDefault="00485094" w:rsidP="00453E80">
            <w:pPr>
              <w:jc w:val="center"/>
              <w:rPr>
                <w:rFonts w:ascii="Arial" w:hAnsi="Arial" w:cs="Arial"/>
                <w:sz w:val="18"/>
                <w:szCs w:val="18"/>
              </w:rPr>
            </w:pPr>
            <w:r w:rsidRPr="00821D52">
              <w:rPr>
                <w:rFonts w:ascii="Arial" w:hAnsi="Arial" w:cs="Arial"/>
                <w:sz w:val="18"/>
                <w:szCs w:val="18"/>
              </w:rPr>
              <w:t>Aquifers</w:t>
            </w:r>
          </w:p>
        </w:tc>
      </w:tr>
    </w:tbl>
    <w:p w:rsidR="00485094" w:rsidRDefault="00485094" w:rsidP="00EA3D58">
      <w:pPr>
        <w:pStyle w:val="Bodytext"/>
        <w:rPr>
          <w:sz w:val="18"/>
          <w:szCs w:val="18"/>
        </w:rPr>
      </w:pPr>
    </w:p>
    <w:p w:rsidR="00485094" w:rsidRDefault="00485094" w:rsidP="00EA3D58">
      <w:pPr>
        <w:pStyle w:val="Bodytext"/>
        <w:rPr>
          <w:sz w:val="18"/>
          <w:szCs w:val="18"/>
        </w:rPr>
      </w:pPr>
    </w:p>
    <w:p w:rsidR="00485094" w:rsidRDefault="00485094" w:rsidP="00EA3D58">
      <w:pPr>
        <w:pStyle w:val="Tableheading"/>
      </w:pPr>
      <w:bookmarkStart w:id="240" w:name="_Toc255482802"/>
      <w:bookmarkStart w:id="241" w:name="_Toc255807460"/>
      <w:bookmarkStart w:id="242" w:name="_Toc262464229"/>
      <w:bookmarkStart w:id="243" w:name="_Toc271280076"/>
      <w:r>
        <w:t>Table 5.2e</w:t>
      </w:r>
      <w:r w:rsidRPr="00D33C11">
        <w:t>.</w:t>
      </w:r>
      <w:r>
        <w:t xml:space="preserve">  </w:t>
      </w:r>
      <w:r w:rsidRPr="00D33C11">
        <w:t xml:space="preserve">Status Network </w:t>
      </w:r>
      <w:r>
        <w:t>C</w:t>
      </w:r>
      <w:r w:rsidRPr="00D33C11">
        <w:t xml:space="preserve">ore and </w:t>
      </w:r>
      <w:r>
        <w:t>S</w:t>
      </w:r>
      <w:r w:rsidRPr="00D33C11">
        <w:t xml:space="preserve">upplemental </w:t>
      </w:r>
      <w:r>
        <w:t>I</w:t>
      </w:r>
      <w:r w:rsidRPr="00D33C11">
        <w:t>ndicators</w:t>
      </w:r>
      <w:r>
        <w:t xml:space="preserve"> for Metal Indicators</w:t>
      </w:r>
      <w:bookmarkEnd w:id="240"/>
      <w:bookmarkEnd w:id="241"/>
      <w:bookmarkEnd w:id="242"/>
      <w:bookmarkEnd w:id="243"/>
    </w:p>
    <w:p w:rsidR="00485094" w:rsidRDefault="00485094" w:rsidP="00EA3D58">
      <w:pPr>
        <w:pStyle w:val="Bodytext"/>
        <w:rPr>
          <w:sz w:val="18"/>
          <w:szCs w:val="18"/>
        </w:rPr>
      </w:pPr>
    </w:p>
    <w:p w:rsidR="00485094" w:rsidRDefault="00485094" w:rsidP="00EA3D58">
      <w:pPr>
        <w:pStyle w:val="TabledescriptionBF"/>
      </w:pPr>
      <w:r>
        <w:t>This is a three-</w:t>
      </w:r>
      <w:r w:rsidRPr="00065DA9">
        <w:t>column table</w:t>
      </w:r>
      <w:r>
        <w:t>.  Column 1 lists t</w:t>
      </w:r>
      <w:r w:rsidRPr="00065DA9">
        <w:t xml:space="preserve">he indicator, </w:t>
      </w:r>
      <w:r>
        <w:t>Column 2</w:t>
      </w:r>
      <w:r w:rsidRPr="00065DA9">
        <w:t xml:space="preserve"> </w:t>
      </w:r>
      <w:r>
        <w:t xml:space="preserve">lists </w:t>
      </w:r>
      <w:r w:rsidRPr="00065DA9">
        <w:t xml:space="preserve">the analytical method numbers, and </w:t>
      </w:r>
      <w:r>
        <w:t xml:space="preserve">Column 3 lists the </w:t>
      </w:r>
      <w:r w:rsidRPr="00065DA9">
        <w:t xml:space="preserve">sampled </w:t>
      </w:r>
      <w:r w:rsidR="00F01F27" w:rsidRPr="00EE47B8">
        <w:t>resource</w:t>
      </w:r>
      <w:r w:rsidR="00F01F27">
        <w:t>(s)</w:t>
      </w:r>
      <w:r>
        <w:t>.</w:t>
      </w:r>
    </w:p>
    <w:tbl>
      <w:tblPr>
        <w:tblW w:w="9225" w:type="dxa"/>
        <w:jc w:val="center"/>
        <w:tblInd w:w="-36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30" w:type="dxa"/>
          <w:right w:w="30" w:type="dxa"/>
        </w:tblCellMar>
        <w:tblLook w:val="0000"/>
      </w:tblPr>
      <w:tblGrid>
        <w:gridCol w:w="3263"/>
        <w:gridCol w:w="3037"/>
        <w:gridCol w:w="2925"/>
      </w:tblGrid>
      <w:tr w:rsidR="00485094" w:rsidRPr="005A1F92" w:rsidTr="000F2909">
        <w:trPr>
          <w:trHeight w:val="235"/>
          <w:jc w:val="center"/>
        </w:trPr>
        <w:tc>
          <w:tcPr>
            <w:tcW w:w="3263" w:type="dxa"/>
            <w:tcBorders>
              <w:top w:val="single" w:sz="2" w:space="0" w:color="auto"/>
              <w:bottom w:val="double" w:sz="4" w:space="0" w:color="auto"/>
            </w:tcBorders>
            <w:shd w:val="clear" w:color="auto" w:fill="BDFFFF"/>
            <w:vAlign w:val="center"/>
          </w:tcPr>
          <w:p w:rsidR="00485094" w:rsidRPr="005A1F92" w:rsidRDefault="00485094" w:rsidP="00F01F27">
            <w:pPr>
              <w:pStyle w:val="TableText"/>
              <w:jc w:val="center"/>
              <w:rPr>
                <w:b/>
                <w:i/>
                <w:lang w:val="pt-BR"/>
              </w:rPr>
            </w:pPr>
            <w:r w:rsidRPr="005A1F92">
              <w:rPr>
                <w:b/>
                <w:i/>
                <w:lang w:val="pt-BR"/>
              </w:rPr>
              <w:t>Metal Indicator</w:t>
            </w:r>
          </w:p>
        </w:tc>
        <w:tc>
          <w:tcPr>
            <w:tcW w:w="3037" w:type="dxa"/>
            <w:tcBorders>
              <w:top w:val="single" w:sz="2" w:space="0" w:color="auto"/>
              <w:bottom w:val="double" w:sz="4" w:space="0" w:color="auto"/>
            </w:tcBorders>
            <w:shd w:val="clear" w:color="auto" w:fill="BDFFFF"/>
            <w:vAlign w:val="center"/>
          </w:tcPr>
          <w:p w:rsidR="00485094" w:rsidRPr="005A1F92" w:rsidRDefault="00485094" w:rsidP="00453E80">
            <w:pPr>
              <w:pStyle w:val="TableText"/>
              <w:jc w:val="center"/>
              <w:rPr>
                <w:b/>
                <w:i/>
              </w:rPr>
            </w:pPr>
            <w:r w:rsidRPr="005A1F92">
              <w:rPr>
                <w:b/>
                <w:i/>
              </w:rPr>
              <w:t>Analysis Method</w:t>
            </w:r>
          </w:p>
        </w:tc>
        <w:tc>
          <w:tcPr>
            <w:tcW w:w="2925" w:type="dxa"/>
            <w:tcBorders>
              <w:top w:val="single" w:sz="2" w:space="0" w:color="auto"/>
              <w:bottom w:val="double" w:sz="4" w:space="0" w:color="auto"/>
            </w:tcBorders>
            <w:shd w:val="clear" w:color="auto" w:fill="BDFFFF"/>
            <w:vAlign w:val="center"/>
          </w:tcPr>
          <w:p w:rsidR="00485094" w:rsidRPr="005A1F92" w:rsidRDefault="00485094" w:rsidP="00453E80">
            <w:pPr>
              <w:pStyle w:val="TableText"/>
              <w:jc w:val="center"/>
              <w:rPr>
                <w:b/>
                <w:i/>
              </w:rPr>
            </w:pPr>
            <w:r w:rsidRPr="005A1F92">
              <w:rPr>
                <w:b/>
                <w:i/>
              </w:rPr>
              <w:t xml:space="preserve">Sampled </w:t>
            </w:r>
            <w:r w:rsidR="00F01F27" w:rsidRPr="005A1F92">
              <w:rPr>
                <w:b/>
                <w:i/>
              </w:rPr>
              <w:t>Resource</w:t>
            </w:r>
            <w:r w:rsidR="00F01F27">
              <w:rPr>
                <w:b/>
                <w:i/>
              </w:rPr>
              <w:t>(</w:t>
            </w:r>
            <w:r w:rsidR="00F01F27" w:rsidRPr="005A1F92">
              <w:rPr>
                <w:b/>
                <w:i/>
              </w:rPr>
              <w:t>s</w:t>
            </w:r>
            <w:r w:rsidR="00F01F27">
              <w:rPr>
                <w:b/>
                <w:i/>
              </w:rPr>
              <w:t>)</w:t>
            </w:r>
          </w:p>
        </w:tc>
      </w:tr>
      <w:tr w:rsidR="00485094" w:rsidRPr="00590B64" w:rsidTr="00453E80">
        <w:trPr>
          <w:trHeight w:val="235"/>
          <w:jc w:val="center"/>
        </w:trPr>
        <w:tc>
          <w:tcPr>
            <w:tcW w:w="3263" w:type="dxa"/>
            <w:tcBorders>
              <w:top w:val="double" w:sz="4" w:space="0" w:color="auto"/>
              <w:bottom w:val="single" w:sz="2" w:space="0" w:color="auto"/>
            </w:tcBorders>
            <w:shd w:val="clear" w:color="auto" w:fill="FFFFCC"/>
            <w:vAlign w:val="center"/>
          </w:tcPr>
          <w:p w:rsidR="00485094" w:rsidRPr="00590B64" w:rsidRDefault="00485094" w:rsidP="00453E80">
            <w:pPr>
              <w:pStyle w:val="TableText"/>
              <w:jc w:val="center"/>
              <w:rPr>
                <w:lang w:val="pt-BR"/>
              </w:rPr>
            </w:pPr>
            <w:r w:rsidRPr="00590B64">
              <w:rPr>
                <w:lang w:val="pt-BR"/>
              </w:rPr>
              <w:t>Al</w:t>
            </w:r>
            <w:r>
              <w:rPr>
                <w:lang w:val="pt-BR"/>
              </w:rPr>
              <w:t>uminum</w:t>
            </w:r>
            <w:r w:rsidRPr="00590B64">
              <w:rPr>
                <w:lang w:val="pt-BR"/>
              </w:rPr>
              <w:t>,</w:t>
            </w:r>
            <w:r>
              <w:rPr>
                <w:lang w:val="pt-BR"/>
              </w:rPr>
              <w:t xml:space="preserve"> </w:t>
            </w:r>
            <w:r w:rsidRPr="00590B64">
              <w:rPr>
                <w:lang w:val="pt-BR"/>
              </w:rPr>
              <w:t>A</w:t>
            </w:r>
            <w:r>
              <w:rPr>
                <w:lang w:val="pt-BR"/>
              </w:rPr>
              <w:t>r</w:t>
            </w:r>
            <w:r w:rsidRPr="00590B64">
              <w:rPr>
                <w:lang w:val="pt-BR"/>
              </w:rPr>
              <w:t>s</w:t>
            </w:r>
            <w:r>
              <w:rPr>
                <w:lang w:val="pt-BR"/>
              </w:rPr>
              <w:t>enic</w:t>
            </w:r>
            <w:r w:rsidRPr="00590B64">
              <w:rPr>
                <w:lang w:val="pt-BR"/>
              </w:rPr>
              <w:t>,</w:t>
            </w:r>
            <w:r>
              <w:rPr>
                <w:lang w:val="pt-BR"/>
              </w:rPr>
              <w:t xml:space="preserve"> </w:t>
            </w:r>
            <w:r w:rsidRPr="00590B64">
              <w:rPr>
                <w:lang w:val="pt-BR"/>
              </w:rPr>
              <w:t>Ca</w:t>
            </w:r>
            <w:r>
              <w:rPr>
                <w:lang w:val="pt-BR"/>
              </w:rPr>
              <w:t>lcium, Ca</w:t>
            </w:r>
            <w:r w:rsidRPr="00590B64">
              <w:rPr>
                <w:lang w:val="pt-BR"/>
              </w:rPr>
              <w:t>d</w:t>
            </w:r>
            <w:r>
              <w:rPr>
                <w:lang w:val="pt-BR"/>
              </w:rPr>
              <w:t>mium</w:t>
            </w:r>
            <w:r w:rsidRPr="00590B64">
              <w:rPr>
                <w:lang w:val="pt-BR"/>
              </w:rPr>
              <w:t>,</w:t>
            </w:r>
            <w:r>
              <w:rPr>
                <w:lang w:val="pt-BR"/>
              </w:rPr>
              <w:t xml:space="preserve"> </w:t>
            </w:r>
            <w:r w:rsidRPr="00590B64">
              <w:rPr>
                <w:lang w:val="pt-BR"/>
              </w:rPr>
              <w:t>C</w:t>
            </w:r>
            <w:r>
              <w:rPr>
                <w:lang w:val="pt-BR"/>
              </w:rPr>
              <w:t>h</w:t>
            </w:r>
            <w:r w:rsidRPr="00590B64">
              <w:rPr>
                <w:lang w:val="pt-BR"/>
              </w:rPr>
              <w:t>r</w:t>
            </w:r>
            <w:r>
              <w:rPr>
                <w:lang w:val="pt-BR"/>
              </w:rPr>
              <w:t>omium</w:t>
            </w:r>
            <w:r w:rsidRPr="00590B64">
              <w:rPr>
                <w:lang w:val="pt-BR"/>
              </w:rPr>
              <w:t>,</w:t>
            </w:r>
            <w:r>
              <w:rPr>
                <w:lang w:val="pt-BR"/>
              </w:rPr>
              <w:t xml:space="preserve"> </w:t>
            </w:r>
            <w:r w:rsidRPr="00590B64">
              <w:rPr>
                <w:lang w:val="pt-BR"/>
              </w:rPr>
              <w:t>C</w:t>
            </w:r>
            <w:r>
              <w:rPr>
                <w:lang w:val="pt-BR"/>
              </w:rPr>
              <w:t>opper</w:t>
            </w:r>
            <w:r w:rsidRPr="00590B64">
              <w:rPr>
                <w:lang w:val="pt-BR"/>
              </w:rPr>
              <w:t>,</w:t>
            </w:r>
            <w:r>
              <w:rPr>
                <w:lang w:val="pt-BR"/>
              </w:rPr>
              <w:t xml:space="preserve"> Iron</w:t>
            </w:r>
            <w:r w:rsidRPr="00590B64">
              <w:rPr>
                <w:lang w:val="pt-BR"/>
              </w:rPr>
              <w:t>,</w:t>
            </w:r>
            <w:r>
              <w:rPr>
                <w:lang w:val="pt-BR"/>
              </w:rPr>
              <w:t xml:space="preserve"> Lead</w:t>
            </w:r>
            <w:r w:rsidRPr="00590B64">
              <w:rPr>
                <w:lang w:val="pt-BR"/>
              </w:rPr>
              <w:t>,</w:t>
            </w:r>
            <w:r>
              <w:rPr>
                <w:lang w:val="pt-BR"/>
              </w:rPr>
              <w:t xml:space="preserve"> </w:t>
            </w:r>
            <w:r w:rsidRPr="00590B64">
              <w:rPr>
                <w:lang w:val="pt-BR"/>
              </w:rPr>
              <w:t>M</w:t>
            </w:r>
            <w:r>
              <w:rPr>
                <w:lang w:val="pt-BR"/>
              </w:rPr>
              <w:t>a</w:t>
            </w:r>
            <w:r w:rsidRPr="00590B64">
              <w:rPr>
                <w:lang w:val="pt-BR"/>
              </w:rPr>
              <w:t>g</w:t>
            </w:r>
            <w:r>
              <w:rPr>
                <w:lang w:val="pt-BR"/>
              </w:rPr>
              <w:t>nesium</w:t>
            </w:r>
            <w:r w:rsidRPr="00590B64">
              <w:rPr>
                <w:lang w:val="pt-BR"/>
              </w:rPr>
              <w:t>,</w:t>
            </w:r>
            <w:r>
              <w:rPr>
                <w:lang w:val="pt-BR"/>
              </w:rPr>
              <w:t xml:space="preserve"> </w:t>
            </w:r>
            <w:r w:rsidRPr="00590B64">
              <w:rPr>
                <w:lang w:val="pt-BR"/>
              </w:rPr>
              <w:t>M</w:t>
            </w:r>
            <w:r>
              <w:rPr>
                <w:lang w:val="pt-BR"/>
              </w:rPr>
              <w:t>anganese</w:t>
            </w:r>
            <w:r w:rsidRPr="00590B64">
              <w:rPr>
                <w:lang w:val="pt-BR"/>
              </w:rPr>
              <w:t>,</w:t>
            </w:r>
            <w:r>
              <w:rPr>
                <w:lang w:val="pt-BR"/>
              </w:rPr>
              <w:t xml:space="preserve"> Sodium</w:t>
            </w:r>
            <w:r w:rsidRPr="00590B64">
              <w:rPr>
                <w:lang w:val="pt-BR"/>
              </w:rPr>
              <w:t>,</w:t>
            </w:r>
            <w:r>
              <w:rPr>
                <w:lang w:val="pt-BR"/>
              </w:rPr>
              <w:t xml:space="preserve"> </w:t>
            </w:r>
            <w:r w:rsidRPr="00590B64">
              <w:rPr>
                <w:lang w:val="pt-BR"/>
              </w:rPr>
              <w:t>Z</w:t>
            </w:r>
            <w:r>
              <w:rPr>
                <w:lang w:val="pt-BR"/>
              </w:rPr>
              <w:t>i</w:t>
            </w:r>
            <w:r w:rsidRPr="00590B64">
              <w:rPr>
                <w:lang w:val="pt-BR"/>
              </w:rPr>
              <w:t>n</w:t>
            </w:r>
            <w:r>
              <w:rPr>
                <w:lang w:val="pt-BR"/>
              </w:rPr>
              <w:t>c</w:t>
            </w:r>
          </w:p>
        </w:tc>
        <w:tc>
          <w:tcPr>
            <w:tcW w:w="3037" w:type="dxa"/>
            <w:tcBorders>
              <w:top w:val="double" w:sz="4" w:space="0" w:color="auto"/>
              <w:bottom w:val="single" w:sz="2" w:space="0" w:color="auto"/>
            </w:tcBorders>
            <w:vAlign w:val="center"/>
          </w:tcPr>
          <w:p w:rsidR="00485094" w:rsidRPr="00590B64" w:rsidRDefault="00485094" w:rsidP="00453E80">
            <w:pPr>
              <w:pStyle w:val="TableText"/>
              <w:jc w:val="center"/>
              <w:rPr>
                <w:lang w:val="pt-BR"/>
              </w:rPr>
            </w:pPr>
            <w:r w:rsidRPr="00590B64">
              <w:t xml:space="preserve">Method </w:t>
            </w:r>
            <w:r>
              <w:t>200.7/200.8</w:t>
            </w:r>
          </w:p>
        </w:tc>
        <w:tc>
          <w:tcPr>
            <w:tcW w:w="2925" w:type="dxa"/>
            <w:tcBorders>
              <w:top w:val="double" w:sz="4" w:space="0" w:color="auto"/>
              <w:bottom w:val="single" w:sz="2" w:space="0" w:color="auto"/>
            </w:tcBorders>
            <w:vAlign w:val="center"/>
          </w:tcPr>
          <w:p w:rsidR="00485094" w:rsidRPr="00590B64" w:rsidRDefault="00485094" w:rsidP="00453E80">
            <w:pPr>
              <w:pStyle w:val="TableText"/>
              <w:jc w:val="center"/>
            </w:pPr>
            <w:r>
              <w:t>Aquifers</w:t>
            </w:r>
          </w:p>
        </w:tc>
      </w:tr>
    </w:tbl>
    <w:p w:rsidR="00485094" w:rsidRDefault="00485094" w:rsidP="00EA3D58">
      <w:pPr>
        <w:pStyle w:val="Bodytextreduced"/>
      </w:pPr>
    </w:p>
    <w:p w:rsidR="00485094" w:rsidRDefault="00485094" w:rsidP="00EA3D58">
      <w:pPr>
        <w:pStyle w:val="Bodytextreduced"/>
      </w:pPr>
      <w:r>
        <w:br w:type="page"/>
      </w:r>
    </w:p>
    <w:p w:rsidR="00485094" w:rsidRDefault="00485094" w:rsidP="00EA3D58">
      <w:pPr>
        <w:pStyle w:val="Tableheading"/>
      </w:pPr>
      <w:bookmarkStart w:id="244" w:name="_Toc255482804"/>
      <w:bookmarkStart w:id="245" w:name="_Toc255807462"/>
      <w:bookmarkStart w:id="246" w:name="_Toc262464230"/>
      <w:bookmarkStart w:id="247" w:name="_Toc271280077"/>
      <w:r>
        <w:t xml:space="preserve">Table 5.2f.  </w:t>
      </w:r>
      <w:r w:rsidRPr="00D33C11">
        <w:t xml:space="preserve">Status Network </w:t>
      </w:r>
      <w:r>
        <w:t>C</w:t>
      </w:r>
      <w:r w:rsidRPr="00D33C11">
        <w:t xml:space="preserve">ore and </w:t>
      </w:r>
      <w:r>
        <w:t>S</w:t>
      </w:r>
      <w:r w:rsidRPr="00D33C11">
        <w:t xml:space="preserve">upplemental </w:t>
      </w:r>
      <w:r>
        <w:t>I</w:t>
      </w:r>
      <w:r w:rsidRPr="00D33C11">
        <w:t>ndicators</w:t>
      </w:r>
      <w:r>
        <w:t xml:space="preserve"> for Physical Property Indicators</w:t>
      </w:r>
      <w:bookmarkEnd w:id="244"/>
      <w:bookmarkEnd w:id="245"/>
      <w:bookmarkEnd w:id="246"/>
      <w:bookmarkEnd w:id="247"/>
    </w:p>
    <w:p w:rsidR="00485094" w:rsidRDefault="00485094" w:rsidP="00EA3D58">
      <w:pPr>
        <w:pStyle w:val="TabledescriptionBF"/>
      </w:pPr>
      <w:bookmarkStart w:id="248" w:name="_Toc255482805"/>
      <w:bookmarkStart w:id="249" w:name="_Toc255807463"/>
      <w:r>
        <w:t>This is a three-</w:t>
      </w:r>
      <w:r w:rsidRPr="00065DA9">
        <w:t>column table</w:t>
      </w:r>
      <w:r>
        <w:t>.  Column 1 lists t</w:t>
      </w:r>
      <w:r w:rsidRPr="00065DA9">
        <w:t xml:space="preserve">he indicator, </w:t>
      </w:r>
      <w:r>
        <w:t>Column 2</w:t>
      </w:r>
      <w:r w:rsidRPr="00065DA9">
        <w:t xml:space="preserve"> </w:t>
      </w:r>
      <w:r>
        <w:t xml:space="preserve">lists </w:t>
      </w:r>
      <w:r w:rsidRPr="00065DA9">
        <w:t xml:space="preserve">the analytical method numbers, and </w:t>
      </w:r>
      <w:r>
        <w:t xml:space="preserve">Column 3 lists the </w:t>
      </w:r>
      <w:r w:rsidRPr="00065DA9">
        <w:t xml:space="preserve">sampled </w:t>
      </w:r>
      <w:r w:rsidR="00F01F27" w:rsidRPr="00EE47B8">
        <w:t>resource</w:t>
      </w:r>
      <w:r w:rsidR="00F01F27">
        <w:t>(s)</w:t>
      </w:r>
      <w:r>
        <w:t>.</w:t>
      </w:r>
      <w:bookmarkEnd w:id="248"/>
      <w:bookmarkEnd w:id="249"/>
    </w:p>
    <w:p w:rsidR="00485094" w:rsidRDefault="00485094" w:rsidP="00EA3D58">
      <w:pPr>
        <w:pStyle w:val="Tableheading"/>
        <w:rPr>
          <w:b w:val="0"/>
          <w:sz w:val="18"/>
          <w:szCs w:val="18"/>
        </w:rPr>
      </w:pPr>
    </w:p>
    <w:p w:rsidR="00485094" w:rsidRPr="00DB3E80" w:rsidRDefault="00485094" w:rsidP="00EA3D58">
      <w:pPr>
        <w:rPr>
          <w:rFonts w:ascii="Arial" w:hAnsi="Arial" w:cs="Arial"/>
          <w:sz w:val="16"/>
          <w:szCs w:val="16"/>
        </w:rPr>
      </w:pPr>
      <w:r w:rsidRPr="00DB3E80">
        <w:rPr>
          <w:rFonts w:ascii="Arial" w:hAnsi="Arial" w:cs="Arial"/>
          <w:sz w:val="16"/>
          <w:szCs w:val="16"/>
          <w:vertAlign w:val="superscript"/>
        </w:rPr>
        <w:t>1</w:t>
      </w:r>
      <w:r>
        <w:rPr>
          <w:rFonts w:ascii="Arial" w:hAnsi="Arial" w:cs="Arial"/>
          <w:sz w:val="16"/>
          <w:szCs w:val="16"/>
          <w:vertAlign w:val="superscript"/>
        </w:rPr>
        <w:t xml:space="preserve"> </w:t>
      </w:r>
      <w:r>
        <w:rPr>
          <w:rFonts w:ascii="Arial" w:hAnsi="Arial" w:cs="Arial"/>
          <w:sz w:val="16"/>
          <w:szCs w:val="16"/>
        </w:rPr>
        <w:t xml:space="preserve">Added in </w:t>
      </w:r>
      <w:r w:rsidRPr="00DB3E80">
        <w:rPr>
          <w:rFonts w:ascii="Arial" w:hAnsi="Arial" w:cs="Arial"/>
          <w:sz w:val="16"/>
          <w:szCs w:val="16"/>
        </w:rPr>
        <w:t>2006</w:t>
      </w:r>
      <w:r>
        <w:rPr>
          <w:rFonts w:ascii="Arial" w:hAnsi="Arial" w:cs="Arial"/>
          <w:sz w:val="16"/>
          <w:szCs w:val="16"/>
        </w:rPr>
        <w:t xml:space="preserve">  </w:t>
      </w:r>
    </w:p>
    <w:tbl>
      <w:tblPr>
        <w:tblW w:w="9225" w:type="dxa"/>
        <w:jc w:val="center"/>
        <w:tblInd w:w="-36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30" w:type="dxa"/>
          <w:right w:w="30" w:type="dxa"/>
        </w:tblCellMar>
        <w:tblLook w:val="0000"/>
      </w:tblPr>
      <w:tblGrid>
        <w:gridCol w:w="3263"/>
        <w:gridCol w:w="3037"/>
        <w:gridCol w:w="2925"/>
      </w:tblGrid>
      <w:tr w:rsidR="00485094" w:rsidRPr="005A1F92" w:rsidTr="000F2909">
        <w:trPr>
          <w:trHeight w:val="235"/>
          <w:jc w:val="center"/>
        </w:trPr>
        <w:tc>
          <w:tcPr>
            <w:tcW w:w="3263" w:type="dxa"/>
            <w:tcBorders>
              <w:top w:val="single" w:sz="2" w:space="0" w:color="auto"/>
              <w:bottom w:val="double" w:sz="4" w:space="0" w:color="auto"/>
            </w:tcBorders>
            <w:shd w:val="clear" w:color="auto" w:fill="BDFFFF"/>
            <w:vAlign w:val="center"/>
          </w:tcPr>
          <w:p w:rsidR="00485094" w:rsidRPr="005A1F92" w:rsidRDefault="00485094" w:rsidP="00F01F27">
            <w:pPr>
              <w:pStyle w:val="TableText"/>
              <w:jc w:val="center"/>
              <w:rPr>
                <w:b/>
                <w:i/>
              </w:rPr>
            </w:pPr>
            <w:r w:rsidRPr="005A1F92">
              <w:rPr>
                <w:b/>
                <w:i/>
              </w:rPr>
              <w:t>Physical Property Indicator</w:t>
            </w:r>
          </w:p>
        </w:tc>
        <w:tc>
          <w:tcPr>
            <w:tcW w:w="3037" w:type="dxa"/>
            <w:tcBorders>
              <w:top w:val="single" w:sz="2" w:space="0" w:color="auto"/>
              <w:bottom w:val="double" w:sz="4" w:space="0" w:color="auto"/>
            </w:tcBorders>
            <w:shd w:val="clear" w:color="auto" w:fill="BDFFFF"/>
            <w:vAlign w:val="center"/>
          </w:tcPr>
          <w:p w:rsidR="00485094" w:rsidRPr="005A1F92" w:rsidRDefault="00485094" w:rsidP="00453E80">
            <w:pPr>
              <w:pStyle w:val="TableText"/>
              <w:jc w:val="center"/>
              <w:rPr>
                <w:b/>
                <w:i/>
              </w:rPr>
            </w:pPr>
            <w:r w:rsidRPr="005A1F92">
              <w:rPr>
                <w:b/>
                <w:i/>
              </w:rPr>
              <w:t>Analysis Method</w:t>
            </w:r>
          </w:p>
        </w:tc>
        <w:tc>
          <w:tcPr>
            <w:tcW w:w="2925" w:type="dxa"/>
            <w:tcBorders>
              <w:top w:val="single" w:sz="2" w:space="0" w:color="auto"/>
              <w:bottom w:val="double" w:sz="4" w:space="0" w:color="auto"/>
            </w:tcBorders>
            <w:shd w:val="clear" w:color="auto" w:fill="BDFFFF"/>
            <w:vAlign w:val="center"/>
          </w:tcPr>
          <w:p w:rsidR="00485094" w:rsidRPr="005A1F92" w:rsidRDefault="00485094" w:rsidP="00453E80">
            <w:pPr>
              <w:pStyle w:val="TableText"/>
              <w:jc w:val="center"/>
              <w:rPr>
                <w:b/>
                <w:i/>
              </w:rPr>
            </w:pPr>
            <w:r w:rsidRPr="005A1F92">
              <w:rPr>
                <w:b/>
                <w:i/>
              </w:rPr>
              <w:t xml:space="preserve">Sampled </w:t>
            </w:r>
            <w:r w:rsidR="00F01F27" w:rsidRPr="005A1F92">
              <w:rPr>
                <w:b/>
                <w:i/>
              </w:rPr>
              <w:t>Resource</w:t>
            </w:r>
            <w:r w:rsidR="00F01F27">
              <w:rPr>
                <w:b/>
                <w:i/>
              </w:rPr>
              <w:t>(</w:t>
            </w:r>
            <w:r w:rsidR="00F01F27" w:rsidRPr="005A1F92">
              <w:rPr>
                <w:b/>
                <w:i/>
              </w:rPr>
              <w:t>s</w:t>
            </w:r>
            <w:r w:rsidR="00F01F27">
              <w:rPr>
                <w:b/>
                <w:i/>
              </w:rPr>
              <w:t>)</w:t>
            </w:r>
          </w:p>
        </w:tc>
      </w:tr>
      <w:tr w:rsidR="00485094" w:rsidRPr="00590B64" w:rsidTr="00453E80">
        <w:trPr>
          <w:trHeight w:val="235"/>
          <w:jc w:val="center"/>
        </w:trPr>
        <w:tc>
          <w:tcPr>
            <w:tcW w:w="3263" w:type="dxa"/>
            <w:tcBorders>
              <w:top w:val="double" w:sz="4" w:space="0" w:color="auto"/>
            </w:tcBorders>
            <w:shd w:val="clear" w:color="auto" w:fill="FFFFCC"/>
            <w:vAlign w:val="center"/>
          </w:tcPr>
          <w:p w:rsidR="00485094" w:rsidRPr="00590B64" w:rsidRDefault="00485094" w:rsidP="00453E80">
            <w:pPr>
              <w:pStyle w:val="TableText"/>
              <w:jc w:val="center"/>
            </w:pPr>
            <w:r w:rsidRPr="00590B64">
              <w:t>Alkalinity</w:t>
            </w:r>
          </w:p>
        </w:tc>
        <w:tc>
          <w:tcPr>
            <w:tcW w:w="3037" w:type="dxa"/>
            <w:tcBorders>
              <w:top w:val="double" w:sz="4" w:space="0" w:color="auto"/>
            </w:tcBorders>
            <w:vAlign w:val="center"/>
          </w:tcPr>
          <w:p w:rsidR="00485094" w:rsidRPr="00590B64" w:rsidRDefault="00485094" w:rsidP="00453E80">
            <w:pPr>
              <w:pStyle w:val="TableText"/>
              <w:jc w:val="center"/>
            </w:pPr>
            <w:r>
              <w:t>Method 310.1</w:t>
            </w:r>
          </w:p>
        </w:tc>
        <w:tc>
          <w:tcPr>
            <w:tcW w:w="2925" w:type="dxa"/>
            <w:tcBorders>
              <w:top w:val="double" w:sz="4" w:space="0" w:color="auto"/>
            </w:tcBorders>
            <w:vAlign w:val="center"/>
          </w:tcPr>
          <w:p w:rsidR="00485094" w:rsidRPr="00590B64" w:rsidRDefault="00485094" w:rsidP="00453E80">
            <w:pPr>
              <w:pStyle w:val="TableText"/>
              <w:jc w:val="center"/>
            </w:pPr>
            <w:r>
              <w:t>Aquifers</w:t>
            </w:r>
          </w:p>
        </w:tc>
      </w:tr>
      <w:tr w:rsidR="00485094" w:rsidRPr="00590B64" w:rsidTr="00453E80">
        <w:trPr>
          <w:trHeight w:val="235"/>
          <w:jc w:val="center"/>
        </w:trPr>
        <w:tc>
          <w:tcPr>
            <w:tcW w:w="3263" w:type="dxa"/>
            <w:shd w:val="clear" w:color="auto" w:fill="FFFFCC"/>
            <w:vAlign w:val="center"/>
          </w:tcPr>
          <w:p w:rsidR="00485094" w:rsidRPr="00590B64" w:rsidRDefault="00485094" w:rsidP="00453E80">
            <w:pPr>
              <w:pStyle w:val="TableText"/>
              <w:jc w:val="center"/>
            </w:pPr>
            <w:r w:rsidRPr="00590B64">
              <w:t>Turbidity</w:t>
            </w:r>
            <w:r>
              <w:t xml:space="preserve"> (Lab)</w:t>
            </w:r>
          </w:p>
        </w:tc>
        <w:tc>
          <w:tcPr>
            <w:tcW w:w="3037" w:type="dxa"/>
            <w:vAlign w:val="center"/>
          </w:tcPr>
          <w:p w:rsidR="00485094" w:rsidRPr="00590B64" w:rsidRDefault="00485094" w:rsidP="00453E80">
            <w:pPr>
              <w:pStyle w:val="TableText"/>
              <w:jc w:val="center"/>
            </w:pPr>
            <w:r w:rsidRPr="00590B64">
              <w:t>Method 180.1</w:t>
            </w:r>
          </w:p>
        </w:tc>
        <w:tc>
          <w:tcPr>
            <w:tcW w:w="2925" w:type="dxa"/>
            <w:vAlign w:val="center"/>
          </w:tcPr>
          <w:p w:rsidR="00485094" w:rsidRPr="00590B64" w:rsidRDefault="00485094" w:rsidP="00453E80">
            <w:pPr>
              <w:pStyle w:val="TableText"/>
              <w:jc w:val="center"/>
            </w:pPr>
            <w:r>
              <w:t>Lakes, Streams/Rivers, Aquifers</w:t>
            </w:r>
          </w:p>
        </w:tc>
      </w:tr>
      <w:tr w:rsidR="00485094" w:rsidRPr="00590B64" w:rsidTr="00453E80">
        <w:trPr>
          <w:trHeight w:val="235"/>
          <w:jc w:val="center"/>
        </w:trPr>
        <w:tc>
          <w:tcPr>
            <w:tcW w:w="3263" w:type="dxa"/>
            <w:shd w:val="clear" w:color="auto" w:fill="FFFFCC"/>
            <w:vAlign w:val="center"/>
          </w:tcPr>
          <w:p w:rsidR="00485094" w:rsidRPr="00590B64" w:rsidRDefault="00485094" w:rsidP="00453E80">
            <w:pPr>
              <w:pStyle w:val="TableText"/>
              <w:jc w:val="center"/>
            </w:pPr>
            <w:r w:rsidRPr="00590B64">
              <w:t>Specific Conductance (Lab)</w:t>
            </w:r>
            <w:r>
              <w:rPr>
                <w:vertAlign w:val="superscript"/>
              </w:rPr>
              <w:t>1</w:t>
            </w:r>
          </w:p>
        </w:tc>
        <w:tc>
          <w:tcPr>
            <w:tcW w:w="3037" w:type="dxa"/>
            <w:vAlign w:val="center"/>
          </w:tcPr>
          <w:p w:rsidR="00485094" w:rsidRPr="00590B64" w:rsidRDefault="00485094" w:rsidP="00453E80">
            <w:pPr>
              <w:pStyle w:val="TableText"/>
              <w:jc w:val="center"/>
            </w:pPr>
            <w:r>
              <w:t>M</w:t>
            </w:r>
            <w:r w:rsidRPr="00590B64">
              <w:t>ethod 120.1</w:t>
            </w:r>
          </w:p>
        </w:tc>
        <w:tc>
          <w:tcPr>
            <w:tcW w:w="2925" w:type="dxa"/>
            <w:vAlign w:val="center"/>
          </w:tcPr>
          <w:p w:rsidR="00485094" w:rsidRPr="00590B64" w:rsidRDefault="00485094" w:rsidP="00453E80">
            <w:pPr>
              <w:pStyle w:val="TableText"/>
              <w:jc w:val="center"/>
            </w:pPr>
            <w:r>
              <w:t>Lakes, Streams/Rivers, Aquifers</w:t>
            </w:r>
          </w:p>
        </w:tc>
      </w:tr>
      <w:tr w:rsidR="00485094" w:rsidRPr="00590B64" w:rsidTr="00453E80">
        <w:trPr>
          <w:trHeight w:val="235"/>
          <w:jc w:val="center"/>
        </w:trPr>
        <w:tc>
          <w:tcPr>
            <w:tcW w:w="3263" w:type="dxa"/>
            <w:shd w:val="clear" w:color="auto" w:fill="FFFFCC"/>
            <w:vAlign w:val="center"/>
          </w:tcPr>
          <w:p w:rsidR="00485094" w:rsidRPr="00590B64" w:rsidRDefault="00485094" w:rsidP="00453E80">
            <w:pPr>
              <w:pStyle w:val="TableText"/>
              <w:jc w:val="center"/>
            </w:pPr>
            <w:r w:rsidRPr="00590B64">
              <w:t>Color</w:t>
            </w:r>
          </w:p>
        </w:tc>
        <w:tc>
          <w:tcPr>
            <w:tcW w:w="3037" w:type="dxa"/>
            <w:vAlign w:val="center"/>
          </w:tcPr>
          <w:p w:rsidR="00485094" w:rsidRPr="00590B64" w:rsidRDefault="00485094" w:rsidP="00453E80">
            <w:pPr>
              <w:pStyle w:val="TableText"/>
              <w:jc w:val="center"/>
            </w:pPr>
            <w:r>
              <w:t>Method 110.2</w:t>
            </w:r>
          </w:p>
        </w:tc>
        <w:tc>
          <w:tcPr>
            <w:tcW w:w="2925" w:type="dxa"/>
            <w:vAlign w:val="center"/>
          </w:tcPr>
          <w:p w:rsidR="00485094" w:rsidRPr="00590B64" w:rsidRDefault="00485094" w:rsidP="00453E80">
            <w:pPr>
              <w:pStyle w:val="TableText"/>
              <w:jc w:val="center"/>
            </w:pPr>
            <w:r>
              <w:t>Lakes, Streams/Rivers, Aquifers</w:t>
            </w:r>
          </w:p>
        </w:tc>
      </w:tr>
      <w:tr w:rsidR="00485094" w:rsidRPr="00590B64" w:rsidTr="00453E80">
        <w:trPr>
          <w:trHeight w:val="235"/>
          <w:jc w:val="center"/>
        </w:trPr>
        <w:tc>
          <w:tcPr>
            <w:tcW w:w="3263" w:type="dxa"/>
            <w:tcBorders>
              <w:bottom w:val="single" w:sz="2" w:space="0" w:color="auto"/>
            </w:tcBorders>
            <w:shd w:val="clear" w:color="auto" w:fill="FFFFCC"/>
            <w:vAlign w:val="center"/>
          </w:tcPr>
          <w:p w:rsidR="00485094" w:rsidRPr="00590B64" w:rsidRDefault="00485094" w:rsidP="00453E80">
            <w:pPr>
              <w:pStyle w:val="TableText"/>
              <w:jc w:val="center"/>
            </w:pPr>
            <w:r w:rsidRPr="00590B64">
              <w:t>Total Dissolved Solids</w:t>
            </w:r>
          </w:p>
        </w:tc>
        <w:tc>
          <w:tcPr>
            <w:tcW w:w="3037" w:type="dxa"/>
            <w:tcBorders>
              <w:bottom w:val="single" w:sz="2" w:space="0" w:color="auto"/>
            </w:tcBorders>
            <w:vAlign w:val="center"/>
          </w:tcPr>
          <w:p w:rsidR="00485094" w:rsidRPr="00590B64" w:rsidRDefault="00485094" w:rsidP="00453E80">
            <w:pPr>
              <w:pStyle w:val="TableText"/>
              <w:jc w:val="center"/>
            </w:pPr>
            <w:r>
              <w:t>Method 160.2</w:t>
            </w:r>
          </w:p>
        </w:tc>
        <w:tc>
          <w:tcPr>
            <w:tcW w:w="2925" w:type="dxa"/>
            <w:tcBorders>
              <w:bottom w:val="single" w:sz="2" w:space="0" w:color="auto"/>
            </w:tcBorders>
            <w:vAlign w:val="center"/>
          </w:tcPr>
          <w:p w:rsidR="00485094" w:rsidRPr="00590B64" w:rsidRDefault="00485094" w:rsidP="00453E80">
            <w:pPr>
              <w:pStyle w:val="TableText"/>
              <w:jc w:val="center"/>
            </w:pPr>
            <w:r>
              <w:t>Aquifers</w:t>
            </w:r>
          </w:p>
        </w:tc>
      </w:tr>
    </w:tbl>
    <w:p w:rsidR="00485094" w:rsidRDefault="00485094" w:rsidP="00EA3D58">
      <w:pPr>
        <w:pStyle w:val="Bodytextreduced"/>
      </w:pPr>
      <w:bookmarkStart w:id="250" w:name="_Toc243369001"/>
    </w:p>
    <w:p w:rsidR="00485094" w:rsidRDefault="00485094" w:rsidP="00EA3D58">
      <w:pPr>
        <w:pStyle w:val="Bodytextreduced"/>
      </w:pPr>
    </w:p>
    <w:p w:rsidR="00485094" w:rsidRDefault="00485094" w:rsidP="00EA3D58">
      <w:pPr>
        <w:pStyle w:val="Tableheading"/>
      </w:pPr>
      <w:bookmarkStart w:id="251" w:name="_Toc255482806"/>
      <w:bookmarkStart w:id="252" w:name="_Toc255807464"/>
      <w:bookmarkStart w:id="253" w:name="_Toc262464231"/>
      <w:bookmarkStart w:id="254" w:name="_Toc271280078"/>
      <w:r>
        <w:t>Table 5.3a</w:t>
      </w:r>
      <w:r w:rsidRPr="00D33C11">
        <w:t>.</w:t>
      </w:r>
      <w:r>
        <w:t xml:space="preserve">  </w:t>
      </w:r>
      <w:r w:rsidRPr="00D33C11">
        <w:t xml:space="preserve">Status Network </w:t>
      </w:r>
      <w:r>
        <w:t>Organic and Nutrient I</w:t>
      </w:r>
      <w:r w:rsidRPr="00D33C11">
        <w:t>ndicators</w:t>
      </w:r>
      <w:r>
        <w:t xml:space="preserve"> for Sediment Analysis in Lakes</w:t>
      </w:r>
      <w:bookmarkEnd w:id="251"/>
      <w:bookmarkEnd w:id="252"/>
      <w:bookmarkEnd w:id="253"/>
      <w:bookmarkEnd w:id="254"/>
    </w:p>
    <w:p w:rsidR="00485094" w:rsidRDefault="00485094" w:rsidP="00EA3D58">
      <w:pPr>
        <w:pStyle w:val="Bodytext"/>
        <w:rPr>
          <w:sz w:val="18"/>
          <w:szCs w:val="18"/>
        </w:rPr>
      </w:pPr>
    </w:p>
    <w:p w:rsidR="00485094" w:rsidRPr="00111008" w:rsidRDefault="00485094" w:rsidP="00EA3D58">
      <w:pPr>
        <w:pStyle w:val="Bodytextreduced"/>
      </w:pPr>
      <w:bookmarkStart w:id="255" w:name="_Toc255482807"/>
      <w:r w:rsidRPr="00111008">
        <w:rPr>
          <w:b/>
        </w:rPr>
        <w:t>Note:</w:t>
      </w:r>
      <w:r w:rsidRPr="00111008">
        <w:t xml:space="preserve">  For </w:t>
      </w:r>
      <w:r w:rsidRPr="00111008">
        <w:rPr>
          <w:b/>
          <w:i/>
        </w:rPr>
        <w:t xml:space="preserve">Tables </w:t>
      </w:r>
      <w:r>
        <w:rPr>
          <w:b/>
          <w:i/>
        </w:rPr>
        <w:t>5.3</w:t>
      </w:r>
      <w:r w:rsidRPr="00111008">
        <w:rPr>
          <w:b/>
          <w:i/>
        </w:rPr>
        <w:t>a</w:t>
      </w:r>
      <w:r w:rsidRPr="00111008">
        <w:t xml:space="preserve"> through </w:t>
      </w:r>
      <w:r>
        <w:t>5.3</w:t>
      </w:r>
      <w:r w:rsidRPr="00111008">
        <w:rPr>
          <w:b/>
          <w:i/>
        </w:rPr>
        <w:t>c</w:t>
      </w:r>
      <w:r w:rsidRPr="00111008">
        <w:t>, all methods, unless otherwise stated, are based on EPA 600, Methods for Chemical Analysis of Water and Wastes.</w:t>
      </w:r>
    </w:p>
    <w:p w:rsidR="00485094" w:rsidRPr="00065DA9" w:rsidRDefault="00485094" w:rsidP="00EA3D58">
      <w:pPr>
        <w:pStyle w:val="Tableheading"/>
        <w:rPr>
          <w:b w:val="0"/>
          <w:sz w:val="18"/>
          <w:szCs w:val="18"/>
        </w:rPr>
      </w:pPr>
    </w:p>
    <w:p w:rsidR="00485094" w:rsidRDefault="00485094" w:rsidP="00EA3D58">
      <w:pPr>
        <w:pStyle w:val="TabledescriptionBF"/>
      </w:pPr>
      <w:bookmarkStart w:id="256" w:name="_Toc255807465"/>
      <w:r w:rsidRPr="00065DA9">
        <w:t>This is a two</w:t>
      </w:r>
      <w:r>
        <w:t>-</w:t>
      </w:r>
      <w:r w:rsidRPr="00065DA9">
        <w:t>column table</w:t>
      </w:r>
      <w:r>
        <w:t xml:space="preserve">.  Column 1 lists </w:t>
      </w:r>
      <w:r w:rsidRPr="00065DA9">
        <w:t xml:space="preserve">the indicators and </w:t>
      </w:r>
      <w:r>
        <w:t>Column 2</w:t>
      </w:r>
      <w:r w:rsidRPr="00065DA9">
        <w:t xml:space="preserve"> </w:t>
      </w:r>
      <w:r>
        <w:t xml:space="preserve">lists </w:t>
      </w:r>
      <w:r w:rsidRPr="00065DA9">
        <w:t>the analytical method numbers</w:t>
      </w:r>
      <w:bookmarkEnd w:id="250"/>
      <w:r w:rsidRPr="00065DA9">
        <w:t>.</w:t>
      </w:r>
      <w:bookmarkEnd w:id="255"/>
      <w:bookmarkEnd w:id="256"/>
    </w:p>
    <w:tbl>
      <w:tblPr>
        <w:tblW w:w="6577" w:type="dxa"/>
        <w:jc w:val="center"/>
        <w:tblInd w:w="-178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30" w:type="dxa"/>
          <w:right w:w="30" w:type="dxa"/>
        </w:tblCellMar>
        <w:tblLook w:val="0000"/>
      </w:tblPr>
      <w:tblGrid>
        <w:gridCol w:w="3739"/>
        <w:gridCol w:w="2838"/>
      </w:tblGrid>
      <w:tr w:rsidR="00485094" w:rsidRPr="005A1F92" w:rsidTr="000F2909">
        <w:trPr>
          <w:trHeight w:val="235"/>
          <w:jc w:val="center"/>
        </w:trPr>
        <w:tc>
          <w:tcPr>
            <w:tcW w:w="3739" w:type="dxa"/>
            <w:tcBorders>
              <w:top w:val="single" w:sz="2" w:space="0" w:color="auto"/>
              <w:bottom w:val="double" w:sz="4" w:space="0" w:color="auto"/>
            </w:tcBorders>
            <w:shd w:val="clear" w:color="auto" w:fill="BDFFFF"/>
            <w:vAlign w:val="center"/>
          </w:tcPr>
          <w:p w:rsidR="00485094" w:rsidRPr="005A1F92" w:rsidRDefault="00485094" w:rsidP="00F01F27">
            <w:pPr>
              <w:pStyle w:val="TableText"/>
              <w:jc w:val="center"/>
              <w:rPr>
                <w:i/>
              </w:rPr>
            </w:pPr>
            <w:r w:rsidRPr="005A1F92">
              <w:rPr>
                <w:b/>
                <w:i/>
              </w:rPr>
              <w:t>Sediment Organic/Nutrient Indicator</w:t>
            </w:r>
          </w:p>
        </w:tc>
        <w:tc>
          <w:tcPr>
            <w:tcW w:w="2838" w:type="dxa"/>
            <w:tcBorders>
              <w:top w:val="single" w:sz="2" w:space="0" w:color="auto"/>
              <w:bottom w:val="double" w:sz="4" w:space="0" w:color="auto"/>
            </w:tcBorders>
            <w:shd w:val="clear" w:color="auto" w:fill="BDFFFF"/>
            <w:vAlign w:val="center"/>
          </w:tcPr>
          <w:p w:rsidR="00485094" w:rsidRPr="005A1F92" w:rsidRDefault="00485094" w:rsidP="00453E80">
            <w:pPr>
              <w:pStyle w:val="TableText"/>
              <w:jc w:val="center"/>
              <w:rPr>
                <w:b/>
                <w:i/>
              </w:rPr>
            </w:pPr>
            <w:r w:rsidRPr="005A1F92">
              <w:rPr>
                <w:b/>
                <w:i/>
              </w:rPr>
              <w:t>Analysis Method</w:t>
            </w:r>
          </w:p>
        </w:tc>
      </w:tr>
      <w:tr w:rsidR="00485094" w:rsidRPr="000F352A" w:rsidTr="00453E80">
        <w:trPr>
          <w:trHeight w:val="235"/>
          <w:jc w:val="center"/>
        </w:trPr>
        <w:tc>
          <w:tcPr>
            <w:tcW w:w="3739" w:type="dxa"/>
            <w:tcBorders>
              <w:top w:val="double" w:sz="4" w:space="0" w:color="auto"/>
            </w:tcBorders>
            <w:shd w:val="clear" w:color="auto" w:fill="FFFFCC"/>
            <w:vAlign w:val="center"/>
          </w:tcPr>
          <w:p w:rsidR="00485094" w:rsidRPr="00590B64" w:rsidRDefault="00485094" w:rsidP="00453E80">
            <w:pPr>
              <w:pStyle w:val="TableText"/>
              <w:jc w:val="center"/>
            </w:pPr>
            <w:r w:rsidRPr="00590B64">
              <w:t>Total Organic Carbon</w:t>
            </w:r>
            <w:r w:rsidR="008C37FA">
              <w:t xml:space="preserve"> (TOC)</w:t>
            </w:r>
          </w:p>
        </w:tc>
        <w:tc>
          <w:tcPr>
            <w:tcW w:w="2838" w:type="dxa"/>
            <w:tcBorders>
              <w:top w:val="double" w:sz="4" w:space="0" w:color="auto"/>
            </w:tcBorders>
            <w:vAlign w:val="center"/>
          </w:tcPr>
          <w:p w:rsidR="00485094" w:rsidRPr="00590B64" w:rsidRDefault="00485094" w:rsidP="00453E80">
            <w:pPr>
              <w:pStyle w:val="TableText"/>
              <w:jc w:val="center"/>
            </w:pPr>
            <w:r>
              <w:t>In-house based on 415.1</w:t>
            </w:r>
          </w:p>
        </w:tc>
      </w:tr>
      <w:tr w:rsidR="00485094" w:rsidRPr="000F352A" w:rsidTr="00453E80">
        <w:trPr>
          <w:trHeight w:val="193"/>
          <w:jc w:val="center"/>
        </w:trPr>
        <w:tc>
          <w:tcPr>
            <w:tcW w:w="3739" w:type="dxa"/>
            <w:shd w:val="clear" w:color="auto" w:fill="FFFFCC"/>
            <w:vAlign w:val="center"/>
          </w:tcPr>
          <w:p w:rsidR="00485094" w:rsidRPr="00590B64" w:rsidRDefault="008C37FA" w:rsidP="00453E80">
            <w:pPr>
              <w:pStyle w:val="TableText"/>
              <w:jc w:val="center"/>
            </w:pPr>
            <w:r>
              <w:t>TP</w:t>
            </w:r>
          </w:p>
        </w:tc>
        <w:tc>
          <w:tcPr>
            <w:tcW w:w="2838" w:type="dxa"/>
            <w:vAlign w:val="center"/>
          </w:tcPr>
          <w:p w:rsidR="00485094" w:rsidRPr="00590B64" w:rsidRDefault="00485094" w:rsidP="00453E80">
            <w:pPr>
              <w:pStyle w:val="TableText"/>
              <w:jc w:val="center"/>
            </w:pPr>
            <w:r w:rsidRPr="00590B64">
              <w:t>Method 365.4</w:t>
            </w:r>
          </w:p>
        </w:tc>
      </w:tr>
      <w:tr w:rsidR="00485094" w:rsidRPr="000F352A" w:rsidTr="00453E80">
        <w:trPr>
          <w:trHeight w:val="235"/>
          <w:jc w:val="center"/>
        </w:trPr>
        <w:tc>
          <w:tcPr>
            <w:tcW w:w="3739" w:type="dxa"/>
            <w:tcBorders>
              <w:bottom w:val="single" w:sz="2" w:space="0" w:color="auto"/>
            </w:tcBorders>
            <w:shd w:val="clear" w:color="auto" w:fill="FFFFCC"/>
            <w:vAlign w:val="center"/>
          </w:tcPr>
          <w:p w:rsidR="00485094" w:rsidRPr="00590B64" w:rsidRDefault="008C37FA" w:rsidP="003C6692">
            <w:pPr>
              <w:pStyle w:val="TableText"/>
              <w:jc w:val="center"/>
            </w:pPr>
            <w:r>
              <w:t>TKN</w:t>
            </w:r>
          </w:p>
        </w:tc>
        <w:tc>
          <w:tcPr>
            <w:tcW w:w="2838" w:type="dxa"/>
            <w:tcBorders>
              <w:bottom w:val="single" w:sz="2" w:space="0" w:color="auto"/>
            </w:tcBorders>
            <w:vAlign w:val="center"/>
          </w:tcPr>
          <w:p w:rsidR="00485094" w:rsidRPr="00590B64" w:rsidRDefault="00485094" w:rsidP="00453E80">
            <w:pPr>
              <w:pStyle w:val="TableText"/>
              <w:jc w:val="center"/>
            </w:pPr>
            <w:r w:rsidRPr="00590B64">
              <w:t>Method 351.2</w:t>
            </w:r>
          </w:p>
        </w:tc>
      </w:tr>
    </w:tbl>
    <w:p w:rsidR="00485094" w:rsidRDefault="00485094" w:rsidP="00EA3D58">
      <w:pPr>
        <w:pStyle w:val="Bodytextreduced"/>
      </w:pPr>
    </w:p>
    <w:p w:rsidR="00485094" w:rsidRDefault="00485094" w:rsidP="00EA3D58">
      <w:pPr>
        <w:pStyle w:val="Bodytextreduced"/>
      </w:pPr>
    </w:p>
    <w:p w:rsidR="00485094" w:rsidRDefault="00485094" w:rsidP="00EA3D58">
      <w:pPr>
        <w:pStyle w:val="Tableheading"/>
      </w:pPr>
      <w:bookmarkStart w:id="257" w:name="_Toc255482808"/>
      <w:bookmarkStart w:id="258" w:name="_Toc255807466"/>
      <w:bookmarkStart w:id="259" w:name="_Toc262464232"/>
      <w:bookmarkStart w:id="260" w:name="_Toc271280079"/>
      <w:r>
        <w:t>Table 5.3b</w:t>
      </w:r>
      <w:r w:rsidRPr="00D33C11">
        <w:t>.</w:t>
      </w:r>
      <w:r>
        <w:t xml:space="preserve">  </w:t>
      </w:r>
      <w:r w:rsidRPr="00D33C11">
        <w:t xml:space="preserve">Status Network </w:t>
      </w:r>
      <w:r>
        <w:t>Metal I</w:t>
      </w:r>
      <w:r w:rsidRPr="00D33C11">
        <w:t>ndicators</w:t>
      </w:r>
      <w:r>
        <w:t xml:space="preserve"> for Sediment Analysis in Lakes</w:t>
      </w:r>
      <w:bookmarkEnd w:id="257"/>
      <w:bookmarkEnd w:id="258"/>
      <w:bookmarkEnd w:id="259"/>
      <w:bookmarkEnd w:id="260"/>
    </w:p>
    <w:p w:rsidR="00485094" w:rsidRPr="00065DA9" w:rsidRDefault="00485094" w:rsidP="00EA3D58">
      <w:pPr>
        <w:pStyle w:val="TabledescriptionBF"/>
      </w:pPr>
      <w:bookmarkStart w:id="261" w:name="_Toc255482809"/>
      <w:bookmarkStart w:id="262" w:name="_Toc255807467"/>
      <w:r w:rsidRPr="00065DA9">
        <w:t xml:space="preserve">This </w:t>
      </w:r>
      <w:bookmarkEnd w:id="261"/>
      <w:bookmarkEnd w:id="262"/>
      <w:r w:rsidRPr="00065DA9">
        <w:t>is a two</w:t>
      </w:r>
      <w:r>
        <w:t>-</w:t>
      </w:r>
      <w:r w:rsidRPr="00065DA9">
        <w:t>column table</w:t>
      </w:r>
      <w:r>
        <w:t xml:space="preserve">.  Column 1 lists </w:t>
      </w:r>
      <w:r w:rsidRPr="00065DA9">
        <w:t xml:space="preserve">the indicators and </w:t>
      </w:r>
      <w:r>
        <w:t>Column 2</w:t>
      </w:r>
      <w:r w:rsidRPr="00065DA9">
        <w:t xml:space="preserve"> </w:t>
      </w:r>
      <w:r>
        <w:t xml:space="preserve">lists </w:t>
      </w:r>
      <w:r w:rsidRPr="00065DA9">
        <w:t>the analytical method numbers.</w:t>
      </w:r>
    </w:p>
    <w:tbl>
      <w:tblPr>
        <w:tblW w:w="6617" w:type="dxa"/>
        <w:jc w:val="center"/>
        <w:tblInd w:w="-1779"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30" w:type="dxa"/>
          <w:right w:w="30" w:type="dxa"/>
        </w:tblCellMar>
        <w:tblLook w:val="0000"/>
      </w:tblPr>
      <w:tblGrid>
        <w:gridCol w:w="3759"/>
        <w:gridCol w:w="2858"/>
      </w:tblGrid>
      <w:tr w:rsidR="00485094" w:rsidRPr="005A1F92" w:rsidTr="000F2909">
        <w:trPr>
          <w:trHeight w:val="235"/>
          <w:jc w:val="center"/>
        </w:trPr>
        <w:tc>
          <w:tcPr>
            <w:tcW w:w="3759" w:type="dxa"/>
            <w:tcBorders>
              <w:top w:val="single" w:sz="2" w:space="0" w:color="auto"/>
              <w:bottom w:val="double" w:sz="4" w:space="0" w:color="auto"/>
            </w:tcBorders>
            <w:shd w:val="clear" w:color="auto" w:fill="BDFFFF"/>
            <w:vAlign w:val="center"/>
          </w:tcPr>
          <w:p w:rsidR="00485094" w:rsidRPr="005A1F92" w:rsidRDefault="00485094" w:rsidP="00F01F27">
            <w:pPr>
              <w:pStyle w:val="TableText"/>
              <w:jc w:val="center"/>
              <w:rPr>
                <w:b/>
                <w:i/>
              </w:rPr>
            </w:pPr>
            <w:r w:rsidRPr="005A1F92">
              <w:rPr>
                <w:b/>
                <w:i/>
              </w:rPr>
              <w:t>Sediment Metal Indicator</w:t>
            </w:r>
          </w:p>
        </w:tc>
        <w:tc>
          <w:tcPr>
            <w:tcW w:w="2858" w:type="dxa"/>
            <w:tcBorders>
              <w:top w:val="single" w:sz="2" w:space="0" w:color="auto"/>
              <w:bottom w:val="double" w:sz="4" w:space="0" w:color="auto"/>
            </w:tcBorders>
            <w:shd w:val="clear" w:color="auto" w:fill="BDFFFF"/>
            <w:vAlign w:val="center"/>
          </w:tcPr>
          <w:p w:rsidR="00485094" w:rsidRPr="005A1F92" w:rsidRDefault="00485094" w:rsidP="00453E80">
            <w:pPr>
              <w:pStyle w:val="TableText"/>
              <w:jc w:val="center"/>
              <w:rPr>
                <w:b/>
                <w:i/>
              </w:rPr>
            </w:pPr>
            <w:r w:rsidRPr="005A1F92">
              <w:rPr>
                <w:b/>
                <w:i/>
              </w:rPr>
              <w:t>Analysis Method</w:t>
            </w:r>
          </w:p>
        </w:tc>
      </w:tr>
      <w:tr w:rsidR="00485094" w:rsidRPr="000F352A" w:rsidTr="00453E80">
        <w:trPr>
          <w:trHeight w:val="235"/>
          <w:jc w:val="center"/>
        </w:trPr>
        <w:tc>
          <w:tcPr>
            <w:tcW w:w="3759" w:type="dxa"/>
            <w:tcBorders>
              <w:top w:val="double" w:sz="4" w:space="0" w:color="auto"/>
            </w:tcBorders>
            <w:shd w:val="clear" w:color="auto" w:fill="FFFFCC"/>
            <w:vAlign w:val="center"/>
          </w:tcPr>
          <w:p w:rsidR="00485094" w:rsidRPr="002370A4" w:rsidRDefault="00485094" w:rsidP="00453E80">
            <w:pPr>
              <w:pStyle w:val="TableText"/>
              <w:jc w:val="center"/>
            </w:pPr>
            <w:r w:rsidRPr="002370A4">
              <w:t>Aluminum, Arsenic, Cadmium, Chromium, Copper, Iron, Lead, Nickel, Silver, Zinc</w:t>
            </w:r>
          </w:p>
        </w:tc>
        <w:tc>
          <w:tcPr>
            <w:tcW w:w="2858" w:type="dxa"/>
            <w:tcBorders>
              <w:top w:val="double" w:sz="4" w:space="0" w:color="auto"/>
            </w:tcBorders>
            <w:vAlign w:val="center"/>
          </w:tcPr>
          <w:p w:rsidR="00485094" w:rsidRPr="00590B64" w:rsidRDefault="00485094" w:rsidP="00453E80">
            <w:pPr>
              <w:pStyle w:val="TableText"/>
              <w:jc w:val="center"/>
              <w:rPr>
                <w:lang w:val="pt-BR"/>
              </w:rPr>
            </w:pPr>
            <w:r w:rsidRPr="00590B64">
              <w:t>Method 6010</w:t>
            </w:r>
            <w:r>
              <w:t>B/6020</w:t>
            </w:r>
          </w:p>
        </w:tc>
      </w:tr>
      <w:tr w:rsidR="00485094" w:rsidRPr="000F352A" w:rsidTr="00453E80">
        <w:trPr>
          <w:trHeight w:val="235"/>
          <w:jc w:val="center"/>
        </w:trPr>
        <w:tc>
          <w:tcPr>
            <w:tcW w:w="3759" w:type="dxa"/>
            <w:tcBorders>
              <w:bottom w:val="single" w:sz="2" w:space="0" w:color="auto"/>
            </w:tcBorders>
            <w:shd w:val="clear" w:color="auto" w:fill="FFFFCC"/>
            <w:vAlign w:val="center"/>
          </w:tcPr>
          <w:p w:rsidR="00485094" w:rsidRPr="00590B64" w:rsidRDefault="00485094" w:rsidP="00453E80">
            <w:pPr>
              <w:pStyle w:val="TableText"/>
              <w:jc w:val="center"/>
            </w:pPr>
            <w:r w:rsidRPr="00590B64">
              <w:t>Mercury</w:t>
            </w:r>
          </w:p>
        </w:tc>
        <w:tc>
          <w:tcPr>
            <w:tcW w:w="2858" w:type="dxa"/>
            <w:tcBorders>
              <w:bottom w:val="single" w:sz="2" w:space="0" w:color="auto"/>
            </w:tcBorders>
            <w:vAlign w:val="center"/>
          </w:tcPr>
          <w:p w:rsidR="00485094" w:rsidRPr="00590B64" w:rsidRDefault="00485094" w:rsidP="00453E80">
            <w:pPr>
              <w:pStyle w:val="TableText"/>
              <w:jc w:val="center"/>
            </w:pPr>
            <w:r>
              <w:t>DEP-SOP-001/01</w:t>
            </w:r>
            <w:r w:rsidRPr="00590B64">
              <w:t xml:space="preserve"> Hg-008-3 (based on EPA 7471)</w:t>
            </w:r>
          </w:p>
        </w:tc>
      </w:tr>
    </w:tbl>
    <w:p w:rsidR="00485094" w:rsidRDefault="00485094" w:rsidP="00EA3D58">
      <w:pPr>
        <w:pStyle w:val="Bodytextreduced"/>
      </w:pPr>
    </w:p>
    <w:p w:rsidR="00485094" w:rsidRDefault="00485094" w:rsidP="00EA3D58">
      <w:pPr>
        <w:pStyle w:val="Bodytextreduced"/>
      </w:pPr>
    </w:p>
    <w:p w:rsidR="00485094" w:rsidRDefault="00485094" w:rsidP="00EA3D58">
      <w:pPr>
        <w:pStyle w:val="Tableheading"/>
      </w:pPr>
      <w:bookmarkStart w:id="263" w:name="_Toc255482810"/>
      <w:bookmarkStart w:id="264" w:name="_Toc255807468"/>
      <w:bookmarkStart w:id="265" w:name="_Toc262464233"/>
      <w:bookmarkStart w:id="266" w:name="_Toc271280080"/>
      <w:r>
        <w:t>Table 5.3c</w:t>
      </w:r>
      <w:r w:rsidRPr="00D33C11">
        <w:t>.</w:t>
      </w:r>
      <w:r>
        <w:t xml:space="preserve">  </w:t>
      </w:r>
      <w:r w:rsidRPr="00D33C11">
        <w:t xml:space="preserve">Status Network </w:t>
      </w:r>
      <w:r>
        <w:t>Organic I</w:t>
      </w:r>
      <w:r w:rsidRPr="00D33C11">
        <w:t>ndicators</w:t>
      </w:r>
      <w:r>
        <w:t xml:space="preserve"> for Sediment Analysis in Lakes</w:t>
      </w:r>
      <w:bookmarkEnd w:id="263"/>
      <w:bookmarkEnd w:id="264"/>
      <w:bookmarkEnd w:id="265"/>
      <w:bookmarkEnd w:id="266"/>
    </w:p>
    <w:p w:rsidR="00485094" w:rsidRDefault="00485094" w:rsidP="00EA3D58">
      <w:pPr>
        <w:pStyle w:val="Bodytextreduced"/>
      </w:pPr>
    </w:p>
    <w:p w:rsidR="00485094" w:rsidRPr="00065DA9" w:rsidRDefault="00485094" w:rsidP="00EA3D58">
      <w:pPr>
        <w:pStyle w:val="TabledescriptionBF"/>
      </w:pPr>
      <w:bookmarkStart w:id="267" w:name="_Toc255482811"/>
      <w:bookmarkStart w:id="268" w:name="_Toc255807469"/>
      <w:r w:rsidRPr="00065DA9">
        <w:t>This is a two</w:t>
      </w:r>
      <w:r>
        <w:t>-</w:t>
      </w:r>
      <w:r w:rsidRPr="00065DA9">
        <w:t>column table</w:t>
      </w:r>
      <w:r>
        <w:t xml:space="preserve">.  Column 1 lists </w:t>
      </w:r>
      <w:r w:rsidRPr="00065DA9">
        <w:t xml:space="preserve">the indicators and </w:t>
      </w:r>
      <w:r>
        <w:t>Column 2</w:t>
      </w:r>
      <w:r w:rsidRPr="00065DA9">
        <w:t xml:space="preserve"> </w:t>
      </w:r>
      <w:r>
        <w:t xml:space="preserve">lists </w:t>
      </w:r>
      <w:r w:rsidRPr="00065DA9">
        <w:t>the analytical method numbers.</w:t>
      </w:r>
      <w:bookmarkEnd w:id="267"/>
      <w:bookmarkEnd w:id="268"/>
    </w:p>
    <w:tbl>
      <w:tblPr>
        <w:tblW w:w="6574" w:type="dxa"/>
        <w:jc w:val="center"/>
        <w:tblInd w:w="-169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30" w:type="dxa"/>
          <w:right w:w="30" w:type="dxa"/>
        </w:tblCellMar>
        <w:tblLook w:val="0000"/>
      </w:tblPr>
      <w:tblGrid>
        <w:gridCol w:w="3737"/>
        <w:gridCol w:w="2837"/>
      </w:tblGrid>
      <w:tr w:rsidR="00485094" w:rsidRPr="005A1F92" w:rsidTr="000F2909">
        <w:trPr>
          <w:trHeight w:val="235"/>
          <w:jc w:val="center"/>
        </w:trPr>
        <w:tc>
          <w:tcPr>
            <w:tcW w:w="3737" w:type="dxa"/>
            <w:tcBorders>
              <w:top w:val="single" w:sz="2" w:space="0" w:color="auto"/>
              <w:bottom w:val="double" w:sz="4" w:space="0" w:color="auto"/>
            </w:tcBorders>
            <w:shd w:val="clear" w:color="auto" w:fill="BDFFFF"/>
            <w:vAlign w:val="center"/>
          </w:tcPr>
          <w:p w:rsidR="00485094" w:rsidRPr="005A1F92" w:rsidRDefault="00485094" w:rsidP="00F01F27">
            <w:pPr>
              <w:pStyle w:val="TableText"/>
              <w:jc w:val="center"/>
              <w:rPr>
                <w:b/>
                <w:i/>
              </w:rPr>
            </w:pPr>
            <w:r w:rsidRPr="005A1F92">
              <w:rPr>
                <w:b/>
                <w:i/>
              </w:rPr>
              <w:t>Sediment Organic Indicator</w:t>
            </w:r>
          </w:p>
        </w:tc>
        <w:tc>
          <w:tcPr>
            <w:tcW w:w="2837" w:type="dxa"/>
            <w:tcBorders>
              <w:top w:val="single" w:sz="2" w:space="0" w:color="auto"/>
              <w:bottom w:val="double" w:sz="4" w:space="0" w:color="auto"/>
            </w:tcBorders>
            <w:shd w:val="clear" w:color="auto" w:fill="BDFFFF"/>
            <w:vAlign w:val="center"/>
          </w:tcPr>
          <w:p w:rsidR="00485094" w:rsidRPr="005A1F92" w:rsidRDefault="00485094" w:rsidP="00453E80">
            <w:pPr>
              <w:pStyle w:val="TableText"/>
              <w:jc w:val="center"/>
              <w:rPr>
                <w:b/>
                <w:i/>
              </w:rPr>
            </w:pPr>
            <w:r w:rsidRPr="005A1F92">
              <w:rPr>
                <w:b/>
                <w:i/>
              </w:rPr>
              <w:t>Analysis Method</w:t>
            </w:r>
          </w:p>
        </w:tc>
      </w:tr>
      <w:tr w:rsidR="00485094" w:rsidRPr="000F352A" w:rsidTr="00453E80">
        <w:trPr>
          <w:trHeight w:val="235"/>
          <w:jc w:val="center"/>
        </w:trPr>
        <w:tc>
          <w:tcPr>
            <w:tcW w:w="3737" w:type="dxa"/>
            <w:tcBorders>
              <w:top w:val="double" w:sz="4" w:space="0" w:color="auto"/>
            </w:tcBorders>
            <w:shd w:val="clear" w:color="auto" w:fill="FFFFCC"/>
            <w:vAlign w:val="center"/>
          </w:tcPr>
          <w:p w:rsidR="00485094" w:rsidRPr="00451DC1" w:rsidRDefault="00485094" w:rsidP="00453E80">
            <w:pPr>
              <w:pStyle w:val="TableText"/>
              <w:jc w:val="center"/>
            </w:pPr>
            <w:r w:rsidRPr="00451DC1">
              <w:t>Polychlorinated Biphenyls</w:t>
            </w:r>
            <w:r>
              <w:t xml:space="preserve"> (PCBs)</w:t>
            </w:r>
          </w:p>
        </w:tc>
        <w:tc>
          <w:tcPr>
            <w:tcW w:w="2837" w:type="dxa"/>
            <w:tcBorders>
              <w:top w:val="double" w:sz="4" w:space="0" w:color="auto"/>
            </w:tcBorders>
            <w:vAlign w:val="center"/>
          </w:tcPr>
          <w:p w:rsidR="00485094" w:rsidRPr="00D278AF" w:rsidRDefault="00485094" w:rsidP="00453E80">
            <w:pPr>
              <w:pStyle w:val="TableText"/>
              <w:jc w:val="center"/>
              <w:rPr>
                <w:b/>
              </w:rPr>
            </w:pPr>
            <w:r>
              <w:rPr>
                <w:snapToGrid w:val="0"/>
                <w:color w:val="000000"/>
              </w:rPr>
              <w:t>EPA 8080 (modified)</w:t>
            </w:r>
          </w:p>
        </w:tc>
      </w:tr>
      <w:tr w:rsidR="00485094" w:rsidRPr="000F352A" w:rsidTr="00453E80">
        <w:trPr>
          <w:trHeight w:val="235"/>
          <w:jc w:val="center"/>
        </w:trPr>
        <w:tc>
          <w:tcPr>
            <w:tcW w:w="3737" w:type="dxa"/>
            <w:shd w:val="clear" w:color="auto" w:fill="FFFFCC"/>
            <w:vAlign w:val="center"/>
          </w:tcPr>
          <w:p w:rsidR="00485094" w:rsidRDefault="00485094" w:rsidP="00453E80">
            <w:pPr>
              <w:pStyle w:val="TableText"/>
              <w:jc w:val="center"/>
              <w:rPr>
                <w:b/>
              </w:rPr>
            </w:pPr>
            <w:r w:rsidRPr="00451DC1">
              <w:t>Polynuclear Aromatic Hydrocarbons</w:t>
            </w:r>
            <w:r>
              <w:t xml:space="preserve"> (PAHs)</w:t>
            </w:r>
          </w:p>
        </w:tc>
        <w:tc>
          <w:tcPr>
            <w:tcW w:w="2837" w:type="dxa"/>
            <w:vAlign w:val="center"/>
          </w:tcPr>
          <w:p w:rsidR="00485094" w:rsidRPr="00F35175" w:rsidRDefault="00485094" w:rsidP="00453E80">
            <w:pPr>
              <w:pStyle w:val="TableText"/>
              <w:jc w:val="center"/>
            </w:pPr>
            <w:r w:rsidRPr="00F35175">
              <w:t>EPA 8270</w:t>
            </w:r>
          </w:p>
        </w:tc>
      </w:tr>
      <w:tr w:rsidR="00485094" w:rsidRPr="000F352A" w:rsidTr="00453E80">
        <w:trPr>
          <w:trHeight w:val="235"/>
          <w:jc w:val="center"/>
        </w:trPr>
        <w:tc>
          <w:tcPr>
            <w:tcW w:w="3737" w:type="dxa"/>
            <w:tcBorders>
              <w:bottom w:val="single" w:sz="2" w:space="0" w:color="auto"/>
            </w:tcBorders>
            <w:shd w:val="clear" w:color="auto" w:fill="FFFFCC"/>
            <w:vAlign w:val="center"/>
          </w:tcPr>
          <w:p w:rsidR="00485094" w:rsidRPr="00451DC1" w:rsidRDefault="00485094" w:rsidP="00453E80">
            <w:pPr>
              <w:pStyle w:val="TableText"/>
              <w:jc w:val="center"/>
            </w:pPr>
            <w:r>
              <w:t>Organochlorine Pesticides</w:t>
            </w:r>
          </w:p>
        </w:tc>
        <w:tc>
          <w:tcPr>
            <w:tcW w:w="2837" w:type="dxa"/>
            <w:tcBorders>
              <w:bottom w:val="single" w:sz="2" w:space="0" w:color="auto"/>
            </w:tcBorders>
            <w:vAlign w:val="center"/>
          </w:tcPr>
          <w:p w:rsidR="00485094" w:rsidRPr="00D278AF" w:rsidRDefault="00485094" w:rsidP="00453E80">
            <w:pPr>
              <w:pStyle w:val="TableText"/>
              <w:jc w:val="center"/>
              <w:rPr>
                <w:b/>
              </w:rPr>
            </w:pPr>
            <w:r>
              <w:rPr>
                <w:snapToGrid w:val="0"/>
                <w:color w:val="000000"/>
              </w:rPr>
              <w:t>EPA 8081A (modified)</w:t>
            </w:r>
          </w:p>
        </w:tc>
      </w:tr>
    </w:tbl>
    <w:p w:rsidR="00485094" w:rsidRDefault="00485094" w:rsidP="00EA3D58">
      <w:pPr>
        <w:pStyle w:val="Bodytextreduced"/>
        <w:rPr>
          <w:sz w:val="18"/>
          <w:szCs w:val="18"/>
        </w:rPr>
      </w:pPr>
    </w:p>
    <w:p w:rsidR="00485094" w:rsidRDefault="00485094" w:rsidP="00EA3D58">
      <w:pPr>
        <w:pStyle w:val="Bodytextreduced"/>
        <w:rPr>
          <w:sz w:val="18"/>
          <w:szCs w:val="18"/>
        </w:rPr>
      </w:pPr>
    </w:p>
    <w:p w:rsidR="00485094" w:rsidRPr="00CE0F5A" w:rsidRDefault="00485094" w:rsidP="00EA3D58">
      <w:pPr>
        <w:pStyle w:val="Heading3"/>
      </w:pPr>
      <w:bookmarkStart w:id="269" w:name="_Toc262464142"/>
      <w:bookmarkStart w:id="270" w:name="_Toc271279966"/>
      <w:bookmarkStart w:id="271" w:name="_Toc234030461"/>
      <w:bookmarkStart w:id="272" w:name="_Toc248209570"/>
      <w:bookmarkStart w:id="273" w:name="_Toc255822525"/>
      <w:bookmarkEnd w:id="216"/>
      <w:r w:rsidRPr="00CE0F5A">
        <w:t xml:space="preserve">Status Monitoring </w:t>
      </w:r>
      <w:r>
        <w:t xml:space="preserve">Network </w:t>
      </w:r>
      <w:r w:rsidRPr="00CE0F5A">
        <w:t>Design Changes</w:t>
      </w:r>
      <w:bookmarkEnd w:id="269"/>
      <w:bookmarkEnd w:id="270"/>
      <w:r w:rsidRPr="00CE0F5A">
        <w:t xml:space="preserve"> </w:t>
      </w:r>
    </w:p>
    <w:p w:rsidR="00485094" w:rsidRDefault="00485094" w:rsidP="00EA3D58">
      <w:pPr>
        <w:pStyle w:val="Bodytext"/>
        <w:rPr>
          <w:szCs w:val="22"/>
        </w:rPr>
      </w:pPr>
      <w:r w:rsidRPr="004B0F10">
        <w:rPr>
          <w:szCs w:val="22"/>
        </w:rPr>
        <w:t xml:space="preserve">Starting in 2009, </w:t>
      </w:r>
      <w:r>
        <w:rPr>
          <w:szCs w:val="22"/>
        </w:rPr>
        <w:t xml:space="preserve">the Status Network was changed to </w:t>
      </w:r>
      <w:r w:rsidRPr="004B0F10">
        <w:rPr>
          <w:szCs w:val="22"/>
        </w:rPr>
        <w:t xml:space="preserve">an annual assessment of statewide water resource condition </w:t>
      </w:r>
      <w:r>
        <w:rPr>
          <w:szCs w:val="22"/>
        </w:rPr>
        <w:t>(</w:t>
      </w:r>
      <w:hyperlink r:id="rId68" w:history="1">
        <w:r w:rsidRPr="009B7728">
          <w:rPr>
            <w:rStyle w:val="Hyperlink"/>
            <w:szCs w:val="22"/>
          </w:rPr>
          <w:t xml:space="preserve">Monitoring </w:t>
        </w:r>
        <w:r w:rsidR="0070466C">
          <w:rPr>
            <w:rStyle w:val="Hyperlink"/>
            <w:szCs w:val="22"/>
          </w:rPr>
          <w:t xml:space="preserve">Strategy </w:t>
        </w:r>
        <w:r w:rsidRPr="009B7728">
          <w:rPr>
            <w:rStyle w:val="Hyperlink"/>
            <w:szCs w:val="22"/>
          </w:rPr>
          <w:t>Design Document</w:t>
        </w:r>
      </w:hyperlink>
      <w:r>
        <w:rPr>
          <w:szCs w:val="22"/>
        </w:rPr>
        <w:t>)</w:t>
      </w:r>
      <w:r w:rsidRPr="004D59B9">
        <w:rPr>
          <w:szCs w:val="22"/>
        </w:rPr>
        <w:t>.</w:t>
      </w:r>
      <w:r w:rsidRPr="004B0F10">
        <w:rPr>
          <w:szCs w:val="22"/>
        </w:rPr>
        <w:t xml:space="preserve">  For this assessment, the state </w:t>
      </w:r>
      <w:r>
        <w:rPr>
          <w:szCs w:val="22"/>
        </w:rPr>
        <w:t>is</w:t>
      </w:r>
      <w:r w:rsidRPr="004B0F10">
        <w:rPr>
          <w:szCs w:val="22"/>
        </w:rPr>
        <w:t xml:space="preserve"> divided into </w:t>
      </w:r>
      <w:r w:rsidR="0070466C">
        <w:rPr>
          <w:szCs w:val="22"/>
        </w:rPr>
        <w:t>six</w:t>
      </w:r>
      <w:r w:rsidR="0070466C" w:rsidRPr="004B0F10">
        <w:rPr>
          <w:szCs w:val="22"/>
        </w:rPr>
        <w:t xml:space="preserve"> </w:t>
      </w:r>
      <w:r w:rsidRPr="004B0F10">
        <w:rPr>
          <w:szCs w:val="22"/>
        </w:rPr>
        <w:t xml:space="preserve">zones or reporting units </w:t>
      </w:r>
      <w:r w:rsidRPr="00EB17B7">
        <w:rPr>
          <w:i/>
          <w:szCs w:val="22"/>
        </w:rPr>
        <w:t>(</w:t>
      </w:r>
      <w:r w:rsidRPr="004B0F10">
        <w:rPr>
          <w:b/>
          <w:i/>
          <w:szCs w:val="22"/>
        </w:rPr>
        <w:t xml:space="preserve">Figure </w:t>
      </w:r>
      <w:r>
        <w:rPr>
          <w:b/>
          <w:i/>
          <w:szCs w:val="22"/>
        </w:rPr>
        <w:t>5.2</w:t>
      </w:r>
      <w:r w:rsidRPr="00EB17B7">
        <w:rPr>
          <w:i/>
          <w:szCs w:val="22"/>
        </w:rPr>
        <w:t>)</w:t>
      </w:r>
      <w:r w:rsidRPr="00EB17B7">
        <w:rPr>
          <w:szCs w:val="22"/>
        </w:rPr>
        <w:t>.</w:t>
      </w:r>
      <w:r w:rsidRPr="004B0F10">
        <w:rPr>
          <w:szCs w:val="22"/>
        </w:rPr>
        <w:t xml:space="preserve">  As in the previous cycle of sampling reported in this document, the design is based on </w:t>
      </w:r>
      <w:r w:rsidR="0070466C">
        <w:rPr>
          <w:szCs w:val="22"/>
        </w:rPr>
        <w:t>four</w:t>
      </w:r>
      <w:r w:rsidR="0070466C" w:rsidRPr="004B0F10">
        <w:rPr>
          <w:szCs w:val="22"/>
        </w:rPr>
        <w:t xml:space="preserve"> </w:t>
      </w:r>
      <w:r w:rsidRPr="004B0F10">
        <w:rPr>
          <w:szCs w:val="22"/>
        </w:rPr>
        <w:t xml:space="preserve">surface water resources (rivers, streams, large lakes, and small lakes) and </w:t>
      </w:r>
      <w:r w:rsidR="0070466C">
        <w:rPr>
          <w:szCs w:val="22"/>
        </w:rPr>
        <w:t>two</w:t>
      </w:r>
      <w:r w:rsidR="0070466C" w:rsidRPr="004B0F10">
        <w:rPr>
          <w:szCs w:val="22"/>
        </w:rPr>
        <w:t xml:space="preserve"> </w:t>
      </w:r>
      <w:r w:rsidRPr="004B0F10">
        <w:rPr>
          <w:szCs w:val="22"/>
        </w:rPr>
        <w:t xml:space="preserve">ground water resources (confined and unconfined aquifers).  </w:t>
      </w:r>
    </w:p>
    <w:p w:rsidR="00485094" w:rsidRDefault="00485094" w:rsidP="00EA3D58">
      <w:pPr>
        <w:pStyle w:val="Bodytext"/>
        <w:rPr>
          <w:szCs w:val="22"/>
        </w:rPr>
      </w:pPr>
    </w:p>
    <w:p w:rsidR="00485094" w:rsidRPr="004B0F10" w:rsidRDefault="00485094" w:rsidP="00EA3D58">
      <w:pPr>
        <w:pStyle w:val="Bodytext"/>
        <w:rPr>
          <w:szCs w:val="22"/>
        </w:rPr>
      </w:pPr>
      <w:r w:rsidRPr="004B0F10">
        <w:rPr>
          <w:szCs w:val="22"/>
        </w:rPr>
        <w:t xml:space="preserve">The Status Network design has been changed in scope, but is still based on </w:t>
      </w:r>
      <w:r>
        <w:rPr>
          <w:szCs w:val="22"/>
        </w:rPr>
        <w:t>collecting</w:t>
      </w:r>
      <w:r w:rsidRPr="004B0F10">
        <w:rPr>
          <w:szCs w:val="22"/>
        </w:rPr>
        <w:t xml:space="preserve"> a statistically valid number of samples for all resources to make an annual estimate of </w:t>
      </w:r>
      <w:r>
        <w:rPr>
          <w:szCs w:val="22"/>
        </w:rPr>
        <w:t xml:space="preserve">the condition of the </w:t>
      </w:r>
      <w:r w:rsidRPr="004B0F10">
        <w:rPr>
          <w:szCs w:val="22"/>
        </w:rPr>
        <w:t>state</w:t>
      </w:r>
      <w:r>
        <w:rPr>
          <w:szCs w:val="22"/>
        </w:rPr>
        <w:t>’s</w:t>
      </w:r>
      <w:r w:rsidRPr="004B0F10">
        <w:rPr>
          <w:szCs w:val="22"/>
        </w:rPr>
        <w:t xml:space="preserve"> water resource</w:t>
      </w:r>
      <w:r>
        <w:rPr>
          <w:szCs w:val="22"/>
        </w:rPr>
        <w:t>s</w:t>
      </w:r>
      <w:r w:rsidRPr="004B0F10">
        <w:rPr>
          <w:szCs w:val="22"/>
        </w:rPr>
        <w:t xml:space="preserve">.  Sixty sites for each surface water resource type are distributed throughout the state </w:t>
      </w:r>
      <w:r>
        <w:rPr>
          <w:szCs w:val="22"/>
        </w:rPr>
        <w:t>(</w:t>
      </w:r>
      <w:r w:rsidRPr="004B0F10">
        <w:rPr>
          <w:szCs w:val="22"/>
        </w:rPr>
        <w:t>10 in each of the 6 zones</w:t>
      </w:r>
      <w:r>
        <w:rPr>
          <w:szCs w:val="22"/>
        </w:rPr>
        <w:t>)</w:t>
      </w:r>
      <w:r w:rsidRPr="004B0F10">
        <w:rPr>
          <w:szCs w:val="22"/>
        </w:rPr>
        <w:t xml:space="preserve">, and 120 sites for each ground water resource type are distributed throughout the state </w:t>
      </w:r>
      <w:r>
        <w:rPr>
          <w:szCs w:val="22"/>
        </w:rPr>
        <w:t>(20</w:t>
      </w:r>
      <w:r w:rsidRPr="004B0F10">
        <w:rPr>
          <w:szCs w:val="22"/>
        </w:rPr>
        <w:t xml:space="preserve"> in each zone</w:t>
      </w:r>
      <w:r>
        <w:rPr>
          <w:szCs w:val="22"/>
        </w:rPr>
        <w:t>)</w:t>
      </w:r>
      <w:r w:rsidRPr="004B0F10">
        <w:rPr>
          <w:szCs w:val="22"/>
        </w:rPr>
        <w:t>.  Overall, fewer samples will be collected to make the statewide estimate</w:t>
      </w:r>
      <w:r>
        <w:rPr>
          <w:szCs w:val="22"/>
        </w:rPr>
        <w:t>;</w:t>
      </w:r>
      <w:r w:rsidRPr="004B0F10">
        <w:rPr>
          <w:szCs w:val="22"/>
        </w:rPr>
        <w:t xml:space="preserve"> however</w:t>
      </w:r>
      <w:r>
        <w:rPr>
          <w:szCs w:val="22"/>
        </w:rPr>
        <w:t>,</w:t>
      </w:r>
      <w:r w:rsidRPr="004B0F10">
        <w:rPr>
          <w:szCs w:val="22"/>
        </w:rPr>
        <w:t xml:space="preserve"> statewide condition will be assessed and can be reported on annual</w:t>
      </w:r>
      <w:r>
        <w:rPr>
          <w:szCs w:val="22"/>
        </w:rPr>
        <w:t>ly, rather than every 5 years.</w:t>
      </w:r>
      <w:r w:rsidRPr="004B0F10">
        <w:rPr>
          <w:szCs w:val="22"/>
        </w:rPr>
        <w:t xml:space="preserve">  Based on these sample sizes, the 95% confidence interval for the estimate of statewide condition is </w:t>
      </w:r>
      <w:r w:rsidRPr="004B0F10">
        <w:rPr>
          <w:szCs w:val="22"/>
        </w:rPr>
        <w:sym w:font="Symbol" w:char="F0B1"/>
      </w:r>
      <w:r w:rsidRPr="004B0F10">
        <w:rPr>
          <w:szCs w:val="22"/>
        </w:rPr>
        <w:t xml:space="preserve">12% for surface water and </w:t>
      </w:r>
      <w:r w:rsidRPr="004B0F10">
        <w:rPr>
          <w:szCs w:val="22"/>
        </w:rPr>
        <w:sym w:font="Symbol" w:char="F0B1"/>
      </w:r>
      <w:r w:rsidRPr="004B0F10">
        <w:rPr>
          <w:szCs w:val="22"/>
        </w:rPr>
        <w:t xml:space="preserve"> 9% for ground water.  </w:t>
      </w:r>
    </w:p>
    <w:p w:rsidR="00485094" w:rsidRPr="004B0F10" w:rsidRDefault="00485094" w:rsidP="00EA3D58">
      <w:pPr>
        <w:pStyle w:val="Bodytext"/>
        <w:rPr>
          <w:szCs w:val="22"/>
        </w:rPr>
      </w:pPr>
    </w:p>
    <w:p w:rsidR="00485094" w:rsidRDefault="00485094" w:rsidP="00EA3D58">
      <w:pPr>
        <w:pStyle w:val="Bodytext"/>
        <w:rPr>
          <w:szCs w:val="22"/>
        </w:rPr>
      </w:pPr>
      <w:r w:rsidRPr="004B0F10">
        <w:rPr>
          <w:szCs w:val="22"/>
        </w:rPr>
        <w:t xml:space="preserve">Another significant design change is that surface water samples will be collected </w:t>
      </w:r>
      <w:r>
        <w:rPr>
          <w:szCs w:val="22"/>
        </w:rPr>
        <w:t>twice a</w:t>
      </w:r>
      <w:r w:rsidRPr="004B0F10">
        <w:rPr>
          <w:szCs w:val="22"/>
        </w:rPr>
        <w:t xml:space="preserve"> year </w:t>
      </w:r>
      <w:r>
        <w:rPr>
          <w:szCs w:val="22"/>
        </w:rPr>
        <w:t>at each</w:t>
      </w:r>
      <w:r w:rsidRPr="004B0F10">
        <w:rPr>
          <w:szCs w:val="22"/>
        </w:rPr>
        <w:t xml:space="preserve"> site.  Th</w:t>
      </w:r>
      <w:r>
        <w:rPr>
          <w:szCs w:val="22"/>
        </w:rPr>
        <w:t xml:space="preserve">is will address </w:t>
      </w:r>
      <w:r w:rsidRPr="004B0F10">
        <w:rPr>
          <w:szCs w:val="22"/>
        </w:rPr>
        <w:t>questions about whether surface waters may be influenced by seasonality and changes in condition due to rainfall/drought events</w:t>
      </w:r>
      <w:r>
        <w:rPr>
          <w:szCs w:val="22"/>
        </w:rPr>
        <w:t>, and whether a five</w:t>
      </w:r>
      <w:r w:rsidRPr="004B0F10">
        <w:rPr>
          <w:szCs w:val="22"/>
        </w:rPr>
        <w:t xml:space="preserve">-year monitoring design with single sampling periods </w:t>
      </w:r>
      <w:r>
        <w:rPr>
          <w:szCs w:val="22"/>
        </w:rPr>
        <w:t xml:space="preserve">might </w:t>
      </w:r>
      <w:r w:rsidRPr="004B0F10">
        <w:rPr>
          <w:szCs w:val="22"/>
        </w:rPr>
        <w:t>misrepresent overall water quality conditions.  Th</w:t>
      </w:r>
      <w:r>
        <w:rPr>
          <w:szCs w:val="22"/>
        </w:rPr>
        <w:t xml:space="preserve">ese questions about variation in surface water quality will be answered based on the results of </w:t>
      </w:r>
      <w:r w:rsidRPr="004B0F10">
        <w:rPr>
          <w:szCs w:val="22"/>
        </w:rPr>
        <w:t xml:space="preserve">the </w:t>
      </w:r>
      <w:r>
        <w:rPr>
          <w:szCs w:val="22"/>
        </w:rPr>
        <w:t>initial</w:t>
      </w:r>
      <w:r w:rsidRPr="004B0F10">
        <w:rPr>
          <w:szCs w:val="22"/>
        </w:rPr>
        <w:t xml:space="preserve"> </w:t>
      </w:r>
      <w:r>
        <w:rPr>
          <w:szCs w:val="22"/>
        </w:rPr>
        <w:t xml:space="preserve">and repeat </w:t>
      </w:r>
      <w:r w:rsidRPr="004B0F10">
        <w:rPr>
          <w:szCs w:val="22"/>
        </w:rPr>
        <w:t xml:space="preserve">sampling, and by collecting waters in </w:t>
      </w:r>
      <w:r>
        <w:rPr>
          <w:szCs w:val="22"/>
        </w:rPr>
        <w:t>different</w:t>
      </w:r>
      <w:r w:rsidRPr="004B0F10">
        <w:rPr>
          <w:szCs w:val="22"/>
        </w:rPr>
        <w:t xml:space="preserve"> seasons statewide.  The results from these two events will be evaluated to determine if the response </w:t>
      </w:r>
      <w:r>
        <w:rPr>
          <w:szCs w:val="22"/>
        </w:rPr>
        <w:t>compared with the</w:t>
      </w:r>
      <w:r w:rsidRPr="004B0F10">
        <w:rPr>
          <w:szCs w:val="22"/>
        </w:rPr>
        <w:t xml:space="preserve"> thresholds is significant enough to warrant the </w:t>
      </w:r>
      <w:r>
        <w:rPr>
          <w:szCs w:val="22"/>
        </w:rPr>
        <w:t>second</w:t>
      </w:r>
      <w:r w:rsidRPr="004B0F10">
        <w:rPr>
          <w:szCs w:val="22"/>
        </w:rPr>
        <w:t xml:space="preserve"> sample.</w:t>
      </w:r>
    </w:p>
    <w:p w:rsidR="00485094" w:rsidRDefault="00485094" w:rsidP="00EA3D58">
      <w:pPr>
        <w:pStyle w:val="Bodytext"/>
        <w:rPr>
          <w:szCs w:val="22"/>
        </w:rPr>
      </w:pPr>
    </w:p>
    <w:p w:rsidR="00485094" w:rsidRDefault="00485094" w:rsidP="00EA3D58">
      <w:pPr>
        <w:pStyle w:val="Bodytext"/>
        <w:rPr>
          <w:szCs w:val="22"/>
        </w:rPr>
      </w:pPr>
      <w:r>
        <w:rPr>
          <w:szCs w:val="22"/>
        </w:rPr>
        <w:t>The results from earlier ground water analyses have clearly indicated that there are no seasonal trends in ground water quality.  Therefore, no repeat sample will be collected for ground water resources.</w:t>
      </w:r>
    </w:p>
    <w:p w:rsidR="00485094" w:rsidRPr="004B0F10" w:rsidRDefault="00485094" w:rsidP="00EA3D58">
      <w:pPr>
        <w:pStyle w:val="Bodytext"/>
        <w:rPr>
          <w:szCs w:val="22"/>
        </w:rPr>
      </w:pPr>
    </w:p>
    <w:p w:rsidR="00485094" w:rsidRPr="004B0F10" w:rsidRDefault="00485094" w:rsidP="00EA3D58">
      <w:pPr>
        <w:pStyle w:val="Bodytext"/>
        <w:rPr>
          <w:szCs w:val="22"/>
        </w:rPr>
      </w:pPr>
      <w:r w:rsidRPr="004B0F10">
        <w:rPr>
          <w:szCs w:val="22"/>
        </w:rPr>
        <w:t>A long-term benefit to the annual approach for both surface and ground water is the ability to examine trends in water quality over time.  The annual appr</w:t>
      </w:r>
      <w:r>
        <w:rPr>
          <w:szCs w:val="22"/>
        </w:rPr>
        <w:t>oach, coupled with the existing Trend N</w:t>
      </w:r>
      <w:r w:rsidRPr="004B0F10">
        <w:rPr>
          <w:szCs w:val="22"/>
        </w:rPr>
        <w:t>etwork monthly sampling</w:t>
      </w:r>
      <w:r>
        <w:rPr>
          <w:szCs w:val="22"/>
        </w:rPr>
        <w:t xml:space="preserve"> (discussed in the next section),</w:t>
      </w:r>
      <w:r w:rsidRPr="004B0F10">
        <w:rPr>
          <w:szCs w:val="22"/>
        </w:rPr>
        <w:t xml:space="preserve"> will provide a more comprehensive picture of changes </w:t>
      </w:r>
      <w:r>
        <w:rPr>
          <w:szCs w:val="22"/>
        </w:rPr>
        <w:t>in</w:t>
      </w:r>
      <w:r w:rsidRPr="004B0F10">
        <w:rPr>
          <w:szCs w:val="22"/>
        </w:rPr>
        <w:t xml:space="preserve"> water quality.  </w:t>
      </w:r>
    </w:p>
    <w:p w:rsidR="00485094" w:rsidRPr="004B0F10" w:rsidRDefault="00485094" w:rsidP="00EA3D58">
      <w:pPr>
        <w:pStyle w:val="Bodytext"/>
        <w:rPr>
          <w:szCs w:val="22"/>
        </w:rPr>
      </w:pPr>
    </w:p>
    <w:p w:rsidR="00485094" w:rsidRPr="004B0F10" w:rsidRDefault="00485094" w:rsidP="00EA3D58">
      <w:pPr>
        <w:pStyle w:val="Heading4"/>
      </w:pPr>
      <w:bookmarkStart w:id="274" w:name="_Toc134347390"/>
      <w:r w:rsidRPr="004B0F10">
        <w:t>Future Design and Reporting</w:t>
      </w:r>
      <w:bookmarkEnd w:id="274"/>
    </w:p>
    <w:p w:rsidR="00485094" w:rsidRPr="004B0F10" w:rsidRDefault="00485094" w:rsidP="00EA3D58">
      <w:pPr>
        <w:pStyle w:val="Bodytext"/>
        <w:rPr>
          <w:szCs w:val="22"/>
        </w:rPr>
      </w:pPr>
      <w:r w:rsidRPr="004B0F10">
        <w:rPr>
          <w:szCs w:val="22"/>
        </w:rPr>
        <w:t xml:space="preserve">The </w:t>
      </w:r>
      <w:r>
        <w:rPr>
          <w:szCs w:val="22"/>
        </w:rPr>
        <w:t xml:space="preserve">statewide annual assessments from the </w:t>
      </w:r>
      <w:r w:rsidRPr="004B0F10">
        <w:rPr>
          <w:szCs w:val="22"/>
        </w:rPr>
        <w:t xml:space="preserve">Status Network will </w:t>
      </w:r>
      <w:r>
        <w:rPr>
          <w:szCs w:val="22"/>
        </w:rPr>
        <w:t>be available for the 2012 Integrated R</w:t>
      </w:r>
      <w:r w:rsidRPr="004B0F10">
        <w:rPr>
          <w:szCs w:val="22"/>
        </w:rPr>
        <w:t>eport cycle.</w:t>
      </w:r>
      <w:r>
        <w:rPr>
          <w:szCs w:val="22"/>
        </w:rPr>
        <w:t xml:space="preserve">  The r</w:t>
      </w:r>
      <w:r w:rsidRPr="004B0F10">
        <w:rPr>
          <w:szCs w:val="22"/>
        </w:rPr>
        <w:t xml:space="preserve">esults from both </w:t>
      </w:r>
      <w:r>
        <w:rPr>
          <w:szCs w:val="22"/>
        </w:rPr>
        <w:t xml:space="preserve">the </w:t>
      </w:r>
      <w:r w:rsidRPr="004B0F10">
        <w:rPr>
          <w:szCs w:val="22"/>
        </w:rPr>
        <w:t>Status and Trend Networks will continue to provide data on chemical, physical</w:t>
      </w:r>
      <w:r>
        <w:rPr>
          <w:szCs w:val="22"/>
        </w:rPr>
        <w:t>,</w:t>
      </w:r>
      <w:r w:rsidRPr="004B0F10">
        <w:rPr>
          <w:szCs w:val="22"/>
        </w:rPr>
        <w:t xml:space="preserve"> and biological indicators to managers, other programs</w:t>
      </w:r>
      <w:r>
        <w:rPr>
          <w:szCs w:val="22"/>
        </w:rPr>
        <w:t xml:space="preserve">, </w:t>
      </w:r>
      <w:r w:rsidRPr="004B0F10">
        <w:rPr>
          <w:szCs w:val="22"/>
        </w:rPr>
        <w:t>and data users to complement their programs.  Revisions to the design are anticipated as agency or other program needs change</w:t>
      </w:r>
      <w:r>
        <w:rPr>
          <w:szCs w:val="22"/>
        </w:rPr>
        <w:t xml:space="preserve">, and will be reported through the modification of the </w:t>
      </w:r>
      <w:hyperlink r:id="rId69" w:history="1">
        <w:r w:rsidR="003D799D" w:rsidRPr="009B7728">
          <w:rPr>
            <w:rStyle w:val="Hyperlink"/>
            <w:szCs w:val="22"/>
          </w:rPr>
          <w:t xml:space="preserve">Monitoring </w:t>
        </w:r>
        <w:r w:rsidR="003D799D">
          <w:rPr>
            <w:rStyle w:val="Hyperlink"/>
            <w:szCs w:val="22"/>
          </w:rPr>
          <w:t xml:space="preserve">Strategy </w:t>
        </w:r>
        <w:r w:rsidR="003D799D" w:rsidRPr="009B7728">
          <w:rPr>
            <w:rStyle w:val="Hyperlink"/>
            <w:szCs w:val="22"/>
          </w:rPr>
          <w:t>Design Document</w:t>
        </w:r>
      </w:hyperlink>
      <w:r>
        <w:rPr>
          <w:szCs w:val="22"/>
        </w:rPr>
        <w:t xml:space="preserve"> submitted to the EPA.</w:t>
      </w:r>
    </w:p>
    <w:p w:rsidR="00485094" w:rsidRPr="004B0F10" w:rsidRDefault="00485094" w:rsidP="00EA3D58">
      <w:pPr>
        <w:rPr>
          <w:sz w:val="22"/>
          <w:szCs w:val="22"/>
        </w:rPr>
      </w:pPr>
    </w:p>
    <w:p w:rsidR="00485094" w:rsidRPr="004B0F10" w:rsidRDefault="00485094" w:rsidP="00EA3D58">
      <w:pPr>
        <w:spacing w:after="200" w:line="276" w:lineRule="auto"/>
        <w:rPr>
          <w:rFonts w:ascii="Arial" w:hAnsi="Arial"/>
          <w:b/>
          <w:i/>
          <w:snapToGrid w:val="0"/>
          <w:sz w:val="22"/>
          <w:szCs w:val="22"/>
        </w:rPr>
      </w:pPr>
      <w:r w:rsidRPr="004B0F10">
        <w:rPr>
          <w:snapToGrid w:val="0"/>
          <w:sz w:val="22"/>
          <w:szCs w:val="22"/>
        </w:rPr>
        <w:br w:type="page"/>
      </w:r>
    </w:p>
    <w:p w:rsidR="00485094" w:rsidRPr="008201DF" w:rsidRDefault="00485094" w:rsidP="00EA3D58">
      <w:pPr>
        <w:pStyle w:val="Caption"/>
        <w:rPr>
          <w:szCs w:val="22"/>
        </w:rPr>
      </w:pPr>
      <w:bookmarkStart w:id="275" w:name="_Toc262464291"/>
      <w:bookmarkStart w:id="276" w:name="_Toc271280143"/>
      <w:r w:rsidRPr="008201DF">
        <w:rPr>
          <w:szCs w:val="22"/>
        </w:rPr>
        <w:t>Figure 5.2.  Status Monitoring Network Reporting Units</w:t>
      </w:r>
      <w:bookmarkEnd w:id="275"/>
      <w:bookmarkEnd w:id="276"/>
    </w:p>
    <w:p w:rsidR="00485094" w:rsidRPr="004B0F10" w:rsidRDefault="001717CD" w:rsidP="00EA3D58">
      <w:pPr>
        <w:pStyle w:val="Bodytext"/>
        <w:rPr>
          <w:b/>
          <w:i/>
          <w:szCs w:val="22"/>
        </w:rPr>
      </w:pPr>
      <w:r>
        <w:rPr>
          <w:b/>
          <w:i/>
          <w:noProof/>
          <w:szCs w:val="22"/>
        </w:rPr>
        <w:drawing>
          <wp:inline distT="0" distB="0" distL="0" distR="0">
            <wp:extent cx="5598795" cy="7315200"/>
            <wp:effectExtent l="19050" t="0" r="1905" b="0"/>
            <wp:docPr id="4" name="Picture 1" descr="Figure 5.2.  Status Monitoring Network Reporting Units.  This is a map of the state of Florida divided into the six regions or reporting units that are used in the Status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5.2.  Status Monitoring Network Reporting Units"/>
                    <pic:cNvPicPr>
                      <a:picLocks noChangeAspect="1" noChangeArrowheads="1"/>
                    </pic:cNvPicPr>
                  </pic:nvPicPr>
                  <pic:blipFill>
                    <a:blip r:embed="rId70"/>
                    <a:srcRect/>
                    <a:stretch>
                      <a:fillRect/>
                    </a:stretch>
                  </pic:blipFill>
                  <pic:spPr bwMode="auto">
                    <a:xfrm>
                      <a:off x="0" y="0"/>
                      <a:ext cx="5598795" cy="7315200"/>
                    </a:xfrm>
                    <a:prstGeom prst="rect">
                      <a:avLst/>
                    </a:prstGeom>
                    <a:noFill/>
                    <a:ln w="9525">
                      <a:noFill/>
                      <a:miter lim="800000"/>
                      <a:headEnd/>
                      <a:tailEnd/>
                    </a:ln>
                  </pic:spPr>
                </pic:pic>
              </a:graphicData>
            </a:graphic>
          </wp:inline>
        </w:drawing>
      </w:r>
    </w:p>
    <w:p w:rsidR="00485094" w:rsidRPr="004B0F10" w:rsidRDefault="00485094" w:rsidP="00EA3D58">
      <w:pPr>
        <w:pStyle w:val="Bodytext"/>
        <w:rPr>
          <w:b/>
          <w:szCs w:val="22"/>
        </w:rPr>
      </w:pPr>
    </w:p>
    <w:p w:rsidR="00485094" w:rsidRPr="004B0F10" w:rsidRDefault="00485094" w:rsidP="00EA3D58">
      <w:pPr>
        <w:pStyle w:val="Bodytext"/>
        <w:rPr>
          <w:b/>
          <w:i/>
          <w:szCs w:val="22"/>
        </w:rPr>
      </w:pPr>
    </w:p>
    <w:p w:rsidR="00485094" w:rsidRPr="004B0F10" w:rsidRDefault="00485094" w:rsidP="00EA3D58">
      <w:pPr>
        <w:pStyle w:val="Bodytext"/>
        <w:rPr>
          <w:b/>
          <w:i/>
          <w:szCs w:val="22"/>
        </w:rPr>
      </w:pPr>
    </w:p>
    <w:p w:rsidR="00485094" w:rsidRPr="00613F21" w:rsidRDefault="00485094" w:rsidP="00EA3D58">
      <w:pPr>
        <w:pStyle w:val="Heading2"/>
      </w:pPr>
      <w:bookmarkStart w:id="277" w:name="_Toc262464143"/>
      <w:bookmarkStart w:id="278" w:name="_Toc271279967"/>
      <w:r w:rsidRPr="00613F21">
        <w:t>Trend Network</w:t>
      </w:r>
      <w:bookmarkEnd w:id="271"/>
      <w:bookmarkEnd w:id="272"/>
      <w:bookmarkEnd w:id="273"/>
      <w:bookmarkEnd w:id="277"/>
      <w:bookmarkEnd w:id="278"/>
    </w:p>
    <w:p w:rsidR="00485094" w:rsidRPr="000B41E6" w:rsidRDefault="00485094" w:rsidP="00EA3D58">
      <w:pPr>
        <w:rPr>
          <w:color w:val="1F497D"/>
          <w:sz w:val="22"/>
          <w:szCs w:val="22"/>
        </w:rPr>
      </w:pPr>
      <w:r w:rsidRPr="000B41E6">
        <w:rPr>
          <w:rFonts w:ascii="Arial" w:hAnsi="Arial" w:cs="Arial"/>
          <w:sz w:val="22"/>
          <w:szCs w:val="22"/>
        </w:rPr>
        <w:t xml:space="preserve">The Trend Network is designed to determine if there are changes over time in </w:t>
      </w:r>
      <w:r>
        <w:rPr>
          <w:rFonts w:ascii="Arial" w:hAnsi="Arial" w:cs="Arial"/>
          <w:sz w:val="22"/>
          <w:szCs w:val="22"/>
        </w:rPr>
        <w:t xml:space="preserve">the State’s major rivers and aquifers based on </w:t>
      </w:r>
      <w:r w:rsidRPr="000B41E6">
        <w:rPr>
          <w:rFonts w:ascii="Arial" w:hAnsi="Arial" w:cs="Arial"/>
          <w:sz w:val="22"/>
          <w:szCs w:val="22"/>
        </w:rPr>
        <w:t xml:space="preserve">selected </w:t>
      </w:r>
      <w:r w:rsidRPr="00F17C07">
        <w:rPr>
          <w:rFonts w:ascii="Arial" w:hAnsi="Arial" w:cs="Arial"/>
          <w:sz w:val="22"/>
          <w:szCs w:val="22"/>
        </w:rPr>
        <w:t>indicators (</w:t>
      </w:r>
      <w:r w:rsidRPr="00F17C07">
        <w:rPr>
          <w:rFonts w:ascii="Arial" w:hAnsi="Arial" w:cs="Arial"/>
          <w:b/>
          <w:i/>
          <w:sz w:val="22"/>
          <w:szCs w:val="22"/>
        </w:rPr>
        <w:t xml:space="preserve">Tables 5.4a </w:t>
      </w:r>
      <w:r w:rsidRPr="00F17C07">
        <w:rPr>
          <w:rFonts w:ascii="Arial" w:hAnsi="Arial" w:cs="Arial"/>
          <w:sz w:val="22"/>
          <w:szCs w:val="22"/>
        </w:rPr>
        <w:t>through</w:t>
      </w:r>
      <w:r w:rsidRPr="00F17C07">
        <w:rPr>
          <w:rFonts w:ascii="Arial" w:hAnsi="Arial" w:cs="Arial"/>
          <w:b/>
          <w:i/>
          <w:sz w:val="22"/>
          <w:szCs w:val="22"/>
        </w:rPr>
        <w:t xml:space="preserve"> 5.4</w:t>
      </w:r>
      <w:r>
        <w:rPr>
          <w:rFonts w:ascii="Arial" w:hAnsi="Arial" w:cs="Arial"/>
          <w:b/>
          <w:i/>
          <w:sz w:val="22"/>
          <w:szCs w:val="22"/>
        </w:rPr>
        <w:t>f</w:t>
      </w:r>
      <w:r w:rsidRPr="00F17C07">
        <w:rPr>
          <w:rFonts w:ascii="Arial" w:hAnsi="Arial" w:cs="Arial"/>
          <w:sz w:val="22"/>
          <w:szCs w:val="22"/>
        </w:rPr>
        <w:t>) at fixed sites.  To complete a statistically valid trend</w:t>
      </w:r>
      <w:r w:rsidRPr="000B41E6">
        <w:rPr>
          <w:rFonts w:ascii="Arial" w:hAnsi="Arial" w:cs="Arial"/>
          <w:sz w:val="22"/>
          <w:szCs w:val="22"/>
        </w:rPr>
        <w:t xml:space="preserve"> analysis, any periodicity implicit in the data must be identified by collecting a sufficient number of samples at regular intervals.  </w:t>
      </w:r>
      <w:r>
        <w:rPr>
          <w:rFonts w:ascii="Arial" w:hAnsi="Arial" w:cs="Arial"/>
          <w:sz w:val="22"/>
          <w:szCs w:val="22"/>
        </w:rPr>
        <w:t>For</w:t>
      </w:r>
      <w:r w:rsidRPr="000B41E6">
        <w:rPr>
          <w:rFonts w:ascii="Arial" w:hAnsi="Arial" w:cs="Arial"/>
          <w:sz w:val="22"/>
          <w:szCs w:val="22"/>
        </w:rPr>
        <w:t xml:space="preserve"> example, variability in data over seasons (seasonality) has </w:t>
      </w:r>
      <w:r>
        <w:rPr>
          <w:rFonts w:ascii="Arial" w:hAnsi="Arial" w:cs="Arial"/>
          <w:sz w:val="22"/>
          <w:szCs w:val="22"/>
        </w:rPr>
        <w:t xml:space="preserve">to </w:t>
      </w:r>
      <w:r w:rsidRPr="000B41E6">
        <w:rPr>
          <w:rFonts w:ascii="Arial" w:hAnsi="Arial" w:cs="Arial"/>
          <w:sz w:val="22"/>
          <w:szCs w:val="22"/>
        </w:rPr>
        <w:t>be shown for many surface water constituents</w:t>
      </w:r>
      <w:r>
        <w:rPr>
          <w:rFonts w:ascii="Arial" w:hAnsi="Arial" w:cs="Arial"/>
          <w:sz w:val="22"/>
          <w:szCs w:val="22"/>
        </w:rPr>
        <w:t xml:space="preserve">; </w:t>
      </w:r>
      <w:r w:rsidRPr="000B41E6">
        <w:rPr>
          <w:rFonts w:ascii="Arial" w:hAnsi="Arial" w:cs="Arial"/>
          <w:sz w:val="22"/>
          <w:szCs w:val="22"/>
        </w:rPr>
        <w:t>therefore</w:t>
      </w:r>
      <w:r>
        <w:rPr>
          <w:rFonts w:ascii="Arial" w:hAnsi="Arial" w:cs="Arial"/>
          <w:sz w:val="22"/>
          <w:szCs w:val="22"/>
        </w:rPr>
        <w:t>,</w:t>
      </w:r>
      <w:r w:rsidRPr="000B41E6">
        <w:rPr>
          <w:rFonts w:ascii="Arial" w:hAnsi="Arial" w:cs="Arial"/>
          <w:sz w:val="22"/>
          <w:szCs w:val="22"/>
        </w:rPr>
        <w:t xml:space="preserve"> an effort should be made to collect at least one sample in each season, four per year </w:t>
      </w:r>
      <w:r>
        <w:rPr>
          <w:rFonts w:ascii="Arial" w:hAnsi="Arial" w:cs="Arial"/>
          <w:sz w:val="22"/>
          <w:szCs w:val="22"/>
        </w:rPr>
        <w:t xml:space="preserve">at a </w:t>
      </w:r>
      <w:r w:rsidRPr="000B41E6">
        <w:rPr>
          <w:rFonts w:ascii="Arial" w:hAnsi="Arial" w:cs="Arial"/>
          <w:sz w:val="22"/>
          <w:szCs w:val="22"/>
        </w:rPr>
        <w:t>minimum.  However, surface waters are much more likely to be influenced by seasonal changes than ground</w:t>
      </w:r>
      <w:r>
        <w:rPr>
          <w:rFonts w:ascii="Arial" w:hAnsi="Arial" w:cs="Arial"/>
          <w:sz w:val="22"/>
          <w:szCs w:val="22"/>
        </w:rPr>
        <w:t xml:space="preserve"> </w:t>
      </w:r>
      <w:r w:rsidRPr="000B41E6">
        <w:rPr>
          <w:rFonts w:ascii="Arial" w:hAnsi="Arial" w:cs="Arial"/>
          <w:sz w:val="22"/>
          <w:szCs w:val="22"/>
        </w:rPr>
        <w:t>water and</w:t>
      </w:r>
      <w:r>
        <w:rPr>
          <w:rFonts w:ascii="Arial" w:hAnsi="Arial" w:cs="Arial"/>
          <w:sz w:val="22"/>
          <w:szCs w:val="22"/>
        </w:rPr>
        <w:t>,</w:t>
      </w:r>
      <w:r w:rsidRPr="000B41E6">
        <w:rPr>
          <w:rFonts w:ascii="Arial" w:hAnsi="Arial" w:cs="Arial"/>
          <w:sz w:val="22"/>
          <w:szCs w:val="22"/>
        </w:rPr>
        <w:t xml:space="preserve"> to p</w:t>
      </w:r>
      <w:r>
        <w:rPr>
          <w:rFonts w:ascii="Arial" w:hAnsi="Arial" w:cs="Arial"/>
          <w:sz w:val="22"/>
          <w:szCs w:val="22"/>
        </w:rPr>
        <w:t>revent any aliasing to the data, s</w:t>
      </w:r>
      <w:r w:rsidRPr="000B41E6">
        <w:rPr>
          <w:rFonts w:ascii="Arial" w:hAnsi="Arial" w:cs="Arial"/>
          <w:sz w:val="22"/>
          <w:szCs w:val="22"/>
        </w:rPr>
        <w:t>ampling should be conducted monthly.</w:t>
      </w:r>
    </w:p>
    <w:p w:rsidR="00485094" w:rsidRDefault="00485094" w:rsidP="00EA3D58">
      <w:pPr>
        <w:pStyle w:val="Bodytext"/>
        <w:rPr>
          <w:rFonts w:cs="Arial"/>
        </w:rPr>
      </w:pPr>
    </w:p>
    <w:p w:rsidR="00485094" w:rsidRDefault="00485094" w:rsidP="00EA3D58">
      <w:pPr>
        <w:pStyle w:val="Bodytext"/>
        <w:rPr>
          <w:rFonts w:cs="Arial"/>
        </w:rPr>
      </w:pPr>
      <w:r w:rsidRPr="00615965">
        <w:rPr>
          <w:rFonts w:cs="Arial"/>
        </w:rPr>
        <w:t xml:space="preserve">Trend Network data provide a temporal reference on </w:t>
      </w:r>
      <w:r>
        <w:rPr>
          <w:rFonts w:cs="Arial"/>
        </w:rPr>
        <w:t xml:space="preserve">a regional scale for the Status Network.  </w:t>
      </w:r>
      <w:r w:rsidRPr="00615965">
        <w:rPr>
          <w:rFonts w:cs="Arial"/>
        </w:rPr>
        <w:t xml:space="preserve">To </w:t>
      </w:r>
      <w:r>
        <w:rPr>
          <w:rFonts w:cs="Arial"/>
        </w:rPr>
        <w:t xml:space="preserve">facilitate the comparison of Trend Network </w:t>
      </w:r>
      <w:r w:rsidRPr="00615965">
        <w:rPr>
          <w:rFonts w:cs="Arial"/>
        </w:rPr>
        <w:t xml:space="preserve">results </w:t>
      </w:r>
      <w:r>
        <w:rPr>
          <w:rFonts w:cs="Arial"/>
        </w:rPr>
        <w:t xml:space="preserve">with those of the Status </w:t>
      </w:r>
      <w:r w:rsidRPr="00615965">
        <w:rPr>
          <w:rFonts w:cs="Arial"/>
        </w:rPr>
        <w:t xml:space="preserve">Network, </w:t>
      </w:r>
      <w:r>
        <w:rPr>
          <w:rFonts w:cs="Arial"/>
        </w:rPr>
        <w:t xml:space="preserve">FDEP separates the Trend </w:t>
      </w:r>
      <w:r w:rsidRPr="00615965">
        <w:rPr>
          <w:rFonts w:cs="Arial"/>
        </w:rPr>
        <w:t xml:space="preserve">Network into surface water (rivers and streams) and ground water (confined and unconfined aquifers) resources.  </w:t>
      </w:r>
    </w:p>
    <w:p w:rsidR="00485094" w:rsidRPr="00615965" w:rsidRDefault="00485094" w:rsidP="00EA3D58">
      <w:pPr>
        <w:pStyle w:val="Bodytext"/>
        <w:rPr>
          <w:rFonts w:cs="Arial"/>
        </w:rPr>
      </w:pPr>
    </w:p>
    <w:p w:rsidR="00485094" w:rsidRDefault="00485094" w:rsidP="00EA3D58">
      <w:pPr>
        <w:pStyle w:val="Tableheading"/>
      </w:pPr>
      <w:bookmarkStart w:id="279" w:name="_Toc255482812"/>
      <w:bookmarkStart w:id="280" w:name="_Toc255807470"/>
      <w:bookmarkStart w:id="281" w:name="_Toc262464234"/>
      <w:bookmarkStart w:id="282" w:name="_Toc271280081"/>
      <w:bookmarkStart w:id="283" w:name="_Toc243369003"/>
      <w:r w:rsidRPr="000F332D">
        <w:t xml:space="preserve">Table </w:t>
      </w:r>
      <w:r>
        <w:t>5.4a</w:t>
      </w:r>
      <w:r w:rsidRPr="000F332D">
        <w:t>.</w:t>
      </w:r>
      <w:r>
        <w:t xml:space="preserve">  Trend</w:t>
      </w:r>
      <w:r w:rsidRPr="000F332D">
        <w:t xml:space="preserve"> Network </w:t>
      </w:r>
      <w:r>
        <w:t>Field Measurement</w:t>
      </w:r>
      <w:r w:rsidRPr="000F332D">
        <w:t xml:space="preserve"> </w:t>
      </w:r>
      <w:r>
        <w:t>I</w:t>
      </w:r>
      <w:r w:rsidRPr="000F332D">
        <w:t>ndicators</w:t>
      </w:r>
      <w:bookmarkEnd w:id="279"/>
      <w:bookmarkEnd w:id="280"/>
      <w:bookmarkEnd w:id="281"/>
      <w:bookmarkEnd w:id="282"/>
    </w:p>
    <w:p w:rsidR="00485094" w:rsidRDefault="00485094" w:rsidP="00EA3D58">
      <w:pPr>
        <w:pStyle w:val="Bodytextreduced"/>
      </w:pPr>
    </w:p>
    <w:p w:rsidR="00485094" w:rsidRDefault="00485094" w:rsidP="00EA3D58">
      <w:pPr>
        <w:pStyle w:val="Bodytextreduced"/>
      </w:pPr>
      <w:bookmarkStart w:id="284" w:name="_Toc255482813"/>
      <w:r w:rsidRPr="005A1F92">
        <w:rPr>
          <w:b/>
        </w:rPr>
        <w:t>Note:</w:t>
      </w:r>
      <w:r w:rsidRPr="005A1F92">
        <w:t xml:space="preserve">  For </w:t>
      </w:r>
      <w:r w:rsidRPr="005A1F92">
        <w:rPr>
          <w:b/>
          <w:i/>
        </w:rPr>
        <w:t xml:space="preserve">Tables </w:t>
      </w:r>
      <w:r>
        <w:rPr>
          <w:b/>
          <w:i/>
        </w:rPr>
        <w:t>5.</w:t>
      </w:r>
      <w:r w:rsidRPr="005A1F92">
        <w:rPr>
          <w:b/>
          <w:i/>
        </w:rPr>
        <w:t>4a</w:t>
      </w:r>
      <w:r w:rsidRPr="005A1F92">
        <w:t xml:space="preserve"> through </w:t>
      </w:r>
      <w:r>
        <w:t>5</w:t>
      </w:r>
      <w:r w:rsidRPr="005A1F92">
        <w:rPr>
          <w:b/>
          <w:i/>
        </w:rPr>
        <w:t>.4f</w:t>
      </w:r>
      <w:r w:rsidRPr="005A1F92">
        <w:t xml:space="preserve">, all methods, unless otherwise stated, are based on EPA 600, </w:t>
      </w:r>
      <w:r w:rsidRPr="00F13A39">
        <w:rPr>
          <w:i/>
        </w:rPr>
        <w:t>Methods for Chemical Analysis of Water and Wastes</w:t>
      </w:r>
      <w:r w:rsidRPr="005A1F92">
        <w:t>.</w:t>
      </w:r>
    </w:p>
    <w:p w:rsidR="00485094" w:rsidRDefault="00485094" w:rsidP="00EA3D58">
      <w:pPr>
        <w:pStyle w:val="Bodytextreduced"/>
      </w:pPr>
    </w:p>
    <w:p w:rsidR="00485094" w:rsidRPr="00EE47B8" w:rsidRDefault="00485094" w:rsidP="00EA3D58">
      <w:pPr>
        <w:pStyle w:val="TabledescriptionBF"/>
      </w:pPr>
      <w:bookmarkStart w:id="285" w:name="_Toc255807471"/>
      <w:r w:rsidRPr="00EE47B8">
        <w:t>This is a four-column table</w:t>
      </w:r>
      <w:r>
        <w:t xml:space="preserve">.  </w:t>
      </w:r>
      <w:r w:rsidRPr="00EE47B8">
        <w:t xml:space="preserve">Column 1 </w:t>
      </w:r>
      <w:r>
        <w:t>lists</w:t>
      </w:r>
      <w:r w:rsidRPr="00EE47B8">
        <w:t xml:space="preserve"> </w:t>
      </w:r>
      <w:r w:rsidR="00F01F27">
        <w:t xml:space="preserve">the </w:t>
      </w:r>
      <w:r w:rsidRPr="00EE47B8">
        <w:t xml:space="preserve">indicator, Column 2 </w:t>
      </w:r>
      <w:r>
        <w:t>lists</w:t>
      </w:r>
      <w:r w:rsidRPr="00EE47B8">
        <w:t xml:space="preserve"> </w:t>
      </w:r>
      <w:r w:rsidR="00F01F27">
        <w:t xml:space="preserve">the </w:t>
      </w:r>
      <w:r w:rsidRPr="00EE47B8">
        <w:t xml:space="preserve">analytical method number, Column 3 </w:t>
      </w:r>
      <w:r>
        <w:t>lists</w:t>
      </w:r>
      <w:r w:rsidRPr="00EE47B8">
        <w:t xml:space="preserve"> the sampling regime for surface waters, and Column 4 </w:t>
      </w:r>
      <w:r>
        <w:t>lists</w:t>
      </w:r>
      <w:r w:rsidRPr="00EE47B8">
        <w:t xml:space="preserve"> the sampling regime for ground waters.</w:t>
      </w:r>
      <w:bookmarkEnd w:id="283"/>
      <w:bookmarkEnd w:id="284"/>
      <w:bookmarkEnd w:id="285"/>
    </w:p>
    <w:p w:rsidR="00485094" w:rsidRPr="005A1F92" w:rsidRDefault="00485094" w:rsidP="00EA3D58">
      <w:pPr>
        <w:pStyle w:val="Bodytextreduced"/>
      </w:pPr>
    </w:p>
    <w:p w:rsidR="00485094" w:rsidRPr="00111008" w:rsidRDefault="00485094" w:rsidP="00EA3D58">
      <w:pPr>
        <w:pStyle w:val="Bodytextreduced"/>
        <w:rPr>
          <w:szCs w:val="18"/>
        </w:rPr>
      </w:pPr>
      <w:r w:rsidRPr="00111008">
        <w:t>X = Other sample or measurement</w:t>
      </w:r>
      <w:r>
        <w:t xml:space="preserve">; </w:t>
      </w:r>
      <w:r w:rsidRPr="00111008">
        <w:t xml:space="preserve">N/A </w:t>
      </w:r>
      <w:r>
        <w:t>=</w:t>
      </w:r>
      <w:r w:rsidRPr="00111008">
        <w:t xml:space="preserve"> Not applicable</w:t>
      </w:r>
    </w:p>
    <w:tbl>
      <w:tblPr>
        <w:tblW w:w="924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3274"/>
        <w:gridCol w:w="3083"/>
        <w:gridCol w:w="1445"/>
        <w:gridCol w:w="1445"/>
      </w:tblGrid>
      <w:tr w:rsidR="00485094" w:rsidRPr="005A1F92" w:rsidTr="000F2909">
        <w:trPr>
          <w:trHeight w:val="264"/>
          <w:jc w:val="center"/>
        </w:trPr>
        <w:tc>
          <w:tcPr>
            <w:tcW w:w="3274" w:type="dxa"/>
            <w:tcBorders>
              <w:top w:val="single" w:sz="4" w:space="0" w:color="auto"/>
              <w:bottom w:val="double" w:sz="4" w:space="0" w:color="auto"/>
            </w:tcBorders>
            <w:shd w:val="clear" w:color="auto" w:fill="BDFFFF"/>
            <w:vAlign w:val="bottom"/>
          </w:tcPr>
          <w:p w:rsidR="00485094" w:rsidRPr="005A1F92" w:rsidRDefault="00485094" w:rsidP="00F01F27">
            <w:pPr>
              <w:pStyle w:val="TableText"/>
              <w:jc w:val="center"/>
              <w:rPr>
                <w:b/>
                <w:i/>
              </w:rPr>
            </w:pPr>
            <w:r w:rsidRPr="005A1F92">
              <w:rPr>
                <w:b/>
                <w:i/>
              </w:rPr>
              <w:t>Field Measurement Indicator</w:t>
            </w:r>
          </w:p>
        </w:tc>
        <w:tc>
          <w:tcPr>
            <w:tcW w:w="3083" w:type="dxa"/>
            <w:tcBorders>
              <w:top w:val="single" w:sz="4" w:space="0" w:color="auto"/>
              <w:bottom w:val="double" w:sz="4" w:space="0" w:color="auto"/>
            </w:tcBorders>
            <w:shd w:val="clear" w:color="auto" w:fill="BDFFFF"/>
            <w:vAlign w:val="bottom"/>
          </w:tcPr>
          <w:p w:rsidR="00485094" w:rsidRPr="005A1F92" w:rsidRDefault="00485094" w:rsidP="00453E80">
            <w:pPr>
              <w:pStyle w:val="TableText"/>
              <w:jc w:val="center"/>
              <w:rPr>
                <w:b/>
                <w:i/>
              </w:rPr>
            </w:pPr>
            <w:r w:rsidRPr="005A1F92">
              <w:rPr>
                <w:b/>
                <w:i/>
              </w:rPr>
              <w:t>Analysis Method</w:t>
            </w:r>
          </w:p>
        </w:tc>
        <w:tc>
          <w:tcPr>
            <w:tcW w:w="1445" w:type="dxa"/>
            <w:tcBorders>
              <w:top w:val="single" w:sz="4" w:space="0" w:color="auto"/>
              <w:bottom w:val="double" w:sz="4" w:space="0" w:color="auto"/>
            </w:tcBorders>
            <w:shd w:val="clear" w:color="auto" w:fill="BDFFFF"/>
            <w:vAlign w:val="bottom"/>
          </w:tcPr>
          <w:p w:rsidR="00485094" w:rsidRPr="005A1F92" w:rsidRDefault="00485094" w:rsidP="00453E80">
            <w:pPr>
              <w:pStyle w:val="TableText"/>
              <w:jc w:val="center"/>
              <w:rPr>
                <w:b/>
                <w:i/>
              </w:rPr>
            </w:pPr>
            <w:r w:rsidRPr="005A1F92">
              <w:rPr>
                <w:b/>
                <w:i/>
              </w:rPr>
              <w:t>Surface Water</w:t>
            </w:r>
          </w:p>
        </w:tc>
        <w:tc>
          <w:tcPr>
            <w:tcW w:w="1445" w:type="dxa"/>
            <w:tcBorders>
              <w:top w:val="single" w:sz="4" w:space="0" w:color="auto"/>
              <w:bottom w:val="double" w:sz="4" w:space="0" w:color="auto"/>
            </w:tcBorders>
            <w:shd w:val="clear" w:color="auto" w:fill="BDFFFF"/>
            <w:vAlign w:val="bottom"/>
          </w:tcPr>
          <w:p w:rsidR="00485094" w:rsidRPr="005A1F92" w:rsidRDefault="00485094" w:rsidP="00453E80">
            <w:pPr>
              <w:pStyle w:val="TableText"/>
              <w:jc w:val="center"/>
              <w:rPr>
                <w:b/>
                <w:i/>
              </w:rPr>
            </w:pPr>
            <w:r w:rsidRPr="005A1F92">
              <w:rPr>
                <w:b/>
                <w:i/>
              </w:rPr>
              <w:t>Ground Water</w:t>
            </w:r>
          </w:p>
        </w:tc>
      </w:tr>
      <w:tr w:rsidR="00485094" w:rsidRPr="000F352A" w:rsidTr="00453E80">
        <w:trPr>
          <w:trHeight w:val="250"/>
          <w:jc w:val="center"/>
        </w:trPr>
        <w:tc>
          <w:tcPr>
            <w:tcW w:w="3274" w:type="dxa"/>
            <w:tcBorders>
              <w:top w:val="double" w:sz="4" w:space="0" w:color="auto"/>
            </w:tcBorders>
            <w:shd w:val="clear" w:color="auto" w:fill="FFFFCC"/>
            <w:vAlign w:val="center"/>
          </w:tcPr>
          <w:p w:rsidR="00485094" w:rsidRPr="00590B64" w:rsidRDefault="00485094" w:rsidP="00453E80">
            <w:pPr>
              <w:pStyle w:val="TableText"/>
              <w:jc w:val="center"/>
            </w:pPr>
            <w:r w:rsidRPr="00590B64">
              <w:t>pH</w:t>
            </w:r>
          </w:p>
        </w:tc>
        <w:tc>
          <w:tcPr>
            <w:tcW w:w="3083" w:type="dxa"/>
            <w:tcBorders>
              <w:top w:val="double" w:sz="4" w:space="0" w:color="auto"/>
            </w:tcBorders>
            <w:vAlign w:val="center"/>
          </w:tcPr>
          <w:p w:rsidR="00485094" w:rsidRPr="00590B64" w:rsidRDefault="00485094" w:rsidP="00453E80">
            <w:pPr>
              <w:pStyle w:val="TableText"/>
              <w:jc w:val="center"/>
            </w:pPr>
            <w:r w:rsidRPr="00590B64">
              <w:t>Method 150.1</w:t>
            </w:r>
          </w:p>
        </w:tc>
        <w:tc>
          <w:tcPr>
            <w:tcW w:w="1445" w:type="dxa"/>
            <w:tcBorders>
              <w:top w:val="double" w:sz="4" w:space="0" w:color="auto"/>
            </w:tcBorders>
            <w:vAlign w:val="center"/>
          </w:tcPr>
          <w:p w:rsidR="00485094" w:rsidRPr="00590B64" w:rsidRDefault="00485094" w:rsidP="00453E80">
            <w:pPr>
              <w:pStyle w:val="TableText"/>
              <w:jc w:val="center"/>
            </w:pPr>
            <w:r>
              <w:t>X</w:t>
            </w:r>
          </w:p>
        </w:tc>
        <w:tc>
          <w:tcPr>
            <w:tcW w:w="1445" w:type="dxa"/>
            <w:tcBorders>
              <w:top w:val="double" w:sz="4" w:space="0" w:color="auto"/>
            </w:tcBorders>
            <w:vAlign w:val="center"/>
          </w:tcPr>
          <w:p w:rsidR="00485094" w:rsidRPr="00590B64" w:rsidRDefault="00485094" w:rsidP="00453E80">
            <w:pPr>
              <w:pStyle w:val="TableText"/>
              <w:jc w:val="center"/>
            </w:pPr>
            <w:r>
              <w:t>X</w:t>
            </w:r>
          </w:p>
        </w:tc>
      </w:tr>
      <w:tr w:rsidR="00485094" w:rsidRPr="000F352A" w:rsidTr="00453E80">
        <w:trPr>
          <w:trHeight w:val="235"/>
          <w:jc w:val="center"/>
        </w:trPr>
        <w:tc>
          <w:tcPr>
            <w:tcW w:w="3274" w:type="dxa"/>
            <w:shd w:val="clear" w:color="auto" w:fill="FFFFCC"/>
            <w:vAlign w:val="center"/>
          </w:tcPr>
          <w:p w:rsidR="00485094" w:rsidRPr="00590B64" w:rsidRDefault="00485094" w:rsidP="00453E80">
            <w:pPr>
              <w:pStyle w:val="TableText"/>
              <w:jc w:val="center"/>
            </w:pPr>
            <w:r w:rsidRPr="00590B64">
              <w:t>Temperature</w:t>
            </w:r>
          </w:p>
        </w:tc>
        <w:tc>
          <w:tcPr>
            <w:tcW w:w="3083" w:type="dxa"/>
            <w:vAlign w:val="center"/>
          </w:tcPr>
          <w:p w:rsidR="00485094" w:rsidRPr="00590B64" w:rsidRDefault="00485094" w:rsidP="00453E80">
            <w:pPr>
              <w:pStyle w:val="TableText"/>
              <w:jc w:val="center"/>
            </w:pPr>
            <w:r>
              <w:t xml:space="preserve">Method </w:t>
            </w:r>
            <w:r w:rsidRPr="00590B64">
              <w:t>170.1</w:t>
            </w:r>
          </w:p>
        </w:tc>
        <w:tc>
          <w:tcPr>
            <w:tcW w:w="1445" w:type="dxa"/>
            <w:vAlign w:val="center"/>
          </w:tcPr>
          <w:p w:rsidR="00485094" w:rsidRPr="00590B64" w:rsidRDefault="00485094" w:rsidP="00453E80">
            <w:pPr>
              <w:pStyle w:val="TableText"/>
              <w:jc w:val="center"/>
            </w:pPr>
            <w:r>
              <w:t>X</w:t>
            </w:r>
          </w:p>
        </w:tc>
        <w:tc>
          <w:tcPr>
            <w:tcW w:w="1445" w:type="dxa"/>
            <w:vAlign w:val="center"/>
          </w:tcPr>
          <w:p w:rsidR="00485094" w:rsidRPr="00590B64" w:rsidRDefault="00485094" w:rsidP="00453E80">
            <w:pPr>
              <w:pStyle w:val="TableText"/>
              <w:jc w:val="center"/>
            </w:pPr>
            <w:r w:rsidRPr="00590B64">
              <w:t>X</w:t>
            </w:r>
          </w:p>
        </w:tc>
      </w:tr>
      <w:tr w:rsidR="00485094" w:rsidRPr="000F352A" w:rsidTr="00453E80">
        <w:trPr>
          <w:trHeight w:val="235"/>
          <w:jc w:val="center"/>
        </w:trPr>
        <w:tc>
          <w:tcPr>
            <w:tcW w:w="3274" w:type="dxa"/>
            <w:shd w:val="clear" w:color="auto" w:fill="FFFFCC"/>
            <w:vAlign w:val="center"/>
          </w:tcPr>
          <w:p w:rsidR="00485094" w:rsidRPr="00590B64" w:rsidRDefault="00485094" w:rsidP="00453E80">
            <w:pPr>
              <w:pStyle w:val="TableText"/>
              <w:jc w:val="center"/>
            </w:pPr>
            <w:r w:rsidRPr="00590B64">
              <w:t>Specific Conductance</w:t>
            </w:r>
            <w:r>
              <w:t>/Salinity</w:t>
            </w:r>
          </w:p>
        </w:tc>
        <w:tc>
          <w:tcPr>
            <w:tcW w:w="3083" w:type="dxa"/>
            <w:vAlign w:val="center"/>
          </w:tcPr>
          <w:p w:rsidR="00485094" w:rsidRPr="00590B64" w:rsidRDefault="00485094" w:rsidP="00453E80">
            <w:pPr>
              <w:pStyle w:val="TableText"/>
              <w:jc w:val="center"/>
            </w:pPr>
            <w:r w:rsidRPr="00590B64">
              <w:t>Method 120.1</w:t>
            </w:r>
          </w:p>
        </w:tc>
        <w:tc>
          <w:tcPr>
            <w:tcW w:w="1445" w:type="dxa"/>
            <w:vAlign w:val="center"/>
          </w:tcPr>
          <w:p w:rsidR="00485094" w:rsidRPr="00590B64" w:rsidRDefault="00485094" w:rsidP="00453E80">
            <w:pPr>
              <w:pStyle w:val="TableText"/>
              <w:jc w:val="center"/>
            </w:pPr>
            <w:r w:rsidRPr="00590B64">
              <w:t>X</w:t>
            </w:r>
          </w:p>
        </w:tc>
        <w:tc>
          <w:tcPr>
            <w:tcW w:w="1445" w:type="dxa"/>
            <w:vAlign w:val="center"/>
          </w:tcPr>
          <w:p w:rsidR="00485094" w:rsidRPr="00590B64" w:rsidRDefault="00485094" w:rsidP="00453E80">
            <w:pPr>
              <w:pStyle w:val="TableText"/>
              <w:jc w:val="center"/>
            </w:pPr>
            <w:r w:rsidRPr="00590B64">
              <w:t>X</w:t>
            </w:r>
          </w:p>
        </w:tc>
      </w:tr>
      <w:tr w:rsidR="00485094" w:rsidRPr="000F352A" w:rsidTr="00453E80">
        <w:trPr>
          <w:trHeight w:val="235"/>
          <w:jc w:val="center"/>
        </w:trPr>
        <w:tc>
          <w:tcPr>
            <w:tcW w:w="3274" w:type="dxa"/>
            <w:shd w:val="clear" w:color="auto" w:fill="FFFFCC"/>
            <w:vAlign w:val="center"/>
          </w:tcPr>
          <w:p w:rsidR="00485094" w:rsidRPr="00590B64" w:rsidRDefault="00485094" w:rsidP="00453E80">
            <w:pPr>
              <w:pStyle w:val="TableText"/>
              <w:jc w:val="center"/>
            </w:pPr>
            <w:r w:rsidRPr="00590B64">
              <w:t>Dissolved Oxygen</w:t>
            </w:r>
          </w:p>
        </w:tc>
        <w:tc>
          <w:tcPr>
            <w:tcW w:w="3083" w:type="dxa"/>
            <w:vAlign w:val="center"/>
          </w:tcPr>
          <w:p w:rsidR="00485094" w:rsidRPr="00590B64" w:rsidRDefault="00485094" w:rsidP="00453E80">
            <w:pPr>
              <w:pStyle w:val="TableText"/>
              <w:jc w:val="center"/>
            </w:pPr>
            <w:r w:rsidRPr="00590B64">
              <w:t>Method 360.1</w:t>
            </w:r>
          </w:p>
        </w:tc>
        <w:tc>
          <w:tcPr>
            <w:tcW w:w="1445" w:type="dxa"/>
            <w:vAlign w:val="center"/>
          </w:tcPr>
          <w:p w:rsidR="00485094" w:rsidRPr="00590B64" w:rsidRDefault="00485094" w:rsidP="00453E80">
            <w:pPr>
              <w:pStyle w:val="TableText"/>
              <w:jc w:val="center"/>
            </w:pPr>
            <w:r w:rsidRPr="00590B64">
              <w:t>X</w:t>
            </w:r>
          </w:p>
        </w:tc>
        <w:tc>
          <w:tcPr>
            <w:tcW w:w="1445" w:type="dxa"/>
            <w:vAlign w:val="center"/>
          </w:tcPr>
          <w:p w:rsidR="00485094" w:rsidRPr="00590B64" w:rsidRDefault="00485094" w:rsidP="00453E80">
            <w:pPr>
              <w:pStyle w:val="TableText"/>
              <w:jc w:val="center"/>
            </w:pPr>
            <w:r w:rsidRPr="00590B64">
              <w:t>X</w:t>
            </w:r>
          </w:p>
        </w:tc>
      </w:tr>
      <w:tr w:rsidR="00485094" w:rsidRPr="000F352A" w:rsidTr="00453E80">
        <w:trPr>
          <w:trHeight w:val="235"/>
          <w:jc w:val="center"/>
        </w:trPr>
        <w:tc>
          <w:tcPr>
            <w:tcW w:w="3274" w:type="dxa"/>
            <w:shd w:val="clear" w:color="auto" w:fill="FFFFCC"/>
            <w:vAlign w:val="center"/>
          </w:tcPr>
          <w:p w:rsidR="00485094" w:rsidRPr="00590B64" w:rsidRDefault="00485094" w:rsidP="00453E80">
            <w:pPr>
              <w:pStyle w:val="TableText"/>
              <w:jc w:val="center"/>
            </w:pPr>
            <w:r>
              <w:t>Turbidity</w:t>
            </w:r>
          </w:p>
        </w:tc>
        <w:tc>
          <w:tcPr>
            <w:tcW w:w="3083" w:type="dxa"/>
            <w:vAlign w:val="center"/>
          </w:tcPr>
          <w:p w:rsidR="00485094" w:rsidRPr="00590B64" w:rsidRDefault="00485094" w:rsidP="00453E80">
            <w:pPr>
              <w:pStyle w:val="TableText"/>
              <w:jc w:val="center"/>
            </w:pPr>
            <w:r>
              <w:t>DEP-SOP-001/01 FT 1600</w:t>
            </w:r>
          </w:p>
        </w:tc>
        <w:tc>
          <w:tcPr>
            <w:tcW w:w="1445" w:type="dxa"/>
            <w:vAlign w:val="center"/>
          </w:tcPr>
          <w:p w:rsidR="00485094" w:rsidRPr="00590B64" w:rsidRDefault="00485094" w:rsidP="00453E80">
            <w:pPr>
              <w:pStyle w:val="TableText"/>
              <w:jc w:val="center"/>
            </w:pPr>
            <w:r>
              <w:t>N/A</w:t>
            </w:r>
          </w:p>
        </w:tc>
        <w:tc>
          <w:tcPr>
            <w:tcW w:w="1445" w:type="dxa"/>
            <w:vAlign w:val="center"/>
          </w:tcPr>
          <w:p w:rsidR="00485094" w:rsidRPr="00590B64" w:rsidRDefault="00485094" w:rsidP="00453E80">
            <w:pPr>
              <w:pStyle w:val="TableText"/>
              <w:jc w:val="center"/>
            </w:pPr>
            <w:r>
              <w:t>X</w:t>
            </w:r>
          </w:p>
        </w:tc>
      </w:tr>
      <w:tr w:rsidR="00485094" w:rsidRPr="000F352A" w:rsidTr="00453E80">
        <w:trPr>
          <w:trHeight w:val="235"/>
          <w:jc w:val="center"/>
        </w:trPr>
        <w:tc>
          <w:tcPr>
            <w:tcW w:w="3274" w:type="dxa"/>
            <w:shd w:val="clear" w:color="auto" w:fill="FFFFCC"/>
            <w:vAlign w:val="center"/>
          </w:tcPr>
          <w:p w:rsidR="00485094" w:rsidRPr="00590B64" w:rsidRDefault="00485094" w:rsidP="00453E80">
            <w:pPr>
              <w:pStyle w:val="TableText"/>
              <w:jc w:val="center"/>
            </w:pPr>
            <w:r w:rsidRPr="00590B64">
              <w:t>Secchi Depth</w:t>
            </w:r>
          </w:p>
        </w:tc>
        <w:tc>
          <w:tcPr>
            <w:tcW w:w="3083" w:type="dxa"/>
            <w:vAlign w:val="center"/>
          </w:tcPr>
          <w:p w:rsidR="00485094" w:rsidRPr="00590B64" w:rsidRDefault="00485094" w:rsidP="00453E80">
            <w:pPr>
              <w:pStyle w:val="TableText"/>
              <w:jc w:val="center"/>
            </w:pPr>
            <w:r w:rsidRPr="00590B64">
              <w:t>Welch (1948); EPA 620/R-97/001</w:t>
            </w:r>
          </w:p>
        </w:tc>
        <w:tc>
          <w:tcPr>
            <w:tcW w:w="1445" w:type="dxa"/>
            <w:vAlign w:val="center"/>
          </w:tcPr>
          <w:p w:rsidR="00485094" w:rsidRPr="00590B64" w:rsidRDefault="00485094" w:rsidP="00453E80">
            <w:pPr>
              <w:pStyle w:val="TableText"/>
              <w:jc w:val="center"/>
            </w:pPr>
            <w:r w:rsidRPr="00590B64">
              <w:t>X</w:t>
            </w:r>
          </w:p>
        </w:tc>
        <w:tc>
          <w:tcPr>
            <w:tcW w:w="1445" w:type="dxa"/>
            <w:vAlign w:val="center"/>
          </w:tcPr>
          <w:p w:rsidR="00485094" w:rsidRPr="00590B64" w:rsidRDefault="00485094" w:rsidP="00453E80">
            <w:pPr>
              <w:pStyle w:val="TableText"/>
              <w:jc w:val="center"/>
            </w:pPr>
            <w:r>
              <w:t>N/A</w:t>
            </w:r>
          </w:p>
        </w:tc>
      </w:tr>
      <w:tr w:rsidR="00485094" w:rsidRPr="000F352A" w:rsidTr="00453E80">
        <w:trPr>
          <w:trHeight w:val="235"/>
          <w:jc w:val="center"/>
        </w:trPr>
        <w:tc>
          <w:tcPr>
            <w:tcW w:w="3274" w:type="dxa"/>
            <w:shd w:val="clear" w:color="auto" w:fill="FFFFCC"/>
            <w:vAlign w:val="center"/>
          </w:tcPr>
          <w:p w:rsidR="00485094" w:rsidRPr="00DC7295" w:rsidRDefault="00485094" w:rsidP="00453E80">
            <w:pPr>
              <w:pStyle w:val="TableText"/>
              <w:jc w:val="center"/>
            </w:pPr>
            <w:r w:rsidRPr="00DC7295">
              <w:t>Total Depth</w:t>
            </w:r>
          </w:p>
        </w:tc>
        <w:tc>
          <w:tcPr>
            <w:tcW w:w="3083" w:type="dxa"/>
            <w:vAlign w:val="center"/>
          </w:tcPr>
          <w:p w:rsidR="00485094" w:rsidRPr="00DC7295" w:rsidRDefault="00485094" w:rsidP="00453E80">
            <w:pPr>
              <w:pStyle w:val="TableText"/>
              <w:jc w:val="center"/>
            </w:pPr>
            <w:r>
              <w:t>M</w:t>
            </w:r>
            <w:r w:rsidRPr="00DC7295">
              <w:t>anual/electronic measuring device</w:t>
            </w:r>
          </w:p>
        </w:tc>
        <w:tc>
          <w:tcPr>
            <w:tcW w:w="1445" w:type="dxa"/>
            <w:vAlign w:val="center"/>
          </w:tcPr>
          <w:p w:rsidR="00485094" w:rsidRPr="00DC7295" w:rsidRDefault="00485094" w:rsidP="00453E80">
            <w:pPr>
              <w:pStyle w:val="TableText"/>
              <w:jc w:val="center"/>
            </w:pPr>
            <w:r w:rsidRPr="00DC7295">
              <w:t>X</w:t>
            </w:r>
          </w:p>
        </w:tc>
        <w:tc>
          <w:tcPr>
            <w:tcW w:w="1445" w:type="dxa"/>
            <w:vAlign w:val="center"/>
          </w:tcPr>
          <w:p w:rsidR="00485094" w:rsidRPr="00DC7295" w:rsidRDefault="00485094" w:rsidP="00453E80">
            <w:pPr>
              <w:pStyle w:val="TableText"/>
              <w:jc w:val="center"/>
            </w:pPr>
            <w:r w:rsidRPr="00DC7295">
              <w:t>N/A</w:t>
            </w:r>
          </w:p>
        </w:tc>
      </w:tr>
      <w:tr w:rsidR="00485094" w:rsidRPr="000F352A" w:rsidTr="00453E80">
        <w:trPr>
          <w:trHeight w:val="235"/>
          <w:jc w:val="center"/>
        </w:trPr>
        <w:tc>
          <w:tcPr>
            <w:tcW w:w="3274" w:type="dxa"/>
            <w:shd w:val="clear" w:color="auto" w:fill="FFFFCC"/>
            <w:vAlign w:val="center"/>
          </w:tcPr>
          <w:p w:rsidR="00485094" w:rsidRPr="00590B64" w:rsidRDefault="00485094" w:rsidP="00453E80">
            <w:pPr>
              <w:pStyle w:val="TableText"/>
              <w:jc w:val="center"/>
            </w:pPr>
            <w:r w:rsidRPr="00590B64">
              <w:t>Sample Depth</w:t>
            </w:r>
          </w:p>
        </w:tc>
        <w:tc>
          <w:tcPr>
            <w:tcW w:w="3083" w:type="dxa"/>
            <w:vAlign w:val="center"/>
          </w:tcPr>
          <w:p w:rsidR="00485094" w:rsidRPr="00590B64" w:rsidRDefault="00485094" w:rsidP="00453E80">
            <w:pPr>
              <w:pStyle w:val="TableText"/>
              <w:jc w:val="center"/>
            </w:pPr>
            <w:r>
              <w:t>Manual/</w:t>
            </w:r>
            <w:r w:rsidRPr="00590B64">
              <w:t>electronic measuring devi</w:t>
            </w:r>
            <w:r>
              <w:t>c</w:t>
            </w:r>
            <w:r w:rsidRPr="00590B64">
              <w:t>e</w:t>
            </w:r>
          </w:p>
        </w:tc>
        <w:tc>
          <w:tcPr>
            <w:tcW w:w="1445" w:type="dxa"/>
            <w:vAlign w:val="center"/>
          </w:tcPr>
          <w:p w:rsidR="00485094" w:rsidRPr="00590B64" w:rsidRDefault="00485094" w:rsidP="00453E80">
            <w:pPr>
              <w:pStyle w:val="TableText"/>
              <w:jc w:val="center"/>
            </w:pPr>
            <w:r w:rsidRPr="00590B64">
              <w:t>X</w:t>
            </w:r>
          </w:p>
        </w:tc>
        <w:tc>
          <w:tcPr>
            <w:tcW w:w="1445" w:type="dxa"/>
            <w:vAlign w:val="center"/>
          </w:tcPr>
          <w:p w:rsidR="00485094" w:rsidRPr="00590B64" w:rsidRDefault="00485094" w:rsidP="00453E80">
            <w:pPr>
              <w:pStyle w:val="TableText"/>
              <w:jc w:val="center"/>
            </w:pPr>
            <w:r>
              <w:t>N/A</w:t>
            </w:r>
          </w:p>
        </w:tc>
      </w:tr>
      <w:tr w:rsidR="00485094" w:rsidRPr="000F352A" w:rsidTr="00453E80">
        <w:trPr>
          <w:trHeight w:val="235"/>
          <w:jc w:val="center"/>
        </w:trPr>
        <w:tc>
          <w:tcPr>
            <w:tcW w:w="3274" w:type="dxa"/>
            <w:tcBorders>
              <w:bottom w:val="single" w:sz="4" w:space="0" w:color="auto"/>
            </w:tcBorders>
            <w:shd w:val="clear" w:color="auto" w:fill="FFFFCC"/>
            <w:vAlign w:val="center"/>
          </w:tcPr>
          <w:p w:rsidR="00485094" w:rsidRPr="00590B64" w:rsidRDefault="00485094" w:rsidP="00453E80">
            <w:pPr>
              <w:pStyle w:val="TableText"/>
              <w:jc w:val="center"/>
            </w:pPr>
            <w:r w:rsidRPr="00590B64">
              <w:t>Depth to Water</w:t>
            </w:r>
          </w:p>
        </w:tc>
        <w:tc>
          <w:tcPr>
            <w:tcW w:w="3083" w:type="dxa"/>
            <w:tcBorders>
              <w:bottom w:val="single" w:sz="4" w:space="0" w:color="auto"/>
            </w:tcBorders>
            <w:vAlign w:val="center"/>
          </w:tcPr>
          <w:p w:rsidR="00485094" w:rsidRPr="00590B64" w:rsidRDefault="00485094" w:rsidP="00453E80">
            <w:pPr>
              <w:pStyle w:val="TableText"/>
              <w:jc w:val="center"/>
            </w:pPr>
            <w:r>
              <w:t>Steel tape and/or chalk</w:t>
            </w:r>
          </w:p>
        </w:tc>
        <w:tc>
          <w:tcPr>
            <w:tcW w:w="1445" w:type="dxa"/>
            <w:tcBorders>
              <w:bottom w:val="single" w:sz="4" w:space="0" w:color="auto"/>
            </w:tcBorders>
            <w:vAlign w:val="center"/>
          </w:tcPr>
          <w:p w:rsidR="00485094" w:rsidRPr="00590B64" w:rsidRDefault="00485094" w:rsidP="00453E80">
            <w:pPr>
              <w:pStyle w:val="TableText"/>
              <w:jc w:val="center"/>
            </w:pPr>
            <w:r>
              <w:t>N/A</w:t>
            </w:r>
          </w:p>
        </w:tc>
        <w:tc>
          <w:tcPr>
            <w:tcW w:w="1445" w:type="dxa"/>
            <w:tcBorders>
              <w:bottom w:val="single" w:sz="4" w:space="0" w:color="auto"/>
            </w:tcBorders>
            <w:vAlign w:val="center"/>
          </w:tcPr>
          <w:p w:rsidR="00485094" w:rsidRPr="00590B64" w:rsidRDefault="00485094" w:rsidP="00453E80">
            <w:pPr>
              <w:pStyle w:val="TableText"/>
              <w:jc w:val="center"/>
            </w:pPr>
            <w:r>
              <w:t>X</w:t>
            </w:r>
          </w:p>
        </w:tc>
      </w:tr>
    </w:tbl>
    <w:p w:rsidR="00485094" w:rsidRDefault="00485094" w:rsidP="00EA3D58">
      <w:pPr>
        <w:pStyle w:val="Bodytextreduced"/>
      </w:pPr>
    </w:p>
    <w:p w:rsidR="00485094" w:rsidRDefault="00485094" w:rsidP="00EA3D58">
      <w:pPr>
        <w:pStyle w:val="Bodytextreduced"/>
      </w:pPr>
    </w:p>
    <w:p w:rsidR="00485094" w:rsidRDefault="00485094" w:rsidP="00EA3D58">
      <w:pPr>
        <w:pStyle w:val="Tableheading"/>
      </w:pPr>
      <w:bookmarkStart w:id="286" w:name="_Toc255482814"/>
      <w:bookmarkStart w:id="287" w:name="_Toc255807472"/>
      <w:bookmarkStart w:id="288" w:name="_Toc262464235"/>
      <w:bookmarkStart w:id="289" w:name="_Toc271280082"/>
      <w:r w:rsidRPr="000F332D">
        <w:t xml:space="preserve">Table </w:t>
      </w:r>
      <w:r>
        <w:t>5.4b</w:t>
      </w:r>
      <w:r w:rsidRPr="000F332D">
        <w:t>.</w:t>
      </w:r>
      <w:r>
        <w:t xml:space="preserve">  Trend</w:t>
      </w:r>
      <w:r w:rsidRPr="000F332D">
        <w:t xml:space="preserve"> Network </w:t>
      </w:r>
      <w:r>
        <w:t>Biological and Microbiological</w:t>
      </w:r>
      <w:r w:rsidRPr="000F332D">
        <w:t xml:space="preserve"> </w:t>
      </w:r>
      <w:r>
        <w:t>I</w:t>
      </w:r>
      <w:r w:rsidRPr="000F332D">
        <w:t>ndicators</w:t>
      </w:r>
      <w:bookmarkEnd w:id="286"/>
      <w:bookmarkEnd w:id="287"/>
      <w:bookmarkEnd w:id="288"/>
      <w:bookmarkEnd w:id="289"/>
    </w:p>
    <w:p w:rsidR="00485094" w:rsidRDefault="00485094" w:rsidP="00EA3D58">
      <w:pPr>
        <w:pStyle w:val="Bodytextreduced"/>
      </w:pPr>
      <w:bookmarkStart w:id="290" w:name="_Toc255482815"/>
      <w:bookmarkStart w:id="291" w:name="_Toc255807473"/>
    </w:p>
    <w:bookmarkEnd w:id="290"/>
    <w:bookmarkEnd w:id="291"/>
    <w:p w:rsidR="00485094" w:rsidRPr="00EE47B8" w:rsidRDefault="00485094" w:rsidP="00EA3D58">
      <w:pPr>
        <w:pStyle w:val="TabledescriptionBF"/>
      </w:pPr>
      <w:r w:rsidRPr="00EE47B8">
        <w:t>This is a four-column table</w:t>
      </w:r>
      <w:r>
        <w:t xml:space="preserve">.  </w:t>
      </w:r>
      <w:r w:rsidRPr="00EE47B8">
        <w:t xml:space="preserve">Column 1 </w:t>
      </w:r>
      <w:r>
        <w:t>lists</w:t>
      </w:r>
      <w:r w:rsidRPr="00EE47B8">
        <w:t xml:space="preserve"> </w:t>
      </w:r>
      <w:r w:rsidR="00F01F27">
        <w:t xml:space="preserve">the </w:t>
      </w:r>
      <w:r w:rsidRPr="00EE47B8">
        <w:t xml:space="preserve">indicator, Column 2 </w:t>
      </w:r>
      <w:r>
        <w:t>lists</w:t>
      </w:r>
      <w:r w:rsidRPr="00EE47B8">
        <w:t xml:space="preserve"> </w:t>
      </w:r>
      <w:r w:rsidR="00F01F27">
        <w:t xml:space="preserve">the </w:t>
      </w:r>
      <w:r w:rsidR="00F01F27" w:rsidRPr="00EE47B8">
        <w:t>analytical method number</w:t>
      </w:r>
      <w:r w:rsidRPr="00EE47B8">
        <w:t xml:space="preserve">, Column 3 </w:t>
      </w:r>
      <w:r>
        <w:t>lists</w:t>
      </w:r>
      <w:r w:rsidRPr="00EE47B8">
        <w:t xml:space="preserve"> the sampling regime for surface waters, and Column 4 </w:t>
      </w:r>
      <w:r>
        <w:t>lists</w:t>
      </w:r>
      <w:r w:rsidRPr="00EE47B8">
        <w:t xml:space="preserve"> the sampling regime for ground waters.</w:t>
      </w:r>
    </w:p>
    <w:p w:rsidR="00485094" w:rsidRDefault="00485094" w:rsidP="00EA3D58">
      <w:pPr>
        <w:pStyle w:val="Tableheading"/>
        <w:rPr>
          <w:b w:val="0"/>
          <w:sz w:val="18"/>
          <w:szCs w:val="18"/>
        </w:rPr>
      </w:pPr>
    </w:p>
    <w:p w:rsidR="00485094" w:rsidRDefault="00485094" w:rsidP="00EA3D58">
      <w:pPr>
        <w:pStyle w:val="Bodytextreduced"/>
      </w:pPr>
      <w:r>
        <w:rPr>
          <w:vertAlign w:val="superscript"/>
        </w:rPr>
        <w:t xml:space="preserve">1 </w:t>
      </w:r>
      <w:r w:rsidRPr="00DB3E80">
        <w:t>2004</w:t>
      </w:r>
      <w:r>
        <w:t>–</w:t>
      </w:r>
      <w:r w:rsidRPr="00DB3E80">
        <w:t>07 SM 9230C</w:t>
      </w:r>
      <w:r>
        <w:t xml:space="preserve"> </w:t>
      </w:r>
    </w:p>
    <w:p w:rsidR="00485094" w:rsidRPr="0005447D" w:rsidRDefault="00485094" w:rsidP="00EA3D58">
      <w:pPr>
        <w:pStyle w:val="Bodytextreduced"/>
        <w:rPr>
          <w:snapToGrid w:val="0"/>
        </w:rPr>
      </w:pPr>
      <w:r w:rsidRPr="0005447D">
        <w:rPr>
          <w:snapToGrid w:val="0"/>
        </w:rPr>
        <w:t xml:space="preserve">T = </w:t>
      </w:r>
      <w:r>
        <w:rPr>
          <w:snapToGrid w:val="0"/>
        </w:rPr>
        <w:t>T</w:t>
      </w:r>
      <w:r w:rsidRPr="0005447D">
        <w:rPr>
          <w:snapToGrid w:val="0"/>
        </w:rPr>
        <w:t xml:space="preserve">otal </w:t>
      </w:r>
      <w:r>
        <w:rPr>
          <w:snapToGrid w:val="0"/>
        </w:rPr>
        <w:t>s</w:t>
      </w:r>
      <w:r w:rsidRPr="0005447D">
        <w:rPr>
          <w:snapToGrid w:val="0"/>
        </w:rPr>
        <w:t>ample</w:t>
      </w:r>
      <w:r>
        <w:rPr>
          <w:snapToGrid w:val="0"/>
        </w:rPr>
        <w:t xml:space="preserve"> (unfiltered sample);</w:t>
      </w:r>
      <w:r w:rsidRPr="0005447D">
        <w:rPr>
          <w:snapToGrid w:val="0"/>
        </w:rPr>
        <w:t xml:space="preserve"> X = </w:t>
      </w:r>
      <w:r>
        <w:rPr>
          <w:snapToGrid w:val="0"/>
        </w:rPr>
        <w:t>O</w:t>
      </w:r>
      <w:r w:rsidRPr="0005447D">
        <w:rPr>
          <w:snapToGrid w:val="0"/>
        </w:rPr>
        <w:t xml:space="preserve">ther </w:t>
      </w:r>
      <w:r>
        <w:rPr>
          <w:snapToGrid w:val="0"/>
        </w:rPr>
        <w:t>s</w:t>
      </w:r>
      <w:r w:rsidRPr="0005447D">
        <w:rPr>
          <w:snapToGrid w:val="0"/>
        </w:rPr>
        <w:t xml:space="preserve">ample or </w:t>
      </w:r>
      <w:r>
        <w:rPr>
          <w:snapToGrid w:val="0"/>
        </w:rPr>
        <w:t>m</w:t>
      </w:r>
      <w:r w:rsidRPr="0005447D">
        <w:rPr>
          <w:snapToGrid w:val="0"/>
        </w:rPr>
        <w:t>easurement</w:t>
      </w:r>
      <w:r>
        <w:rPr>
          <w:snapToGrid w:val="0"/>
        </w:rPr>
        <w:t>; N/A = Not applicable</w:t>
      </w:r>
    </w:p>
    <w:p w:rsidR="00485094" w:rsidRDefault="00485094" w:rsidP="00EA3D58">
      <w:pPr>
        <w:pStyle w:val="Bodytextreduced"/>
        <w:rPr>
          <w:snapToGrid w:val="0"/>
        </w:rPr>
      </w:pPr>
      <w:r>
        <w:rPr>
          <w:snapToGrid w:val="0"/>
          <w:vertAlign w:val="superscript"/>
        </w:rPr>
        <w:t>2</w:t>
      </w:r>
      <w:r w:rsidRPr="0005447D">
        <w:rPr>
          <w:snapToGrid w:val="0"/>
        </w:rPr>
        <w:t xml:space="preserve"> </w:t>
      </w:r>
      <w:r>
        <w:rPr>
          <w:snapToGrid w:val="0"/>
        </w:rPr>
        <w:t>C</w:t>
      </w:r>
      <w:r w:rsidRPr="0005447D">
        <w:rPr>
          <w:snapToGrid w:val="0"/>
        </w:rPr>
        <w:t>ollected once a year per site</w:t>
      </w:r>
    </w:p>
    <w:tbl>
      <w:tblPr>
        <w:tblW w:w="924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30" w:type="dxa"/>
          <w:right w:w="30" w:type="dxa"/>
        </w:tblCellMar>
        <w:tblLook w:val="0000"/>
      </w:tblPr>
      <w:tblGrid>
        <w:gridCol w:w="3274"/>
        <w:gridCol w:w="3083"/>
        <w:gridCol w:w="1445"/>
        <w:gridCol w:w="1445"/>
      </w:tblGrid>
      <w:tr w:rsidR="00485094" w:rsidRPr="005A1F92" w:rsidTr="00F01F27">
        <w:trPr>
          <w:trHeight w:val="235"/>
          <w:jc w:val="center"/>
        </w:trPr>
        <w:tc>
          <w:tcPr>
            <w:tcW w:w="3274" w:type="dxa"/>
            <w:tcBorders>
              <w:top w:val="single" w:sz="4" w:space="0" w:color="auto"/>
              <w:left w:val="single" w:sz="4" w:space="0" w:color="auto"/>
              <w:bottom w:val="double" w:sz="4" w:space="0" w:color="auto"/>
            </w:tcBorders>
            <w:shd w:val="clear" w:color="auto" w:fill="BDFFFF"/>
            <w:vAlign w:val="center"/>
          </w:tcPr>
          <w:p w:rsidR="00485094" w:rsidRPr="005A1F92" w:rsidRDefault="00485094" w:rsidP="00F01F27">
            <w:pPr>
              <w:pStyle w:val="TableText"/>
              <w:jc w:val="center"/>
              <w:rPr>
                <w:i/>
              </w:rPr>
            </w:pPr>
            <w:r w:rsidRPr="005A1F92">
              <w:rPr>
                <w:b/>
                <w:i/>
              </w:rPr>
              <w:t>Biological/Microbiological Indicator</w:t>
            </w:r>
          </w:p>
        </w:tc>
        <w:tc>
          <w:tcPr>
            <w:tcW w:w="3083" w:type="dxa"/>
            <w:tcBorders>
              <w:top w:val="single" w:sz="4" w:space="0" w:color="auto"/>
              <w:bottom w:val="double" w:sz="4" w:space="0" w:color="auto"/>
            </w:tcBorders>
            <w:shd w:val="clear" w:color="auto" w:fill="BDFFFF"/>
            <w:vAlign w:val="center"/>
          </w:tcPr>
          <w:p w:rsidR="00485094" w:rsidRPr="005A1F92" w:rsidRDefault="00485094" w:rsidP="00453E80">
            <w:pPr>
              <w:pStyle w:val="TableText"/>
              <w:jc w:val="center"/>
              <w:rPr>
                <w:i/>
              </w:rPr>
            </w:pPr>
            <w:r w:rsidRPr="005A1F92">
              <w:rPr>
                <w:b/>
                <w:i/>
              </w:rPr>
              <w:t>Analysis Method</w:t>
            </w:r>
          </w:p>
        </w:tc>
        <w:tc>
          <w:tcPr>
            <w:tcW w:w="1445" w:type="dxa"/>
            <w:tcBorders>
              <w:top w:val="single" w:sz="4" w:space="0" w:color="auto"/>
              <w:bottom w:val="double" w:sz="4" w:space="0" w:color="auto"/>
            </w:tcBorders>
            <w:shd w:val="clear" w:color="auto" w:fill="BDFFFF"/>
            <w:vAlign w:val="center"/>
          </w:tcPr>
          <w:p w:rsidR="00485094" w:rsidRPr="005A1F92" w:rsidRDefault="00485094" w:rsidP="00453E80">
            <w:pPr>
              <w:pStyle w:val="TableText"/>
              <w:jc w:val="center"/>
              <w:rPr>
                <w:b/>
                <w:i/>
              </w:rPr>
            </w:pPr>
            <w:r w:rsidRPr="005A1F92">
              <w:rPr>
                <w:b/>
                <w:i/>
              </w:rPr>
              <w:t>Surface Water</w:t>
            </w:r>
          </w:p>
        </w:tc>
        <w:tc>
          <w:tcPr>
            <w:tcW w:w="1445" w:type="dxa"/>
            <w:tcBorders>
              <w:top w:val="single" w:sz="4" w:space="0" w:color="auto"/>
              <w:bottom w:val="double" w:sz="4" w:space="0" w:color="auto"/>
              <w:right w:val="single" w:sz="4" w:space="0" w:color="auto"/>
            </w:tcBorders>
            <w:shd w:val="clear" w:color="auto" w:fill="BDFFFF"/>
            <w:vAlign w:val="center"/>
          </w:tcPr>
          <w:p w:rsidR="00485094" w:rsidRPr="005A1F92" w:rsidRDefault="00485094" w:rsidP="00453E80">
            <w:pPr>
              <w:pStyle w:val="TableText"/>
              <w:jc w:val="center"/>
              <w:rPr>
                <w:b/>
                <w:i/>
              </w:rPr>
            </w:pPr>
            <w:r w:rsidRPr="005A1F92">
              <w:rPr>
                <w:b/>
                <w:i/>
              </w:rPr>
              <w:t>Ground Water</w:t>
            </w:r>
          </w:p>
        </w:tc>
      </w:tr>
      <w:tr w:rsidR="00485094" w:rsidRPr="000F352A" w:rsidTr="00F01F27">
        <w:trPr>
          <w:trHeight w:val="235"/>
          <w:jc w:val="center"/>
        </w:trPr>
        <w:tc>
          <w:tcPr>
            <w:tcW w:w="3274" w:type="dxa"/>
            <w:tcBorders>
              <w:top w:val="double" w:sz="4" w:space="0" w:color="auto"/>
              <w:left w:val="single" w:sz="4" w:space="0" w:color="auto"/>
            </w:tcBorders>
            <w:shd w:val="clear" w:color="auto" w:fill="FFFFCC"/>
            <w:vAlign w:val="center"/>
          </w:tcPr>
          <w:p w:rsidR="00485094" w:rsidRPr="00590B64" w:rsidRDefault="00485094" w:rsidP="00453E80">
            <w:pPr>
              <w:pStyle w:val="TableText"/>
              <w:jc w:val="center"/>
            </w:pPr>
            <w:r w:rsidRPr="00590B64">
              <w:t>Chlorophyll</w:t>
            </w:r>
            <w:r>
              <w:t xml:space="preserve"> </w:t>
            </w:r>
            <w:r w:rsidRPr="00D278AF">
              <w:rPr>
                <w:i/>
              </w:rPr>
              <w:t>a</w:t>
            </w:r>
          </w:p>
        </w:tc>
        <w:tc>
          <w:tcPr>
            <w:tcW w:w="3083" w:type="dxa"/>
            <w:tcBorders>
              <w:top w:val="double" w:sz="4" w:space="0" w:color="auto"/>
            </w:tcBorders>
            <w:vAlign w:val="center"/>
          </w:tcPr>
          <w:p w:rsidR="00485094" w:rsidRPr="00590B64" w:rsidRDefault="00485094" w:rsidP="00453E80">
            <w:pPr>
              <w:pStyle w:val="TableText"/>
              <w:jc w:val="center"/>
            </w:pPr>
            <w:r w:rsidRPr="00590B64">
              <w:t>SM 10200 H (modified)</w:t>
            </w:r>
          </w:p>
        </w:tc>
        <w:tc>
          <w:tcPr>
            <w:tcW w:w="1445" w:type="dxa"/>
            <w:tcBorders>
              <w:top w:val="double" w:sz="4" w:space="0" w:color="auto"/>
            </w:tcBorders>
            <w:vAlign w:val="center"/>
          </w:tcPr>
          <w:p w:rsidR="00485094" w:rsidRPr="00590B64" w:rsidRDefault="00485094" w:rsidP="00453E80">
            <w:pPr>
              <w:pStyle w:val="TableText"/>
              <w:jc w:val="center"/>
            </w:pPr>
            <w:r>
              <w:t>T</w:t>
            </w:r>
          </w:p>
        </w:tc>
        <w:tc>
          <w:tcPr>
            <w:tcW w:w="1445" w:type="dxa"/>
            <w:tcBorders>
              <w:top w:val="double" w:sz="4" w:space="0" w:color="auto"/>
              <w:right w:val="single" w:sz="4" w:space="0" w:color="auto"/>
            </w:tcBorders>
            <w:vAlign w:val="center"/>
          </w:tcPr>
          <w:p w:rsidR="00485094" w:rsidRPr="00BA3600" w:rsidRDefault="00485094" w:rsidP="00453E80">
            <w:pPr>
              <w:jc w:val="center"/>
              <w:rPr>
                <w:rFonts w:ascii="Arial" w:hAnsi="Arial" w:cs="Arial"/>
                <w:sz w:val="18"/>
                <w:szCs w:val="18"/>
              </w:rPr>
            </w:pPr>
            <w:r w:rsidRPr="00BA3600">
              <w:rPr>
                <w:rFonts w:ascii="Arial" w:hAnsi="Arial" w:cs="Arial"/>
                <w:sz w:val="18"/>
                <w:szCs w:val="18"/>
              </w:rPr>
              <w:t>N/A</w:t>
            </w:r>
          </w:p>
        </w:tc>
      </w:tr>
      <w:tr w:rsidR="00485094" w:rsidRPr="000F352A" w:rsidTr="00F01F27">
        <w:trPr>
          <w:trHeight w:val="235"/>
          <w:jc w:val="center"/>
        </w:trPr>
        <w:tc>
          <w:tcPr>
            <w:tcW w:w="3274" w:type="dxa"/>
            <w:tcBorders>
              <w:left w:val="single" w:sz="4" w:space="0" w:color="auto"/>
            </w:tcBorders>
            <w:shd w:val="clear" w:color="auto" w:fill="FFFFCC"/>
            <w:vAlign w:val="center"/>
          </w:tcPr>
          <w:p w:rsidR="00485094" w:rsidRPr="00590B64" w:rsidRDefault="00485094" w:rsidP="00453E80">
            <w:pPr>
              <w:pStyle w:val="TableText"/>
              <w:jc w:val="center"/>
            </w:pPr>
            <w:r w:rsidRPr="00590B64">
              <w:t>Biological Community (SCI)</w:t>
            </w:r>
          </w:p>
        </w:tc>
        <w:tc>
          <w:tcPr>
            <w:tcW w:w="3083" w:type="dxa"/>
            <w:vAlign w:val="center"/>
          </w:tcPr>
          <w:p w:rsidR="00485094" w:rsidRPr="00590B64" w:rsidRDefault="00485094" w:rsidP="00453E80">
            <w:pPr>
              <w:pStyle w:val="TableText"/>
              <w:jc w:val="center"/>
            </w:pPr>
            <w:r w:rsidRPr="00590B64">
              <w:t>SM 10500 C (modified)</w:t>
            </w:r>
          </w:p>
        </w:tc>
        <w:tc>
          <w:tcPr>
            <w:tcW w:w="1445" w:type="dxa"/>
            <w:vAlign w:val="center"/>
          </w:tcPr>
          <w:p w:rsidR="00485094" w:rsidRPr="00590B64" w:rsidRDefault="00485094" w:rsidP="00453E80">
            <w:pPr>
              <w:pStyle w:val="TableText"/>
              <w:jc w:val="center"/>
            </w:pPr>
            <w:r>
              <w:t>X</w:t>
            </w:r>
            <w:r w:rsidRPr="00111008">
              <w:rPr>
                <w:vertAlign w:val="superscript"/>
              </w:rPr>
              <w:t>1</w:t>
            </w:r>
            <w:r>
              <w:rPr>
                <w:vertAlign w:val="superscript"/>
              </w:rPr>
              <w:t>,2</w:t>
            </w:r>
          </w:p>
        </w:tc>
        <w:tc>
          <w:tcPr>
            <w:tcW w:w="1445" w:type="dxa"/>
            <w:tcBorders>
              <w:right w:val="single" w:sz="4" w:space="0" w:color="auto"/>
            </w:tcBorders>
            <w:vAlign w:val="center"/>
          </w:tcPr>
          <w:p w:rsidR="00485094" w:rsidRPr="00BA3600" w:rsidRDefault="00485094" w:rsidP="00453E80">
            <w:pPr>
              <w:jc w:val="center"/>
              <w:rPr>
                <w:rFonts w:ascii="Arial" w:hAnsi="Arial" w:cs="Arial"/>
                <w:sz w:val="18"/>
                <w:szCs w:val="18"/>
              </w:rPr>
            </w:pPr>
            <w:r w:rsidRPr="00BA3600">
              <w:rPr>
                <w:rFonts w:ascii="Arial" w:hAnsi="Arial" w:cs="Arial"/>
                <w:sz w:val="18"/>
                <w:szCs w:val="18"/>
              </w:rPr>
              <w:t>N/A</w:t>
            </w:r>
          </w:p>
        </w:tc>
      </w:tr>
      <w:tr w:rsidR="00485094" w:rsidRPr="000F352A" w:rsidTr="00F01F27">
        <w:trPr>
          <w:trHeight w:val="235"/>
          <w:jc w:val="center"/>
        </w:trPr>
        <w:tc>
          <w:tcPr>
            <w:tcW w:w="3274" w:type="dxa"/>
            <w:tcBorders>
              <w:left w:val="single" w:sz="4" w:space="0" w:color="auto"/>
            </w:tcBorders>
            <w:shd w:val="clear" w:color="auto" w:fill="FFFFCC"/>
            <w:vAlign w:val="center"/>
          </w:tcPr>
          <w:p w:rsidR="00485094" w:rsidRPr="00590B64" w:rsidRDefault="00485094" w:rsidP="00453E80">
            <w:pPr>
              <w:pStyle w:val="TableText"/>
              <w:jc w:val="center"/>
            </w:pPr>
            <w:r w:rsidRPr="00590B64">
              <w:t>Habitat Assessment</w:t>
            </w:r>
          </w:p>
        </w:tc>
        <w:tc>
          <w:tcPr>
            <w:tcW w:w="3083" w:type="dxa"/>
            <w:vAlign w:val="center"/>
          </w:tcPr>
          <w:p w:rsidR="00485094" w:rsidRPr="00590B64" w:rsidRDefault="00485094" w:rsidP="00453E80">
            <w:pPr>
              <w:pStyle w:val="TableText"/>
              <w:jc w:val="center"/>
            </w:pPr>
            <w:r>
              <w:t>DEP-SOP-001/01 FT 3000</w:t>
            </w:r>
          </w:p>
        </w:tc>
        <w:tc>
          <w:tcPr>
            <w:tcW w:w="1445" w:type="dxa"/>
            <w:vAlign w:val="center"/>
          </w:tcPr>
          <w:p w:rsidR="00485094" w:rsidRPr="00590B64" w:rsidRDefault="00485094" w:rsidP="00596DA9">
            <w:pPr>
              <w:pStyle w:val="TableText"/>
              <w:jc w:val="center"/>
            </w:pPr>
            <w:r>
              <w:t>X</w:t>
            </w:r>
            <w:r>
              <w:rPr>
                <w:vertAlign w:val="superscript"/>
              </w:rPr>
              <w:t>2</w:t>
            </w:r>
          </w:p>
        </w:tc>
        <w:tc>
          <w:tcPr>
            <w:tcW w:w="1445" w:type="dxa"/>
            <w:tcBorders>
              <w:right w:val="single" w:sz="4" w:space="0" w:color="auto"/>
            </w:tcBorders>
            <w:vAlign w:val="center"/>
          </w:tcPr>
          <w:p w:rsidR="00485094" w:rsidRPr="00BA3600" w:rsidRDefault="00485094" w:rsidP="00453E80">
            <w:pPr>
              <w:jc w:val="center"/>
              <w:rPr>
                <w:rFonts w:ascii="Arial" w:hAnsi="Arial" w:cs="Arial"/>
                <w:sz w:val="18"/>
                <w:szCs w:val="18"/>
              </w:rPr>
            </w:pPr>
            <w:r w:rsidRPr="00BA3600">
              <w:rPr>
                <w:rFonts w:ascii="Arial" w:hAnsi="Arial" w:cs="Arial"/>
                <w:sz w:val="18"/>
                <w:szCs w:val="18"/>
              </w:rPr>
              <w:t>N/A</w:t>
            </w:r>
          </w:p>
        </w:tc>
      </w:tr>
      <w:tr w:rsidR="00485094" w:rsidRPr="000F352A" w:rsidTr="00F01F27">
        <w:trPr>
          <w:trHeight w:val="235"/>
          <w:jc w:val="center"/>
        </w:trPr>
        <w:tc>
          <w:tcPr>
            <w:tcW w:w="3274" w:type="dxa"/>
            <w:tcBorders>
              <w:left w:val="single" w:sz="4" w:space="0" w:color="auto"/>
            </w:tcBorders>
            <w:shd w:val="clear" w:color="auto" w:fill="FFFFCC"/>
            <w:vAlign w:val="center"/>
          </w:tcPr>
          <w:p w:rsidR="00485094" w:rsidRPr="00590B64" w:rsidRDefault="00485094" w:rsidP="00453E80">
            <w:pPr>
              <w:pStyle w:val="TableText"/>
              <w:jc w:val="center"/>
            </w:pPr>
            <w:r w:rsidRPr="00590B64">
              <w:t>Total Coliform</w:t>
            </w:r>
          </w:p>
        </w:tc>
        <w:tc>
          <w:tcPr>
            <w:tcW w:w="3083" w:type="dxa"/>
            <w:vAlign w:val="center"/>
          </w:tcPr>
          <w:p w:rsidR="00485094" w:rsidRPr="00590B64" w:rsidRDefault="00485094" w:rsidP="00453E80">
            <w:pPr>
              <w:pStyle w:val="TableText"/>
              <w:jc w:val="center"/>
            </w:pPr>
            <w:r w:rsidRPr="00590B64">
              <w:t xml:space="preserve">SM </w:t>
            </w:r>
            <w:r>
              <w:t>9222</w:t>
            </w:r>
            <w:r w:rsidRPr="00590B64">
              <w:t>B</w:t>
            </w:r>
          </w:p>
        </w:tc>
        <w:tc>
          <w:tcPr>
            <w:tcW w:w="1445" w:type="dxa"/>
            <w:vAlign w:val="center"/>
          </w:tcPr>
          <w:p w:rsidR="00485094" w:rsidRPr="00590B64" w:rsidRDefault="00485094" w:rsidP="00453E80">
            <w:pPr>
              <w:pStyle w:val="TableText"/>
              <w:jc w:val="center"/>
            </w:pPr>
            <w:r>
              <w:t>N/A</w:t>
            </w:r>
          </w:p>
        </w:tc>
        <w:tc>
          <w:tcPr>
            <w:tcW w:w="1445" w:type="dxa"/>
            <w:tcBorders>
              <w:right w:val="single" w:sz="4" w:space="0" w:color="auto"/>
            </w:tcBorders>
            <w:vAlign w:val="center"/>
          </w:tcPr>
          <w:p w:rsidR="00485094" w:rsidRPr="00590B64" w:rsidRDefault="00485094" w:rsidP="00453E80">
            <w:pPr>
              <w:pStyle w:val="TableText"/>
              <w:jc w:val="center"/>
            </w:pPr>
            <w:r w:rsidRPr="00590B64">
              <w:t>T</w:t>
            </w:r>
          </w:p>
        </w:tc>
      </w:tr>
      <w:tr w:rsidR="00485094" w:rsidRPr="000F352A" w:rsidTr="00F01F27">
        <w:trPr>
          <w:trHeight w:val="235"/>
          <w:jc w:val="center"/>
        </w:trPr>
        <w:tc>
          <w:tcPr>
            <w:tcW w:w="3274" w:type="dxa"/>
            <w:tcBorders>
              <w:left w:val="single" w:sz="4" w:space="0" w:color="auto"/>
            </w:tcBorders>
            <w:shd w:val="clear" w:color="auto" w:fill="FFFFCC"/>
            <w:vAlign w:val="center"/>
          </w:tcPr>
          <w:p w:rsidR="00485094" w:rsidRPr="00590B64" w:rsidRDefault="00485094" w:rsidP="00453E80">
            <w:pPr>
              <w:pStyle w:val="TableText"/>
              <w:jc w:val="center"/>
            </w:pPr>
            <w:r w:rsidRPr="00590B64">
              <w:t>Fecal Coliform</w:t>
            </w:r>
          </w:p>
        </w:tc>
        <w:tc>
          <w:tcPr>
            <w:tcW w:w="3083" w:type="dxa"/>
            <w:vAlign w:val="center"/>
          </w:tcPr>
          <w:p w:rsidR="00485094" w:rsidRPr="00590B64" w:rsidRDefault="00485094" w:rsidP="00453E80">
            <w:pPr>
              <w:pStyle w:val="TableText"/>
              <w:jc w:val="center"/>
            </w:pPr>
            <w:r>
              <w:t>SM 9222</w:t>
            </w:r>
            <w:r w:rsidRPr="00590B64">
              <w:t>D</w:t>
            </w:r>
          </w:p>
        </w:tc>
        <w:tc>
          <w:tcPr>
            <w:tcW w:w="1445" w:type="dxa"/>
            <w:vAlign w:val="center"/>
          </w:tcPr>
          <w:p w:rsidR="00485094" w:rsidRPr="00590B64" w:rsidRDefault="00485094" w:rsidP="00453E80">
            <w:pPr>
              <w:pStyle w:val="TableText"/>
              <w:jc w:val="center"/>
            </w:pPr>
            <w:r>
              <w:t>T</w:t>
            </w:r>
          </w:p>
        </w:tc>
        <w:tc>
          <w:tcPr>
            <w:tcW w:w="1445" w:type="dxa"/>
            <w:tcBorders>
              <w:right w:val="single" w:sz="4" w:space="0" w:color="auto"/>
            </w:tcBorders>
            <w:vAlign w:val="center"/>
          </w:tcPr>
          <w:p w:rsidR="00485094" w:rsidRPr="00590B64" w:rsidRDefault="00485094" w:rsidP="00453E80">
            <w:pPr>
              <w:pStyle w:val="TableText"/>
              <w:jc w:val="center"/>
            </w:pPr>
            <w:r>
              <w:t>T</w:t>
            </w:r>
          </w:p>
        </w:tc>
      </w:tr>
      <w:tr w:rsidR="00485094" w:rsidRPr="000F352A" w:rsidTr="00F01F27">
        <w:trPr>
          <w:trHeight w:val="235"/>
          <w:jc w:val="center"/>
        </w:trPr>
        <w:tc>
          <w:tcPr>
            <w:tcW w:w="3274" w:type="dxa"/>
            <w:tcBorders>
              <w:left w:val="single" w:sz="4" w:space="0" w:color="auto"/>
              <w:bottom w:val="single" w:sz="4" w:space="0" w:color="auto"/>
            </w:tcBorders>
            <w:shd w:val="clear" w:color="auto" w:fill="FFFFCC"/>
            <w:vAlign w:val="center"/>
          </w:tcPr>
          <w:p w:rsidR="00485094" w:rsidRPr="00590B64" w:rsidRDefault="00485094" w:rsidP="00453E80">
            <w:pPr>
              <w:pStyle w:val="TableText"/>
              <w:jc w:val="center"/>
            </w:pPr>
            <w:r w:rsidRPr="00590B64">
              <w:t>Enterococci</w:t>
            </w:r>
          </w:p>
        </w:tc>
        <w:tc>
          <w:tcPr>
            <w:tcW w:w="3083" w:type="dxa"/>
            <w:tcBorders>
              <w:bottom w:val="single" w:sz="4" w:space="0" w:color="auto"/>
            </w:tcBorders>
            <w:vAlign w:val="center"/>
          </w:tcPr>
          <w:p w:rsidR="00485094" w:rsidRPr="00590B64" w:rsidRDefault="00485094" w:rsidP="00453E80">
            <w:pPr>
              <w:pStyle w:val="TableText"/>
              <w:jc w:val="center"/>
            </w:pPr>
            <w:r>
              <w:t>EPA 1600</w:t>
            </w:r>
            <w:r w:rsidRPr="00190B38">
              <w:rPr>
                <w:vertAlign w:val="superscript"/>
              </w:rPr>
              <w:t>1</w:t>
            </w:r>
          </w:p>
        </w:tc>
        <w:tc>
          <w:tcPr>
            <w:tcW w:w="1445" w:type="dxa"/>
            <w:tcBorders>
              <w:bottom w:val="single" w:sz="4" w:space="0" w:color="auto"/>
            </w:tcBorders>
            <w:vAlign w:val="center"/>
          </w:tcPr>
          <w:p w:rsidR="00485094" w:rsidRPr="00590B64" w:rsidRDefault="00485094" w:rsidP="00453E80">
            <w:pPr>
              <w:pStyle w:val="TableText"/>
              <w:jc w:val="center"/>
            </w:pPr>
            <w:r w:rsidRPr="00590B64">
              <w:t>T</w:t>
            </w:r>
          </w:p>
        </w:tc>
        <w:tc>
          <w:tcPr>
            <w:tcW w:w="1445" w:type="dxa"/>
            <w:tcBorders>
              <w:bottom w:val="single" w:sz="4" w:space="0" w:color="auto"/>
              <w:right w:val="single" w:sz="4" w:space="0" w:color="auto"/>
            </w:tcBorders>
            <w:vAlign w:val="center"/>
          </w:tcPr>
          <w:p w:rsidR="00485094" w:rsidRPr="00590B64" w:rsidRDefault="00485094" w:rsidP="00453E80">
            <w:pPr>
              <w:pStyle w:val="TableText"/>
              <w:jc w:val="center"/>
            </w:pPr>
            <w:r>
              <w:t>N/A</w:t>
            </w:r>
          </w:p>
        </w:tc>
      </w:tr>
    </w:tbl>
    <w:p w:rsidR="00485094" w:rsidRDefault="00485094" w:rsidP="00EA3D58">
      <w:pPr>
        <w:pStyle w:val="Bodytextreduced"/>
      </w:pPr>
    </w:p>
    <w:p w:rsidR="00485094" w:rsidRDefault="00485094" w:rsidP="00EA3D58">
      <w:pPr>
        <w:pStyle w:val="Bodytextreduced"/>
      </w:pPr>
      <w:r>
        <w:br w:type="page"/>
      </w:r>
    </w:p>
    <w:p w:rsidR="00485094" w:rsidRDefault="00485094" w:rsidP="00EA3D58">
      <w:pPr>
        <w:pStyle w:val="Tableheading"/>
      </w:pPr>
      <w:bookmarkStart w:id="292" w:name="_Toc255482816"/>
      <w:bookmarkStart w:id="293" w:name="_Toc255807474"/>
      <w:bookmarkStart w:id="294" w:name="_Toc262464236"/>
      <w:bookmarkStart w:id="295" w:name="_Toc271280083"/>
      <w:r w:rsidRPr="000F332D">
        <w:t xml:space="preserve">Table </w:t>
      </w:r>
      <w:r>
        <w:t>5.4c</w:t>
      </w:r>
      <w:r w:rsidRPr="000F332D">
        <w:t>.</w:t>
      </w:r>
      <w:r>
        <w:t xml:space="preserve">  Trend</w:t>
      </w:r>
      <w:r w:rsidRPr="000F332D">
        <w:t xml:space="preserve"> Network </w:t>
      </w:r>
      <w:r>
        <w:t>Organic and Nutrient</w:t>
      </w:r>
      <w:r w:rsidRPr="000F332D">
        <w:t xml:space="preserve"> </w:t>
      </w:r>
      <w:r>
        <w:t>I</w:t>
      </w:r>
      <w:r w:rsidRPr="000F332D">
        <w:t>ndicators</w:t>
      </w:r>
      <w:bookmarkEnd w:id="292"/>
      <w:bookmarkEnd w:id="293"/>
      <w:bookmarkEnd w:id="294"/>
      <w:bookmarkEnd w:id="295"/>
    </w:p>
    <w:p w:rsidR="00485094" w:rsidRDefault="00485094" w:rsidP="00EA3D58">
      <w:pPr>
        <w:pStyle w:val="TabledescriptionBF"/>
      </w:pPr>
      <w:r w:rsidRPr="00EE47B8">
        <w:t>This is a four-column table</w:t>
      </w:r>
      <w:r>
        <w:t xml:space="preserve">.  </w:t>
      </w:r>
      <w:r w:rsidRPr="00EE47B8">
        <w:t xml:space="preserve">Column 1 </w:t>
      </w:r>
      <w:r>
        <w:t>lists</w:t>
      </w:r>
      <w:r w:rsidRPr="00EE47B8">
        <w:t xml:space="preserve"> </w:t>
      </w:r>
      <w:r w:rsidR="00F01F27">
        <w:t xml:space="preserve">the </w:t>
      </w:r>
      <w:r w:rsidR="00F01F27" w:rsidRPr="00EE47B8">
        <w:t>indicator</w:t>
      </w:r>
      <w:r w:rsidRPr="00EE47B8">
        <w:t xml:space="preserve">, Column 2 </w:t>
      </w:r>
      <w:r>
        <w:t>lists</w:t>
      </w:r>
      <w:r w:rsidRPr="00EE47B8">
        <w:t xml:space="preserve"> </w:t>
      </w:r>
      <w:r w:rsidR="00F01F27">
        <w:t xml:space="preserve">the </w:t>
      </w:r>
      <w:r w:rsidR="00F01F27" w:rsidRPr="00EE47B8">
        <w:t>analytical method number</w:t>
      </w:r>
      <w:r w:rsidRPr="00EE47B8">
        <w:t xml:space="preserve">, Column 3 </w:t>
      </w:r>
      <w:r>
        <w:t>lists</w:t>
      </w:r>
      <w:r w:rsidRPr="00EE47B8">
        <w:t xml:space="preserve"> the sampling regime for surface waters, and Column 4 </w:t>
      </w:r>
      <w:r>
        <w:t>lists</w:t>
      </w:r>
      <w:r w:rsidRPr="00EE47B8">
        <w:t xml:space="preserve"> the sampling regime for ground waters.</w:t>
      </w:r>
    </w:p>
    <w:p w:rsidR="00485094" w:rsidRDefault="00485094" w:rsidP="00EA3D58">
      <w:pPr>
        <w:pStyle w:val="Tableheading"/>
        <w:rPr>
          <w:b w:val="0"/>
          <w:sz w:val="18"/>
          <w:szCs w:val="18"/>
        </w:rPr>
      </w:pPr>
    </w:p>
    <w:p w:rsidR="00485094" w:rsidRDefault="00485094" w:rsidP="00EA3D58">
      <w:pPr>
        <w:pStyle w:val="Bodytextreduced"/>
      </w:pPr>
      <w:r>
        <w:rPr>
          <w:vertAlign w:val="superscript"/>
        </w:rPr>
        <w:t xml:space="preserve">1 </w:t>
      </w:r>
      <w:r>
        <w:rPr>
          <w:snapToGrid w:val="0"/>
        </w:rPr>
        <w:t>C</w:t>
      </w:r>
      <w:r w:rsidRPr="0005447D">
        <w:rPr>
          <w:snapToGrid w:val="0"/>
        </w:rPr>
        <w:t>ollected once a year per site</w:t>
      </w:r>
      <w:r>
        <w:t xml:space="preserve"> </w:t>
      </w:r>
    </w:p>
    <w:p w:rsidR="00485094" w:rsidRDefault="00485094" w:rsidP="00EA3D58">
      <w:pPr>
        <w:pStyle w:val="Bodytextreduced"/>
      </w:pPr>
      <w:r w:rsidRPr="004C1199">
        <w:rPr>
          <w:vertAlign w:val="superscript"/>
        </w:rPr>
        <w:t>2</w:t>
      </w:r>
      <w:r>
        <w:t xml:space="preserve"> Total analysis added annually in 2008</w:t>
      </w:r>
    </w:p>
    <w:p w:rsidR="00485094" w:rsidRDefault="00485094" w:rsidP="00EA3D58">
      <w:pPr>
        <w:pStyle w:val="Bodytextreduced"/>
      </w:pPr>
      <w:r w:rsidRPr="004C1199">
        <w:rPr>
          <w:vertAlign w:val="superscript"/>
        </w:rPr>
        <w:t>3</w:t>
      </w:r>
      <w:r>
        <w:t xml:space="preserve"> Dropped in 2008 </w:t>
      </w:r>
    </w:p>
    <w:p w:rsidR="00485094" w:rsidRDefault="00485094" w:rsidP="00EA3D58">
      <w:pPr>
        <w:pStyle w:val="Bodytextreduced"/>
        <w:rPr>
          <w:snapToGrid w:val="0"/>
        </w:rPr>
      </w:pPr>
      <w:r w:rsidRPr="0005447D">
        <w:rPr>
          <w:snapToGrid w:val="0"/>
        </w:rPr>
        <w:t xml:space="preserve">T = </w:t>
      </w:r>
      <w:r>
        <w:rPr>
          <w:snapToGrid w:val="0"/>
        </w:rPr>
        <w:t>T</w:t>
      </w:r>
      <w:r w:rsidRPr="0005447D">
        <w:rPr>
          <w:snapToGrid w:val="0"/>
        </w:rPr>
        <w:t xml:space="preserve">otal </w:t>
      </w:r>
      <w:r>
        <w:rPr>
          <w:snapToGrid w:val="0"/>
        </w:rPr>
        <w:t>s</w:t>
      </w:r>
      <w:r w:rsidRPr="0005447D">
        <w:rPr>
          <w:snapToGrid w:val="0"/>
        </w:rPr>
        <w:t>ample</w:t>
      </w:r>
      <w:r>
        <w:rPr>
          <w:snapToGrid w:val="0"/>
        </w:rPr>
        <w:t xml:space="preserve"> (unfiltered sample);</w:t>
      </w:r>
      <w:r w:rsidRPr="0005447D">
        <w:rPr>
          <w:snapToGrid w:val="0"/>
        </w:rPr>
        <w:t xml:space="preserve"> D = </w:t>
      </w:r>
      <w:r>
        <w:rPr>
          <w:snapToGrid w:val="0"/>
        </w:rPr>
        <w:t>Dissolved sample (f</w:t>
      </w:r>
      <w:r w:rsidRPr="0005447D">
        <w:rPr>
          <w:snapToGrid w:val="0"/>
        </w:rPr>
        <w:t xml:space="preserve">iltered </w:t>
      </w:r>
      <w:r>
        <w:rPr>
          <w:snapToGrid w:val="0"/>
        </w:rPr>
        <w:t>s</w:t>
      </w:r>
      <w:r w:rsidRPr="0005447D">
        <w:rPr>
          <w:snapToGrid w:val="0"/>
        </w:rPr>
        <w:t>ample</w:t>
      </w:r>
      <w:r>
        <w:rPr>
          <w:snapToGrid w:val="0"/>
        </w:rPr>
        <w:t>)</w:t>
      </w:r>
    </w:p>
    <w:tbl>
      <w:tblPr>
        <w:tblW w:w="924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30" w:type="dxa"/>
          <w:right w:w="30" w:type="dxa"/>
        </w:tblCellMar>
        <w:tblLook w:val="0000"/>
      </w:tblPr>
      <w:tblGrid>
        <w:gridCol w:w="3274"/>
        <w:gridCol w:w="3083"/>
        <w:gridCol w:w="1445"/>
        <w:gridCol w:w="1445"/>
      </w:tblGrid>
      <w:tr w:rsidR="00485094" w:rsidRPr="005A1F92" w:rsidTr="00F01F27">
        <w:trPr>
          <w:trHeight w:val="235"/>
          <w:jc w:val="center"/>
        </w:trPr>
        <w:tc>
          <w:tcPr>
            <w:tcW w:w="3274" w:type="dxa"/>
            <w:tcBorders>
              <w:top w:val="single" w:sz="4" w:space="0" w:color="auto"/>
              <w:left w:val="single" w:sz="4" w:space="0" w:color="auto"/>
              <w:bottom w:val="double" w:sz="4" w:space="0" w:color="auto"/>
            </w:tcBorders>
            <w:shd w:val="clear" w:color="auto" w:fill="BDFFFF"/>
            <w:vAlign w:val="center"/>
          </w:tcPr>
          <w:p w:rsidR="00485094" w:rsidRPr="005A1F92" w:rsidRDefault="00485094" w:rsidP="00F01F27">
            <w:pPr>
              <w:pStyle w:val="TableText"/>
              <w:jc w:val="center"/>
              <w:rPr>
                <w:i/>
              </w:rPr>
            </w:pPr>
            <w:r w:rsidRPr="005A1F92">
              <w:rPr>
                <w:b/>
                <w:i/>
              </w:rPr>
              <w:t>Organic/Nutrient Indicator</w:t>
            </w:r>
          </w:p>
        </w:tc>
        <w:tc>
          <w:tcPr>
            <w:tcW w:w="3083" w:type="dxa"/>
            <w:tcBorders>
              <w:top w:val="single" w:sz="4" w:space="0" w:color="auto"/>
              <w:bottom w:val="double" w:sz="4" w:space="0" w:color="auto"/>
            </w:tcBorders>
            <w:shd w:val="clear" w:color="auto" w:fill="BDFFFF"/>
            <w:vAlign w:val="center"/>
          </w:tcPr>
          <w:p w:rsidR="00485094" w:rsidRPr="005A1F92" w:rsidRDefault="00485094" w:rsidP="00453E80">
            <w:pPr>
              <w:pStyle w:val="TableText"/>
              <w:jc w:val="center"/>
              <w:rPr>
                <w:i/>
              </w:rPr>
            </w:pPr>
            <w:r w:rsidRPr="005A1F92">
              <w:rPr>
                <w:b/>
                <w:i/>
              </w:rPr>
              <w:t>Analysis Method</w:t>
            </w:r>
          </w:p>
        </w:tc>
        <w:tc>
          <w:tcPr>
            <w:tcW w:w="1445" w:type="dxa"/>
            <w:tcBorders>
              <w:top w:val="single" w:sz="4" w:space="0" w:color="auto"/>
              <w:bottom w:val="double" w:sz="4" w:space="0" w:color="auto"/>
            </w:tcBorders>
            <w:shd w:val="clear" w:color="auto" w:fill="BDFFFF"/>
            <w:vAlign w:val="center"/>
          </w:tcPr>
          <w:p w:rsidR="00485094" w:rsidRPr="005A1F92" w:rsidRDefault="00485094" w:rsidP="00453E80">
            <w:pPr>
              <w:pStyle w:val="TableText"/>
              <w:jc w:val="center"/>
              <w:rPr>
                <w:b/>
                <w:i/>
              </w:rPr>
            </w:pPr>
            <w:r w:rsidRPr="005A1F92">
              <w:rPr>
                <w:b/>
                <w:i/>
              </w:rPr>
              <w:t>Surface Water</w:t>
            </w:r>
          </w:p>
        </w:tc>
        <w:tc>
          <w:tcPr>
            <w:tcW w:w="1445" w:type="dxa"/>
            <w:tcBorders>
              <w:top w:val="single" w:sz="4" w:space="0" w:color="auto"/>
              <w:bottom w:val="double" w:sz="4" w:space="0" w:color="auto"/>
            </w:tcBorders>
            <w:shd w:val="clear" w:color="auto" w:fill="BDFFFF"/>
            <w:vAlign w:val="center"/>
          </w:tcPr>
          <w:p w:rsidR="00485094" w:rsidRPr="005A1F92" w:rsidRDefault="00485094" w:rsidP="00453E80">
            <w:pPr>
              <w:pStyle w:val="TableText"/>
              <w:jc w:val="center"/>
              <w:rPr>
                <w:b/>
                <w:i/>
              </w:rPr>
            </w:pPr>
            <w:r w:rsidRPr="005A1F92">
              <w:rPr>
                <w:b/>
                <w:i/>
              </w:rPr>
              <w:t>Ground Water</w:t>
            </w:r>
          </w:p>
        </w:tc>
      </w:tr>
      <w:tr w:rsidR="00485094" w:rsidRPr="000F352A" w:rsidTr="00453E80">
        <w:trPr>
          <w:trHeight w:val="235"/>
          <w:jc w:val="center"/>
        </w:trPr>
        <w:tc>
          <w:tcPr>
            <w:tcW w:w="3274" w:type="dxa"/>
            <w:tcBorders>
              <w:top w:val="double" w:sz="4" w:space="0" w:color="auto"/>
              <w:left w:val="single" w:sz="4" w:space="0" w:color="auto"/>
            </w:tcBorders>
            <w:shd w:val="clear" w:color="auto" w:fill="FFFFCC"/>
            <w:vAlign w:val="center"/>
          </w:tcPr>
          <w:p w:rsidR="00485094" w:rsidRPr="00590B64" w:rsidRDefault="008C37FA" w:rsidP="00453E80">
            <w:pPr>
              <w:pStyle w:val="TableText"/>
              <w:jc w:val="center"/>
            </w:pPr>
            <w:r>
              <w:t>TOC</w:t>
            </w:r>
          </w:p>
        </w:tc>
        <w:tc>
          <w:tcPr>
            <w:tcW w:w="3083" w:type="dxa"/>
            <w:tcBorders>
              <w:top w:val="double" w:sz="4" w:space="0" w:color="auto"/>
            </w:tcBorders>
            <w:vAlign w:val="center"/>
          </w:tcPr>
          <w:p w:rsidR="00485094" w:rsidRPr="00590B64" w:rsidRDefault="00485094" w:rsidP="00453E80">
            <w:pPr>
              <w:pStyle w:val="TableText"/>
              <w:jc w:val="center"/>
            </w:pPr>
            <w:r w:rsidRPr="00590B64">
              <w:t>Method 415.1</w:t>
            </w:r>
          </w:p>
        </w:tc>
        <w:tc>
          <w:tcPr>
            <w:tcW w:w="1445" w:type="dxa"/>
            <w:tcBorders>
              <w:top w:val="double" w:sz="4" w:space="0" w:color="auto"/>
            </w:tcBorders>
            <w:vAlign w:val="center"/>
          </w:tcPr>
          <w:p w:rsidR="00485094" w:rsidRPr="00590B64" w:rsidRDefault="00485094" w:rsidP="00453E80">
            <w:pPr>
              <w:pStyle w:val="TableText"/>
              <w:jc w:val="center"/>
            </w:pPr>
            <w:r w:rsidRPr="00590B64">
              <w:t>T</w:t>
            </w:r>
          </w:p>
        </w:tc>
        <w:tc>
          <w:tcPr>
            <w:tcW w:w="1445" w:type="dxa"/>
            <w:tcBorders>
              <w:top w:val="double" w:sz="4" w:space="0" w:color="auto"/>
            </w:tcBorders>
            <w:vAlign w:val="center"/>
          </w:tcPr>
          <w:p w:rsidR="00485094" w:rsidRPr="00590B64" w:rsidRDefault="00485094" w:rsidP="00453E80">
            <w:pPr>
              <w:pStyle w:val="TableText"/>
              <w:jc w:val="center"/>
            </w:pPr>
            <w:r w:rsidRPr="00590B64">
              <w:t>T</w:t>
            </w:r>
          </w:p>
        </w:tc>
      </w:tr>
      <w:tr w:rsidR="00485094" w:rsidRPr="000F352A" w:rsidTr="00453E80">
        <w:trPr>
          <w:trHeight w:val="235"/>
          <w:jc w:val="center"/>
        </w:trPr>
        <w:tc>
          <w:tcPr>
            <w:tcW w:w="3274" w:type="dxa"/>
            <w:tcBorders>
              <w:left w:val="single" w:sz="4" w:space="0" w:color="auto"/>
            </w:tcBorders>
            <w:shd w:val="clear" w:color="auto" w:fill="FFFFCC"/>
            <w:vAlign w:val="center"/>
          </w:tcPr>
          <w:p w:rsidR="00485094" w:rsidRPr="00590B64" w:rsidRDefault="00485094" w:rsidP="00453E80">
            <w:pPr>
              <w:pStyle w:val="TableText"/>
              <w:jc w:val="center"/>
            </w:pPr>
            <w:r w:rsidRPr="00590B64">
              <w:t>Nitrate + Nitrite</w:t>
            </w:r>
          </w:p>
        </w:tc>
        <w:tc>
          <w:tcPr>
            <w:tcW w:w="3083" w:type="dxa"/>
            <w:vAlign w:val="center"/>
          </w:tcPr>
          <w:p w:rsidR="00485094" w:rsidRPr="00590B64" w:rsidRDefault="00485094" w:rsidP="00453E80">
            <w:pPr>
              <w:pStyle w:val="TableText"/>
              <w:jc w:val="center"/>
            </w:pPr>
            <w:r w:rsidRPr="00590B64">
              <w:t>Method 353.2</w:t>
            </w:r>
          </w:p>
        </w:tc>
        <w:tc>
          <w:tcPr>
            <w:tcW w:w="1445" w:type="dxa"/>
            <w:vAlign w:val="center"/>
          </w:tcPr>
          <w:p w:rsidR="00485094" w:rsidRPr="00590B64" w:rsidRDefault="00485094" w:rsidP="00453E80">
            <w:pPr>
              <w:pStyle w:val="TableText"/>
              <w:jc w:val="center"/>
            </w:pPr>
            <w:r w:rsidRPr="00590B64">
              <w:t>T</w:t>
            </w:r>
          </w:p>
        </w:tc>
        <w:tc>
          <w:tcPr>
            <w:tcW w:w="1445" w:type="dxa"/>
            <w:vAlign w:val="center"/>
          </w:tcPr>
          <w:p w:rsidR="00485094" w:rsidRPr="00590B64" w:rsidRDefault="00485094" w:rsidP="00453E80">
            <w:pPr>
              <w:pStyle w:val="TableText"/>
              <w:jc w:val="center"/>
            </w:pPr>
            <w:r>
              <w:t>D/T</w:t>
            </w:r>
            <w:r w:rsidRPr="00111008">
              <w:rPr>
                <w:vertAlign w:val="superscript"/>
              </w:rPr>
              <w:t>1,</w:t>
            </w:r>
            <w:r w:rsidRPr="00105925">
              <w:rPr>
                <w:vertAlign w:val="superscript"/>
              </w:rPr>
              <w:t>2</w:t>
            </w:r>
          </w:p>
        </w:tc>
      </w:tr>
      <w:tr w:rsidR="00485094" w:rsidRPr="000F352A" w:rsidTr="00453E80">
        <w:trPr>
          <w:trHeight w:val="235"/>
          <w:jc w:val="center"/>
        </w:trPr>
        <w:tc>
          <w:tcPr>
            <w:tcW w:w="3274" w:type="dxa"/>
            <w:tcBorders>
              <w:left w:val="single" w:sz="4" w:space="0" w:color="auto"/>
            </w:tcBorders>
            <w:shd w:val="clear" w:color="auto" w:fill="FFFFCC"/>
            <w:vAlign w:val="center"/>
          </w:tcPr>
          <w:p w:rsidR="00485094" w:rsidRPr="00590B64" w:rsidRDefault="00485094" w:rsidP="00453E80">
            <w:pPr>
              <w:pStyle w:val="TableText"/>
              <w:jc w:val="center"/>
            </w:pPr>
            <w:r w:rsidRPr="00590B64">
              <w:t>Ammonia</w:t>
            </w:r>
          </w:p>
        </w:tc>
        <w:tc>
          <w:tcPr>
            <w:tcW w:w="3083" w:type="dxa"/>
            <w:vAlign w:val="center"/>
          </w:tcPr>
          <w:p w:rsidR="00485094" w:rsidRPr="00590B64" w:rsidRDefault="00485094" w:rsidP="00453E80">
            <w:pPr>
              <w:pStyle w:val="TableText"/>
              <w:jc w:val="center"/>
            </w:pPr>
            <w:r w:rsidRPr="00590B64">
              <w:t>Method 350.1</w:t>
            </w:r>
          </w:p>
        </w:tc>
        <w:tc>
          <w:tcPr>
            <w:tcW w:w="1445" w:type="dxa"/>
            <w:vAlign w:val="center"/>
          </w:tcPr>
          <w:p w:rsidR="00485094" w:rsidRPr="00590B64" w:rsidRDefault="00485094" w:rsidP="00453E80">
            <w:pPr>
              <w:pStyle w:val="TableText"/>
              <w:jc w:val="center"/>
            </w:pPr>
            <w:r w:rsidRPr="00590B64">
              <w:t>T</w:t>
            </w:r>
          </w:p>
        </w:tc>
        <w:tc>
          <w:tcPr>
            <w:tcW w:w="1445" w:type="dxa"/>
            <w:vAlign w:val="center"/>
          </w:tcPr>
          <w:p w:rsidR="00485094" w:rsidRPr="00590B64" w:rsidRDefault="00485094" w:rsidP="00453E80">
            <w:pPr>
              <w:pStyle w:val="TableText"/>
              <w:jc w:val="center"/>
            </w:pPr>
            <w:r>
              <w:t>D/T</w:t>
            </w:r>
            <w:r w:rsidRPr="00111008">
              <w:rPr>
                <w:vertAlign w:val="superscript"/>
              </w:rPr>
              <w:t>1,</w:t>
            </w:r>
            <w:r w:rsidRPr="00105925">
              <w:rPr>
                <w:vertAlign w:val="superscript"/>
              </w:rPr>
              <w:t>2</w:t>
            </w:r>
          </w:p>
        </w:tc>
      </w:tr>
      <w:tr w:rsidR="00485094" w:rsidRPr="000F352A" w:rsidTr="00453E80">
        <w:trPr>
          <w:trHeight w:val="235"/>
          <w:jc w:val="center"/>
        </w:trPr>
        <w:tc>
          <w:tcPr>
            <w:tcW w:w="3274" w:type="dxa"/>
            <w:tcBorders>
              <w:left w:val="single" w:sz="4" w:space="0" w:color="auto"/>
            </w:tcBorders>
            <w:shd w:val="clear" w:color="auto" w:fill="FFFFCC"/>
            <w:vAlign w:val="center"/>
          </w:tcPr>
          <w:p w:rsidR="00485094" w:rsidRPr="00590B64" w:rsidRDefault="008C37FA" w:rsidP="00453E80">
            <w:pPr>
              <w:pStyle w:val="TableText"/>
              <w:jc w:val="center"/>
            </w:pPr>
            <w:r>
              <w:t>TKN</w:t>
            </w:r>
          </w:p>
        </w:tc>
        <w:tc>
          <w:tcPr>
            <w:tcW w:w="3083" w:type="dxa"/>
            <w:vAlign w:val="center"/>
          </w:tcPr>
          <w:p w:rsidR="00485094" w:rsidRPr="00590B64" w:rsidRDefault="00485094" w:rsidP="00453E80">
            <w:pPr>
              <w:pStyle w:val="TableText"/>
              <w:jc w:val="center"/>
            </w:pPr>
            <w:r w:rsidRPr="00590B64">
              <w:t>Method 351.2</w:t>
            </w:r>
          </w:p>
        </w:tc>
        <w:tc>
          <w:tcPr>
            <w:tcW w:w="1445" w:type="dxa"/>
            <w:vAlign w:val="center"/>
          </w:tcPr>
          <w:p w:rsidR="00485094" w:rsidRPr="00590B64" w:rsidRDefault="00485094" w:rsidP="00453E80">
            <w:pPr>
              <w:pStyle w:val="TableText"/>
              <w:jc w:val="center"/>
            </w:pPr>
            <w:r w:rsidRPr="00590B64">
              <w:t>T</w:t>
            </w:r>
          </w:p>
        </w:tc>
        <w:tc>
          <w:tcPr>
            <w:tcW w:w="1445" w:type="dxa"/>
            <w:vAlign w:val="center"/>
          </w:tcPr>
          <w:p w:rsidR="00485094" w:rsidRPr="00590B64" w:rsidRDefault="00485094" w:rsidP="00453E80">
            <w:pPr>
              <w:pStyle w:val="TableText"/>
              <w:jc w:val="center"/>
            </w:pPr>
            <w:r>
              <w:t>D/T</w:t>
            </w:r>
            <w:r w:rsidRPr="00111008">
              <w:rPr>
                <w:vertAlign w:val="superscript"/>
              </w:rPr>
              <w:t>1,</w:t>
            </w:r>
            <w:r w:rsidRPr="00105925">
              <w:rPr>
                <w:vertAlign w:val="superscript"/>
              </w:rPr>
              <w:t>2</w:t>
            </w:r>
          </w:p>
        </w:tc>
      </w:tr>
      <w:tr w:rsidR="00485094" w:rsidRPr="000F352A" w:rsidTr="00453E80">
        <w:trPr>
          <w:trHeight w:val="235"/>
          <w:jc w:val="center"/>
        </w:trPr>
        <w:tc>
          <w:tcPr>
            <w:tcW w:w="3274" w:type="dxa"/>
            <w:tcBorders>
              <w:left w:val="single" w:sz="4" w:space="0" w:color="auto"/>
            </w:tcBorders>
            <w:shd w:val="clear" w:color="auto" w:fill="FFFFCC"/>
            <w:vAlign w:val="center"/>
          </w:tcPr>
          <w:p w:rsidR="00485094" w:rsidRPr="00590B64" w:rsidRDefault="00485094" w:rsidP="00453E80">
            <w:pPr>
              <w:pStyle w:val="TableText"/>
              <w:jc w:val="center"/>
            </w:pPr>
            <w:r w:rsidRPr="00590B64">
              <w:t>Phosphorus</w:t>
            </w:r>
          </w:p>
        </w:tc>
        <w:tc>
          <w:tcPr>
            <w:tcW w:w="3083" w:type="dxa"/>
            <w:vAlign w:val="center"/>
          </w:tcPr>
          <w:p w:rsidR="00485094" w:rsidRPr="00590B64" w:rsidRDefault="00485094" w:rsidP="00453E80">
            <w:pPr>
              <w:pStyle w:val="TableText"/>
              <w:jc w:val="center"/>
            </w:pPr>
            <w:r w:rsidRPr="00590B64">
              <w:t>Method 365.1</w:t>
            </w:r>
            <w:r>
              <w:t>/365.4</w:t>
            </w:r>
          </w:p>
        </w:tc>
        <w:tc>
          <w:tcPr>
            <w:tcW w:w="1445" w:type="dxa"/>
            <w:vAlign w:val="center"/>
          </w:tcPr>
          <w:p w:rsidR="00485094" w:rsidRPr="00590B64" w:rsidRDefault="00485094" w:rsidP="00453E80">
            <w:pPr>
              <w:pStyle w:val="TableText"/>
              <w:jc w:val="center"/>
            </w:pPr>
            <w:r w:rsidRPr="00590B64">
              <w:t>T</w:t>
            </w:r>
          </w:p>
        </w:tc>
        <w:tc>
          <w:tcPr>
            <w:tcW w:w="1445" w:type="dxa"/>
            <w:vAlign w:val="center"/>
          </w:tcPr>
          <w:p w:rsidR="00485094" w:rsidRPr="00590B64" w:rsidRDefault="00485094" w:rsidP="00453E80">
            <w:pPr>
              <w:pStyle w:val="TableText"/>
              <w:jc w:val="center"/>
            </w:pPr>
            <w:r>
              <w:t>D/T</w:t>
            </w:r>
            <w:r w:rsidRPr="00111008">
              <w:rPr>
                <w:vertAlign w:val="superscript"/>
              </w:rPr>
              <w:t>1,</w:t>
            </w:r>
            <w:r w:rsidRPr="00105925">
              <w:rPr>
                <w:vertAlign w:val="superscript"/>
              </w:rPr>
              <w:t>2</w:t>
            </w:r>
          </w:p>
        </w:tc>
      </w:tr>
      <w:tr w:rsidR="00485094" w:rsidRPr="000F352A" w:rsidTr="00F01F27">
        <w:trPr>
          <w:trHeight w:val="235"/>
          <w:jc w:val="center"/>
        </w:trPr>
        <w:tc>
          <w:tcPr>
            <w:tcW w:w="3274" w:type="dxa"/>
            <w:tcBorders>
              <w:left w:val="single" w:sz="4" w:space="0" w:color="auto"/>
              <w:bottom w:val="single" w:sz="4" w:space="0" w:color="auto"/>
            </w:tcBorders>
            <w:shd w:val="clear" w:color="auto" w:fill="FFFFCC"/>
            <w:vAlign w:val="center"/>
          </w:tcPr>
          <w:p w:rsidR="00485094" w:rsidRPr="00590B64" w:rsidRDefault="00485094" w:rsidP="00453E80">
            <w:pPr>
              <w:pStyle w:val="TableText"/>
              <w:jc w:val="center"/>
            </w:pPr>
            <w:r>
              <w:t>Orthophosphate</w:t>
            </w:r>
          </w:p>
        </w:tc>
        <w:tc>
          <w:tcPr>
            <w:tcW w:w="3083" w:type="dxa"/>
            <w:tcBorders>
              <w:bottom w:val="single" w:sz="4" w:space="0" w:color="auto"/>
            </w:tcBorders>
            <w:vAlign w:val="center"/>
          </w:tcPr>
          <w:p w:rsidR="00485094" w:rsidRPr="00590B64" w:rsidRDefault="00485094" w:rsidP="00453E80">
            <w:pPr>
              <w:pStyle w:val="TableText"/>
              <w:jc w:val="center"/>
            </w:pPr>
            <w:r w:rsidRPr="00590B64">
              <w:t>Method 365.1</w:t>
            </w:r>
          </w:p>
        </w:tc>
        <w:tc>
          <w:tcPr>
            <w:tcW w:w="1445" w:type="dxa"/>
            <w:tcBorders>
              <w:bottom w:val="single" w:sz="4" w:space="0" w:color="auto"/>
            </w:tcBorders>
            <w:vAlign w:val="center"/>
          </w:tcPr>
          <w:p w:rsidR="00485094" w:rsidRPr="00590B64" w:rsidRDefault="00485094" w:rsidP="00453E80">
            <w:pPr>
              <w:pStyle w:val="TableText"/>
              <w:jc w:val="center"/>
            </w:pPr>
            <w:r>
              <w:t>D</w:t>
            </w:r>
            <w:r w:rsidRPr="00190B38">
              <w:rPr>
                <w:vertAlign w:val="superscript"/>
              </w:rPr>
              <w:t>3</w:t>
            </w:r>
          </w:p>
        </w:tc>
        <w:tc>
          <w:tcPr>
            <w:tcW w:w="1445" w:type="dxa"/>
            <w:tcBorders>
              <w:bottom w:val="single" w:sz="4" w:space="0" w:color="auto"/>
            </w:tcBorders>
            <w:vAlign w:val="center"/>
          </w:tcPr>
          <w:p w:rsidR="00485094" w:rsidRPr="00590B64" w:rsidRDefault="00485094" w:rsidP="00453E80">
            <w:pPr>
              <w:pStyle w:val="TableText"/>
              <w:jc w:val="center"/>
            </w:pPr>
            <w:r>
              <w:t>D</w:t>
            </w:r>
          </w:p>
        </w:tc>
      </w:tr>
    </w:tbl>
    <w:p w:rsidR="00485094" w:rsidRDefault="00485094" w:rsidP="00EA3D58">
      <w:pPr>
        <w:pStyle w:val="Bodytextreduced"/>
      </w:pPr>
    </w:p>
    <w:p w:rsidR="00485094" w:rsidRDefault="00485094" w:rsidP="00EA3D58">
      <w:pPr>
        <w:pStyle w:val="Bodytextreduced"/>
      </w:pPr>
    </w:p>
    <w:p w:rsidR="00485094" w:rsidRDefault="00485094" w:rsidP="00EA3D58">
      <w:pPr>
        <w:pStyle w:val="Tableheading"/>
      </w:pPr>
      <w:bookmarkStart w:id="296" w:name="_Toc255482818"/>
      <w:bookmarkStart w:id="297" w:name="_Toc255807476"/>
      <w:bookmarkStart w:id="298" w:name="_Toc262464237"/>
      <w:bookmarkStart w:id="299" w:name="_Toc271280084"/>
      <w:r w:rsidRPr="000F332D">
        <w:t xml:space="preserve">Table </w:t>
      </w:r>
      <w:r>
        <w:t>5.4d</w:t>
      </w:r>
      <w:r w:rsidRPr="000F332D">
        <w:t>.</w:t>
      </w:r>
      <w:r>
        <w:t xml:space="preserve">  Trend</w:t>
      </w:r>
      <w:r w:rsidRPr="000F332D">
        <w:t xml:space="preserve"> Network </w:t>
      </w:r>
      <w:r>
        <w:t>Major Ion</w:t>
      </w:r>
      <w:r w:rsidRPr="000F332D">
        <w:t xml:space="preserve"> </w:t>
      </w:r>
      <w:r>
        <w:t>I</w:t>
      </w:r>
      <w:r w:rsidRPr="000F332D">
        <w:t>ndicators</w:t>
      </w:r>
      <w:bookmarkEnd w:id="296"/>
      <w:bookmarkEnd w:id="297"/>
      <w:bookmarkEnd w:id="298"/>
      <w:bookmarkEnd w:id="299"/>
    </w:p>
    <w:p w:rsidR="00485094" w:rsidRDefault="00485094" w:rsidP="00EA3D58">
      <w:pPr>
        <w:pStyle w:val="TabledescriptionBF"/>
      </w:pPr>
      <w:bookmarkStart w:id="300" w:name="_Toc255482819"/>
      <w:bookmarkStart w:id="301" w:name="_Toc255807477"/>
      <w:r w:rsidRPr="00EE47B8">
        <w:t>This is a four-column table</w:t>
      </w:r>
      <w:r>
        <w:t xml:space="preserve">.  </w:t>
      </w:r>
      <w:r w:rsidRPr="00EE47B8">
        <w:t xml:space="preserve">Column 1 </w:t>
      </w:r>
      <w:r>
        <w:t>lists</w:t>
      </w:r>
      <w:r w:rsidRPr="00EE47B8">
        <w:t xml:space="preserve"> </w:t>
      </w:r>
      <w:r w:rsidR="00F01F27">
        <w:t xml:space="preserve">the </w:t>
      </w:r>
      <w:r w:rsidR="00F01F27" w:rsidRPr="00EE47B8">
        <w:t>indicator</w:t>
      </w:r>
      <w:r w:rsidRPr="00EE47B8">
        <w:t xml:space="preserve">, Column 2 </w:t>
      </w:r>
      <w:r>
        <w:t>lists</w:t>
      </w:r>
      <w:r w:rsidRPr="00EE47B8">
        <w:t xml:space="preserve"> </w:t>
      </w:r>
      <w:r w:rsidR="00F01F27">
        <w:t xml:space="preserve">the </w:t>
      </w:r>
      <w:r w:rsidR="00F01F27" w:rsidRPr="00EE47B8">
        <w:t>analytical method number</w:t>
      </w:r>
      <w:r w:rsidRPr="00EE47B8">
        <w:t xml:space="preserve">, Column 3 </w:t>
      </w:r>
      <w:r>
        <w:t>lists</w:t>
      </w:r>
      <w:r w:rsidRPr="00EE47B8">
        <w:t xml:space="preserve"> the sampling regime for surface waters, and Column 4 </w:t>
      </w:r>
      <w:r>
        <w:t>lists</w:t>
      </w:r>
      <w:r w:rsidRPr="00EE47B8">
        <w:t xml:space="preserve"> the sampling regime for ground waters.</w:t>
      </w:r>
      <w:bookmarkEnd w:id="300"/>
      <w:bookmarkEnd w:id="301"/>
    </w:p>
    <w:p w:rsidR="00485094" w:rsidRDefault="00485094" w:rsidP="00EA3D58">
      <w:pPr>
        <w:pStyle w:val="Tableheading"/>
        <w:rPr>
          <w:b w:val="0"/>
          <w:sz w:val="18"/>
          <w:szCs w:val="18"/>
        </w:rPr>
      </w:pPr>
    </w:p>
    <w:p w:rsidR="00485094" w:rsidRDefault="00485094" w:rsidP="00EA3D58">
      <w:pPr>
        <w:pStyle w:val="Bodytextreduced"/>
        <w:rPr>
          <w:snapToGrid w:val="0"/>
        </w:rPr>
      </w:pPr>
      <w:r>
        <w:rPr>
          <w:vertAlign w:val="superscript"/>
        </w:rPr>
        <w:t xml:space="preserve">1 </w:t>
      </w:r>
      <w:r>
        <w:rPr>
          <w:snapToGrid w:val="0"/>
        </w:rPr>
        <w:t>C</w:t>
      </w:r>
      <w:r w:rsidRPr="0005447D">
        <w:rPr>
          <w:snapToGrid w:val="0"/>
        </w:rPr>
        <w:t>ollected once a year per site</w:t>
      </w:r>
    </w:p>
    <w:p w:rsidR="00485094" w:rsidRDefault="00485094" w:rsidP="00EA3D58">
      <w:pPr>
        <w:pStyle w:val="Bodytextreduced"/>
      </w:pPr>
      <w:r w:rsidRPr="004C1199">
        <w:rPr>
          <w:vertAlign w:val="superscript"/>
        </w:rPr>
        <w:t>2</w:t>
      </w:r>
      <w:r>
        <w:t xml:space="preserve"> Total analysis added annually in 2008 </w:t>
      </w:r>
    </w:p>
    <w:p w:rsidR="00485094" w:rsidRPr="0005447D" w:rsidRDefault="00485094" w:rsidP="00EA3D58">
      <w:pPr>
        <w:pStyle w:val="Bodytextreduced"/>
        <w:rPr>
          <w:snapToGrid w:val="0"/>
        </w:rPr>
      </w:pPr>
      <w:r w:rsidRPr="0005447D">
        <w:rPr>
          <w:snapToGrid w:val="0"/>
        </w:rPr>
        <w:t xml:space="preserve">T = </w:t>
      </w:r>
      <w:r>
        <w:rPr>
          <w:snapToGrid w:val="0"/>
        </w:rPr>
        <w:t>T</w:t>
      </w:r>
      <w:r w:rsidRPr="0005447D">
        <w:rPr>
          <w:snapToGrid w:val="0"/>
        </w:rPr>
        <w:t xml:space="preserve">otal </w:t>
      </w:r>
      <w:r>
        <w:rPr>
          <w:snapToGrid w:val="0"/>
        </w:rPr>
        <w:t>s</w:t>
      </w:r>
      <w:r w:rsidRPr="0005447D">
        <w:rPr>
          <w:snapToGrid w:val="0"/>
        </w:rPr>
        <w:t>ample</w:t>
      </w:r>
      <w:r>
        <w:rPr>
          <w:snapToGrid w:val="0"/>
        </w:rPr>
        <w:t xml:space="preserve"> (unfiltered sample);</w:t>
      </w:r>
      <w:r w:rsidRPr="0005447D">
        <w:rPr>
          <w:snapToGrid w:val="0"/>
        </w:rPr>
        <w:t xml:space="preserve"> D = </w:t>
      </w:r>
      <w:r>
        <w:rPr>
          <w:snapToGrid w:val="0"/>
        </w:rPr>
        <w:t>Dissolved sample (f</w:t>
      </w:r>
      <w:r w:rsidRPr="0005447D">
        <w:rPr>
          <w:snapToGrid w:val="0"/>
        </w:rPr>
        <w:t xml:space="preserve">iltered </w:t>
      </w:r>
      <w:r>
        <w:rPr>
          <w:snapToGrid w:val="0"/>
        </w:rPr>
        <w:t>s</w:t>
      </w:r>
      <w:r w:rsidRPr="0005447D">
        <w:rPr>
          <w:snapToGrid w:val="0"/>
        </w:rPr>
        <w:t>ample</w:t>
      </w:r>
      <w:r>
        <w:rPr>
          <w:snapToGrid w:val="0"/>
        </w:rPr>
        <w:t>); N/A = Not applicable</w:t>
      </w:r>
    </w:p>
    <w:tbl>
      <w:tblPr>
        <w:tblW w:w="924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3274"/>
        <w:gridCol w:w="3083"/>
        <w:gridCol w:w="1445"/>
        <w:gridCol w:w="1445"/>
      </w:tblGrid>
      <w:tr w:rsidR="00485094" w:rsidRPr="000F2909" w:rsidTr="000F2909">
        <w:trPr>
          <w:trHeight w:val="235"/>
          <w:jc w:val="center"/>
        </w:trPr>
        <w:tc>
          <w:tcPr>
            <w:tcW w:w="3274" w:type="dxa"/>
            <w:tcBorders>
              <w:top w:val="single" w:sz="4" w:space="0" w:color="auto"/>
              <w:bottom w:val="double" w:sz="4" w:space="0" w:color="auto"/>
            </w:tcBorders>
            <w:shd w:val="clear" w:color="auto" w:fill="BDFFFF"/>
            <w:vAlign w:val="center"/>
          </w:tcPr>
          <w:p w:rsidR="00485094" w:rsidRPr="000F2909" w:rsidRDefault="00485094" w:rsidP="00F01F27">
            <w:pPr>
              <w:pStyle w:val="TableText"/>
              <w:jc w:val="center"/>
              <w:rPr>
                <w:b/>
                <w:i/>
              </w:rPr>
            </w:pPr>
            <w:r w:rsidRPr="000F2909">
              <w:rPr>
                <w:b/>
                <w:i/>
              </w:rPr>
              <w:t>Major Ion Indicator</w:t>
            </w:r>
          </w:p>
        </w:tc>
        <w:tc>
          <w:tcPr>
            <w:tcW w:w="3083" w:type="dxa"/>
            <w:tcBorders>
              <w:top w:val="single" w:sz="4" w:space="0" w:color="auto"/>
              <w:bottom w:val="double" w:sz="4" w:space="0" w:color="auto"/>
            </w:tcBorders>
            <w:shd w:val="clear" w:color="auto" w:fill="BDFFFF"/>
            <w:vAlign w:val="center"/>
          </w:tcPr>
          <w:p w:rsidR="00485094" w:rsidRPr="000F2909" w:rsidRDefault="00485094" w:rsidP="00453E80">
            <w:pPr>
              <w:pStyle w:val="TableText"/>
              <w:jc w:val="center"/>
              <w:rPr>
                <w:b/>
                <w:i/>
              </w:rPr>
            </w:pPr>
            <w:r w:rsidRPr="000F2909">
              <w:rPr>
                <w:b/>
                <w:i/>
              </w:rPr>
              <w:t>Analysis Method</w:t>
            </w:r>
          </w:p>
        </w:tc>
        <w:tc>
          <w:tcPr>
            <w:tcW w:w="1445" w:type="dxa"/>
            <w:tcBorders>
              <w:top w:val="single" w:sz="4" w:space="0" w:color="auto"/>
              <w:bottom w:val="double" w:sz="4" w:space="0" w:color="auto"/>
            </w:tcBorders>
            <w:shd w:val="clear" w:color="auto" w:fill="BDFFFF"/>
            <w:vAlign w:val="center"/>
          </w:tcPr>
          <w:p w:rsidR="00485094" w:rsidRPr="000F2909" w:rsidRDefault="00485094" w:rsidP="00453E80">
            <w:pPr>
              <w:pStyle w:val="TableText"/>
              <w:jc w:val="center"/>
              <w:rPr>
                <w:b/>
                <w:i/>
              </w:rPr>
            </w:pPr>
            <w:r w:rsidRPr="000F2909">
              <w:rPr>
                <w:b/>
                <w:i/>
              </w:rPr>
              <w:t>Surface Water</w:t>
            </w:r>
          </w:p>
        </w:tc>
        <w:tc>
          <w:tcPr>
            <w:tcW w:w="1445" w:type="dxa"/>
            <w:tcBorders>
              <w:top w:val="single" w:sz="4" w:space="0" w:color="auto"/>
              <w:bottom w:val="double" w:sz="4" w:space="0" w:color="auto"/>
            </w:tcBorders>
            <w:shd w:val="clear" w:color="auto" w:fill="BDFFFF"/>
            <w:vAlign w:val="center"/>
          </w:tcPr>
          <w:p w:rsidR="00485094" w:rsidRPr="000F2909" w:rsidRDefault="00485094" w:rsidP="00453E80">
            <w:pPr>
              <w:pStyle w:val="TableText"/>
              <w:jc w:val="center"/>
              <w:rPr>
                <w:b/>
                <w:i/>
              </w:rPr>
            </w:pPr>
            <w:r w:rsidRPr="000F2909">
              <w:rPr>
                <w:b/>
                <w:i/>
              </w:rPr>
              <w:t>Ground Water</w:t>
            </w:r>
          </w:p>
        </w:tc>
      </w:tr>
      <w:tr w:rsidR="00485094" w:rsidRPr="000F352A" w:rsidTr="00453E80">
        <w:trPr>
          <w:trHeight w:val="235"/>
          <w:jc w:val="center"/>
        </w:trPr>
        <w:tc>
          <w:tcPr>
            <w:tcW w:w="3274" w:type="dxa"/>
            <w:tcBorders>
              <w:top w:val="double" w:sz="4" w:space="0" w:color="auto"/>
            </w:tcBorders>
            <w:shd w:val="clear" w:color="auto" w:fill="FFFFCC"/>
            <w:vAlign w:val="center"/>
          </w:tcPr>
          <w:p w:rsidR="00485094" w:rsidRPr="00590B64" w:rsidRDefault="00485094" w:rsidP="00453E80">
            <w:pPr>
              <w:pStyle w:val="TableText"/>
              <w:jc w:val="center"/>
            </w:pPr>
            <w:r w:rsidRPr="00590B64">
              <w:t>Chloride</w:t>
            </w:r>
          </w:p>
        </w:tc>
        <w:tc>
          <w:tcPr>
            <w:tcW w:w="3083" w:type="dxa"/>
            <w:tcBorders>
              <w:top w:val="double" w:sz="4" w:space="0" w:color="auto"/>
            </w:tcBorders>
            <w:vAlign w:val="center"/>
          </w:tcPr>
          <w:p w:rsidR="00485094" w:rsidRPr="00590B64" w:rsidRDefault="00485094" w:rsidP="00453E80">
            <w:pPr>
              <w:pStyle w:val="TableText"/>
              <w:jc w:val="center"/>
            </w:pPr>
            <w:r w:rsidRPr="00590B64">
              <w:t>Method 300</w:t>
            </w:r>
          </w:p>
        </w:tc>
        <w:tc>
          <w:tcPr>
            <w:tcW w:w="1445" w:type="dxa"/>
            <w:tcBorders>
              <w:top w:val="double" w:sz="4" w:space="0" w:color="auto"/>
            </w:tcBorders>
            <w:vAlign w:val="center"/>
          </w:tcPr>
          <w:p w:rsidR="00485094" w:rsidRPr="00590B64" w:rsidRDefault="00485094" w:rsidP="00453E80">
            <w:pPr>
              <w:pStyle w:val="TableText"/>
              <w:jc w:val="center"/>
            </w:pPr>
            <w:r w:rsidRPr="00590B64">
              <w:t>T</w:t>
            </w:r>
          </w:p>
        </w:tc>
        <w:tc>
          <w:tcPr>
            <w:tcW w:w="1445" w:type="dxa"/>
            <w:tcBorders>
              <w:top w:val="double" w:sz="4" w:space="0" w:color="auto"/>
            </w:tcBorders>
            <w:vAlign w:val="center"/>
          </w:tcPr>
          <w:p w:rsidR="00485094" w:rsidRPr="00590B64" w:rsidRDefault="00485094" w:rsidP="00453E80">
            <w:pPr>
              <w:pStyle w:val="TableText"/>
              <w:jc w:val="center"/>
            </w:pPr>
            <w:r>
              <w:t>D/T</w:t>
            </w:r>
            <w:r w:rsidRPr="00CF77B0">
              <w:rPr>
                <w:vertAlign w:val="superscript"/>
              </w:rPr>
              <w:t>1,</w:t>
            </w:r>
            <w:r w:rsidRPr="00105925">
              <w:rPr>
                <w:vertAlign w:val="superscript"/>
              </w:rPr>
              <w:t>2</w:t>
            </w:r>
          </w:p>
        </w:tc>
      </w:tr>
      <w:tr w:rsidR="00485094" w:rsidRPr="000F352A" w:rsidTr="00453E80">
        <w:trPr>
          <w:trHeight w:val="235"/>
          <w:jc w:val="center"/>
        </w:trPr>
        <w:tc>
          <w:tcPr>
            <w:tcW w:w="3274" w:type="dxa"/>
            <w:shd w:val="clear" w:color="auto" w:fill="FFFFCC"/>
            <w:vAlign w:val="center"/>
          </w:tcPr>
          <w:p w:rsidR="00485094" w:rsidRPr="00590B64" w:rsidRDefault="00485094" w:rsidP="00453E80">
            <w:pPr>
              <w:pStyle w:val="TableText"/>
              <w:jc w:val="center"/>
            </w:pPr>
            <w:r w:rsidRPr="00590B64">
              <w:t>Sulfate</w:t>
            </w:r>
          </w:p>
        </w:tc>
        <w:tc>
          <w:tcPr>
            <w:tcW w:w="3083" w:type="dxa"/>
            <w:vAlign w:val="center"/>
          </w:tcPr>
          <w:p w:rsidR="00485094" w:rsidRPr="00590B64" w:rsidRDefault="00485094" w:rsidP="00453E80">
            <w:pPr>
              <w:pStyle w:val="TableText"/>
              <w:jc w:val="center"/>
            </w:pPr>
            <w:r w:rsidRPr="00590B64">
              <w:t>Method 300</w:t>
            </w:r>
          </w:p>
        </w:tc>
        <w:tc>
          <w:tcPr>
            <w:tcW w:w="1445" w:type="dxa"/>
            <w:vAlign w:val="center"/>
          </w:tcPr>
          <w:p w:rsidR="00485094" w:rsidRPr="00590B64" w:rsidRDefault="00485094" w:rsidP="00453E80">
            <w:pPr>
              <w:pStyle w:val="TableText"/>
              <w:jc w:val="center"/>
            </w:pPr>
            <w:r w:rsidRPr="00590B64">
              <w:t>T</w:t>
            </w:r>
          </w:p>
        </w:tc>
        <w:tc>
          <w:tcPr>
            <w:tcW w:w="1445" w:type="dxa"/>
            <w:vAlign w:val="center"/>
          </w:tcPr>
          <w:p w:rsidR="00485094" w:rsidRPr="00590B64" w:rsidRDefault="00485094" w:rsidP="00453E80">
            <w:pPr>
              <w:pStyle w:val="TableText"/>
              <w:jc w:val="center"/>
            </w:pPr>
            <w:r>
              <w:t>D/T</w:t>
            </w:r>
            <w:r w:rsidRPr="00CF77B0">
              <w:rPr>
                <w:vertAlign w:val="superscript"/>
              </w:rPr>
              <w:t>1,</w:t>
            </w:r>
            <w:r w:rsidRPr="00105925">
              <w:rPr>
                <w:vertAlign w:val="superscript"/>
              </w:rPr>
              <w:t>2</w:t>
            </w:r>
          </w:p>
        </w:tc>
      </w:tr>
      <w:tr w:rsidR="00485094" w:rsidRPr="000F352A" w:rsidTr="00453E80">
        <w:trPr>
          <w:trHeight w:val="235"/>
          <w:jc w:val="center"/>
        </w:trPr>
        <w:tc>
          <w:tcPr>
            <w:tcW w:w="3274" w:type="dxa"/>
            <w:shd w:val="clear" w:color="auto" w:fill="FFFFCC"/>
            <w:vAlign w:val="center"/>
          </w:tcPr>
          <w:p w:rsidR="00485094" w:rsidRPr="00590B64" w:rsidRDefault="00485094" w:rsidP="00453E80">
            <w:pPr>
              <w:pStyle w:val="TableText"/>
              <w:jc w:val="center"/>
            </w:pPr>
            <w:r w:rsidRPr="00590B64">
              <w:t>Fluoride</w:t>
            </w:r>
          </w:p>
        </w:tc>
        <w:tc>
          <w:tcPr>
            <w:tcW w:w="3083" w:type="dxa"/>
            <w:vAlign w:val="center"/>
          </w:tcPr>
          <w:p w:rsidR="00485094" w:rsidRPr="00590B64" w:rsidRDefault="00485094" w:rsidP="00453E80">
            <w:pPr>
              <w:pStyle w:val="TableText"/>
              <w:jc w:val="center"/>
            </w:pPr>
            <w:r>
              <w:t>Method 340.2</w:t>
            </w:r>
          </w:p>
        </w:tc>
        <w:tc>
          <w:tcPr>
            <w:tcW w:w="1445" w:type="dxa"/>
            <w:vAlign w:val="center"/>
          </w:tcPr>
          <w:p w:rsidR="00485094" w:rsidRPr="00590B64" w:rsidRDefault="00485094" w:rsidP="00453E80">
            <w:pPr>
              <w:pStyle w:val="TableText"/>
              <w:jc w:val="center"/>
            </w:pPr>
            <w:r w:rsidRPr="00590B64">
              <w:t>T</w:t>
            </w:r>
          </w:p>
        </w:tc>
        <w:tc>
          <w:tcPr>
            <w:tcW w:w="1445" w:type="dxa"/>
            <w:vAlign w:val="center"/>
          </w:tcPr>
          <w:p w:rsidR="00485094" w:rsidRPr="00590B64" w:rsidRDefault="00485094" w:rsidP="00453E80">
            <w:pPr>
              <w:pStyle w:val="TableText"/>
              <w:jc w:val="center"/>
            </w:pPr>
            <w:r>
              <w:t>D/T</w:t>
            </w:r>
            <w:r w:rsidRPr="00CF77B0">
              <w:rPr>
                <w:vertAlign w:val="superscript"/>
              </w:rPr>
              <w:t>1,</w:t>
            </w:r>
            <w:r w:rsidRPr="00105925">
              <w:rPr>
                <w:vertAlign w:val="superscript"/>
              </w:rPr>
              <w:t>2</w:t>
            </w:r>
          </w:p>
        </w:tc>
      </w:tr>
      <w:tr w:rsidR="00485094" w:rsidRPr="000F352A" w:rsidTr="00453E80">
        <w:trPr>
          <w:trHeight w:val="235"/>
          <w:jc w:val="center"/>
        </w:trPr>
        <w:tc>
          <w:tcPr>
            <w:tcW w:w="3274" w:type="dxa"/>
            <w:shd w:val="clear" w:color="auto" w:fill="FFFFCC"/>
            <w:vAlign w:val="center"/>
          </w:tcPr>
          <w:p w:rsidR="00485094" w:rsidRPr="00590B64" w:rsidRDefault="00485094" w:rsidP="00453E80">
            <w:pPr>
              <w:pStyle w:val="TableText"/>
              <w:jc w:val="center"/>
            </w:pPr>
            <w:r w:rsidRPr="00590B64">
              <w:t>Calcium</w:t>
            </w:r>
          </w:p>
        </w:tc>
        <w:tc>
          <w:tcPr>
            <w:tcW w:w="3083" w:type="dxa"/>
            <w:vAlign w:val="center"/>
          </w:tcPr>
          <w:p w:rsidR="00485094" w:rsidRPr="00590B64" w:rsidRDefault="00485094" w:rsidP="00453E80">
            <w:pPr>
              <w:pStyle w:val="TableText"/>
              <w:jc w:val="center"/>
            </w:pPr>
            <w:r w:rsidRPr="00590B64">
              <w:t>Method 200.7</w:t>
            </w:r>
          </w:p>
        </w:tc>
        <w:tc>
          <w:tcPr>
            <w:tcW w:w="1445" w:type="dxa"/>
            <w:vAlign w:val="center"/>
          </w:tcPr>
          <w:p w:rsidR="00485094" w:rsidRPr="00590B64" w:rsidRDefault="00485094" w:rsidP="00453E80">
            <w:pPr>
              <w:pStyle w:val="TableText"/>
              <w:jc w:val="center"/>
            </w:pPr>
            <w:r w:rsidRPr="00590B64">
              <w:t>T</w:t>
            </w:r>
          </w:p>
        </w:tc>
        <w:tc>
          <w:tcPr>
            <w:tcW w:w="1445" w:type="dxa"/>
            <w:vAlign w:val="center"/>
          </w:tcPr>
          <w:p w:rsidR="00485094" w:rsidRPr="00590B64" w:rsidRDefault="00485094" w:rsidP="00453E80">
            <w:pPr>
              <w:pStyle w:val="TableText"/>
              <w:jc w:val="center"/>
            </w:pPr>
            <w:r>
              <w:t>D/T</w:t>
            </w:r>
            <w:r w:rsidRPr="00CF77B0">
              <w:rPr>
                <w:vertAlign w:val="superscript"/>
              </w:rPr>
              <w:t>1</w:t>
            </w:r>
          </w:p>
        </w:tc>
      </w:tr>
      <w:tr w:rsidR="00485094" w:rsidRPr="000F352A" w:rsidTr="00453E80">
        <w:trPr>
          <w:trHeight w:val="235"/>
          <w:jc w:val="center"/>
        </w:trPr>
        <w:tc>
          <w:tcPr>
            <w:tcW w:w="3274" w:type="dxa"/>
            <w:shd w:val="clear" w:color="auto" w:fill="FFFFCC"/>
            <w:vAlign w:val="center"/>
          </w:tcPr>
          <w:p w:rsidR="00485094" w:rsidRPr="00590B64" w:rsidRDefault="00485094" w:rsidP="00453E80">
            <w:pPr>
              <w:pStyle w:val="TableText"/>
              <w:jc w:val="center"/>
            </w:pPr>
            <w:r w:rsidRPr="00590B64">
              <w:t>Magnesium</w:t>
            </w:r>
          </w:p>
        </w:tc>
        <w:tc>
          <w:tcPr>
            <w:tcW w:w="3083" w:type="dxa"/>
            <w:vAlign w:val="center"/>
          </w:tcPr>
          <w:p w:rsidR="00485094" w:rsidRPr="00590B64" w:rsidRDefault="00485094" w:rsidP="00453E80">
            <w:pPr>
              <w:pStyle w:val="TableText"/>
              <w:jc w:val="center"/>
            </w:pPr>
            <w:r w:rsidRPr="00590B64">
              <w:t>Method 200.7</w:t>
            </w:r>
          </w:p>
        </w:tc>
        <w:tc>
          <w:tcPr>
            <w:tcW w:w="1445" w:type="dxa"/>
            <w:vAlign w:val="center"/>
          </w:tcPr>
          <w:p w:rsidR="00485094" w:rsidRPr="00590B64" w:rsidRDefault="00485094" w:rsidP="00453E80">
            <w:pPr>
              <w:pStyle w:val="TableText"/>
              <w:jc w:val="center"/>
            </w:pPr>
            <w:r w:rsidRPr="00590B64">
              <w:t>T</w:t>
            </w:r>
          </w:p>
        </w:tc>
        <w:tc>
          <w:tcPr>
            <w:tcW w:w="1445" w:type="dxa"/>
            <w:vAlign w:val="center"/>
          </w:tcPr>
          <w:p w:rsidR="00485094" w:rsidRPr="00590B64" w:rsidRDefault="00485094" w:rsidP="00453E80">
            <w:pPr>
              <w:pStyle w:val="TableText"/>
              <w:jc w:val="center"/>
            </w:pPr>
            <w:r>
              <w:t>D/T</w:t>
            </w:r>
            <w:r w:rsidRPr="00CF77B0">
              <w:rPr>
                <w:vertAlign w:val="superscript"/>
              </w:rPr>
              <w:t>1</w:t>
            </w:r>
          </w:p>
        </w:tc>
      </w:tr>
      <w:tr w:rsidR="00485094" w:rsidRPr="000F352A" w:rsidTr="00453E80">
        <w:trPr>
          <w:trHeight w:val="235"/>
          <w:jc w:val="center"/>
        </w:trPr>
        <w:tc>
          <w:tcPr>
            <w:tcW w:w="3274" w:type="dxa"/>
            <w:shd w:val="clear" w:color="auto" w:fill="FFFFCC"/>
            <w:vAlign w:val="center"/>
          </w:tcPr>
          <w:p w:rsidR="00485094" w:rsidRPr="00590B64" w:rsidRDefault="00485094" w:rsidP="00453E80">
            <w:pPr>
              <w:pStyle w:val="TableText"/>
              <w:jc w:val="center"/>
            </w:pPr>
            <w:r w:rsidRPr="00590B64">
              <w:t>Sodium</w:t>
            </w:r>
          </w:p>
        </w:tc>
        <w:tc>
          <w:tcPr>
            <w:tcW w:w="3083" w:type="dxa"/>
            <w:vAlign w:val="center"/>
          </w:tcPr>
          <w:p w:rsidR="00485094" w:rsidRPr="00590B64" w:rsidRDefault="00485094" w:rsidP="00453E80">
            <w:pPr>
              <w:pStyle w:val="TableText"/>
              <w:jc w:val="center"/>
            </w:pPr>
            <w:r w:rsidRPr="00590B64">
              <w:t>Method 200.7</w:t>
            </w:r>
          </w:p>
        </w:tc>
        <w:tc>
          <w:tcPr>
            <w:tcW w:w="1445" w:type="dxa"/>
            <w:vAlign w:val="center"/>
          </w:tcPr>
          <w:p w:rsidR="00485094" w:rsidRPr="00590B64" w:rsidRDefault="00485094" w:rsidP="00453E80">
            <w:pPr>
              <w:pStyle w:val="TableText"/>
              <w:jc w:val="center"/>
            </w:pPr>
            <w:r w:rsidRPr="00590B64">
              <w:t>T</w:t>
            </w:r>
          </w:p>
        </w:tc>
        <w:tc>
          <w:tcPr>
            <w:tcW w:w="1445" w:type="dxa"/>
            <w:vAlign w:val="center"/>
          </w:tcPr>
          <w:p w:rsidR="00485094" w:rsidRPr="00590B64" w:rsidRDefault="00485094" w:rsidP="00453E80">
            <w:pPr>
              <w:pStyle w:val="TableText"/>
              <w:jc w:val="center"/>
            </w:pPr>
            <w:r>
              <w:t>D/T</w:t>
            </w:r>
            <w:r w:rsidRPr="00CF77B0">
              <w:rPr>
                <w:vertAlign w:val="superscript"/>
              </w:rPr>
              <w:t>1</w:t>
            </w:r>
          </w:p>
        </w:tc>
      </w:tr>
      <w:tr w:rsidR="00485094" w:rsidRPr="000F352A" w:rsidTr="00453E80">
        <w:trPr>
          <w:trHeight w:val="235"/>
          <w:jc w:val="center"/>
        </w:trPr>
        <w:tc>
          <w:tcPr>
            <w:tcW w:w="3274" w:type="dxa"/>
            <w:tcBorders>
              <w:bottom w:val="single" w:sz="4" w:space="0" w:color="auto"/>
            </w:tcBorders>
            <w:shd w:val="clear" w:color="auto" w:fill="FFFFCC"/>
            <w:vAlign w:val="center"/>
          </w:tcPr>
          <w:p w:rsidR="00485094" w:rsidRPr="00590B64" w:rsidRDefault="00485094" w:rsidP="00453E80">
            <w:pPr>
              <w:pStyle w:val="TableText"/>
              <w:jc w:val="center"/>
            </w:pPr>
            <w:r w:rsidRPr="00590B64">
              <w:t>Potassium</w:t>
            </w:r>
          </w:p>
        </w:tc>
        <w:tc>
          <w:tcPr>
            <w:tcW w:w="3083" w:type="dxa"/>
            <w:tcBorders>
              <w:bottom w:val="single" w:sz="4" w:space="0" w:color="auto"/>
            </w:tcBorders>
            <w:vAlign w:val="center"/>
          </w:tcPr>
          <w:p w:rsidR="00485094" w:rsidRPr="00590B64" w:rsidRDefault="00485094" w:rsidP="00453E80">
            <w:pPr>
              <w:pStyle w:val="TableText"/>
              <w:jc w:val="center"/>
            </w:pPr>
            <w:r w:rsidRPr="00590B64">
              <w:t>Method 200.7</w:t>
            </w:r>
          </w:p>
        </w:tc>
        <w:tc>
          <w:tcPr>
            <w:tcW w:w="1445" w:type="dxa"/>
            <w:tcBorders>
              <w:bottom w:val="single" w:sz="4" w:space="0" w:color="auto"/>
            </w:tcBorders>
            <w:vAlign w:val="center"/>
          </w:tcPr>
          <w:p w:rsidR="00485094" w:rsidRPr="00590B64" w:rsidRDefault="00485094" w:rsidP="00453E80">
            <w:pPr>
              <w:pStyle w:val="TableText"/>
              <w:jc w:val="center"/>
            </w:pPr>
            <w:r w:rsidRPr="00590B64">
              <w:t>T</w:t>
            </w:r>
          </w:p>
        </w:tc>
        <w:tc>
          <w:tcPr>
            <w:tcW w:w="1445" w:type="dxa"/>
            <w:tcBorders>
              <w:bottom w:val="single" w:sz="4" w:space="0" w:color="auto"/>
            </w:tcBorders>
            <w:vAlign w:val="center"/>
          </w:tcPr>
          <w:p w:rsidR="00485094" w:rsidRPr="00590B64" w:rsidRDefault="00485094" w:rsidP="00453E80">
            <w:pPr>
              <w:pStyle w:val="TableText"/>
              <w:jc w:val="center"/>
            </w:pPr>
            <w:r>
              <w:t>D/T</w:t>
            </w:r>
            <w:r w:rsidRPr="00CF77B0">
              <w:rPr>
                <w:vertAlign w:val="superscript"/>
              </w:rPr>
              <w:t>1,</w:t>
            </w:r>
            <w:r w:rsidRPr="00105925">
              <w:rPr>
                <w:vertAlign w:val="superscript"/>
              </w:rPr>
              <w:t>2</w:t>
            </w:r>
          </w:p>
        </w:tc>
      </w:tr>
    </w:tbl>
    <w:p w:rsidR="00485094" w:rsidRDefault="00485094" w:rsidP="00EA3D58">
      <w:pPr>
        <w:pStyle w:val="Bodytextreduced"/>
      </w:pPr>
    </w:p>
    <w:p w:rsidR="00485094" w:rsidRDefault="00485094" w:rsidP="00EA3D58">
      <w:pPr>
        <w:pStyle w:val="Bodytextreduced"/>
      </w:pPr>
    </w:p>
    <w:p w:rsidR="00485094" w:rsidRDefault="00485094" w:rsidP="00EA3D58">
      <w:pPr>
        <w:pStyle w:val="Tableheading"/>
      </w:pPr>
      <w:bookmarkStart w:id="302" w:name="_Toc255482820"/>
      <w:bookmarkStart w:id="303" w:name="_Toc255807478"/>
      <w:bookmarkStart w:id="304" w:name="_Toc262464238"/>
      <w:bookmarkStart w:id="305" w:name="_Toc271280085"/>
      <w:r w:rsidRPr="000F332D">
        <w:t xml:space="preserve">Table </w:t>
      </w:r>
      <w:r>
        <w:t>5.4e</w:t>
      </w:r>
      <w:r w:rsidRPr="000F332D">
        <w:t>.</w:t>
      </w:r>
      <w:r>
        <w:t xml:space="preserve">  Trend</w:t>
      </w:r>
      <w:r w:rsidRPr="000F332D">
        <w:t xml:space="preserve"> Network </w:t>
      </w:r>
      <w:r>
        <w:t>Metal</w:t>
      </w:r>
      <w:r w:rsidRPr="000F332D">
        <w:t xml:space="preserve"> </w:t>
      </w:r>
      <w:r>
        <w:t>I</w:t>
      </w:r>
      <w:r w:rsidRPr="000F332D">
        <w:t>ndicators</w:t>
      </w:r>
      <w:bookmarkEnd w:id="302"/>
      <w:bookmarkEnd w:id="303"/>
      <w:bookmarkEnd w:id="304"/>
      <w:bookmarkEnd w:id="305"/>
    </w:p>
    <w:p w:rsidR="00485094" w:rsidRDefault="00485094" w:rsidP="00EA3D58">
      <w:pPr>
        <w:pStyle w:val="TabledescriptionBF"/>
      </w:pPr>
      <w:bookmarkStart w:id="306" w:name="_Toc255482821"/>
      <w:bookmarkStart w:id="307" w:name="_Toc255807479"/>
      <w:r w:rsidRPr="00EE47B8">
        <w:t>This is a four-column table</w:t>
      </w:r>
      <w:r>
        <w:t xml:space="preserve">.  </w:t>
      </w:r>
      <w:r w:rsidRPr="00EE47B8">
        <w:t xml:space="preserve">Column 1 </w:t>
      </w:r>
      <w:r>
        <w:t>lists</w:t>
      </w:r>
      <w:r w:rsidRPr="00EE47B8">
        <w:t xml:space="preserve"> </w:t>
      </w:r>
      <w:r w:rsidR="00F01F27">
        <w:t xml:space="preserve">the </w:t>
      </w:r>
      <w:r w:rsidRPr="00EE47B8">
        <w:t xml:space="preserve">indicator, Column 2 </w:t>
      </w:r>
      <w:r>
        <w:t>lists</w:t>
      </w:r>
      <w:r w:rsidRPr="00EE47B8">
        <w:t xml:space="preserve"> </w:t>
      </w:r>
      <w:r w:rsidR="00F01F27">
        <w:t xml:space="preserve">the </w:t>
      </w:r>
      <w:r w:rsidR="00F01F27" w:rsidRPr="00EE47B8">
        <w:t>analytical method number</w:t>
      </w:r>
      <w:r w:rsidRPr="00EE47B8">
        <w:t xml:space="preserve">, Column 3 </w:t>
      </w:r>
      <w:r>
        <w:t>lists</w:t>
      </w:r>
      <w:r w:rsidRPr="00EE47B8">
        <w:t xml:space="preserve"> the sampling regime for surface waters, and Column 4 </w:t>
      </w:r>
      <w:r>
        <w:t>lists</w:t>
      </w:r>
      <w:r w:rsidRPr="00EE47B8">
        <w:t xml:space="preserve"> the sampling regime for ground waters.</w:t>
      </w:r>
      <w:bookmarkEnd w:id="306"/>
      <w:bookmarkEnd w:id="307"/>
    </w:p>
    <w:p w:rsidR="00485094" w:rsidRDefault="00485094" w:rsidP="00EA3D58">
      <w:pPr>
        <w:pStyle w:val="Tableheading"/>
        <w:rPr>
          <w:b w:val="0"/>
          <w:sz w:val="18"/>
          <w:szCs w:val="18"/>
        </w:rPr>
      </w:pPr>
    </w:p>
    <w:p w:rsidR="00485094" w:rsidRDefault="00485094" w:rsidP="00EA3D58">
      <w:pPr>
        <w:pStyle w:val="Bodytextreduced"/>
        <w:rPr>
          <w:snapToGrid w:val="0"/>
        </w:rPr>
      </w:pPr>
      <w:r>
        <w:rPr>
          <w:vertAlign w:val="superscript"/>
        </w:rPr>
        <w:t xml:space="preserve">1 </w:t>
      </w:r>
      <w:r>
        <w:rPr>
          <w:snapToGrid w:val="0"/>
        </w:rPr>
        <w:t>C</w:t>
      </w:r>
      <w:r w:rsidRPr="0005447D">
        <w:rPr>
          <w:snapToGrid w:val="0"/>
        </w:rPr>
        <w:t>ollected once a year per site</w:t>
      </w:r>
    </w:p>
    <w:p w:rsidR="00485094" w:rsidRDefault="00485094" w:rsidP="00EA3D58">
      <w:pPr>
        <w:pStyle w:val="Bodytextreduced"/>
      </w:pPr>
      <w:r w:rsidRPr="004C1199">
        <w:rPr>
          <w:vertAlign w:val="superscript"/>
        </w:rPr>
        <w:t>2</w:t>
      </w:r>
      <w:r>
        <w:t xml:space="preserve"> Total analysis added annually in 2008 </w:t>
      </w:r>
    </w:p>
    <w:p w:rsidR="00485094" w:rsidRDefault="00485094" w:rsidP="00EA3D58">
      <w:pPr>
        <w:pStyle w:val="Bodytextreduced"/>
        <w:rPr>
          <w:snapToGrid w:val="0"/>
        </w:rPr>
      </w:pPr>
      <w:r w:rsidRPr="0005447D">
        <w:rPr>
          <w:snapToGrid w:val="0"/>
        </w:rPr>
        <w:t xml:space="preserve">T = </w:t>
      </w:r>
      <w:r>
        <w:rPr>
          <w:snapToGrid w:val="0"/>
        </w:rPr>
        <w:t>T</w:t>
      </w:r>
      <w:r w:rsidRPr="0005447D">
        <w:rPr>
          <w:snapToGrid w:val="0"/>
        </w:rPr>
        <w:t xml:space="preserve">otal </w:t>
      </w:r>
      <w:r>
        <w:rPr>
          <w:snapToGrid w:val="0"/>
        </w:rPr>
        <w:t>s</w:t>
      </w:r>
      <w:r w:rsidRPr="0005447D">
        <w:rPr>
          <w:snapToGrid w:val="0"/>
        </w:rPr>
        <w:t>ample</w:t>
      </w:r>
      <w:r>
        <w:rPr>
          <w:snapToGrid w:val="0"/>
        </w:rPr>
        <w:t xml:space="preserve"> (unfiltered sample)</w:t>
      </w:r>
    </w:p>
    <w:tbl>
      <w:tblPr>
        <w:tblW w:w="924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3274"/>
        <w:gridCol w:w="3083"/>
        <w:gridCol w:w="1445"/>
        <w:gridCol w:w="1445"/>
      </w:tblGrid>
      <w:tr w:rsidR="00485094" w:rsidRPr="000F2909" w:rsidTr="000F2909">
        <w:trPr>
          <w:trHeight w:val="235"/>
          <w:jc w:val="center"/>
        </w:trPr>
        <w:tc>
          <w:tcPr>
            <w:tcW w:w="3274" w:type="dxa"/>
            <w:tcBorders>
              <w:top w:val="single" w:sz="4" w:space="0" w:color="auto"/>
              <w:bottom w:val="double" w:sz="4" w:space="0" w:color="auto"/>
            </w:tcBorders>
            <w:shd w:val="clear" w:color="auto" w:fill="BDFFFF"/>
            <w:vAlign w:val="center"/>
          </w:tcPr>
          <w:p w:rsidR="00485094" w:rsidRPr="000F2909" w:rsidRDefault="00485094" w:rsidP="00F01F27">
            <w:pPr>
              <w:pStyle w:val="TableText"/>
              <w:jc w:val="center"/>
              <w:rPr>
                <w:b/>
                <w:i/>
                <w:lang w:val="pt-BR"/>
              </w:rPr>
            </w:pPr>
            <w:r w:rsidRPr="000F2909">
              <w:rPr>
                <w:b/>
                <w:i/>
                <w:lang w:val="pt-BR"/>
              </w:rPr>
              <w:t>Metal Indicator</w:t>
            </w:r>
          </w:p>
        </w:tc>
        <w:tc>
          <w:tcPr>
            <w:tcW w:w="3083" w:type="dxa"/>
            <w:tcBorders>
              <w:top w:val="single" w:sz="4" w:space="0" w:color="auto"/>
              <w:bottom w:val="double" w:sz="4" w:space="0" w:color="auto"/>
            </w:tcBorders>
            <w:shd w:val="clear" w:color="auto" w:fill="BDFFFF"/>
            <w:vAlign w:val="center"/>
          </w:tcPr>
          <w:p w:rsidR="00485094" w:rsidRPr="000F2909" w:rsidRDefault="00485094" w:rsidP="00453E80">
            <w:pPr>
              <w:pStyle w:val="TableText"/>
              <w:jc w:val="center"/>
              <w:rPr>
                <w:b/>
                <w:i/>
              </w:rPr>
            </w:pPr>
            <w:r w:rsidRPr="000F2909">
              <w:rPr>
                <w:b/>
                <w:i/>
              </w:rPr>
              <w:t>Analysis Method</w:t>
            </w:r>
          </w:p>
        </w:tc>
        <w:tc>
          <w:tcPr>
            <w:tcW w:w="1445" w:type="dxa"/>
            <w:tcBorders>
              <w:top w:val="single" w:sz="4" w:space="0" w:color="auto"/>
              <w:bottom w:val="double" w:sz="4" w:space="0" w:color="auto"/>
            </w:tcBorders>
            <w:shd w:val="clear" w:color="auto" w:fill="BDFFFF"/>
            <w:vAlign w:val="center"/>
          </w:tcPr>
          <w:p w:rsidR="00485094" w:rsidRPr="000F2909" w:rsidRDefault="00485094" w:rsidP="00453E80">
            <w:pPr>
              <w:pStyle w:val="TableText"/>
              <w:jc w:val="center"/>
              <w:rPr>
                <w:b/>
                <w:i/>
              </w:rPr>
            </w:pPr>
            <w:r w:rsidRPr="000F2909">
              <w:rPr>
                <w:b/>
                <w:i/>
              </w:rPr>
              <w:t>Surface Water</w:t>
            </w:r>
          </w:p>
        </w:tc>
        <w:tc>
          <w:tcPr>
            <w:tcW w:w="1445" w:type="dxa"/>
            <w:tcBorders>
              <w:top w:val="single" w:sz="4" w:space="0" w:color="auto"/>
              <w:bottom w:val="double" w:sz="4" w:space="0" w:color="auto"/>
            </w:tcBorders>
            <w:shd w:val="clear" w:color="auto" w:fill="BDFFFF"/>
            <w:vAlign w:val="center"/>
          </w:tcPr>
          <w:p w:rsidR="00485094" w:rsidRPr="000F2909" w:rsidRDefault="00485094" w:rsidP="00453E80">
            <w:pPr>
              <w:pStyle w:val="TableText"/>
              <w:jc w:val="center"/>
              <w:rPr>
                <w:b/>
                <w:i/>
              </w:rPr>
            </w:pPr>
            <w:r w:rsidRPr="000F2909">
              <w:rPr>
                <w:b/>
                <w:i/>
              </w:rPr>
              <w:t>Ground Water</w:t>
            </w:r>
          </w:p>
        </w:tc>
      </w:tr>
      <w:tr w:rsidR="00485094" w:rsidRPr="000F352A" w:rsidTr="00453E80">
        <w:trPr>
          <w:trHeight w:val="701"/>
          <w:jc w:val="center"/>
        </w:trPr>
        <w:tc>
          <w:tcPr>
            <w:tcW w:w="3274" w:type="dxa"/>
            <w:tcBorders>
              <w:top w:val="double" w:sz="4" w:space="0" w:color="auto"/>
              <w:bottom w:val="single" w:sz="4" w:space="0" w:color="auto"/>
            </w:tcBorders>
            <w:shd w:val="clear" w:color="auto" w:fill="FFFFCC"/>
            <w:vAlign w:val="center"/>
          </w:tcPr>
          <w:p w:rsidR="00485094" w:rsidRPr="00590B64" w:rsidRDefault="00485094" w:rsidP="00453E80">
            <w:pPr>
              <w:pStyle w:val="TableText"/>
              <w:jc w:val="center"/>
              <w:rPr>
                <w:lang w:val="pt-BR"/>
              </w:rPr>
            </w:pPr>
            <w:r w:rsidRPr="00590B64">
              <w:rPr>
                <w:lang w:val="pt-BR"/>
              </w:rPr>
              <w:t>Al</w:t>
            </w:r>
            <w:r>
              <w:rPr>
                <w:lang w:val="pt-BR"/>
              </w:rPr>
              <w:t>uminum</w:t>
            </w:r>
            <w:r w:rsidRPr="00590B64">
              <w:rPr>
                <w:lang w:val="pt-BR"/>
              </w:rPr>
              <w:t>,</w:t>
            </w:r>
            <w:r>
              <w:rPr>
                <w:lang w:val="pt-BR"/>
              </w:rPr>
              <w:t xml:space="preserve"> </w:t>
            </w:r>
            <w:r w:rsidRPr="00590B64">
              <w:rPr>
                <w:lang w:val="pt-BR"/>
              </w:rPr>
              <w:t>A</w:t>
            </w:r>
            <w:r>
              <w:rPr>
                <w:lang w:val="pt-BR"/>
              </w:rPr>
              <w:t>r</w:t>
            </w:r>
            <w:r w:rsidRPr="00590B64">
              <w:rPr>
                <w:lang w:val="pt-BR"/>
              </w:rPr>
              <w:t>s</w:t>
            </w:r>
            <w:r>
              <w:rPr>
                <w:lang w:val="pt-BR"/>
              </w:rPr>
              <w:t>enic</w:t>
            </w:r>
            <w:r w:rsidRPr="00590B64">
              <w:rPr>
                <w:lang w:val="pt-BR"/>
              </w:rPr>
              <w:t>,</w:t>
            </w:r>
            <w:r>
              <w:rPr>
                <w:lang w:val="pt-BR"/>
              </w:rPr>
              <w:t xml:space="preserve"> </w:t>
            </w:r>
            <w:r w:rsidRPr="00590B64">
              <w:rPr>
                <w:lang w:val="pt-BR"/>
              </w:rPr>
              <w:t>Ca</w:t>
            </w:r>
            <w:r>
              <w:rPr>
                <w:lang w:val="pt-BR"/>
              </w:rPr>
              <w:t>lcium, Ca</w:t>
            </w:r>
            <w:r w:rsidRPr="00590B64">
              <w:rPr>
                <w:lang w:val="pt-BR"/>
              </w:rPr>
              <w:t>d</w:t>
            </w:r>
            <w:r>
              <w:rPr>
                <w:lang w:val="pt-BR"/>
              </w:rPr>
              <w:t>mium</w:t>
            </w:r>
            <w:r w:rsidRPr="00590B64">
              <w:rPr>
                <w:lang w:val="pt-BR"/>
              </w:rPr>
              <w:t>,</w:t>
            </w:r>
            <w:r>
              <w:rPr>
                <w:lang w:val="pt-BR"/>
              </w:rPr>
              <w:t xml:space="preserve"> </w:t>
            </w:r>
            <w:r w:rsidRPr="00590B64">
              <w:rPr>
                <w:lang w:val="pt-BR"/>
              </w:rPr>
              <w:t>C</w:t>
            </w:r>
            <w:r>
              <w:rPr>
                <w:lang w:val="pt-BR"/>
              </w:rPr>
              <w:t>h</w:t>
            </w:r>
            <w:r w:rsidRPr="00590B64">
              <w:rPr>
                <w:lang w:val="pt-BR"/>
              </w:rPr>
              <w:t>r</w:t>
            </w:r>
            <w:r>
              <w:rPr>
                <w:lang w:val="pt-BR"/>
              </w:rPr>
              <w:t>omium</w:t>
            </w:r>
            <w:r w:rsidRPr="00590B64">
              <w:rPr>
                <w:lang w:val="pt-BR"/>
              </w:rPr>
              <w:t>,</w:t>
            </w:r>
            <w:r>
              <w:rPr>
                <w:lang w:val="pt-BR"/>
              </w:rPr>
              <w:t xml:space="preserve"> </w:t>
            </w:r>
            <w:r w:rsidRPr="00590B64">
              <w:rPr>
                <w:lang w:val="pt-BR"/>
              </w:rPr>
              <w:t>C</w:t>
            </w:r>
            <w:r>
              <w:rPr>
                <w:lang w:val="pt-BR"/>
              </w:rPr>
              <w:t>opper</w:t>
            </w:r>
            <w:r w:rsidRPr="00590B64">
              <w:rPr>
                <w:lang w:val="pt-BR"/>
              </w:rPr>
              <w:t>,</w:t>
            </w:r>
            <w:r>
              <w:rPr>
                <w:lang w:val="pt-BR"/>
              </w:rPr>
              <w:t xml:space="preserve"> Iron</w:t>
            </w:r>
            <w:r w:rsidRPr="00590B64">
              <w:rPr>
                <w:lang w:val="pt-BR"/>
              </w:rPr>
              <w:t>,</w:t>
            </w:r>
            <w:r>
              <w:rPr>
                <w:lang w:val="pt-BR"/>
              </w:rPr>
              <w:t xml:space="preserve"> Lead</w:t>
            </w:r>
            <w:r w:rsidRPr="00590B64">
              <w:rPr>
                <w:lang w:val="pt-BR"/>
              </w:rPr>
              <w:t>,</w:t>
            </w:r>
            <w:r>
              <w:rPr>
                <w:lang w:val="pt-BR"/>
              </w:rPr>
              <w:t xml:space="preserve"> </w:t>
            </w:r>
            <w:r w:rsidRPr="00590B64">
              <w:rPr>
                <w:lang w:val="pt-BR"/>
              </w:rPr>
              <w:t>M</w:t>
            </w:r>
            <w:r>
              <w:rPr>
                <w:lang w:val="pt-BR"/>
              </w:rPr>
              <w:t>a</w:t>
            </w:r>
            <w:r w:rsidRPr="00590B64">
              <w:rPr>
                <w:lang w:val="pt-BR"/>
              </w:rPr>
              <w:t>g</w:t>
            </w:r>
            <w:r>
              <w:rPr>
                <w:lang w:val="pt-BR"/>
              </w:rPr>
              <w:t>nesium</w:t>
            </w:r>
            <w:r w:rsidRPr="00590B64">
              <w:rPr>
                <w:lang w:val="pt-BR"/>
              </w:rPr>
              <w:t>,</w:t>
            </w:r>
            <w:r>
              <w:rPr>
                <w:lang w:val="pt-BR"/>
              </w:rPr>
              <w:t xml:space="preserve"> </w:t>
            </w:r>
            <w:r w:rsidRPr="00590B64">
              <w:rPr>
                <w:lang w:val="pt-BR"/>
              </w:rPr>
              <w:t>M</w:t>
            </w:r>
            <w:r>
              <w:rPr>
                <w:lang w:val="pt-BR"/>
              </w:rPr>
              <w:t>anganese</w:t>
            </w:r>
            <w:r w:rsidRPr="00590B64">
              <w:rPr>
                <w:lang w:val="pt-BR"/>
              </w:rPr>
              <w:t>,</w:t>
            </w:r>
            <w:r>
              <w:rPr>
                <w:lang w:val="pt-BR"/>
              </w:rPr>
              <w:t xml:space="preserve"> Sodium</w:t>
            </w:r>
            <w:r w:rsidRPr="00590B64">
              <w:rPr>
                <w:lang w:val="pt-BR"/>
              </w:rPr>
              <w:t>,</w:t>
            </w:r>
            <w:r>
              <w:rPr>
                <w:lang w:val="pt-BR"/>
              </w:rPr>
              <w:t xml:space="preserve"> </w:t>
            </w:r>
            <w:r w:rsidRPr="00590B64">
              <w:rPr>
                <w:lang w:val="pt-BR"/>
              </w:rPr>
              <w:t>Z</w:t>
            </w:r>
            <w:r>
              <w:rPr>
                <w:lang w:val="pt-BR"/>
              </w:rPr>
              <w:t>i</w:t>
            </w:r>
            <w:r w:rsidRPr="00590B64">
              <w:rPr>
                <w:lang w:val="pt-BR"/>
              </w:rPr>
              <w:t>n</w:t>
            </w:r>
            <w:r>
              <w:rPr>
                <w:lang w:val="pt-BR"/>
              </w:rPr>
              <w:t>c</w:t>
            </w:r>
          </w:p>
        </w:tc>
        <w:tc>
          <w:tcPr>
            <w:tcW w:w="3083" w:type="dxa"/>
            <w:tcBorders>
              <w:top w:val="double" w:sz="4" w:space="0" w:color="auto"/>
              <w:bottom w:val="single" w:sz="4" w:space="0" w:color="auto"/>
            </w:tcBorders>
            <w:vAlign w:val="center"/>
          </w:tcPr>
          <w:p w:rsidR="00485094" w:rsidRPr="00590B64" w:rsidRDefault="00485094" w:rsidP="00453E80">
            <w:pPr>
              <w:pStyle w:val="TableText"/>
              <w:jc w:val="center"/>
              <w:rPr>
                <w:lang w:val="pt-BR"/>
              </w:rPr>
            </w:pPr>
            <w:r w:rsidRPr="00590B64">
              <w:t xml:space="preserve">Method </w:t>
            </w:r>
            <w:r>
              <w:t>200.7/200.8</w:t>
            </w:r>
          </w:p>
        </w:tc>
        <w:tc>
          <w:tcPr>
            <w:tcW w:w="1445" w:type="dxa"/>
            <w:tcBorders>
              <w:top w:val="double" w:sz="4" w:space="0" w:color="auto"/>
              <w:bottom w:val="single" w:sz="4" w:space="0" w:color="auto"/>
            </w:tcBorders>
            <w:vAlign w:val="center"/>
          </w:tcPr>
          <w:p w:rsidR="00485094" w:rsidRPr="00590B64" w:rsidRDefault="00485094" w:rsidP="00453E80">
            <w:pPr>
              <w:pStyle w:val="TableText"/>
              <w:jc w:val="center"/>
              <w:rPr>
                <w:lang w:val="pt-BR"/>
              </w:rPr>
            </w:pPr>
            <w:r>
              <w:rPr>
                <w:lang w:val="pt-BR"/>
              </w:rPr>
              <w:t>T</w:t>
            </w:r>
            <w:r w:rsidRPr="00F13A39">
              <w:rPr>
                <w:vertAlign w:val="superscript"/>
                <w:lang w:val="pt-BR"/>
              </w:rPr>
              <w:t>1,</w:t>
            </w:r>
            <w:r w:rsidRPr="00105925">
              <w:rPr>
                <w:vertAlign w:val="superscript"/>
              </w:rPr>
              <w:t>2</w:t>
            </w:r>
          </w:p>
        </w:tc>
        <w:tc>
          <w:tcPr>
            <w:tcW w:w="1445" w:type="dxa"/>
            <w:tcBorders>
              <w:top w:val="double" w:sz="4" w:space="0" w:color="auto"/>
              <w:bottom w:val="single" w:sz="4" w:space="0" w:color="auto"/>
            </w:tcBorders>
            <w:vAlign w:val="center"/>
          </w:tcPr>
          <w:p w:rsidR="00485094" w:rsidRPr="00590B64" w:rsidRDefault="00485094" w:rsidP="00453E80">
            <w:pPr>
              <w:pStyle w:val="TableText"/>
              <w:jc w:val="center"/>
              <w:rPr>
                <w:lang w:val="pt-BR"/>
              </w:rPr>
            </w:pPr>
            <w:r>
              <w:rPr>
                <w:lang w:val="pt-BR"/>
              </w:rPr>
              <w:t>T</w:t>
            </w:r>
            <w:r w:rsidRPr="00F13A39">
              <w:rPr>
                <w:vertAlign w:val="superscript"/>
                <w:lang w:val="pt-BR"/>
              </w:rPr>
              <w:t>1</w:t>
            </w:r>
          </w:p>
        </w:tc>
      </w:tr>
    </w:tbl>
    <w:p w:rsidR="00485094" w:rsidRDefault="00485094" w:rsidP="00EA3D58">
      <w:pPr>
        <w:pStyle w:val="Bodytextreduced"/>
      </w:pPr>
    </w:p>
    <w:p w:rsidR="00485094" w:rsidRDefault="00485094" w:rsidP="00EA3D58">
      <w:pPr>
        <w:pStyle w:val="Bodytextreduced"/>
      </w:pPr>
      <w:r>
        <w:br w:type="page"/>
      </w:r>
    </w:p>
    <w:p w:rsidR="00485094" w:rsidRDefault="00485094" w:rsidP="00EA3D58">
      <w:pPr>
        <w:pStyle w:val="Tableheading"/>
      </w:pPr>
      <w:bookmarkStart w:id="308" w:name="_Toc255482822"/>
      <w:bookmarkStart w:id="309" w:name="_Toc255807480"/>
      <w:bookmarkStart w:id="310" w:name="_Toc262464239"/>
      <w:bookmarkStart w:id="311" w:name="_Toc271280086"/>
      <w:r w:rsidRPr="000F332D">
        <w:t xml:space="preserve">Table </w:t>
      </w:r>
      <w:r>
        <w:t>5.4f</w:t>
      </w:r>
      <w:r w:rsidRPr="000F332D">
        <w:t>.</w:t>
      </w:r>
      <w:r>
        <w:t xml:space="preserve">  Trend</w:t>
      </w:r>
      <w:r w:rsidRPr="000F332D">
        <w:t xml:space="preserve"> Network </w:t>
      </w:r>
      <w:r>
        <w:t>Physical Property</w:t>
      </w:r>
      <w:r w:rsidRPr="000F332D">
        <w:t xml:space="preserve"> </w:t>
      </w:r>
      <w:r>
        <w:t>I</w:t>
      </w:r>
      <w:r w:rsidRPr="000F332D">
        <w:t>ndicators</w:t>
      </w:r>
      <w:bookmarkEnd w:id="308"/>
      <w:bookmarkEnd w:id="309"/>
      <w:bookmarkEnd w:id="310"/>
      <w:bookmarkEnd w:id="311"/>
    </w:p>
    <w:p w:rsidR="00485094" w:rsidRDefault="00485094" w:rsidP="00EA3D58">
      <w:pPr>
        <w:pStyle w:val="TabledescriptionBF"/>
      </w:pPr>
      <w:bookmarkStart w:id="312" w:name="_Toc255482823"/>
      <w:bookmarkStart w:id="313" w:name="_Toc255807481"/>
      <w:r w:rsidRPr="00EE47B8">
        <w:t>This is a four-column table</w:t>
      </w:r>
      <w:r>
        <w:t xml:space="preserve">.  </w:t>
      </w:r>
      <w:r w:rsidRPr="00EE47B8">
        <w:t xml:space="preserve">Column 1 </w:t>
      </w:r>
      <w:r>
        <w:t>lists</w:t>
      </w:r>
      <w:r w:rsidRPr="00EE47B8">
        <w:t xml:space="preserve"> </w:t>
      </w:r>
      <w:r w:rsidR="00F01F27">
        <w:t>the indicator</w:t>
      </w:r>
      <w:r w:rsidRPr="00EE47B8">
        <w:t xml:space="preserve">, Column 2 </w:t>
      </w:r>
      <w:r>
        <w:t>lists</w:t>
      </w:r>
      <w:r w:rsidRPr="00EE47B8">
        <w:t xml:space="preserve"> </w:t>
      </w:r>
      <w:r w:rsidR="00F01F27">
        <w:t xml:space="preserve">the </w:t>
      </w:r>
      <w:r w:rsidRPr="00EE47B8">
        <w:t xml:space="preserve">analytical method number, Column 3 </w:t>
      </w:r>
      <w:r>
        <w:t>lists</w:t>
      </w:r>
      <w:r w:rsidRPr="00EE47B8">
        <w:t xml:space="preserve"> the sampling regime for surface waters, and Column 4 </w:t>
      </w:r>
      <w:r>
        <w:t>lists</w:t>
      </w:r>
      <w:r w:rsidRPr="00EE47B8">
        <w:t xml:space="preserve"> the sampling regime for ground waters.</w:t>
      </w:r>
      <w:bookmarkEnd w:id="312"/>
      <w:bookmarkEnd w:id="313"/>
    </w:p>
    <w:p w:rsidR="00485094" w:rsidRDefault="00485094" w:rsidP="00EA3D58">
      <w:pPr>
        <w:pStyle w:val="Tableheading"/>
        <w:rPr>
          <w:b w:val="0"/>
          <w:sz w:val="18"/>
          <w:szCs w:val="18"/>
        </w:rPr>
      </w:pPr>
    </w:p>
    <w:p w:rsidR="00485094" w:rsidRDefault="00485094" w:rsidP="00EA3D58">
      <w:pPr>
        <w:pStyle w:val="Bodytextreduced"/>
        <w:rPr>
          <w:snapToGrid w:val="0"/>
        </w:rPr>
      </w:pPr>
      <w:r>
        <w:rPr>
          <w:vertAlign w:val="superscript"/>
        </w:rPr>
        <w:t xml:space="preserve">1 </w:t>
      </w:r>
      <w:r>
        <w:rPr>
          <w:snapToGrid w:val="0"/>
        </w:rPr>
        <w:t>C</w:t>
      </w:r>
      <w:r w:rsidRPr="0005447D">
        <w:rPr>
          <w:snapToGrid w:val="0"/>
        </w:rPr>
        <w:t>ollected once a year per site</w:t>
      </w:r>
    </w:p>
    <w:p w:rsidR="00485094" w:rsidRDefault="00485094" w:rsidP="00EA3D58">
      <w:pPr>
        <w:pStyle w:val="Bodytextreduced"/>
      </w:pPr>
      <w:r w:rsidRPr="004C1199">
        <w:rPr>
          <w:vertAlign w:val="superscript"/>
        </w:rPr>
        <w:t>2</w:t>
      </w:r>
      <w:r>
        <w:t xml:space="preserve"> Total analysis added annually in 2008 </w:t>
      </w:r>
    </w:p>
    <w:p w:rsidR="00485094" w:rsidRDefault="00485094" w:rsidP="00EA3D58">
      <w:pPr>
        <w:pStyle w:val="Bodytextreduced"/>
        <w:rPr>
          <w:snapToGrid w:val="0"/>
        </w:rPr>
      </w:pPr>
      <w:r w:rsidRPr="0005447D">
        <w:rPr>
          <w:snapToGrid w:val="0"/>
        </w:rPr>
        <w:t xml:space="preserve">T = </w:t>
      </w:r>
      <w:r>
        <w:rPr>
          <w:snapToGrid w:val="0"/>
        </w:rPr>
        <w:t>T</w:t>
      </w:r>
      <w:r w:rsidRPr="0005447D">
        <w:rPr>
          <w:snapToGrid w:val="0"/>
        </w:rPr>
        <w:t xml:space="preserve">otal </w:t>
      </w:r>
      <w:r>
        <w:rPr>
          <w:snapToGrid w:val="0"/>
        </w:rPr>
        <w:t>s</w:t>
      </w:r>
      <w:r w:rsidRPr="0005447D">
        <w:rPr>
          <w:snapToGrid w:val="0"/>
        </w:rPr>
        <w:t>ample</w:t>
      </w:r>
      <w:r>
        <w:rPr>
          <w:snapToGrid w:val="0"/>
        </w:rPr>
        <w:t xml:space="preserve"> (unfiltered sample);</w:t>
      </w:r>
      <w:r w:rsidRPr="0005447D">
        <w:rPr>
          <w:snapToGrid w:val="0"/>
        </w:rPr>
        <w:t xml:space="preserve"> D = </w:t>
      </w:r>
      <w:r>
        <w:rPr>
          <w:snapToGrid w:val="0"/>
        </w:rPr>
        <w:t>Dissolved sample (f</w:t>
      </w:r>
      <w:r w:rsidRPr="0005447D">
        <w:rPr>
          <w:snapToGrid w:val="0"/>
        </w:rPr>
        <w:t xml:space="preserve">iltered </w:t>
      </w:r>
      <w:r>
        <w:rPr>
          <w:snapToGrid w:val="0"/>
        </w:rPr>
        <w:t>s</w:t>
      </w:r>
      <w:r w:rsidRPr="0005447D">
        <w:rPr>
          <w:snapToGrid w:val="0"/>
        </w:rPr>
        <w:t>ample</w:t>
      </w:r>
      <w:r>
        <w:rPr>
          <w:snapToGrid w:val="0"/>
        </w:rPr>
        <w:t>)</w:t>
      </w:r>
    </w:p>
    <w:tbl>
      <w:tblPr>
        <w:tblW w:w="924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3274"/>
        <w:gridCol w:w="3083"/>
        <w:gridCol w:w="1445"/>
        <w:gridCol w:w="1445"/>
      </w:tblGrid>
      <w:tr w:rsidR="00485094" w:rsidRPr="000F2909" w:rsidTr="000F2909">
        <w:trPr>
          <w:trHeight w:val="235"/>
          <w:jc w:val="center"/>
        </w:trPr>
        <w:tc>
          <w:tcPr>
            <w:tcW w:w="3274" w:type="dxa"/>
            <w:tcBorders>
              <w:top w:val="single" w:sz="4" w:space="0" w:color="auto"/>
              <w:bottom w:val="double" w:sz="4" w:space="0" w:color="auto"/>
            </w:tcBorders>
            <w:shd w:val="clear" w:color="auto" w:fill="BDFFFF"/>
            <w:vAlign w:val="center"/>
          </w:tcPr>
          <w:p w:rsidR="00485094" w:rsidRPr="000F2909" w:rsidRDefault="00485094" w:rsidP="00F01F27">
            <w:pPr>
              <w:pStyle w:val="TableText"/>
              <w:jc w:val="center"/>
              <w:rPr>
                <w:b/>
                <w:i/>
              </w:rPr>
            </w:pPr>
            <w:r w:rsidRPr="000F2909">
              <w:rPr>
                <w:b/>
                <w:i/>
              </w:rPr>
              <w:t>Physical Property Indicator</w:t>
            </w:r>
          </w:p>
        </w:tc>
        <w:tc>
          <w:tcPr>
            <w:tcW w:w="3083" w:type="dxa"/>
            <w:tcBorders>
              <w:top w:val="single" w:sz="4" w:space="0" w:color="auto"/>
              <w:bottom w:val="double" w:sz="4" w:space="0" w:color="auto"/>
            </w:tcBorders>
            <w:shd w:val="clear" w:color="auto" w:fill="BDFFFF"/>
            <w:vAlign w:val="center"/>
          </w:tcPr>
          <w:p w:rsidR="00485094" w:rsidRPr="000F2909" w:rsidRDefault="00485094" w:rsidP="00453E80">
            <w:pPr>
              <w:pStyle w:val="TableText"/>
              <w:jc w:val="center"/>
              <w:rPr>
                <w:b/>
                <w:i/>
              </w:rPr>
            </w:pPr>
            <w:r w:rsidRPr="000F2909">
              <w:rPr>
                <w:b/>
                <w:i/>
              </w:rPr>
              <w:t>Analysis Method</w:t>
            </w:r>
          </w:p>
        </w:tc>
        <w:tc>
          <w:tcPr>
            <w:tcW w:w="1445" w:type="dxa"/>
            <w:tcBorders>
              <w:top w:val="single" w:sz="4" w:space="0" w:color="auto"/>
              <w:bottom w:val="double" w:sz="4" w:space="0" w:color="auto"/>
            </w:tcBorders>
            <w:shd w:val="clear" w:color="auto" w:fill="BDFFFF"/>
            <w:vAlign w:val="center"/>
          </w:tcPr>
          <w:p w:rsidR="00485094" w:rsidRPr="000F2909" w:rsidRDefault="00485094" w:rsidP="00453E80">
            <w:pPr>
              <w:pStyle w:val="TableText"/>
              <w:jc w:val="center"/>
              <w:rPr>
                <w:b/>
                <w:i/>
              </w:rPr>
            </w:pPr>
            <w:r w:rsidRPr="000F2909">
              <w:rPr>
                <w:b/>
                <w:i/>
              </w:rPr>
              <w:t>Surface Water</w:t>
            </w:r>
          </w:p>
        </w:tc>
        <w:tc>
          <w:tcPr>
            <w:tcW w:w="1445" w:type="dxa"/>
            <w:tcBorders>
              <w:top w:val="single" w:sz="4" w:space="0" w:color="auto"/>
              <w:bottom w:val="double" w:sz="4" w:space="0" w:color="auto"/>
            </w:tcBorders>
            <w:shd w:val="clear" w:color="auto" w:fill="BDFFFF"/>
            <w:vAlign w:val="center"/>
          </w:tcPr>
          <w:p w:rsidR="00485094" w:rsidRPr="000F2909" w:rsidRDefault="00485094" w:rsidP="00453E80">
            <w:pPr>
              <w:pStyle w:val="TableText"/>
              <w:jc w:val="center"/>
              <w:rPr>
                <w:b/>
                <w:i/>
              </w:rPr>
            </w:pPr>
            <w:r w:rsidRPr="000F2909">
              <w:rPr>
                <w:b/>
                <w:i/>
              </w:rPr>
              <w:t>Ground Water</w:t>
            </w:r>
          </w:p>
        </w:tc>
      </w:tr>
      <w:tr w:rsidR="00485094" w:rsidRPr="000F352A" w:rsidTr="00453E80">
        <w:trPr>
          <w:trHeight w:val="235"/>
          <w:jc w:val="center"/>
        </w:trPr>
        <w:tc>
          <w:tcPr>
            <w:tcW w:w="3274" w:type="dxa"/>
            <w:tcBorders>
              <w:top w:val="double" w:sz="4" w:space="0" w:color="auto"/>
            </w:tcBorders>
            <w:shd w:val="clear" w:color="auto" w:fill="FFFFCC"/>
            <w:vAlign w:val="center"/>
          </w:tcPr>
          <w:p w:rsidR="00485094" w:rsidRPr="00590B64" w:rsidRDefault="00485094" w:rsidP="00453E80">
            <w:pPr>
              <w:pStyle w:val="TableText"/>
              <w:jc w:val="center"/>
            </w:pPr>
            <w:r w:rsidRPr="00590B64">
              <w:t>Alkalinity</w:t>
            </w:r>
          </w:p>
        </w:tc>
        <w:tc>
          <w:tcPr>
            <w:tcW w:w="3083" w:type="dxa"/>
            <w:tcBorders>
              <w:top w:val="double" w:sz="4" w:space="0" w:color="auto"/>
            </w:tcBorders>
            <w:vAlign w:val="center"/>
          </w:tcPr>
          <w:p w:rsidR="00485094" w:rsidRPr="00590B64" w:rsidRDefault="00485094" w:rsidP="00453E80">
            <w:pPr>
              <w:pStyle w:val="TableText"/>
              <w:jc w:val="center"/>
            </w:pPr>
            <w:r>
              <w:t>Method 310.1</w:t>
            </w:r>
          </w:p>
        </w:tc>
        <w:tc>
          <w:tcPr>
            <w:tcW w:w="1445" w:type="dxa"/>
            <w:tcBorders>
              <w:top w:val="double" w:sz="4" w:space="0" w:color="auto"/>
            </w:tcBorders>
            <w:vAlign w:val="center"/>
          </w:tcPr>
          <w:p w:rsidR="00485094" w:rsidRPr="00590B64" w:rsidRDefault="00485094" w:rsidP="00453E80">
            <w:pPr>
              <w:pStyle w:val="TableText"/>
              <w:jc w:val="center"/>
            </w:pPr>
            <w:r w:rsidRPr="00590B64">
              <w:t>T</w:t>
            </w:r>
          </w:p>
        </w:tc>
        <w:tc>
          <w:tcPr>
            <w:tcW w:w="1445" w:type="dxa"/>
            <w:tcBorders>
              <w:top w:val="double" w:sz="4" w:space="0" w:color="auto"/>
            </w:tcBorders>
            <w:vAlign w:val="center"/>
          </w:tcPr>
          <w:p w:rsidR="00485094" w:rsidRPr="00590B64" w:rsidRDefault="00485094" w:rsidP="00453E80">
            <w:pPr>
              <w:pStyle w:val="TableText"/>
              <w:jc w:val="center"/>
            </w:pPr>
            <w:r>
              <w:t>D/T</w:t>
            </w:r>
            <w:r w:rsidRPr="00F13A39">
              <w:rPr>
                <w:vertAlign w:val="superscript"/>
                <w:lang w:val="pt-BR"/>
              </w:rPr>
              <w:t>1</w:t>
            </w:r>
            <w:r>
              <w:rPr>
                <w:vertAlign w:val="superscript"/>
                <w:lang w:val="pt-BR"/>
              </w:rPr>
              <w:t>,</w:t>
            </w:r>
            <w:r w:rsidRPr="00105925">
              <w:rPr>
                <w:vertAlign w:val="superscript"/>
              </w:rPr>
              <w:t>2</w:t>
            </w:r>
          </w:p>
        </w:tc>
      </w:tr>
      <w:tr w:rsidR="00485094" w:rsidRPr="000F352A" w:rsidTr="00453E80">
        <w:trPr>
          <w:trHeight w:val="235"/>
          <w:jc w:val="center"/>
        </w:trPr>
        <w:tc>
          <w:tcPr>
            <w:tcW w:w="3274" w:type="dxa"/>
            <w:shd w:val="clear" w:color="auto" w:fill="FFFFCC"/>
            <w:vAlign w:val="center"/>
          </w:tcPr>
          <w:p w:rsidR="00485094" w:rsidRPr="00590B64" w:rsidRDefault="00485094" w:rsidP="00453E80">
            <w:pPr>
              <w:pStyle w:val="TableText"/>
              <w:jc w:val="center"/>
            </w:pPr>
            <w:r w:rsidRPr="00590B64">
              <w:t>Turbidity</w:t>
            </w:r>
            <w:r>
              <w:t xml:space="preserve"> (Lab)</w:t>
            </w:r>
          </w:p>
        </w:tc>
        <w:tc>
          <w:tcPr>
            <w:tcW w:w="3083" w:type="dxa"/>
            <w:vAlign w:val="center"/>
          </w:tcPr>
          <w:p w:rsidR="00485094" w:rsidRPr="00590B64" w:rsidRDefault="00485094" w:rsidP="00453E80">
            <w:pPr>
              <w:pStyle w:val="TableText"/>
              <w:jc w:val="center"/>
            </w:pPr>
            <w:r w:rsidRPr="00590B64">
              <w:t>Method 180.1</w:t>
            </w:r>
          </w:p>
        </w:tc>
        <w:tc>
          <w:tcPr>
            <w:tcW w:w="1445" w:type="dxa"/>
            <w:vAlign w:val="center"/>
          </w:tcPr>
          <w:p w:rsidR="00485094" w:rsidRPr="00590B64" w:rsidRDefault="00485094" w:rsidP="00453E80">
            <w:pPr>
              <w:pStyle w:val="TableText"/>
              <w:jc w:val="center"/>
            </w:pPr>
            <w:r>
              <w:t>T</w:t>
            </w:r>
          </w:p>
        </w:tc>
        <w:tc>
          <w:tcPr>
            <w:tcW w:w="1445" w:type="dxa"/>
            <w:vAlign w:val="center"/>
          </w:tcPr>
          <w:p w:rsidR="00485094" w:rsidRPr="00590B64" w:rsidRDefault="00485094" w:rsidP="00453E80">
            <w:pPr>
              <w:pStyle w:val="TableText"/>
              <w:jc w:val="center"/>
            </w:pPr>
            <w:r>
              <w:t>T</w:t>
            </w:r>
          </w:p>
        </w:tc>
      </w:tr>
      <w:tr w:rsidR="00485094" w:rsidRPr="000F352A" w:rsidTr="00453E80">
        <w:trPr>
          <w:trHeight w:val="235"/>
          <w:jc w:val="center"/>
        </w:trPr>
        <w:tc>
          <w:tcPr>
            <w:tcW w:w="3274" w:type="dxa"/>
            <w:shd w:val="clear" w:color="auto" w:fill="FFFFCC"/>
            <w:vAlign w:val="center"/>
          </w:tcPr>
          <w:p w:rsidR="00485094" w:rsidRPr="00590B64" w:rsidRDefault="00485094" w:rsidP="00453E80">
            <w:pPr>
              <w:pStyle w:val="TableText"/>
              <w:jc w:val="center"/>
            </w:pPr>
            <w:r w:rsidRPr="00590B64">
              <w:t>Specific Conductance (Lab)</w:t>
            </w:r>
          </w:p>
        </w:tc>
        <w:tc>
          <w:tcPr>
            <w:tcW w:w="3083" w:type="dxa"/>
            <w:vAlign w:val="center"/>
          </w:tcPr>
          <w:p w:rsidR="00485094" w:rsidRPr="00590B64" w:rsidRDefault="00485094" w:rsidP="00453E80">
            <w:pPr>
              <w:pStyle w:val="TableText"/>
              <w:jc w:val="center"/>
            </w:pPr>
            <w:r w:rsidRPr="00590B64">
              <w:t>Method 120.1</w:t>
            </w:r>
          </w:p>
        </w:tc>
        <w:tc>
          <w:tcPr>
            <w:tcW w:w="1445" w:type="dxa"/>
            <w:vAlign w:val="center"/>
          </w:tcPr>
          <w:p w:rsidR="00485094" w:rsidRPr="00590B64" w:rsidRDefault="00485094" w:rsidP="00453E80">
            <w:pPr>
              <w:pStyle w:val="TableText"/>
              <w:jc w:val="center"/>
            </w:pPr>
            <w:r w:rsidRPr="00590B64">
              <w:t>T</w:t>
            </w:r>
          </w:p>
        </w:tc>
        <w:tc>
          <w:tcPr>
            <w:tcW w:w="1445" w:type="dxa"/>
            <w:vAlign w:val="center"/>
          </w:tcPr>
          <w:p w:rsidR="00485094" w:rsidRPr="00590B64" w:rsidRDefault="00485094" w:rsidP="00453E80">
            <w:pPr>
              <w:pStyle w:val="TableText"/>
              <w:jc w:val="center"/>
            </w:pPr>
            <w:r>
              <w:t>D/T</w:t>
            </w:r>
            <w:r w:rsidRPr="00F13A39">
              <w:rPr>
                <w:vertAlign w:val="superscript"/>
                <w:lang w:val="pt-BR"/>
              </w:rPr>
              <w:t>1</w:t>
            </w:r>
            <w:r>
              <w:rPr>
                <w:vertAlign w:val="superscript"/>
                <w:lang w:val="pt-BR"/>
              </w:rPr>
              <w:t>,</w:t>
            </w:r>
            <w:r w:rsidRPr="00105925">
              <w:rPr>
                <w:vertAlign w:val="superscript"/>
              </w:rPr>
              <w:t>2</w:t>
            </w:r>
          </w:p>
        </w:tc>
      </w:tr>
      <w:tr w:rsidR="00485094" w:rsidRPr="000F352A" w:rsidTr="00453E80">
        <w:trPr>
          <w:trHeight w:val="235"/>
          <w:jc w:val="center"/>
        </w:trPr>
        <w:tc>
          <w:tcPr>
            <w:tcW w:w="3274" w:type="dxa"/>
            <w:shd w:val="clear" w:color="auto" w:fill="FFFFCC"/>
            <w:vAlign w:val="center"/>
          </w:tcPr>
          <w:p w:rsidR="00485094" w:rsidRPr="00590B64" w:rsidRDefault="00485094" w:rsidP="00453E80">
            <w:pPr>
              <w:pStyle w:val="TableText"/>
              <w:jc w:val="center"/>
            </w:pPr>
            <w:r w:rsidRPr="00590B64">
              <w:t>Color</w:t>
            </w:r>
          </w:p>
        </w:tc>
        <w:tc>
          <w:tcPr>
            <w:tcW w:w="3083" w:type="dxa"/>
            <w:vAlign w:val="center"/>
          </w:tcPr>
          <w:p w:rsidR="00485094" w:rsidRPr="00590B64" w:rsidRDefault="00485094" w:rsidP="00453E80">
            <w:pPr>
              <w:pStyle w:val="TableText"/>
              <w:jc w:val="center"/>
            </w:pPr>
            <w:r>
              <w:t>Method 100.2</w:t>
            </w:r>
          </w:p>
        </w:tc>
        <w:tc>
          <w:tcPr>
            <w:tcW w:w="1445" w:type="dxa"/>
            <w:vAlign w:val="center"/>
          </w:tcPr>
          <w:p w:rsidR="00485094" w:rsidRPr="00590B64" w:rsidRDefault="00485094" w:rsidP="00453E80">
            <w:pPr>
              <w:pStyle w:val="TableText"/>
              <w:jc w:val="center"/>
            </w:pPr>
            <w:r w:rsidRPr="00590B64">
              <w:t>T</w:t>
            </w:r>
          </w:p>
        </w:tc>
        <w:tc>
          <w:tcPr>
            <w:tcW w:w="1445" w:type="dxa"/>
            <w:vAlign w:val="center"/>
          </w:tcPr>
          <w:p w:rsidR="00485094" w:rsidRPr="00590B64" w:rsidRDefault="00485094" w:rsidP="00453E80">
            <w:pPr>
              <w:pStyle w:val="TableText"/>
              <w:jc w:val="center"/>
            </w:pPr>
            <w:r w:rsidRPr="00590B64">
              <w:t>T</w:t>
            </w:r>
          </w:p>
        </w:tc>
      </w:tr>
      <w:tr w:rsidR="00485094" w:rsidRPr="000F352A" w:rsidTr="00453E80">
        <w:trPr>
          <w:trHeight w:val="235"/>
          <w:jc w:val="center"/>
        </w:trPr>
        <w:tc>
          <w:tcPr>
            <w:tcW w:w="3274" w:type="dxa"/>
            <w:shd w:val="clear" w:color="auto" w:fill="FFFFCC"/>
            <w:vAlign w:val="center"/>
          </w:tcPr>
          <w:p w:rsidR="00485094" w:rsidRPr="00590B64" w:rsidRDefault="00485094" w:rsidP="00453E80">
            <w:pPr>
              <w:pStyle w:val="TableText"/>
              <w:jc w:val="center"/>
            </w:pPr>
            <w:r w:rsidRPr="00590B64">
              <w:t>Total Suspended Solids</w:t>
            </w:r>
          </w:p>
        </w:tc>
        <w:tc>
          <w:tcPr>
            <w:tcW w:w="3083" w:type="dxa"/>
            <w:vAlign w:val="center"/>
          </w:tcPr>
          <w:p w:rsidR="00485094" w:rsidRPr="00590B64" w:rsidRDefault="00485094" w:rsidP="00453E80">
            <w:pPr>
              <w:pStyle w:val="TableText"/>
              <w:jc w:val="center"/>
            </w:pPr>
            <w:r>
              <w:t>Method 160.1</w:t>
            </w:r>
          </w:p>
        </w:tc>
        <w:tc>
          <w:tcPr>
            <w:tcW w:w="1445" w:type="dxa"/>
            <w:vAlign w:val="center"/>
          </w:tcPr>
          <w:p w:rsidR="00485094" w:rsidRPr="00590B64" w:rsidRDefault="00485094" w:rsidP="00453E80">
            <w:pPr>
              <w:pStyle w:val="TableText"/>
              <w:jc w:val="center"/>
            </w:pPr>
            <w:r w:rsidRPr="00590B64">
              <w:t>T</w:t>
            </w:r>
          </w:p>
        </w:tc>
        <w:tc>
          <w:tcPr>
            <w:tcW w:w="1445" w:type="dxa"/>
            <w:vAlign w:val="center"/>
          </w:tcPr>
          <w:p w:rsidR="00485094" w:rsidRPr="00590B64" w:rsidRDefault="00485094" w:rsidP="00453E80">
            <w:pPr>
              <w:pStyle w:val="TableText"/>
              <w:jc w:val="center"/>
            </w:pPr>
            <w:r w:rsidRPr="00590B64">
              <w:t>T</w:t>
            </w:r>
          </w:p>
        </w:tc>
      </w:tr>
      <w:tr w:rsidR="00485094" w:rsidRPr="000F352A" w:rsidTr="00453E80">
        <w:trPr>
          <w:trHeight w:val="235"/>
          <w:jc w:val="center"/>
        </w:trPr>
        <w:tc>
          <w:tcPr>
            <w:tcW w:w="3274" w:type="dxa"/>
            <w:tcBorders>
              <w:bottom w:val="single" w:sz="4" w:space="0" w:color="auto"/>
            </w:tcBorders>
            <w:shd w:val="clear" w:color="auto" w:fill="FFFFCC"/>
            <w:vAlign w:val="center"/>
          </w:tcPr>
          <w:p w:rsidR="00485094" w:rsidRPr="00590B64" w:rsidRDefault="00485094" w:rsidP="00453E80">
            <w:pPr>
              <w:pStyle w:val="TableText"/>
              <w:jc w:val="center"/>
            </w:pPr>
            <w:r w:rsidRPr="00590B64">
              <w:t>Total Dissolved Solids</w:t>
            </w:r>
          </w:p>
        </w:tc>
        <w:tc>
          <w:tcPr>
            <w:tcW w:w="3083" w:type="dxa"/>
            <w:tcBorders>
              <w:bottom w:val="single" w:sz="4" w:space="0" w:color="auto"/>
            </w:tcBorders>
            <w:vAlign w:val="center"/>
          </w:tcPr>
          <w:p w:rsidR="00485094" w:rsidRPr="00590B64" w:rsidRDefault="00485094" w:rsidP="00453E80">
            <w:pPr>
              <w:pStyle w:val="TableText"/>
              <w:jc w:val="center"/>
            </w:pPr>
            <w:r>
              <w:t>Method 160.2</w:t>
            </w:r>
          </w:p>
        </w:tc>
        <w:tc>
          <w:tcPr>
            <w:tcW w:w="1445" w:type="dxa"/>
            <w:tcBorders>
              <w:bottom w:val="single" w:sz="4" w:space="0" w:color="auto"/>
            </w:tcBorders>
            <w:vAlign w:val="center"/>
          </w:tcPr>
          <w:p w:rsidR="00485094" w:rsidRPr="00590B64" w:rsidRDefault="00485094" w:rsidP="00453E80">
            <w:pPr>
              <w:pStyle w:val="TableText"/>
              <w:jc w:val="center"/>
            </w:pPr>
            <w:r w:rsidRPr="00590B64">
              <w:t>T</w:t>
            </w:r>
          </w:p>
        </w:tc>
        <w:tc>
          <w:tcPr>
            <w:tcW w:w="1445" w:type="dxa"/>
            <w:tcBorders>
              <w:bottom w:val="single" w:sz="4" w:space="0" w:color="auto"/>
            </w:tcBorders>
            <w:vAlign w:val="center"/>
          </w:tcPr>
          <w:p w:rsidR="00485094" w:rsidRPr="00590B64" w:rsidRDefault="00485094" w:rsidP="00453E80">
            <w:pPr>
              <w:pStyle w:val="TableText"/>
              <w:jc w:val="center"/>
            </w:pPr>
            <w:r w:rsidRPr="00590B64">
              <w:t>T</w:t>
            </w:r>
          </w:p>
        </w:tc>
      </w:tr>
    </w:tbl>
    <w:p w:rsidR="00485094" w:rsidRDefault="00485094" w:rsidP="00EA3D58">
      <w:pPr>
        <w:pStyle w:val="Bodytextreduced"/>
      </w:pPr>
    </w:p>
    <w:p w:rsidR="00485094" w:rsidRPr="002A79CF" w:rsidRDefault="00485094" w:rsidP="00EA3D58">
      <w:pPr>
        <w:pStyle w:val="Bodytextreduced"/>
      </w:pPr>
    </w:p>
    <w:p w:rsidR="00485094" w:rsidRPr="00F767F2" w:rsidRDefault="00485094" w:rsidP="00EA3D58">
      <w:pPr>
        <w:pStyle w:val="Heading3"/>
      </w:pPr>
      <w:bookmarkStart w:id="314" w:name="_Toc234030462"/>
      <w:bookmarkStart w:id="315" w:name="_Toc248209571"/>
      <w:bookmarkStart w:id="316" w:name="_Toc255822526"/>
      <w:bookmarkStart w:id="317" w:name="_Toc262464144"/>
      <w:bookmarkStart w:id="318" w:name="_Toc271279968"/>
      <w:r w:rsidRPr="00F767F2">
        <w:t>Surface Water Trend Network</w:t>
      </w:r>
      <w:bookmarkEnd w:id="314"/>
      <w:bookmarkEnd w:id="315"/>
      <w:bookmarkEnd w:id="316"/>
      <w:bookmarkEnd w:id="317"/>
      <w:bookmarkEnd w:id="318"/>
    </w:p>
    <w:p w:rsidR="00485094" w:rsidRDefault="00485094" w:rsidP="00EA3D58">
      <w:pPr>
        <w:pStyle w:val="Bodytext"/>
      </w:pPr>
      <w:r w:rsidRPr="00615965">
        <w:t xml:space="preserve">The Surface Water Trend Network consists of </w:t>
      </w:r>
      <w:r>
        <w:t>76</w:t>
      </w:r>
      <w:r w:rsidRPr="00615965">
        <w:t xml:space="preserve"> fixed sites that are sampled monthly (</w:t>
      </w:r>
      <w:r w:rsidRPr="00E67613">
        <w:rPr>
          <w:b/>
          <w:i/>
        </w:rPr>
        <w:t>Figure 5.</w:t>
      </w:r>
      <w:r>
        <w:rPr>
          <w:b/>
          <w:i/>
        </w:rPr>
        <w:t>3</w:t>
      </w:r>
      <w:r w:rsidRPr="00615965">
        <w:t>).  Most of the</w:t>
      </w:r>
      <w:r>
        <w:t>se</w:t>
      </w:r>
      <w:r w:rsidRPr="00615965">
        <w:t xml:space="preserve"> </w:t>
      </w:r>
      <w:r>
        <w:t>sites are located on the nontidal portions of rivers</w:t>
      </w:r>
      <w:r w:rsidRPr="00615965">
        <w:t xml:space="preserve"> </w:t>
      </w:r>
      <w:r>
        <w:t>at or near USGS gau</w:t>
      </w:r>
      <w:r w:rsidRPr="00615965">
        <w:t>ging stations</w:t>
      </w:r>
      <w:r>
        <w:t>, often at the lower end of a watershed</w:t>
      </w:r>
      <w:r w:rsidRPr="00615965">
        <w:t xml:space="preserve">. </w:t>
      </w:r>
      <w:r>
        <w:t xml:space="preserve"> The </w:t>
      </w:r>
      <w:r w:rsidRPr="00615965">
        <w:t>sites enable FDEP to obtain biology, chemistry</w:t>
      </w:r>
      <w:r>
        <w:t>,</w:t>
      </w:r>
      <w:r w:rsidRPr="00615965">
        <w:t xml:space="preserve"> and loading data at a point that integrates land use activities. </w:t>
      </w:r>
      <w:r>
        <w:t xml:space="preserve"> Some Surface W</w:t>
      </w:r>
      <w:r w:rsidRPr="00615965">
        <w:t xml:space="preserve">ater Trend </w:t>
      </w:r>
      <w:r>
        <w:t xml:space="preserve">Network </w:t>
      </w:r>
      <w:r w:rsidRPr="00615965">
        <w:t>sites are also located at or near the Florida boundary with Alabama and Georgia.</w:t>
      </w:r>
      <w:r>
        <w:t xml:space="preserve"> </w:t>
      </w:r>
      <w:r w:rsidRPr="00615965">
        <w:t xml:space="preserve"> These are used to obtain chemistry and loading data for </w:t>
      </w:r>
      <w:r>
        <w:t>rivers or streams</w:t>
      </w:r>
      <w:r w:rsidRPr="00615965">
        <w:t xml:space="preserve"> entering Florida. </w:t>
      </w:r>
      <w:r>
        <w:t xml:space="preserve"> </w:t>
      </w:r>
      <w:r w:rsidRPr="00613F21">
        <w:t>Data from Surface Water Trend sites are used to evaluate temporal variability in Florida’s surface water resources and determine indicator trends.  They are not designed to monitor point sources of pollution, since these sites are located away from known outfalls or other regulated sources.</w:t>
      </w:r>
    </w:p>
    <w:p w:rsidR="00485094" w:rsidRDefault="00485094" w:rsidP="00EA3D58">
      <w:pPr>
        <w:pStyle w:val="Bodytext"/>
      </w:pPr>
    </w:p>
    <w:p w:rsidR="00485094" w:rsidRPr="00856FDC" w:rsidRDefault="00485094" w:rsidP="00EA3D58">
      <w:pPr>
        <w:pStyle w:val="Heading3"/>
      </w:pPr>
      <w:bookmarkStart w:id="319" w:name="_Toc248209572"/>
      <w:bookmarkStart w:id="320" w:name="_Toc255822527"/>
      <w:bookmarkStart w:id="321" w:name="_Toc262464145"/>
      <w:bookmarkStart w:id="322" w:name="_Toc271279969"/>
      <w:r w:rsidRPr="00856FDC">
        <w:t>Ground Water Trend</w:t>
      </w:r>
      <w:r>
        <w:t xml:space="preserve"> Network</w:t>
      </w:r>
      <w:bookmarkEnd w:id="319"/>
      <w:bookmarkEnd w:id="320"/>
      <w:bookmarkEnd w:id="321"/>
      <w:bookmarkEnd w:id="322"/>
    </w:p>
    <w:p w:rsidR="00485094" w:rsidRDefault="00485094" w:rsidP="00EA3D58">
      <w:pPr>
        <w:pStyle w:val="Bodytext"/>
      </w:pPr>
      <w:r w:rsidRPr="000F332D">
        <w:t xml:space="preserve">The Ground Water </w:t>
      </w:r>
      <w:r>
        <w:t>Trend</w:t>
      </w:r>
      <w:r w:rsidRPr="000F332D">
        <w:t xml:space="preserve"> Network consists of 4</w:t>
      </w:r>
      <w:r>
        <w:t>7</w:t>
      </w:r>
      <w:r w:rsidRPr="000F332D">
        <w:t xml:space="preserve"> fixed sites </w:t>
      </w:r>
      <w:r w:rsidRPr="00236F57">
        <w:t>(</w:t>
      </w:r>
      <w:r w:rsidRPr="00E67613">
        <w:rPr>
          <w:b/>
          <w:i/>
        </w:rPr>
        <w:t>Figure 5.</w:t>
      </w:r>
      <w:r>
        <w:rPr>
          <w:b/>
          <w:i/>
        </w:rPr>
        <w:t>4</w:t>
      </w:r>
      <w:r w:rsidRPr="00E67613">
        <w:t>)</w:t>
      </w:r>
      <w:r w:rsidRPr="000F332D">
        <w:rPr>
          <w:b/>
          <w:i/>
        </w:rPr>
        <w:t xml:space="preserve"> </w:t>
      </w:r>
      <w:r w:rsidRPr="000F332D">
        <w:t xml:space="preserve">that are used to obtain chemistry and field data in confined and unconfined aquifers. </w:t>
      </w:r>
      <w:r>
        <w:t xml:space="preserve"> </w:t>
      </w:r>
      <w:r w:rsidRPr="000F332D">
        <w:t>These data are used to quantify temporal variability in ground water resources</w:t>
      </w:r>
      <w:r>
        <w:t xml:space="preserve">.  </w:t>
      </w:r>
      <w:r w:rsidRPr="000F332D">
        <w:t xml:space="preserve">Water samples are collected quarterly at all wells in the </w:t>
      </w:r>
      <w:r>
        <w:t>Ground Water Trend</w:t>
      </w:r>
      <w:r w:rsidRPr="000F332D">
        <w:t xml:space="preserve"> Network. </w:t>
      </w:r>
      <w:r>
        <w:t xml:space="preserve"> </w:t>
      </w:r>
      <w:r w:rsidRPr="000F332D">
        <w:t>Field analytes are measured monthly at the unconfined</w:t>
      </w:r>
      <w:r>
        <w:t xml:space="preserve"> </w:t>
      </w:r>
      <w:r w:rsidRPr="000F332D">
        <w:t>aquifer sites.  A land</w:t>
      </w:r>
      <w:r>
        <w:t xml:space="preserve"> </w:t>
      </w:r>
      <w:r w:rsidRPr="000F332D">
        <w:t>use form</w:t>
      </w:r>
      <w:r>
        <w:t>,</w:t>
      </w:r>
      <w:r w:rsidRPr="000F332D">
        <w:t xml:space="preserve"> completed </w:t>
      </w:r>
      <w:r>
        <w:t xml:space="preserve">at all sites </w:t>
      </w:r>
      <w:r w:rsidRPr="000F332D">
        <w:t>annually</w:t>
      </w:r>
      <w:r>
        <w:t>, aids in determining potential sources of contamination for ground water resources</w:t>
      </w:r>
      <w:r w:rsidRPr="000F332D">
        <w:t>.</w:t>
      </w:r>
    </w:p>
    <w:p w:rsidR="00485094" w:rsidRDefault="00485094" w:rsidP="00EA3D58">
      <w:pPr>
        <w:pStyle w:val="Bodytext"/>
      </w:pPr>
    </w:p>
    <w:p w:rsidR="00485094" w:rsidRDefault="00485094" w:rsidP="00EA3D58">
      <w:pPr>
        <w:pStyle w:val="Heading4"/>
      </w:pPr>
      <w:r>
        <w:t>Trend Network C</w:t>
      </w:r>
      <w:r w:rsidRPr="00B4598C">
        <w:t>ore and Suppleme</w:t>
      </w:r>
      <w:r>
        <w:t>ntal Indicators</w:t>
      </w:r>
    </w:p>
    <w:p w:rsidR="00485094" w:rsidRPr="00E67613" w:rsidRDefault="00485094" w:rsidP="00EA3D58">
      <w:pPr>
        <w:pStyle w:val="Bodytext"/>
      </w:pPr>
      <w:r w:rsidRPr="00E67613">
        <w:t>For data comparability,</w:t>
      </w:r>
      <w:r w:rsidRPr="00E67613" w:rsidDel="00B96C0D">
        <w:t xml:space="preserve"> </w:t>
      </w:r>
      <w:r w:rsidRPr="00E67613">
        <w:t>many of the same indicators are included in both the Status and Trend Network indicator lists.  To maintain the historical aspect of the data, changes to the indicator list are minimized but not restricted.</w:t>
      </w:r>
    </w:p>
    <w:p w:rsidR="00485094" w:rsidRDefault="00485094" w:rsidP="00EA3D58">
      <w:pPr>
        <w:pStyle w:val="Bodytext"/>
      </w:pPr>
    </w:p>
    <w:p w:rsidR="00485094" w:rsidRDefault="00485094" w:rsidP="00EA3D58">
      <w:pPr>
        <w:pStyle w:val="Bodytextreduced"/>
      </w:pPr>
      <w:r>
        <w:br w:type="page"/>
      </w:r>
    </w:p>
    <w:p w:rsidR="00485094" w:rsidRDefault="00485094" w:rsidP="00EA3D58">
      <w:pPr>
        <w:pStyle w:val="Caption"/>
      </w:pPr>
      <w:bookmarkStart w:id="323" w:name="_Toc243369010"/>
      <w:bookmarkStart w:id="324" w:name="_Toc262464292"/>
      <w:bookmarkStart w:id="325" w:name="_Toc271280144"/>
      <w:r w:rsidRPr="00F52EDE">
        <w:t>F</w:t>
      </w:r>
      <w:r>
        <w:t>igure 5.3.  Su</w:t>
      </w:r>
      <w:r w:rsidRPr="00F52EDE">
        <w:t xml:space="preserve">rface Water Trend Network </w:t>
      </w:r>
      <w:r>
        <w:t>S</w:t>
      </w:r>
      <w:r w:rsidRPr="00F52EDE">
        <w:t>ites</w:t>
      </w:r>
      <w:bookmarkEnd w:id="323"/>
      <w:bookmarkEnd w:id="324"/>
      <w:bookmarkEnd w:id="325"/>
      <w:r w:rsidRPr="00856FDC">
        <w:t xml:space="preserve"> </w:t>
      </w:r>
    </w:p>
    <w:p w:rsidR="00485094" w:rsidRDefault="001717CD" w:rsidP="00EA3D58">
      <w:pPr>
        <w:pStyle w:val="Bodytextreduced"/>
      </w:pPr>
      <w:r>
        <w:rPr>
          <w:noProof/>
        </w:rPr>
        <w:drawing>
          <wp:anchor distT="0" distB="0" distL="114300" distR="114300" simplePos="0" relativeHeight="251652608" behindDoc="0" locked="0" layoutInCell="1" allowOverlap="1">
            <wp:simplePos x="0" y="0"/>
            <wp:positionH relativeFrom="column">
              <wp:align>center</wp:align>
            </wp:positionH>
            <wp:positionV relativeFrom="paragraph">
              <wp:posOffset>263525</wp:posOffset>
            </wp:positionV>
            <wp:extent cx="5504815" cy="6146800"/>
            <wp:effectExtent l="19050" t="0" r="635" b="0"/>
            <wp:wrapTopAndBottom/>
            <wp:docPr id="49" name="Picture 4" descr="Figure 5.3.  Surface Water Trend Network Sites.  This is a map of the state of Florida showing the location of the surface water trend st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5.3.  Surface Water Trend Network Sites "/>
                    <pic:cNvPicPr>
                      <a:picLocks noChangeAspect="1" noChangeArrowheads="1"/>
                    </pic:cNvPicPr>
                  </pic:nvPicPr>
                  <pic:blipFill>
                    <a:blip r:embed="rId71"/>
                    <a:srcRect/>
                    <a:stretch>
                      <a:fillRect/>
                    </a:stretch>
                  </pic:blipFill>
                  <pic:spPr bwMode="auto">
                    <a:xfrm>
                      <a:off x="0" y="0"/>
                      <a:ext cx="5504815" cy="6146800"/>
                    </a:xfrm>
                    <a:prstGeom prst="rect">
                      <a:avLst/>
                    </a:prstGeom>
                    <a:noFill/>
                    <a:ln w="9525">
                      <a:noFill/>
                      <a:miter lim="800000"/>
                      <a:headEnd/>
                      <a:tailEnd/>
                    </a:ln>
                  </pic:spPr>
                </pic:pic>
              </a:graphicData>
            </a:graphic>
          </wp:anchor>
        </w:drawing>
      </w:r>
      <w:r w:rsidR="00485094" w:rsidRPr="00856FDC">
        <w:br w:type="page"/>
      </w:r>
      <w:bookmarkStart w:id="326" w:name="_Toc243369011"/>
    </w:p>
    <w:p w:rsidR="00485094" w:rsidRPr="00F52EDE" w:rsidRDefault="00485094" w:rsidP="00EA3D58">
      <w:pPr>
        <w:pStyle w:val="Caption"/>
      </w:pPr>
      <w:bookmarkStart w:id="327" w:name="_Toc262464293"/>
      <w:bookmarkStart w:id="328" w:name="_Toc271280145"/>
      <w:r w:rsidRPr="00F52EDE">
        <w:t xml:space="preserve">Figure </w:t>
      </w:r>
      <w:r>
        <w:t>5.4</w:t>
      </w:r>
      <w:r w:rsidRPr="00F52EDE">
        <w:t>.</w:t>
      </w:r>
      <w:r>
        <w:t xml:space="preserve">  </w:t>
      </w:r>
      <w:r w:rsidRPr="00F52EDE">
        <w:t xml:space="preserve">Ground Water Trend </w:t>
      </w:r>
      <w:r>
        <w:t>Network S</w:t>
      </w:r>
      <w:r w:rsidRPr="00F52EDE">
        <w:t>ites</w:t>
      </w:r>
      <w:bookmarkEnd w:id="326"/>
      <w:bookmarkEnd w:id="327"/>
      <w:bookmarkEnd w:id="328"/>
    </w:p>
    <w:p w:rsidR="00485094" w:rsidRDefault="00485094" w:rsidP="00EA3D58"/>
    <w:p w:rsidR="00485094" w:rsidRPr="00613F21" w:rsidRDefault="001717CD" w:rsidP="00EA3D58">
      <w:pPr>
        <w:pStyle w:val="Bodytextreduced"/>
      </w:pPr>
      <w:r>
        <w:rPr>
          <w:noProof/>
        </w:rPr>
        <w:drawing>
          <wp:anchor distT="0" distB="0" distL="114300" distR="114300" simplePos="0" relativeHeight="251653632" behindDoc="0" locked="0" layoutInCell="1" allowOverlap="1">
            <wp:simplePos x="0" y="0"/>
            <wp:positionH relativeFrom="column">
              <wp:align>center</wp:align>
            </wp:positionH>
            <wp:positionV relativeFrom="paragraph">
              <wp:posOffset>27305</wp:posOffset>
            </wp:positionV>
            <wp:extent cx="5376545" cy="6011545"/>
            <wp:effectExtent l="19050" t="0" r="0" b="0"/>
            <wp:wrapTopAndBottom/>
            <wp:docPr id="48" name="Picture 1" descr="Figure 5.4.  Ground Water Trend Network Sites.  This is a map of the state of Florida showing the location of the groundwater trend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5.4.  Ground Water Trend Network Sites"/>
                    <pic:cNvPicPr>
                      <a:picLocks noChangeAspect="1" noChangeArrowheads="1"/>
                    </pic:cNvPicPr>
                  </pic:nvPicPr>
                  <pic:blipFill>
                    <a:blip r:embed="rId72"/>
                    <a:srcRect/>
                    <a:stretch>
                      <a:fillRect/>
                    </a:stretch>
                  </pic:blipFill>
                  <pic:spPr bwMode="auto">
                    <a:xfrm>
                      <a:off x="0" y="0"/>
                      <a:ext cx="5376545" cy="6011545"/>
                    </a:xfrm>
                    <a:prstGeom prst="rect">
                      <a:avLst/>
                    </a:prstGeom>
                    <a:noFill/>
                    <a:ln w="9525">
                      <a:noFill/>
                      <a:miter lim="800000"/>
                      <a:headEnd/>
                      <a:tailEnd/>
                    </a:ln>
                  </pic:spPr>
                </pic:pic>
              </a:graphicData>
            </a:graphic>
          </wp:anchor>
        </w:drawing>
      </w:r>
      <w:r w:rsidR="00485094">
        <w:br w:type="page"/>
      </w:r>
    </w:p>
    <w:p w:rsidR="00485094" w:rsidRPr="000E78D1" w:rsidRDefault="00485094" w:rsidP="00EA3D58">
      <w:pPr>
        <w:pStyle w:val="Heading4"/>
        <w:rPr>
          <w:rFonts w:ascii="Tahoma" w:hAnsi="Tahoma" w:cs="Tahoma"/>
          <w:b w:val="0"/>
        </w:rPr>
      </w:pPr>
      <w:r w:rsidRPr="000E78D1">
        <w:t>D</w:t>
      </w:r>
      <w:r>
        <w:t>ata Evaluation</w:t>
      </w:r>
    </w:p>
    <w:p w:rsidR="00485094" w:rsidRDefault="00485094" w:rsidP="00EA3D58">
      <w:pPr>
        <w:pStyle w:val="Bodytext"/>
      </w:pPr>
      <w:r>
        <w:t>Prior to data analyses for Status and Trend reporting, all data were checked to ensure the accuracy of the results.  Data from the Status Network that were qualified with an F, O, V</w:t>
      </w:r>
      <w:r w:rsidR="003D799D">
        <w:t>,</w:t>
      </w:r>
      <w:r>
        <w:t xml:space="preserve"> or Y were excluded before any analysis was conducted.</w:t>
      </w:r>
      <w:r>
        <w:rPr>
          <w:rStyle w:val="FootnoteReference"/>
        </w:rPr>
        <w:footnoteReference w:id="4"/>
      </w:r>
      <w:r>
        <w:t xml:space="preserve">  All remaining data were used.  </w:t>
      </w:r>
    </w:p>
    <w:p w:rsidR="00485094" w:rsidRDefault="00485094" w:rsidP="00EA3D58">
      <w:pPr>
        <w:pStyle w:val="Bodytext"/>
      </w:pPr>
    </w:p>
    <w:p w:rsidR="00485094" w:rsidRDefault="00485094" w:rsidP="00EA3D58">
      <w:pPr>
        <w:pStyle w:val="Bodytext"/>
      </w:pPr>
      <w:r>
        <w:t xml:space="preserve">In the Trend Network, several stations—3 surface water and 3 ground water—were either recently added to the network or do not have enough data, for a variety of reasons, to conduct a Seasonal Kendall (SK) analysis.  The SK analysis requires a reasonable amount of data—2 seasons and 12 data points—to reduce the influence of season during data analysis.  It is a nonparametric test that is easy to compute, even in the presence of missing values or censored values, and is insensitive to outliers. </w:t>
      </w:r>
    </w:p>
    <w:p w:rsidR="00485094" w:rsidRDefault="00485094" w:rsidP="00EA3D58">
      <w:pPr>
        <w:pStyle w:val="Bodytext"/>
      </w:pPr>
    </w:p>
    <w:p w:rsidR="00485094" w:rsidRPr="00944B6E" w:rsidRDefault="00485094" w:rsidP="00EA3D58">
      <w:pPr>
        <w:pStyle w:val="Bodytext"/>
      </w:pPr>
      <w:r w:rsidRPr="00944B6E">
        <w:t xml:space="preserve">The statewide assessments provide a broad overview of the results obtained by the Status Network, while </w:t>
      </w:r>
      <w:proofErr w:type="spellStart"/>
      <w:r w:rsidRPr="00944B6E">
        <w:t>basinwide</w:t>
      </w:r>
      <w:proofErr w:type="spellEnd"/>
      <w:r w:rsidRPr="00944B6E">
        <w:t xml:space="preserve"> results may depict areas of concern for specific in</w:t>
      </w:r>
      <w:r w:rsidRPr="00986324">
        <w:t>dicators.  Statewide assessments can hide or minimize the impact an indicator may have at the basin level.</w:t>
      </w:r>
      <w:r>
        <w:t xml:space="preserve"> </w:t>
      </w:r>
      <w:r w:rsidRPr="00986324">
        <w:t xml:space="preserve"> In </w:t>
      </w:r>
      <w:r>
        <w:t>an effort to provide</w:t>
      </w:r>
      <w:r w:rsidRPr="00944B6E">
        <w:t xml:space="preserve"> all the results beyond the statewide assessments, </w:t>
      </w:r>
      <w:r w:rsidRPr="00C20B1C">
        <w:rPr>
          <w:b/>
        </w:rPr>
        <w:t xml:space="preserve">Appendices </w:t>
      </w:r>
      <w:r>
        <w:rPr>
          <w:b/>
        </w:rPr>
        <w:t>A</w:t>
      </w:r>
      <w:r>
        <w:t xml:space="preserve"> and </w:t>
      </w:r>
      <w:r>
        <w:rPr>
          <w:b/>
        </w:rPr>
        <w:t>C</w:t>
      </w:r>
      <w:r w:rsidRPr="00944B6E">
        <w:t xml:space="preserve"> </w:t>
      </w:r>
      <w:r>
        <w:t xml:space="preserve">contain </w:t>
      </w:r>
      <w:r w:rsidRPr="00944B6E">
        <w:t xml:space="preserve">tables </w:t>
      </w:r>
      <w:r>
        <w:t>presenting</w:t>
      </w:r>
      <w:r w:rsidRPr="00944B6E">
        <w:t xml:space="preserve"> the results </w:t>
      </w:r>
      <w:r>
        <w:t xml:space="preserve">for each basin </w:t>
      </w:r>
      <w:r w:rsidRPr="00944B6E">
        <w:t>and maps to visually depict those results.</w:t>
      </w:r>
    </w:p>
    <w:p w:rsidR="00485094" w:rsidRDefault="00485094" w:rsidP="00EA3D58">
      <w:pPr>
        <w:pStyle w:val="Bodytext"/>
      </w:pPr>
    </w:p>
    <w:p w:rsidR="00485094" w:rsidRDefault="00485094" w:rsidP="00EA3D58">
      <w:pPr>
        <w:pStyle w:val="Bodytext"/>
      </w:pPr>
      <w:r>
        <w:t xml:space="preserve">Not all resources occur in every basin—for example, there are </w:t>
      </w:r>
      <w:r w:rsidRPr="00D53BE0">
        <w:t>no river resource</w:t>
      </w:r>
      <w:r>
        <w:t>s</w:t>
      </w:r>
      <w:r w:rsidRPr="00D53BE0">
        <w:t xml:space="preserve"> in the Tampa Bay, Charlotte Harbor, Florida Keys, and Indian River Lagoon Basins</w:t>
      </w:r>
      <w:r>
        <w:t>.  When no samples are collected, basin-specific</w:t>
      </w:r>
      <w:r w:rsidRPr="00D53BE0">
        <w:t xml:space="preserve"> results </w:t>
      </w:r>
      <w:r>
        <w:t>(</w:t>
      </w:r>
      <w:r w:rsidRPr="001635B4">
        <w:rPr>
          <w:b/>
        </w:rPr>
        <w:t xml:space="preserve">Appendices </w:t>
      </w:r>
      <w:r>
        <w:rPr>
          <w:b/>
        </w:rPr>
        <w:t>A</w:t>
      </w:r>
      <w:r w:rsidRPr="00595A93">
        <w:t xml:space="preserve"> and</w:t>
      </w:r>
      <w:r>
        <w:t xml:space="preserve"> </w:t>
      </w:r>
      <w:r>
        <w:rPr>
          <w:b/>
        </w:rPr>
        <w:t>C</w:t>
      </w:r>
      <w:r>
        <w:t>) are not reported.  When significantly fewer than 30 samples per resource per basin</w:t>
      </w:r>
      <w:r w:rsidRPr="0069466F">
        <w:t xml:space="preserve"> </w:t>
      </w:r>
      <w:r>
        <w:t>are collected, the results are</w:t>
      </w:r>
      <w:r w:rsidRPr="00D53BE0">
        <w:t xml:space="preserve"> reported </w:t>
      </w:r>
      <w:r>
        <w:t>with an error</w:t>
      </w:r>
      <w:r w:rsidRPr="00D53BE0">
        <w:t xml:space="preserve"> estimate </w:t>
      </w:r>
      <w:r>
        <w:t xml:space="preserve">associated with </w:t>
      </w:r>
      <w:r w:rsidR="003D799D">
        <w:t xml:space="preserve">the </w:t>
      </w:r>
      <w:r>
        <w:t xml:space="preserve">threshold </w:t>
      </w:r>
      <w:r w:rsidRPr="00D53BE0">
        <w:t>value</w:t>
      </w:r>
      <w:r>
        <w:t>.  All samples collected are included in the statewide assessment.</w:t>
      </w:r>
    </w:p>
    <w:p w:rsidR="00485094" w:rsidRDefault="00485094" w:rsidP="00EA3D58">
      <w:pPr>
        <w:pStyle w:val="Bodytext"/>
      </w:pPr>
    </w:p>
    <w:p w:rsidR="00485094" w:rsidRDefault="00485094" w:rsidP="00EA3D58">
      <w:pPr>
        <w:pStyle w:val="Bodytextreduced"/>
      </w:pPr>
      <w:r>
        <w:br w:type="page"/>
      </w:r>
    </w:p>
    <w:p w:rsidR="00485094" w:rsidRPr="00D53BE0" w:rsidRDefault="00485094" w:rsidP="00692F31">
      <w:pPr>
        <w:pStyle w:val="Heading1"/>
      </w:pPr>
      <w:bookmarkStart w:id="329" w:name="_Chapter_6:_"/>
      <w:bookmarkStart w:id="330" w:name="_Toc134347393"/>
      <w:bookmarkStart w:id="331" w:name="_Toc255822528"/>
      <w:bookmarkStart w:id="332" w:name="_Toc262464146"/>
      <w:bookmarkStart w:id="333" w:name="_Toc271279970"/>
      <w:bookmarkStart w:id="334" w:name="_Toc255822535"/>
      <w:bookmarkEnd w:id="329"/>
      <w:r>
        <w:t xml:space="preserve">Chapter 6:  Results of the Status and trend NeTWORK Assessments </w:t>
      </w:r>
      <w:r w:rsidRPr="00D53BE0">
        <w:t>for 2004</w:t>
      </w:r>
      <w:bookmarkEnd w:id="330"/>
      <w:r>
        <w:t>–</w:t>
      </w:r>
      <w:r w:rsidRPr="00D53BE0">
        <w:t>08</w:t>
      </w:r>
      <w:bookmarkEnd w:id="331"/>
      <w:bookmarkEnd w:id="332"/>
      <w:bookmarkEnd w:id="333"/>
    </w:p>
    <w:p w:rsidR="00485094" w:rsidRDefault="00485094" w:rsidP="00692F31">
      <w:pPr>
        <w:pStyle w:val="Bodytextreduced"/>
      </w:pPr>
    </w:p>
    <w:p w:rsidR="00485094" w:rsidRDefault="00485094" w:rsidP="00692F31">
      <w:pPr>
        <w:pStyle w:val="Heading2"/>
      </w:pPr>
      <w:bookmarkStart w:id="335" w:name="_Toc255822529"/>
      <w:bookmarkStart w:id="336" w:name="_Toc262464147"/>
      <w:bookmarkStart w:id="337" w:name="_Toc271279971"/>
      <w:r>
        <w:t>Summary of Status Network Surface Water Results</w:t>
      </w:r>
      <w:bookmarkEnd w:id="335"/>
      <w:bookmarkEnd w:id="336"/>
      <w:bookmarkEnd w:id="337"/>
    </w:p>
    <w:p w:rsidR="00485094" w:rsidRDefault="00485094" w:rsidP="00692F31">
      <w:pPr>
        <w:pStyle w:val="Heading3"/>
      </w:pPr>
      <w:bookmarkStart w:id="338" w:name="_Toc255822530"/>
      <w:bookmarkStart w:id="339" w:name="_Toc262464148"/>
      <w:bookmarkStart w:id="340" w:name="_Toc271279972"/>
      <w:r>
        <w:t>Introduction</w:t>
      </w:r>
      <w:bookmarkEnd w:id="338"/>
      <w:bookmarkEnd w:id="339"/>
      <w:bookmarkEnd w:id="340"/>
    </w:p>
    <w:p w:rsidR="00485094" w:rsidRDefault="00485094" w:rsidP="00692F31">
      <w:pPr>
        <w:pStyle w:val="Bodytext"/>
      </w:pPr>
      <w:r>
        <w:t xml:space="preserve">The probabilistic </w:t>
      </w:r>
      <w:r w:rsidRPr="00D53BE0">
        <w:t xml:space="preserve">approach </w:t>
      </w:r>
      <w:r>
        <w:t xml:space="preserve">discussed in </w:t>
      </w:r>
      <w:hyperlink w:anchor="_Chapter_5._" w:history="1">
        <w:r w:rsidRPr="00295CB2">
          <w:rPr>
            <w:rStyle w:val="Hyperlink"/>
          </w:rPr>
          <w:t>Chapter 5</w:t>
        </w:r>
      </w:hyperlink>
      <w:r>
        <w:t xml:space="preserve"> </w:t>
      </w:r>
      <w:r w:rsidRPr="00D53BE0">
        <w:t xml:space="preserve">was used </w:t>
      </w:r>
      <w:r>
        <w:t xml:space="preserve">to </w:t>
      </w:r>
      <w:r w:rsidRPr="00D53BE0">
        <w:t xml:space="preserve">sample and report on </w:t>
      </w:r>
      <w:r>
        <w:t>the condition of surface water</w:t>
      </w:r>
      <w:r w:rsidRPr="00D53BE0">
        <w:t xml:space="preserve"> resources from the entire state.  </w:t>
      </w:r>
      <w:r>
        <w:t>Two levels of assessment were conducted:  first, basin assessments (</w:t>
      </w:r>
      <w:r w:rsidRPr="001635B4">
        <w:rPr>
          <w:b/>
        </w:rPr>
        <w:t xml:space="preserve">Appendix </w:t>
      </w:r>
      <w:r>
        <w:rPr>
          <w:b/>
        </w:rPr>
        <w:t>A</w:t>
      </w:r>
      <w:r>
        <w:t xml:space="preserve">), and second, a statewide assessment, which is summarized here.  </w:t>
      </w:r>
    </w:p>
    <w:p w:rsidR="00485094" w:rsidRDefault="00485094" w:rsidP="00692F31">
      <w:pPr>
        <w:pStyle w:val="Bodytext"/>
      </w:pPr>
    </w:p>
    <w:p w:rsidR="00485094" w:rsidRDefault="00485094" w:rsidP="00692F31">
      <w:pPr>
        <w:pStyle w:val="Bodytext"/>
      </w:pPr>
      <w:r w:rsidRPr="00D53BE0">
        <w:t xml:space="preserve">Four surface water resources were assessed: </w:t>
      </w:r>
      <w:r>
        <w:t xml:space="preserve"> </w:t>
      </w:r>
      <w:r w:rsidRPr="00D53BE0">
        <w:t>rivers</w:t>
      </w:r>
      <w:r>
        <w:t xml:space="preserve">, </w:t>
      </w:r>
      <w:r w:rsidRPr="00D53BE0">
        <w:t>streams</w:t>
      </w:r>
      <w:r>
        <w:t>,</w:t>
      </w:r>
      <w:r w:rsidRPr="00D53BE0">
        <w:t xml:space="preserve"> large lakes, </w:t>
      </w:r>
      <w:r>
        <w:t xml:space="preserve">and </w:t>
      </w:r>
      <w:r w:rsidRPr="00D53BE0">
        <w:t xml:space="preserve">small lakes.  </w:t>
      </w:r>
      <w:r w:rsidRPr="004B442C">
        <w:rPr>
          <w:b/>
          <w:i/>
        </w:rPr>
        <w:t>Table 6.1</w:t>
      </w:r>
      <w:r w:rsidRPr="004B442C">
        <w:t xml:space="preserve"> summarizes the miles of rivers and streams, and acres and numbers of large and</w:t>
      </w:r>
      <w:r>
        <w:t xml:space="preserve"> small </w:t>
      </w:r>
      <w:r w:rsidRPr="00D53BE0">
        <w:t>lakes</w:t>
      </w:r>
      <w:r>
        <w:t>,</w:t>
      </w:r>
      <w:r w:rsidRPr="00D53BE0">
        <w:t xml:space="preserve"> </w:t>
      </w:r>
      <w:r>
        <w:t>for</w:t>
      </w:r>
      <w:r w:rsidRPr="00D53BE0">
        <w:t xml:space="preserve"> the waters assessed.  Approximately 30 samples were collected from each resource for the 29 basins throughout the state</w:t>
      </w:r>
      <w:r>
        <w:t>.</w:t>
      </w:r>
      <w:r w:rsidRPr="00D53BE0">
        <w:t xml:space="preserve"> </w:t>
      </w:r>
    </w:p>
    <w:p w:rsidR="00485094" w:rsidRPr="00D53BE0" w:rsidRDefault="00485094" w:rsidP="00692F31"/>
    <w:p w:rsidR="00485094" w:rsidRDefault="00485094" w:rsidP="00692F31">
      <w:pPr>
        <w:pStyle w:val="Tableheading"/>
      </w:pPr>
      <w:bookmarkStart w:id="341" w:name="_Toc134347506"/>
      <w:bookmarkStart w:id="342" w:name="_Toc255482824"/>
      <w:bookmarkStart w:id="343" w:name="_Toc255807482"/>
      <w:bookmarkStart w:id="344" w:name="_Toc262464240"/>
      <w:bookmarkStart w:id="345" w:name="_Toc271280087"/>
      <w:r>
        <w:t>Table 6.1</w:t>
      </w:r>
      <w:r w:rsidRPr="00D53BE0">
        <w:t>.  Summary of Surface Water Resources Assessed by the Status Network’s Probabilistic Monitoring</w:t>
      </w:r>
      <w:r>
        <w:t>,</w:t>
      </w:r>
      <w:r w:rsidRPr="00D53BE0">
        <w:t xml:space="preserve"> 2004</w:t>
      </w:r>
      <w:bookmarkEnd w:id="341"/>
      <w:r>
        <w:t>–</w:t>
      </w:r>
      <w:r w:rsidRPr="00D53BE0">
        <w:t>08</w:t>
      </w:r>
      <w:bookmarkEnd w:id="342"/>
      <w:bookmarkEnd w:id="343"/>
      <w:bookmarkEnd w:id="344"/>
      <w:bookmarkEnd w:id="345"/>
    </w:p>
    <w:p w:rsidR="00485094" w:rsidRDefault="00485094" w:rsidP="00692F31">
      <w:pPr>
        <w:pStyle w:val="TabledescriptionBF"/>
      </w:pPr>
      <w:r>
        <w:t>This is a two-</w:t>
      </w:r>
      <w:r w:rsidRPr="001A77D7">
        <w:t>column table</w:t>
      </w:r>
      <w:r>
        <w:t>.  Column 1</w:t>
      </w:r>
      <w:r w:rsidRPr="001A77D7">
        <w:t xml:space="preserve"> </w:t>
      </w:r>
      <w:r>
        <w:t>lists the waterbody type</w:t>
      </w:r>
      <w:r w:rsidRPr="001A77D7">
        <w:t xml:space="preserve"> and </w:t>
      </w:r>
      <w:r>
        <w:t>Column 2</w:t>
      </w:r>
      <w:r w:rsidRPr="001A77D7">
        <w:t xml:space="preserve"> </w:t>
      </w:r>
      <w:r>
        <w:t>lists the miles of rivers and streams, and acres and numbers of large and small lakes</w:t>
      </w:r>
      <w:r w:rsidRPr="001A77D7">
        <w:t>.</w:t>
      </w:r>
    </w:p>
    <w:p w:rsidR="00485094" w:rsidRPr="00D53BE0" w:rsidRDefault="00485094" w:rsidP="00692F31">
      <w:pPr>
        <w:pStyle w:val="TableText"/>
        <w:rPr>
          <w:sz w:val="16"/>
          <w:szCs w:val="16"/>
        </w:rPr>
      </w:pPr>
    </w:p>
    <w:p w:rsidR="00485094" w:rsidRPr="00D53BE0" w:rsidRDefault="00485094" w:rsidP="00692F31">
      <w:pPr>
        <w:pStyle w:val="Bodytextreduced"/>
      </w:pPr>
      <w:r w:rsidRPr="00D53BE0">
        <w:rPr>
          <w:b/>
        </w:rPr>
        <w:t>Note:</w:t>
      </w:r>
      <w:r w:rsidRPr="00D53BE0">
        <w:t xml:space="preserve">  The estimates in the table do not include coastal or estuarine waters.  These calculations are from the 1:100,000 releveled rNHD.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8"/>
        <w:gridCol w:w="2790"/>
      </w:tblGrid>
      <w:tr w:rsidR="00485094" w:rsidRPr="00F13A39" w:rsidTr="000F2909">
        <w:trPr>
          <w:trHeight w:val="305"/>
          <w:jc w:val="center"/>
        </w:trPr>
        <w:tc>
          <w:tcPr>
            <w:tcW w:w="2898" w:type="dxa"/>
            <w:tcBorders>
              <w:bottom w:val="double" w:sz="4" w:space="0" w:color="auto"/>
            </w:tcBorders>
            <w:shd w:val="clear" w:color="auto" w:fill="BDFFFF"/>
            <w:vAlign w:val="center"/>
          </w:tcPr>
          <w:p w:rsidR="00485094" w:rsidRPr="00F13A39" w:rsidRDefault="00485094" w:rsidP="00453E80">
            <w:pPr>
              <w:pStyle w:val="TableText"/>
              <w:jc w:val="center"/>
              <w:rPr>
                <w:i/>
              </w:rPr>
            </w:pPr>
            <w:r w:rsidRPr="00F13A39">
              <w:rPr>
                <w:b/>
                <w:i/>
              </w:rPr>
              <w:t>Waterbody Type</w:t>
            </w:r>
          </w:p>
        </w:tc>
        <w:tc>
          <w:tcPr>
            <w:tcW w:w="2790" w:type="dxa"/>
            <w:tcBorders>
              <w:bottom w:val="double" w:sz="4" w:space="0" w:color="auto"/>
            </w:tcBorders>
            <w:shd w:val="clear" w:color="auto" w:fill="BDFFFF"/>
            <w:vAlign w:val="center"/>
          </w:tcPr>
          <w:p w:rsidR="00485094" w:rsidRPr="00F13A39" w:rsidRDefault="00485094" w:rsidP="00453E80">
            <w:pPr>
              <w:pStyle w:val="TableText"/>
              <w:jc w:val="center"/>
              <w:rPr>
                <w:i/>
              </w:rPr>
            </w:pPr>
            <w:r w:rsidRPr="00F13A39">
              <w:rPr>
                <w:b/>
                <w:i/>
              </w:rPr>
              <w:t>Assessed</w:t>
            </w:r>
          </w:p>
        </w:tc>
      </w:tr>
      <w:tr w:rsidR="00485094" w:rsidRPr="00D53BE0" w:rsidTr="00453E80">
        <w:trPr>
          <w:trHeight w:val="341"/>
          <w:jc w:val="center"/>
        </w:trPr>
        <w:tc>
          <w:tcPr>
            <w:tcW w:w="2898" w:type="dxa"/>
            <w:tcBorders>
              <w:top w:val="double" w:sz="4" w:space="0" w:color="auto"/>
            </w:tcBorders>
            <w:shd w:val="clear" w:color="auto" w:fill="FFFFCC"/>
            <w:vAlign w:val="center"/>
          </w:tcPr>
          <w:p w:rsidR="00485094" w:rsidRPr="00D53BE0" w:rsidRDefault="00485094" w:rsidP="00453E80">
            <w:pPr>
              <w:pStyle w:val="TableText"/>
              <w:jc w:val="center"/>
            </w:pPr>
            <w:r w:rsidRPr="00D53BE0">
              <w:t>Rivers</w:t>
            </w:r>
          </w:p>
        </w:tc>
        <w:tc>
          <w:tcPr>
            <w:tcW w:w="2790" w:type="dxa"/>
            <w:tcBorders>
              <w:top w:val="double" w:sz="4" w:space="0" w:color="auto"/>
            </w:tcBorders>
            <w:vAlign w:val="center"/>
          </w:tcPr>
          <w:p w:rsidR="00485094" w:rsidRPr="00D53BE0" w:rsidRDefault="00485094" w:rsidP="00453E80">
            <w:pPr>
              <w:pStyle w:val="TableText"/>
              <w:jc w:val="center"/>
            </w:pPr>
            <w:r w:rsidRPr="00D53BE0">
              <w:t>3,282 miles</w:t>
            </w:r>
          </w:p>
        </w:tc>
      </w:tr>
      <w:tr w:rsidR="00485094" w:rsidRPr="00D53BE0" w:rsidTr="00453E80">
        <w:trPr>
          <w:trHeight w:val="341"/>
          <w:jc w:val="center"/>
        </w:trPr>
        <w:tc>
          <w:tcPr>
            <w:tcW w:w="2898" w:type="dxa"/>
            <w:shd w:val="clear" w:color="auto" w:fill="FFFFCC"/>
            <w:vAlign w:val="center"/>
          </w:tcPr>
          <w:p w:rsidR="00485094" w:rsidRPr="00D53BE0" w:rsidRDefault="00485094" w:rsidP="00453E80">
            <w:pPr>
              <w:pStyle w:val="TableText"/>
              <w:jc w:val="center"/>
            </w:pPr>
            <w:r w:rsidRPr="00D53BE0">
              <w:t>Streams</w:t>
            </w:r>
          </w:p>
        </w:tc>
        <w:tc>
          <w:tcPr>
            <w:tcW w:w="2790" w:type="dxa"/>
            <w:vAlign w:val="center"/>
          </w:tcPr>
          <w:p w:rsidR="00485094" w:rsidRPr="00D53BE0" w:rsidRDefault="00485094" w:rsidP="00453E80">
            <w:pPr>
              <w:pStyle w:val="TableText"/>
              <w:jc w:val="center"/>
            </w:pPr>
            <w:r w:rsidRPr="00733FDE">
              <w:t>34,390</w:t>
            </w:r>
            <w:r w:rsidRPr="00D53BE0">
              <w:t xml:space="preserve"> miles</w:t>
            </w:r>
          </w:p>
        </w:tc>
      </w:tr>
      <w:tr w:rsidR="00485094" w:rsidRPr="00D53BE0" w:rsidTr="00453E80">
        <w:trPr>
          <w:trHeight w:val="341"/>
          <w:jc w:val="center"/>
        </w:trPr>
        <w:tc>
          <w:tcPr>
            <w:tcW w:w="2898" w:type="dxa"/>
            <w:shd w:val="clear" w:color="auto" w:fill="FFFFCC"/>
            <w:vAlign w:val="center"/>
          </w:tcPr>
          <w:p w:rsidR="00485094" w:rsidRPr="00D53BE0" w:rsidRDefault="00485094" w:rsidP="00453E80">
            <w:pPr>
              <w:pStyle w:val="TableText"/>
              <w:jc w:val="center"/>
            </w:pPr>
            <w:r w:rsidRPr="00D53BE0">
              <w:t>Large Lakes</w:t>
            </w:r>
          </w:p>
        </w:tc>
        <w:tc>
          <w:tcPr>
            <w:tcW w:w="2790" w:type="dxa"/>
            <w:vAlign w:val="center"/>
          </w:tcPr>
          <w:p w:rsidR="00485094" w:rsidRPr="00D53BE0" w:rsidRDefault="00485094" w:rsidP="00453E80">
            <w:pPr>
              <w:pStyle w:val="TableText"/>
              <w:jc w:val="center"/>
            </w:pPr>
            <w:r w:rsidRPr="00733FDE">
              <w:t>1,038,899</w:t>
            </w:r>
            <w:r w:rsidRPr="00D53BE0">
              <w:t xml:space="preserve"> acres</w:t>
            </w:r>
          </w:p>
        </w:tc>
      </w:tr>
      <w:tr w:rsidR="00485094" w:rsidRPr="00D53BE0" w:rsidTr="00453E80">
        <w:trPr>
          <w:trHeight w:val="341"/>
          <w:jc w:val="center"/>
        </w:trPr>
        <w:tc>
          <w:tcPr>
            <w:tcW w:w="2898" w:type="dxa"/>
            <w:shd w:val="clear" w:color="auto" w:fill="FFFFCC"/>
            <w:vAlign w:val="center"/>
          </w:tcPr>
          <w:p w:rsidR="00485094" w:rsidRPr="00D53BE0" w:rsidRDefault="00485094" w:rsidP="00453E80">
            <w:pPr>
              <w:pStyle w:val="TableText"/>
              <w:jc w:val="center"/>
            </w:pPr>
            <w:r w:rsidRPr="00D53BE0">
              <w:t>Small Lakes</w:t>
            </w:r>
          </w:p>
        </w:tc>
        <w:tc>
          <w:tcPr>
            <w:tcW w:w="2790" w:type="dxa"/>
            <w:vAlign w:val="center"/>
          </w:tcPr>
          <w:p w:rsidR="00485094" w:rsidRPr="00D53BE0" w:rsidRDefault="00485094" w:rsidP="00453E80">
            <w:pPr>
              <w:pStyle w:val="TableText"/>
              <w:jc w:val="center"/>
            </w:pPr>
            <w:r w:rsidRPr="00D53BE0">
              <w:t>5,882 lakes</w:t>
            </w:r>
          </w:p>
        </w:tc>
      </w:tr>
    </w:tbl>
    <w:p w:rsidR="00485094" w:rsidRPr="00D53BE0" w:rsidRDefault="00485094" w:rsidP="00692F31">
      <w:pPr>
        <w:pStyle w:val="TableText"/>
        <w:rPr>
          <w:sz w:val="16"/>
          <w:szCs w:val="16"/>
        </w:rPr>
      </w:pPr>
    </w:p>
    <w:p w:rsidR="00485094" w:rsidRPr="00D53BE0" w:rsidRDefault="00485094" w:rsidP="00692F31">
      <w:pPr>
        <w:pStyle w:val="TableText"/>
        <w:rPr>
          <w:sz w:val="16"/>
          <w:szCs w:val="16"/>
        </w:rPr>
      </w:pPr>
    </w:p>
    <w:p w:rsidR="00485094" w:rsidRDefault="00485094" w:rsidP="00692F31">
      <w:pPr>
        <w:pStyle w:val="Bodytext"/>
      </w:pPr>
      <w:r>
        <w:t>The i</w:t>
      </w:r>
      <w:r w:rsidRPr="00D53BE0">
        <w:t xml:space="preserve">ndicators selected for surface water reporting include fecal coliform, </w:t>
      </w:r>
      <w:r>
        <w:t>DO</w:t>
      </w:r>
      <w:r w:rsidRPr="00D53BE0">
        <w:t xml:space="preserve">, un-ionized ammonia, chlorophyll </w:t>
      </w:r>
      <w:r w:rsidRPr="00D53BE0">
        <w:rPr>
          <w:i/>
        </w:rPr>
        <w:t xml:space="preserve">a </w:t>
      </w:r>
      <w:r w:rsidRPr="00D53BE0">
        <w:t>(rivers and streams</w:t>
      </w:r>
      <w:r>
        <w:t xml:space="preserve">), and </w:t>
      </w:r>
      <w:r w:rsidRPr="00D53BE0">
        <w:t>T</w:t>
      </w:r>
      <w:r>
        <w:t xml:space="preserve">SI </w:t>
      </w:r>
      <w:r w:rsidRPr="00D53BE0">
        <w:t>(lakes)</w:t>
      </w:r>
      <w:r w:rsidRPr="00D53BE0">
        <w:rPr>
          <w:i/>
        </w:rPr>
        <w:t>.</w:t>
      </w:r>
      <w:r w:rsidRPr="00D53BE0">
        <w:t xml:space="preserve">  </w:t>
      </w:r>
      <w:r w:rsidRPr="004B442C">
        <w:rPr>
          <w:b/>
          <w:i/>
        </w:rPr>
        <w:t xml:space="preserve">Tables </w:t>
      </w:r>
      <w:r>
        <w:rPr>
          <w:b/>
          <w:i/>
        </w:rPr>
        <w:t>6.2</w:t>
      </w:r>
      <w:r w:rsidRPr="004B442C">
        <w:rPr>
          <w:b/>
          <w:i/>
        </w:rPr>
        <w:t xml:space="preserve">a </w:t>
      </w:r>
      <w:r>
        <w:t>through</w:t>
      </w:r>
      <w:r w:rsidRPr="004B442C">
        <w:rPr>
          <w:b/>
          <w:i/>
        </w:rPr>
        <w:t xml:space="preserve"> 6.</w:t>
      </w:r>
      <w:r>
        <w:rPr>
          <w:b/>
          <w:i/>
        </w:rPr>
        <w:t>2d</w:t>
      </w:r>
      <w:r>
        <w:t xml:space="preserve"> summarize the indicators and their threshold values.</w:t>
      </w:r>
      <w:r w:rsidRPr="005715F6">
        <w:rPr>
          <w:b/>
        </w:rPr>
        <w:t xml:space="preserve"> </w:t>
      </w:r>
      <w:r>
        <w:rPr>
          <w:b/>
        </w:rPr>
        <w:t xml:space="preserve"> </w:t>
      </w:r>
      <w:r w:rsidRPr="00D53BE0">
        <w:rPr>
          <w:b/>
        </w:rPr>
        <w:t xml:space="preserve">Appendix </w:t>
      </w:r>
      <w:r>
        <w:rPr>
          <w:b/>
        </w:rPr>
        <w:t>B</w:t>
      </w:r>
      <w:r w:rsidRPr="00D53BE0">
        <w:t xml:space="preserve"> </w:t>
      </w:r>
      <w:r>
        <w:t>discusses</w:t>
      </w:r>
      <w:r w:rsidRPr="00D53BE0">
        <w:t xml:space="preserve"> the reasoning behind the use of these indicators.</w:t>
      </w:r>
      <w:r>
        <w:t xml:space="preserve">  </w:t>
      </w:r>
      <w:r w:rsidRPr="004B442C">
        <w:rPr>
          <w:b/>
          <w:i/>
        </w:rPr>
        <w:t>Tables 5.</w:t>
      </w:r>
      <w:r>
        <w:rPr>
          <w:b/>
          <w:i/>
        </w:rPr>
        <w:t>2</w:t>
      </w:r>
      <w:r w:rsidRPr="004B442C">
        <w:rPr>
          <w:b/>
          <w:i/>
        </w:rPr>
        <w:t xml:space="preserve">a </w:t>
      </w:r>
      <w:r w:rsidRPr="004B442C">
        <w:t>through</w:t>
      </w:r>
      <w:r w:rsidRPr="004B442C">
        <w:rPr>
          <w:b/>
          <w:i/>
        </w:rPr>
        <w:t xml:space="preserve"> 5.</w:t>
      </w:r>
      <w:r>
        <w:rPr>
          <w:b/>
          <w:i/>
        </w:rPr>
        <w:t>2</w:t>
      </w:r>
      <w:r w:rsidRPr="004B442C">
        <w:rPr>
          <w:b/>
          <w:i/>
        </w:rPr>
        <w:t>f</w:t>
      </w:r>
      <w:r w:rsidRPr="004B442C">
        <w:t xml:space="preserve"> </w:t>
      </w:r>
      <w:r>
        <w:t xml:space="preserve">and </w:t>
      </w:r>
      <w:r w:rsidRPr="002019BE">
        <w:rPr>
          <w:b/>
          <w:i/>
        </w:rPr>
        <w:t>5.3a</w:t>
      </w:r>
      <w:r>
        <w:t xml:space="preserve"> through </w:t>
      </w:r>
      <w:r w:rsidRPr="002019BE">
        <w:rPr>
          <w:b/>
          <w:i/>
        </w:rPr>
        <w:t>5.3c</w:t>
      </w:r>
      <w:r>
        <w:t xml:space="preserve"> </w:t>
      </w:r>
      <w:r w:rsidRPr="004B442C">
        <w:t>contain the complete list of indicators used in the Status Monitoring</w:t>
      </w:r>
      <w:r>
        <w:t xml:space="preserve"> Network.</w:t>
      </w:r>
    </w:p>
    <w:p w:rsidR="00485094" w:rsidRDefault="00485094" w:rsidP="00692F31">
      <w:pPr>
        <w:pStyle w:val="Bodytext"/>
      </w:pPr>
    </w:p>
    <w:p w:rsidR="00485094" w:rsidRDefault="00485094" w:rsidP="00692F31">
      <w:pPr>
        <w:pStyle w:val="Bodytext"/>
      </w:pPr>
      <w:r w:rsidRPr="00D53BE0">
        <w:t xml:space="preserve">The main source </w:t>
      </w:r>
      <w:r>
        <w:t>for these</w:t>
      </w:r>
      <w:r w:rsidRPr="00D53BE0">
        <w:t xml:space="preserve"> indicators is </w:t>
      </w:r>
      <w:r>
        <w:t>Chapter</w:t>
      </w:r>
      <w:r w:rsidRPr="00D53BE0">
        <w:t xml:space="preserve"> 62-302, F.A.C., which contains the surface water </w:t>
      </w:r>
      <w:r>
        <w:t xml:space="preserve">quality standards for Florida.  </w:t>
      </w:r>
      <w:r w:rsidRPr="00E0259A">
        <w:t xml:space="preserve">The water quality criteria and thresholds are derived from </w:t>
      </w:r>
      <w:r>
        <w:t>the following:</w:t>
      </w:r>
    </w:p>
    <w:p w:rsidR="00485094" w:rsidRDefault="00485094" w:rsidP="00692F31">
      <w:pPr>
        <w:pStyle w:val="Bodytext"/>
      </w:pPr>
    </w:p>
    <w:p w:rsidR="00485094" w:rsidRDefault="00485094" w:rsidP="00692F31">
      <w:pPr>
        <w:pStyle w:val="ListBullet"/>
      </w:pPr>
      <w:r w:rsidRPr="00E0259A">
        <w:t xml:space="preserve">Section 62-302.530, F.A.C., Criteria for Surface Water Classifications; </w:t>
      </w:r>
    </w:p>
    <w:p w:rsidR="00485094" w:rsidRDefault="00485094" w:rsidP="00692F31">
      <w:pPr>
        <w:pStyle w:val="ListBullet"/>
      </w:pPr>
      <w:r>
        <w:t>Chapter</w:t>
      </w:r>
      <w:r w:rsidRPr="00E0259A">
        <w:t xml:space="preserve"> 62-550, F.A.C., Drinking Water Standards; </w:t>
      </w:r>
    </w:p>
    <w:p w:rsidR="00485094" w:rsidRDefault="00485094" w:rsidP="00692F31">
      <w:pPr>
        <w:pStyle w:val="ListBullet"/>
      </w:pPr>
      <w:r>
        <w:t xml:space="preserve">Chapter </w:t>
      </w:r>
      <w:r w:rsidRPr="00E0259A">
        <w:t xml:space="preserve">62-303, F.A.C., Identification of Impaired Surface Waters; and </w:t>
      </w:r>
    </w:p>
    <w:p w:rsidR="00485094" w:rsidRDefault="00485094" w:rsidP="00692F31">
      <w:pPr>
        <w:pStyle w:val="ListBullet"/>
      </w:pPr>
      <w:r w:rsidRPr="00E0259A">
        <w:t>Section 62-520.420, F.A.C., Standards for Class G-I and Class G-II Ground Water.</w:t>
      </w:r>
    </w:p>
    <w:p w:rsidR="00485094" w:rsidRPr="00D53BE0" w:rsidRDefault="00485094" w:rsidP="00692F31">
      <w:pPr>
        <w:pStyle w:val="Bodytextreduced"/>
      </w:pPr>
    </w:p>
    <w:p w:rsidR="00485094" w:rsidRPr="00AB1D07" w:rsidRDefault="00485094" w:rsidP="00692F31">
      <w:pPr>
        <w:pStyle w:val="Bodytext"/>
      </w:pPr>
      <w:bookmarkStart w:id="346" w:name="_Toc255482825"/>
      <w:bookmarkStart w:id="347" w:name="_Toc255807483"/>
      <w:bookmarkStart w:id="348" w:name="_Toc243369000"/>
      <w:r w:rsidRPr="00AB1D07">
        <w:t xml:space="preserve">It is important to note that the diversity of Florida’s aquatic ecosystems also means there is large natural variation in some water quality parameters.  For example, surface waters that are dominated by ground water inflows or flows from wetland areas will have lower DO levels.  Therefore, some Florida aquatic systems </w:t>
      </w:r>
      <w:r>
        <w:t xml:space="preserve">naturally </w:t>
      </w:r>
      <w:r w:rsidRPr="00AB1D07">
        <w:t>exhibit DO levels less than the</w:t>
      </w:r>
      <w:r>
        <w:t xml:space="preserve"> state’s standard of 5.0 mg/L.</w:t>
      </w:r>
    </w:p>
    <w:p w:rsidR="00485094" w:rsidRPr="00AB1D07" w:rsidRDefault="00485094" w:rsidP="00692F31">
      <w:pPr>
        <w:pStyle w:val="Bodytext"/>
        <w:rPr>
          <w:szCs w:val="24"/>
        </w:rPr>
      </w:pPr>
    </w:p>
    <w:p w:rsidR="00485094" w:rsidRPr="003E0901" w:rsidRDefault="00485094" w:rsidP="00692F31">
      <w:pPr>
        <w:pStyle w:val="Tableheading"/>
      </w:pPr>
      <w:bookmarkStart w:id="349" w:name="_Toc262464241"/>
      <w:bookmarkStart w:id="350" w:name="_Toc271280088"/>
      <w:r>
        <w:t>Table 6.2a</w:t>
      </w:r>
      <w:r w:rsidRPr="00F52EDE">
        <w:t>.</w:t>
      </w:r>
      <w:r>
        <w:t xml:space="preserve">  </w:t>
      </w:r>
      <w:r w:rsidRPr="00F52EDE">
        <w:t xml:space="preserve">Status Network </w:t>
      </w:r>
      <w:r>
        <w:t>Physical/Other I</w:t>
      </w:r>
      <w:r w:rsidRPr="00F52EDE">
        <w:t>ndicators</w:t>
      </w:r>
      <w:r>
        <w:t>/Index</w:t>
      </w:r>
      <w:r w:rsidRPr="00F52EDE">
        <w:t xml:space="preserve"> </w:t>
      </w:r>
      <w:r>
        <w:t xml:space="preserve">for Aquatic Life Use </w:t>
      </w:r>
      <w:r w:rsidRPr="00F52EDE">
        <w:t xml:space="preserve">with </w:t>
      </w:r>
      <w:r>
        <w:t>W</w:t>
      </w:r>
      <w:r w:rsidRPr="00F52EDE">
        <w:t xml:space="preserve">ater </w:t>
      </w:r>
      <w:r>
        <w:t>Q</w:t>
      </w:r>
      <w:r w:rsidRPr="00F52EDE">
        <w:t xml:space="preserve">uality </w:t>
      </w:r>
      <w:r>
        <w:t>C</w:t>
      </w:r>
      <w:r w:rsidRPr="00F52EDE">
        <w:t>riteria</w:t>
      </w:r>
      <w:r>
        <w:t>/Thresholds</w:t>
      </w:r>
      <w:bookmarkEnd w:id="346"/>
      <w:bookmarkEnd w:id="347"/>
      <w:bookmarkEnd w:id="349"/>
      <w:bookmarkEnd w:id="350"/>
    </w:p>
    <w:p w:rsidR="00485094" w:rsidRDefault="00485094" w:rsidP="00692F31">
      <w:pPr>
        <w:pStyle w:val="TabledescriptionBF"/>
      </w:pPr>
      <w:r>
        <w:t>This is a two-</w:t>
      </w:r>
      <w:r w:rsidRPr="001A77D7">
        <w:t>column table</w:t>
      </w:r>
      <w:r>
        <w:t>.  Column 1</w:t>
      </w:r>
      <w:r w:rsidRPr="001A77D7">
        <w:t xml:space="preserve"> </w:t>
      </w:r>
      <w:r>
        <w:t>lists</w:t>
      </w:r>
      <w:r w:rsidRPr="001A77D7">
        <w:t xml:space="preserve"> the indicators and </w:t>
      </w:r>
      <w:r>
        <w:t>Column 2</w:t>
      </w:r>
      <w:r w:rsidRPr="001A77D7">
        <w:t xml:space="preserve"> </w:t>
      </w:r>
      <w:r>
        <w:t>lists</w:t>
      </w:r>
      <w:r w:rsidRPr="001A77D7">
        <w:t xml:space="preserve"> </w:t>
      </w:r>
      <w:r>
        <w:t xml:space="preserve">the </w:t>
      </w:r>
      <w:r w:rsidRPr="001A77D7">
        <w:t>water quality criteria/thresholds.</w:t>
      </w:r>
      <w:bookmarkEnd w:id="348"/>
    </w:p>
    <w:p w:rsidR="00485094" w:rsidRPr="00120457" w:rsidRDefault="00485094" w:rsidP="00692F31">
      <w:pPr>
        <w:pStyle w:val="Bodytextreduced"/>
      </w:pPr>
    </w:p>
    <w:p w:rsidR="00485094" w:rsidRPr="00120457" w:rsidRDefault="00485094" w:rsidP="00692F31">
      <w:pPr>
        <w:pStyle w:val="Bodytextreduced"/>
      </w:pPr>
      <w:r w:rsidRPr="00120457">
        <w:rPr>
          <w:vertAlign w:val="superscript"/>
        </w:rPr>
        <w:t xml:space="preserve">1 </w:t>
      </w:r>
      <w:r w:rsidRPr="00120457">
        <w:t xml:space="preserve">Both TSI and chlorophyll a are not criteria, but thresholds used to estimate the impairment of state waters.  These thresholds are used in the analysis of Status Monitoring Network data, based on single samples.  The analysis and representation of these data are not intended to infer the verification of impairment, as defined in </w:t>
      </w:r>
      <w:r>
        <w:t>Chapter</w:t>
      </w:r>
      <w:r w:rsidRPr="00120457">
        <w:t xml:space="preserve"> 62-303, F.A.C.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0"/>
        <w:gridCol w:w="3326"/>
      </w:tblGrid>
      <w:tr w:rsidR="00485094" w:rsidRPr="00F13A39" w:rsidTr="00F01F27">
        <w:trPr>
          <w:jc w:val="center"/>
        </w:trPr>
        <w:tc>
          <w:tcPr>
            <w:tcW w:w="3330" w:type="dxa"/>
            <w:tcBorders>
              <w:bottom w:val="double" w:sz="4" w:space="0" w:color="auto"/>
            </w:tcBorders>
            <w:shd w:val="clear" w:color="auto" w:fill="BDFFFF"/>
            <w:vAlign w:val="bottom"/>
          </w:tcPr>
          <w:p w:rsidR="00F01F27" w:rsidRDefault="00485094" w:rsidP="00F01F27">
            <w:pPr>
              <w:pStyle w:val="TableText"/>
              <w:jc w:val="center"/>
              <w:rPr>
                <w:b/>
                <w:i/>
              </w:rPr>
            </w:pPr>
            <w:r w:rsidRPr="00F13A39">
              <w:rPr>
                <w:b/>
                <w:i/>
              </w:rPr>
              <w:t>Physical/Other Indicators/</w:t>
            </w:r>
          </w:p>
          <w:p w:rsidR="0064329B" w:rsidRDefault="00485094">
            <w:pPr>
              <w:pStyle w:val="TableText"/>
              <w:jc w:val="center"/>
              <w:rPr>
                <w:b/>
                <w:i/>
              </w:rPr>
            </w:pPr>
            <w:proofErr w:type="spellStart"/>
            <w:r w:rsidRPr="00F13A39">
              <w:rPr>
                <w:b/>
                <w:i/>
              </w:rPr>
              <w:t>Indexfor</w:t>
            </w:r>
            <w:proofErr w:type="spellEnd"/>
            <w:r w:rsidRPr="00F13A39">
              <w:rPr>
                <w:b/>
                <w:i/>
              </w:rPr>
              <w:t xml:space="preserve"> Aquatic Life Use</w:t>
            </w:r>
          </w:p>
          <w:p w:rsidR="0064329B" w:rsidRDefault="00485094">
            <w:pPr>
              <w:pStyle w:val="TableText"/>
              <w:jc w:val="center"/>
              <w:rPr>
                <w:b/>
                <w:i/>
              </w:rPr>
            </w:pPr>
            <w:r w:rsidRPr="00F13A39">
              <w:rPr>
                <w:b/>
                <w:i/>
              </w:rPr>
              <w:t>(Surface Water)</w:t>
            </w:r>
          </w:p>
        </w:tc>
        <w:tc>
          <w:tcPr>
            <w:tcW w:w="3326" w:type="dxa"/>
            <w:tcBorders>
              <w:bottom w:val="double" w:sz="4" w:space="0" w:color="auto"/>
            </w:tcBorders>
            <w:shd w:val="clear" w:color="auto" w:fill="BDFFFF"/>
            <w:vAlign w:val="bottom"/>
          </w:tcPr>
          <w:p w:rsidR="0064329B" w:rsidRDefault="00485094">
            <w:pPr>
              <w:pStyle w:val="TableText"/>
              <w:jc w:val="center"/>
              <w:rPr>
                <w:b/>
                <w:i/>
              </w:rPr>
            </w:pPr>
            <w:r w:rsidRPr="00F13A39">
              <w:rPr>
                <w:rFonts w:cs="Arial"/>
                <w:b/>
                <w:i/>
              </w:rPr>
              <w:t>Criterion/Threshold</w:t>
            </w:r>
          </w:p>
        </w:tc>
      </w:tr>
      <w:tr w:rsidR="00485094" w:rsidTr="00453E80">
        <w:trPr>
          <w:trHeight w:val="288"/>
          <w:jc w:val="center"/>
        </w:trPr>
        <w:tc>
          <w:tcPr>
            <w:tcW w:w="3330" w:type="dxa"/>
            <w:tcBorders>
              <w:top w:val="double" w:sz="4" w:space="0" w:color="auto"/>
            </w:tcBorders>
            <w:shd w:val="clear" w:color="auto" w:fill="FFFFCC"/>
            <w:vAlign w:val="center"/>
          </w:tcPr>
          <w:p w:rsidR="00485094" w:rsidRPr="003B37D3" w:rsidRDefault="00485094" w:rsidP="00453E80">
            <w:pPr>
              <w:pStyle w:val="TableText"/>
              <w:jc w:val="center"/>
              <w:rPr>
                <w:rFonts w:cs="Arial"/>
              </w:rPr>
            </w:pPr>
            <w:r>
              <w:rPr>
                <w:rFonts w:cs="Arial"/>
              </w:rPr>
              <w:t>DO</w:t>
            </w:r>
          </w:p>
        </w:tc>
        <w:tc>
          <w:tcPr>
            <w:tcW w:w="3326" w:type="dxa"/>
            <w:tcBorders>
              <w:top w:val="double" w:sz="4" w:space="0" w:color="auto"/>
            </w:tcBorders>
            <w:vAlign w:val="center"/>
          </w:tcPr>
          <w:p w:rsidR="00485094" w:rsidRPr="003B37D3" w:rsidRDefault="00485094" w:rsidP="00453E80">
            <w:pPr>
              <w:pStyle w:val="TableText"/>
              <w:jc w:val="center"/>
              <w:rPr>
                <w:rFonts w:cs="Arial"/>
                <w:lang w:val="fr-FR"/>
              </w:rPr>
            </w:pPr>
            <w:r w:rsidRPr="003B37D3">
              <w:rPr>
                <w:rFonts w:cs="Arial"/>
                <w:lang w:val="fr-FR"/>
              </w:rPr>
              <w:t>≥ 5 mg/L</w:t>
            </w:r>
          </w:p>
        </w:tc>
      </w:tr>
      <w:tr w:rsidR="00485094" w:rsidTr="00453E80">
        <w:trPr>
          <w:trHeight w:val="288"/>
          <w:jc w:val="center"/>
        </w:trPr>
        <w:tc>
          <w:tcPr>
            <w:tcW w:w="3330" w:type="dxa"/>
            <w:shd w:val="clear" w:color="auto" w:fill="FFFFCC"/>
            <w:vAlign w:val="center"/>
          </w:tcPr>
          <w:p w:rsidR="00485094" w:rsidRPr="003B37D3" w:rsidRDefault="00485094" w:rsidP="00453E80">
            <w:pPr>
              <w:pStyle w:val="TableText"/>
              <w:jc w:val="center"/>
              <w:rPr>
                <w:rFonts w:cs="Arial"/>
              </w:rPr>
            </w:pPr>
            <w:r w:rsidRPr="003B37D3">
              <w:rPr>
                <w:rFonts w:cs="Arial"/>
              </w:rPr>
              <w:t>Un-ionized Ammonia</w:t>
            </w:r>
          </w:p>
        </w:tc>
        <w:tc>
          <w:tcPr>
            <w:tcW w:w="3326" w:type="dxa"/>
            <w:vAlign w:val="center"/>
          </w:tcPr>
          <w:p w:rsidR="00485094" w:rsidRPr="003B37D3" w:rsidRDefault="00485094" w:rsidP="00453E80">
            <w:pPr>
              <w:pStyle w:val="TableText"/>
              <w:jc w:val="center"/>
              <w:rPr>
                <w:rFonts w:cs="Arial"/>
              </w:rPr>
            </w:pPr>
            <w:r w:rsidRPr="003B37D3">
              <w:rPr>
                <w:rFonts w:cs="Arial"/>
              </w:rPr>
              <w:t>≤ 0.02 mg/L</w:t>
            </w:r>
          </w:p>
        </w:tc>
      </w:tr>
      <w:tr w:rsidR="00485094" w:rsidTr="00453E80">
        <w:trPr>
          <w:trHeight w:val="288"/>
          <w:jc w:val="center"/>
        </w:trPr>
        <w:tc>
          <w:tcPr>
            <w:tcW w:w="3330" w:type="dxa"/>
            <w:shd w:val="clear" w:color="auto" w:fill="FFFFCC"/>
            <w:vAlign w:val="center"/>
          </w:tcPr>
          <w:p w:rsidR="00485094" w:rsidRPr="003B37D3" w:rsidRDefault="00485094" w:rsidP="00453E80">
            <w:pPr>
              <w:pStyle w:val="TableText"/>
              <w:jc w:val="center"/>
              <w:rPr>
                <w:rFonts w:cs="Arial"/>
              </w:rPr>
            </w:pPr>
            <w:r w:rsidRPr="003B37D3">
              <w:rPr>
                <w:rFonts w:cs="Arial"/>
              </w:rPr>
              <w:t>Fluoride</w:t>
            </w:r>
          </w:p>
        </w:tc>
        <w:tc>
          <w:tcPr>
            <w:tcW w:w="3326" w:type="dxa"/>
            <w:vAlign w:val="center"/>
          </w:tcPr>
          <w:p w:rsidR="00485094" w:rsidRPr="003B37D3" w:rsidRDefault="00485094" w:rsidP="00453E80">
            <w:pPr>
              <w:pStyle w:val="TableText"/>
              <w:jc w:val="center"/>
              <w:rPr>
                <w:rFonts w:cs="Arial"/>
                <w:lang w:val="fr-FR"/>
              </w:rPr>
            </w:pPr>
            <w:r w:rsidRPr="003B37D3">
              <w:rPr>
                <w:rFonts w:cs="Arial"/>
              </w:rPr>
              <w:t>≤</w:t>
            </w:r>
            <w:r w:rsidRPr="003B37D3">
              <w:rPr>
                <w:rFonts w:cs="Arial"/>
                <w:lang w:val="fr-FR"/>
              </w:rPr>
              <w:t>10 mg/L</w:t>
            </w:r>
          </w:p>
        </w:tc>
      </w:tr>
      <w:tr w:rsidR="00485094" w:rsidTr="00453E80">
        <w:trPr>
          <w:trHeight w:val="288"/>
          <w:jc w:val="center"/>
        </w:trPr>
        <w:tc>
          <w:tcPr>
            <w:tcW w:w="3330" w:type="dxa"/>
            <w:shd w:val="clear" w:color="auto" w:fill="FFFFCC"/>
            <w:vAlign w:val="center"/>
          </w:tcPr>
          <w:p w:rsidR="00485094" w:rsidRPr="003B37D3" w:rsidRDefault="00485094" w:rsidP="00453E80">
            <w:pPr>
              <w:pStyle w:val="TableText"/>
              <w:jc w:val="center"/>
              <w:rPr>
                <w:rFonts w:cs="Arial"/>
              </w:rPr>
            </w:pPr>
            <w:r w:rsidRPr="003B37D3">
              <w:rPr>
                <w:rFonts w:cs="Arial"/>
              </w:rPr>
              <w:t>Specific Conductance</w:t>
            </w:r>
          </w:p>
        </w:tc>
        <w:tc>
          <w:tcPr>
            <w:tcW w:w="3326" w:type="dxa"/>
            <w:vAlign w:val="center"/>
          </w:tcPr>
          <w:p w:rsidR="00485094" w:rsidRPr="003B37D3" w:rsidRDefault="00485094" w:rsidP="00453E80">
            <w:pPr>
              <w:pStyle w:val="TableText"/>
              <w:jc w:val="center"/>
              <w:rPr>
                <w:rFonts w:cs="Arial"/>
              </w:rPr>
            </w:pPr>
            <w:r w:rsidRPr="003B37D3">
              <w:rPr>
                <w:rFonts w:cs="Arial"/>
              </w:rPr>
              <w:t>≤1,275 or 50% above background</w:t>
            </w:r>
          </w:p>
        </w:tc>
      </w:tr>
      <w:tr w:rsidR="00485094" w:rsidTr="00453E80">
        <w:trPr>
          <w:trHeight w:val="288"/>
          <w:jc w:val="center"/>
        </w:trPr>
        <w:tc>
          <w:tcPr>
            <w:tcW w:w="3330" w:type="dxa"/>
            <w:shd w:val="clear" w:color="auto" w:fill="FFFFCC"/>
            <w:vAlign w:val="center"/>
          </w:tcPr>
          <w:p w:rsidR="00485094" w:rsidRPr="003B37D3" w:rsidRDefault="00485094" w:rsidP="00453E80">
            <w:pPr>
              <w:pStyle w:val="TableText"/>
              <w:jc w:val="center"/>
              <w:rPr>
                <w:rFonts w:cs="Arial"/>
              </w:rPr>
            </w:pPr>
            <w:r w:rsidRPr="003B37D3">
              <w:rPr>
                <w:rFonts w:cs="Arial"/>
              </w:rPr>
              <w:t xml:space="preserve">Chlorophyll </w:t>
            </w:r>
            <w:r w:rsidRPr="003B37D3">
              <w:rPr>
                <w:rFonts w:cs="Arial"/>
                <w:i/>
              </w:rPr>
              <w:t>a</w:t>
            </w:r>
            <w:r w:rsidRPr="003E0901">
              <w:rPr>
                <w:rFonts w:cs="Arial"/>
                <w:vertAlign w:val="superscript"/>
              </w:rPr>
              <w:t>1</w:t>
            </w:r>
          </w:p>
        </w:tc>
        <w:tc>
          <w:tcPr>
            <w:tcW w:w="3326" w:type="dxa"/>
            <w:vAlign w:val="center"/>
          </w:tcPr>
          <w:p w:rsidR="00485094" w:rsidRPr="003B37D3" w:rsidRDefault="00485094" w:rsidP="00453E80">
            <w:pPr>
              <w:pStyle w:val="TableText"/>
              <w:jc w:val="center"/>
              <w:rPr>
                <w:rFonts w:cs="Arial"/>
                <w:lang w:val="fr-FR"/>
              </w:rPr>
            </w:pPr>
            <w:r w:rsidRPr="003B37D3">
              <w:rPr>
                <w:rFonts w:cs="Arial"/>
              </w:rPr>
              <w:t xml:space="preserve">≤ </w:t>
            </w:r>
            <w:r w:rsidRPr="003B37D3">
              <w:rPr>
                <w:rFonts w:cs="Arial"/>
                <w:lang w:val="fr-FR"/>
              </w:rPr>
              <w:t xml:space="preserve">20 </w:t>
            </w:r>
            <w:r w:rsidRPr="003B37D3">
              <w:rPr>
                <w:rFonts w:cs="Arial"/>
              </w:rPr>
              <w:t>µ</w:t>
            </w:r>
            <w:r w:rsidRPr="003B37D3">
              <w:rPr>
                <w:rFonts w:cs="Arial"/>
                <w:lang w:val="fr-FR"/>
              </w:rPr>
              <w:t>g/L</w:t>
            </w:r>
          </w:p>
        </w:tc>
      </w:tr>
      <w:tr w:rsidR="00485094" w:rsidTr="00453E80">
        <w:trPr>
          <w:trHeight w:val="288"/>
          <w:jc w:val="center"/>
        </w:trPr>
        <w:tc>
          <w:tcPr>
            <w:tcW w:w="3330" w:type="dxa"/>
            <w:shd w:val="clear" w:color="auto" w:fill="FFFFCC"/>
            <w:vAlign w:val="center"/>
          </w:tcPr>
          <w:p w:rsidR="00485094" w:rsidRPr="003B37D3" w:rsidRDefault="00485094" w:rsidP="00453E80">
            <w:pPr>
              <w:pStyle w:val="TableText"/>
              <w:jc w:val="center"/>
              <w:rPr>
                <w:rFonts w:cs="Arial"/>
              </w:rPr>
            </w:pPr>
            <w:r w:rsidRPr="003B37D3">
              <w:rPr>
                <w:rFonts w:cs="Arial"/>
              </w:rPr>
              <w:t>T</w:t>
            </w:r>
            <w:r>
              <w:rPr>
                <w:rFonts w:cs="Arial"/>
              </w:rPr>
              <w:t>SI</w:t>
            </w:r>
            <w:r w:rsidRPr="003E0901">
              <w:rPr>
                <w:rFonts w:cs="Arial"/>
                <w:vertAlign w:val="superscript"/>
              </w:rPr>
              <w:t>1</w:t>
            </w:r>
          </w:p>
        </w:tc>
        <w:tc>
          <w:tcPr>
            <w:tcW w:w="3326" w:type="dxa"/>
            <w:vAlign w:val="center"/>
          </w:tcPr>
          <w:p w:rsidR="00485094" w:rsidRPr="003B37D3" w:rsidRDefault="00485094" w:rsidP="00453E80">
            <w:pPr>
              <w:pStyle w:val="TableText"/>
              <w:jc w:val="center"/>
              <w:rPr>
                <w:rFonts w:cs="Arial"/>
              </w:rPr>
            </w:pPr>
            <w:r w:rsidRPr="003B37D3">
              <w:rPr>
                <w:rFonts w:cs="Arial"/>
              </w:rPr>
              <w:t>Color ≤ 40 PCUs, then TSI ≤ 40</w:t>
            </w:r>
          </w:p>
          <w:p w:rsidR="00485094" w:rsidRDefault="00485094" w:rsidP="00453E80">
            <w:pPr>
              <w:pStyle w:val="TableText"/>
              <w:jc w:val="center"/>
            </w:pPr>
            <w:r w:rsidRPr="003B37D3">
              <w:rPr>
                <w:rFonts w:cs="Arial"/>
              </w:rPr>
              <w:t>Color &gt; 40 PCUs, then TSI ≤ 60</w:t>
            </w:r>
          </w:p>
        </w:tc>
      </w:tr>
    </w:tbl>
    <w:p w:rsidR="00485094" w:rsidRDefault="00485094" w:rsidP="00692F31">
      <w:pPr>
        <w:pStyle w:val="Bodytextreduced"/>
      </w:pPr>
    </w:p>
    <w:p w:rsidR="003D799D" w:rsidRDefault="003D799D" w:rsidP="00692F31">
      <w:pPr>
        <w:pStyle w:val="Bodytextreduced"/>
      </w:pPr>
    </w:p>
    <w:p w:rsidR="00485094" w:rsidRDefault="00485094" w:rsidP="00692F31">
      <w:pPr>
        <w:pStyle w:val="Tableheading"/>
      </w:pPr>
      <w:bookmarkStart w:id="351" w:name="_Toc255482826"/>
      <w:bookmarkStart w:id="352" w:name="_Toc255807484"/>
      <w:bookmarkStart w:id="353" w:name="_Toc262464242"/>
      <w:bookmarkStart w:id="354" w:name="_Toc271280089"/>
      <w:r>
        <w:t>Table 6.2b</w:t>
      </w:r>
      <w:r w:rsidRPr="00F52EDE">
        <w:t>.</w:t>
      </w:r>
      <w:r>
        <w:t xml:space="preserve">  </w:t>
      </w:r>
      <w:r w:rsidRPr="00F52EDE">
        <w:t xml:space="preserve">Status Network </w:t>
      </w:r>
      <w:r>
        <w:t>Microbiological I</w:t>
      </w:r>
      <w:r w:rsidRPr="00F52EDE">
        <w:t>ndicators</w:t>
      </w:r>
      <w:r>
        <w:t>/Index</w:t>
      </w:r>
      <w:r w:rsidRPr="00F52EDE">
        <w:t xml:space="preserve"> </w:t>
      </w:r>
      <w:r>
        <w:t xml:space="preserve">for Recreation Use </w:t>
      </w:r>
      <w:r w:rsidRPr="00F52EDE">
        <w:t xml:space="preserve">with </w:t>
      </w:r>
      <w:r>
        <w:t>W</w:t>
      </w:r>
      <w:r w:rsidRPr="00F52EDE">
        <w:t xml:space="preserve">ater </w:t>
      </w:r>
      <w:r>
        <w:t>Q</w:t>
      </w:r>
      <w:r w:rsidRPr="00F52EDE">
        <w:t xml:space="preserve">uality </w:t>
      </w:r>
      <w:r>
        <w:t>C</w:t>
      </w:r>
      <w:r w:rsidRPr="00F52EDE">
        <w:t>riteria</w:t>
      </w:r>
      <w:r>
        <w:t>/Thresholds</w:t>
      </w:r>
      <w:bookmarkEnd w:id="351"/>
      <w:bookmarkEnd w:id="352"/>
      <w:bookmarkEnd w:id="353"/>
      <w:bookmarkEnd w:id="354"/>
    </w:p>
    <w:p w:rsidR="00485094" w:rsidRDefault="00485094" w:rsidP="00692F31">
      <w:pPr>
        <w:pStyle w:val="TabledescriptionBF"/>
      </w:pPr>
      <w:r>
        <w:t>This is a two-</w:t>
      </w:r>
      <w:r w:rsidRPr="001A77D7">
        <w:t>column table</w:t>
      </w:r>
      <w:r>
        <w:t>.  C</w:t>
      </w:r>
      <w:r w:rsidRPr="001A77D7">
        <w:t xml:space="preserve">olumn </w:t>
      </w:r>
      <w:r>
        <w:t>1</w:t>
      </w:r>
      <w:r w:rsidRPr="001A77D7">
        <w:t xml:space="preserve"> </w:t>
      </w:r>
      <w:r>
        <w:t>lists</w:t>
      </w:r>
      <w:r w:rsidRPr="001A77D7">
        <w:t xml:space="preserve"> the indicators and </w:t>
      </w:r>
      <w:r>
        <w:t>C</w:t>
      </w:r>
      <w:r w:rsidRPr="001A77D7">
        <w:t xml:space="preserve">olumn </w:t>
      </w:r>
      <w:r>
        <w:t>2 lists</w:t>
      </w:r>
      <w:r w:rsidRPr="001A77D7">
        <w:t xml:space="preserve"> </w:t>
      </w:r>
      <w:r>
        <w:t xml:space="preserve">the </w:t>
      </w:r>
      <w:r w:rsidRPr="001A77D7">
        <w:t>water quality criteria/thresholds.</w:t>
      </w:r>
    </w:p>
    <w:p w:rsidR="00485094" w:rsidRPr="00F52EDE" w:rsidRDefault="00485094" w:rsidP="00692F31">
      <w:pPr>
        <w:pStyle w:val="Tabledescription"/>
      </w:pPr>
    </w:p>
    <w:tbl>
      <w:tblPr>
        <w:tblW w:w="0" w:type="auto"/>
        <w:jc w:val="center"/>
        <w:tblBorders>
          <w:top w:val="single" w:sz="4" w:space="0" w:color="auto"/>
          <w:left w:val="single" w:sz="4" w:space="0" w:color="auto"/>
          <w:bottom w:val="single" w:sz="4" w:space="0" w:color="auto"/>
          <w:right w:val="single" w:sz="4" w:space="0" w:color="auto"/>
          <w:insideH w:val="double" w:sz="4" w:space="0" w:color="auto"/>
          <w:insideV w:val="single" w:sz="4" w:space="0" w:color="auto"/>
        </w:tblBorders>
        <w:tblLook w:val="04A0"/>
      </w:tblPr>
      <w:tblGrid>
        <w:gridCol w:w="3330"/>
        <w:gridCol w:w="3326"/>
      </w:tblGrid>
      <w:tr w:rsidR="00485094" w:rsidRPr="00F13A39" w:rsidTr="000F2909">
        <w:trPr>
          <w:jc w:val="center"/>
        </w:trPr>
        <w:tc>
          <w:tcPr>
            <w:tcW w:w="3330" w:type="dxa"/>
            <w:tcBorders>
              <w:top w:val="single" w:sz="4" w:space="0" w:color="auto"/>
            </w:tcBorders>
            <w:shd w:val="clear" w:color="auto" w:fill="BDFFFF"/>
            <w:vAlign w:val="bottom"/>
          </w:tcPr>
          <w:p w:rsidR="00F01F27" w:rsidRDefault="00485094" w:rsidP="00453E80">
            <w:pPr>
              <w:pStyle w:val="TableText"/>
              <w:jc w:val="center"/>
              <w:rPr>
                <w:b/>
                <w:i/>
              </w:rPr>
            </w:pPr>
            <w:r w:rsidRPr="00F13A39">
              <w:rPr>
                <w:b/>
                <w:i/>
              </w:rPr>
              <w:t>Microbiological Indicator/</w:t>
            </w:r>
          </w:p>
          <w:p w:rsidR="00485094" w:rsidRPr="00F13A39" w:rsidRDefault="00485094" w:rsidP="00453E80">
            <w:pPr>
              <w:pStyle w:val="TableText"/>
              <w:jc w:val="center"/>
              <w:rPr>
                <w:b/>
                <w:i/>
              </w:rPr>
            </w:pPr>
            <w:r w:rsidRPr="00F13A39">
              <w:rPr>
                <w:b/>
                <w:i/>
              </w:rPr>
              <w:t>Index for Recreation Use</w:t>
            </w:r>
          </w:p>
          <w:p w:rsidR="00485094" w:rsidRPr="00F13A39" w:rsidRDefault="00485094" w:rsidP="00453E80">
            <w:pPr>
              <w:pStyle w:val="TableText"/>
              <w:jc w:val="center"/>
              <w:rPr>
                <w:b/>
                <w:i/>
              </w:rPr>
            </w:pPr>
            <w:r w:rsidRPr="00F13A39">
              <w:rPr>
                <w:b/>
                <w:i/>
              </w:rPr>
              <w:t>(Surface Water)</w:t>
            </w:r>
          </w:p>
        </w:tc>
        <w:tc>
          <w:tcPr>
            <w:tcW w:w="3326" w:type="dxa"/>
            <w:tcBorders>
              <w:top w:val="single" w:sz="4" w:space="0" w:color="auto"/>
            </w:tcBorders>
            <w:shd w:val="clear" w:color="auto" w:fill="BDFFFF"/>
            <w:vAlign w:val="bottom"/>
          </w:tcPr>
          <w:p w:rsidR="00485094" w:rsidRPr="00F13A39" w:rsidRDefault="00485094" w:rsidP="00453E80">
            <w:pPr>
              <w:pStyle w:val="TableText"/>
              <w:jc w:val="center"/>
              <w:rPr>
                <w:b/>
                <w:i/>
              </w:rPr>
            </w:pPr>
            <w:r w:rsidRPr="00F13A39">
              <w:rPr>
                <w:rFonts w:cs="Arial"/>
                <w:b/>
                <w:i/>
              </w:rPr>
              <w:t>Criterion/Threshold</w:t>
            </w:r>
          </w:p>
        </w:tc>
      </w:tr>
      <w:tr w:rsidR="00485094" w:rsidRPr="0056091B" w:rsidTr="00453E80">
        <w:trPr>
          <w:trHeight w:val="288"/>
          <w:jc w:val="center"/>
        </w:trPr>
        <w:tc>
          <w:tcPr>
            <w:tcW w:w="3330" w:type="dxa"/>
            <w:tcBorders>
              <w:bottom w:val="single" w:sz="4" w:space="0" w:color="auto"/>
            </w:tcBorders>
            <w:shd w:val="clear" w:color="auto" w:fill="FFFFCC"/>
            <w:vAlign w:val="center"/>
          </w:tcPr>
          <w:p w:rsidR="00485094" w:rsidRPr="003B37D3" w:rsidRDefault="00485094" w:rsidP="00453E80">
            <w:pPr>
              <w:pStyle w:val="TableText"/>
              <w:jc w:val="center"/>
            </w:pPr>
            <w:r w:rsidRPr="003B37D3">
              <w:rPr>
                <w:rFonts w:cs="Arial"/>
                <w:lang w:val="pt-BR"/>
              </w:rPr>
              <w:t>Fecal Coliform Bacteria</w:t>
            </w:r>
          </w:p>
        </w:tc>
        <w:tc>
          <w:tcPr>
            <w:tcW w:w="3326" w:type="dxa"/>
            <w:tcBorders>
              <w:bottom w:val="single" w:sz="4" w:space="0" w:color="auto"/>
            </w:tcBorders>
            <w:vAlign w:val="center"/>
          </w:tcPr>
          <w:p w:rsidR="00485094" w:rsidRPr="003B37D3" w:rsidRDefault="00485094" w:rsidP="00453E80">
            <w:pPr>
              <w:pStyle w:val="TableText"/>
              <w:jc w:val="center"/>
            </w:pPr>
            <w:r w:rsidRPr="003B37D3">
              <w:rPr>
                <w:rFonts w:cs="Arial"/>
              </w:rPr>
              <w:t>&lt; 400 colonies/100mL</w:t>
            </w:r>
          </w:p>
        </w:tc>
      </w:tr>
    </w:tbl>
    <w:p w:rsidR="00485094" w:rsidRDefault="00485094" w:rsidP="00692F31">
      <w:pPr>
        <w:pStyle w:val="Bodytextreduced"/>
        <w:rPr>
          <w:snapToGrid w:val="0"/>
          <w:szCs w:val="24"/>
        </w:rPr>
      </w:pPr>
    </w:p>
    <w:p w:rsidR="00485094" w:rsidRDefault="003D799D" w:rsidP="00692F31">
      <w:pPr>
        <w:pStyle w:val="Tableheading"/>
      </w:pPr>
      <w:bookmarkStart w:id="355" w:name="_Toc255482827"/>
      <w:bookmarkStart w:id="356" w:name="_Toc255807485"/>
      <w:bookmarkStart w:id="357" w:name="_Toc262464243"/>
      <w:r>
        <w:br w:type="page"/>
      </w:r>
      <w:bookmarkStart w:id="358" w:name="_Toc271280090"/>
      <w:r w:rsidR="00485094" w:rsidRPr="008C2D3D">
        <w:t xml:space="preserve">Table </w:t>
      </w:r>
      <w:r w:rsidR="00485094">
        <w:t>6.2c</w:t>
      </w:r>
      <w:r w:rsidR="00485094" w:rsidRPr="008C2D3D">
        <w:t>.</w:t>
      </w:r>
      <w:r w:rsidR="00485094">
        <w:t xml:space="preserve">  FDEP Freshwater</w:t>
      </w:r>
      <w:r w:rsidR="00485094" w:rsidRPr="008C2D3D">
        <w:t xml:space="preserve"> </w:t>
      </w:r>
      <w:r w:rsidR="00485094">
        <w:t>Lake S</w:t>
      </w:r>
      <w:r w:rsidR="00485094" w:rsidRPr="008C2D3D">
        <w:t xml:space="preserve">ediment </w:t>
      </w:r>
      <w:r w:rsidR="00485094">
        <w:t>C</w:t>
      </w:r>
      <w:r w:rsidR="00485094" w:rsidRPr="008C2D3D">
        <w:t xml:space="preserve">ontaminant </w:t>
      </w:r>
      <w:r w:rsidR="00485094">
        <w:t>T</w:t>
      </w:r>
      <w:r w:rsidR="00485094" w:rsidRPr="008C2D3D">
        <w:t>hresholds</w:t>
      </w:r>
      <w:r w:rsidR="00485094">
        <w:t xml:space="preserve"> for Metals</w:t>
      </w:r>
      <w:bookmarkEnd w:id="355"/>
      <w:bookmarkEnd w:id="356"/>
      <w:bookmarkEnd w:id="357"/>
      <w:bookmarkEnd w:id="358"/>
    </w:p>
    <w:p w:rsidR="00485094" w:rsidRDefault="00485094" w:rsidP="00692F31">
      <w:pPr>
        <w:pStyle w:val="TabledescriptionBF"/>
      </w:pPr>
      <w:r>
        <w:t>This is a three-</w:t>
      </w:r>
      <w:r w:rsidRPr="001A77D7">
        <w:t>column table</w:t>
      </w:r>
      <w:r>
        <w:t>.  C</w:t>
      </w:r>
      <w:r w:rsidRPr="001A77D7">
        <w:t xml:space="preserve">olumn </w:t>
      </w:r>
      <w:r>
        <w:t>1</w:t>
      </w:r>
      <w:r w:rsidRPr="001A77D7">
        <w:t xml:space="preserve"> list</w:t>
      </w:r>
      <w:r>
        <w:t>s</w:t>
      </w:r>
      <w:r w:rsidRPr="001A77D7">
        <w:t xml:space="preserve"> the </w:t>
      </w:r>
      <w:r>
        <w:t>metals, C</w:t>
      </w:r>
      <w:r w:rsidRPr="001A77D7">
        <w:t xml:space="preserve">olumn </w:t>
      </w:r>
      <w:r>
        <w:t>2 lists the threshold effects concentration, and Column 3 lists the probable effects concentration.</w:t>
      </w:r>
    </w:p>
    <w:p w:rsidR="00485094" w:rsidRDefault="00485094" w:rsidP="00692F31">
      <w:pPr>
        <w:pStyle w:val="Tabledescription"/>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8"/>
        <w:gridCol w:w="2790"/>
        <w:gridCol w:w="2610"/>
      </w:tblGrid>
      <w:tr w:rsidR="00485094" w:rsidRPr="00F13A39" w:rsidTr="000F2909">
        <w:trPr>
          <w:trHeight w:val="288"/>
          <w:jc w:val="center"/>
        </w:trPr>
        <w:tc>
          <w:tcPr>
            <w:tcW w:w="2538" w:type="dxa"/>
            <w:tcBorders>
              <w:bottom w:val="double" w:sz="4" w:space="0" w:color="auto"/>
            </w:tcBorders>
            <w:shd w:val="clear" w:color="auto" w:fill="BDFFFF"/>
            <w:vAlign w:val="bottom"/>
          </w:tcPr>
          <w:p w:rsidR="00485094" w:rsidRPr="00F13A39" w:rsidRDefault="00485094" w:rsidP="00453E80">
            <w:pPr>
              <w:pStyle w:val="TableText"/>
              <w:jc w:val="center"/>
              <w:rPr>
                <w:b/>
                <w:i/>
              </w:rPr>
            </w:pPr>
            <w:r w:rsidRPr="00F13A39">
              <w:rPr>
                <w:b/>
                <w:i/>
              </w:rPr>
              <w:t>Metal</w:t>
            </w:r>
          </w:p>
        </w:tc>
        <w:tc>
          <w:tcPr>
            <w:tcW w:w="2790" w:type="dxa"/>
            <w:tcBorders>
              <w:bottom w:val="double" w:sz="4" w:space="0" w:color="auto"/>
            </w:tcBorders>
            <w:shd w:val="clear" w:color="auto" w:fill="BDFFFF"/>
            <w:vAlign w:val="bottom"/>
          </w:tcPr>
          <w:p w:rsidR="00485094" w:rsidRPr="00F13A39" w:rsidRDefault="00485094" w:rsidP="00453E80">
            <w:pPr>
              <w:pStyle w:val="TableText"/>
              <w:jc w:val="center"/>
              <w:rPr>
                <w:b/>
                <w:bCs/>
                <w:i/>
              </w:rPr>
            </w:pPr>
            <w:r w:rsidRPr="00F13A39">
              <w:rPr>
                <w:b/>
                <w:bCs/>
                <w:i/>
              </w:rPr>
              <w:t>Threshold Effects Concentration</w:t>
            </w:r>
          </w:p>
          <w:p w:rsidR="00485094" w:rsidRPr="00F13A39" w:rsidRDefault="00485094" w:rsidP="00453E80">
            <w:pPr>
              <w:pStyle w:val="TableText"/>
              <w:jc w:val="center"/>
              <w:rPr>
                <w:b/>
                <w:bCs/>
                <w:i/>
              </w:rPr>
            </w:pPr>
            <w:r w:rsidRPr="00F13A39">
              <w:rPr>
                <w:b/>
                <w:bCs/>
                <w:i/>
              </w:rPr>
              <w:t>(mg/kg)</w:t>
            </w:r>
          </w:p>
        </w:tc>
        <w:tc>
          <w:tcPr>
            <w:tcW w:w="2610" w:type="dxa"/>
            <w:tcBorders>
              <w:bottom w:val="double" w:sz="4" w:space="0" w:color="auto"/>
            </w:tcBorders>
            <w:shd w:val="clear" w:color="auto" w:fill="BDFFFF"/>
            <w:vAlign w:val="bottom"/>
          </w:tcPr>
          <w:p w:rsidR="00485094" w:rsidRPr="00F13A39" w:rsidRDefault="00485094" w:rsidP="00453E80">
            <w:pPr>
              <w:pStyle w:val="TableText"/>
              <w:jc w:val="center"/>
              <w:rPr>
                <w:b/>
                <w:bCs/>
                <w:i/>
              </w:rPr>
            </w:pPr>
            <w:r w:rsidRPr="00F13A39">
              <w:rPr>
                <w:b/>
                <w:bCs/>
                <w:i/>
              </w:rPr>
              <w:t>Probable Effects Concentration</w:t>
            </w:r>
          </w:p>
          <w:p w:rsidR="00485094" w:rsidRPr="00F13A39" w:rsidRDefault="00485094" w:rsidP="00453E80">
            <w:pPr>
              <w:pStyle w:val="TableText"/>
              <w:jc w:val="center"/>
              <w:rPr>
                <w:b/>
                <w:bCs/>
                <w:i/>
              </w:rPr>
            </w:pPr>
            <w:r w:rsidRPr="00F13A39">
              <w:rPr>
                <w:b/>
                <w:bCs/>
                <w:i/>
              </w:rPr>
              <w:t>(mg/kg)</w:t>
            </w:r>
          </w:p>
        </w:tc>
      </w:tr>
      <w:tr w:rsidR="00485094" w:rsidTr="00453E80">
        <w:trPr>
          <w:trHeight w:val="288"/>
          <w:jc w:val="center"/>
        </w:trPr>
        <w:tc>
          <w:tcPr>
            <w:tcW w:w="2538" w:type="dxa"/>
            <w:tcBorders>
              <w:top w:val="double" w:sz="4" w:space="0" w:color="auto"/>
            </w:tcBorders>
            <w:shd w:val="clear" w:color="auto" w:fill="FFFFCC"/>
            <w:vAlign w:val="center"/>
          </w:tcPr>
          <w:p w:rsidR="00485094" w:rsidRPr="003B37D3" w:rsidRDefault="00485094" w:rsidP="00453E80">
            <w:pPr>
              <w:pStyle w:val="TableText"/>
              <w:jc w:val="center"/>
            </w:pPr>
            <w:r w:rsidRPr="003B37D3">
              <w:t>Arsenic</w:t>
            </w:r>
          </w:p>
        </w:tc>
        <w:tc>
          <w:tcPr>
            <w:tcW w:w="2790" w:type="dxa"/>
            <w:tcBorders>
              <w:top w:val="double" w:sz="4" w:space="0" w:color="auto"/>
            </w:tcBorders>
            <w:vAlign w:val="center"/>
          </w:tcPr>
          <w:p w:rsidR="00485094" w:rsidRPr="003B37D3" w:rsidRDefault="00485094" w:rsidP="00453E80">
            <w:pPr>
              <w:pStyle w:val="TableText"/>
              <w:jc w:val="center"/>
            </w:pPr>
            <w:r w:rsidRPr="003B37D3">
              <w:t>9.8</w:t>
            </w:r>
          </w:p>
        </w:tc>
        <w:tc>
          <w:tcPr>
            <w:tcW w:w="2610" w:type="dxa"/>
            <w:tcBorders>
              <w:top w:val="double" w:sz="4" w:space="0" w:color="auto"/>
            </w:tcBorders>
            <w:vAlign w:val="center"/>
          </w:tcPr>
          <w:p w:rsidR="00485094" w:rsidRPr="003B37D3" w:rsidRDefault="00485094" w:rsidP="00453E80">
            <w:pPr>
              <w:pStyle w:val="TableText"/>
              <w:jc w:val="center"/>
            </w:pPr>
            <w:r w:rsidRPr="003B37D3">
              <w:t>33</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Cadmium</w:t>
            </w:r>
          </w:p>
        </w:tc>
        <w:tc>
          <w:tcPr>
            <w:tcW w:w="2790" w:type="dxa"/>
            <w:vAlign w:val="center"/>
          </w:tcPr>
          <w:p w:rsidR="00485094" w:rsidRPr="003B37D3" w:rsidRDefault="00485094" w:rsidP="00453E80">
            <w:pPr>
              <w:pStyle w:val="TableText"/>
              <w:jc w:val="center"/>
            </w:pPr>
            <w:r w:rsidRPr="003B37D3">
              <w:t>1.00</w:t>
            </w:r>
          </w:p>
        </w:tc>
        <w:tc>
          <w:tcPr>
            <w:tcW w:w="2610" w:type="dxa"/>
            <w:vAlign w:val="center"/>
          </w:tcPr>
          <w:p w:rsidR="00485094" w:rsidRPr="003B37D3" w:rsidRDefault="00485094" w:rsidP="00453E80">
            <w:pPr>
              <w:pStyle w:val="TableText"/>
              <w:jc w:val="center"/>
            </w:pPr>
            <w:r w:rsidRPr="003B37D3">
              <w:t>5</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Chromium</w:t>
            </w:r>
          </w:p>
        </w:tc>
        <w:tc>
          <w:tcPr>
            <w:tcW w:w="2790" w:type="dxa"/>
            <w:vAlign w:val="center"/>
          </w:tcPr>
          <w:p w:rsidR="00485094" w:rsidRPr="003B37D3" w:rsidRDefault="00485094" w:rsidP="00453E80">
            <w:pPr>
              <w:pStyle w:val="TableText"/>
              <w:jc w:val="center"/>
            </w:pPr>
            <w:r w:rsidRPr="003B37D3">
              <w:t>43.4</w:t>
            </w:r>
          </w:p>
        </w:tc>
        <w:tc>
          <w:tcPr>
            <w:tcW w:w="2610" w:type="dxa"/>
            <w:vAlign w:val="center"/>
          </w:tcPr>
          <w:p w:rsidR="00485094" w:rsidRPr="003B37D3" w:rsidRDefault="00485094" w:rsidP="00453E80">
            <w:pPr>
              <w:pStyle w:val="TableText"/>
              <w:jc w:val="center"/>
            </w:pPr>
            <w:r w:rsidRPr="003B37D3">
              <w:t>111</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Copper</w:t>
            </w:r>
          </w:p>
        </w:tc>
        <w:tc>
          <w:tcPr>
            <w:tcW w:w="2790" w:type="dxa"/>
            <w:vAlign w:val="center"/>
          </w:tcPr>
          <w:p w:rsidR="00485094" w:rsidRPr="003B37D3" w:rsidRDefault="00485094" w:rsidP="00453E80">
            <w:pPr>
              <w:pStyle w:val="TableText"/>
              <w:jc w:val="center"/>
            </w:pPr>
            <w:r w:rsidRPr="003B37D3">
              <w:t>32</w:t>
            </w:r>
          </w:p>
        </w:tc>
        <w:tc>
          <w:tcPr>
            <w:tcW w:w="2610" w:type="dxa"/>
            <w:vAlign w:val="center"/>
          </w:tcPr>
          <w:p w:rsidR="00485094" w:rsidRPr="003B37D3" w:rsidRDefault="00485094" w:rsidP="00453E80">
            <w:pPr>
              <w:pStyle w:val="TableText"/>
              <w:jc w:val="center"/>
            </w:pPr>
            <w:r w:rsidRPr="003B37D3">
              <w:t>149</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Lead</w:t>
            </w:r>
          </w:p>
        </w:tc>
        <w:tc>
          <w:tcPr>
            <w:tcW w:w="2790" w:type="dxa"/>
            <w:vAlign w:val="center"/>
          </w:tcPr>
          <w:p w:rsidR="00485094" w:rsidRPr="003B37D3" w:rsidRDefault="00485094" w:rsidP="00453E80">
            <w:pPr>
              <w:pStyle w:val="TableText"/>
              <w:jc w:val="center"/>
            </w:pPr>
            <w:r w:rsidRPr="003B37D3">
              <w:t>36</w:t>
            </w:r>
          </w:p>
        </w:tc>
        <w:tc>
          <w:tcPr>
            <w:tcW w:w="2610" w:type="dxa"/>
            <w:vAlign w:val="center"/>
          </w:tcPr>
          <w:p w:rsidR="00485094" w:rsidRPr="003B37D3" w:rsidRDefault="00485094" w:rsidP="00453E80">
            <w:pPr>
              <w:pStyle w:val="TableText"/>
              <w:jc w:val="center"/>
            </w:pPr>
            <w:r w:rsidRPr="003B37D3">
              <w:t>128</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Mercury</w:t>
            </w:r>
          </w:p>
        </w:tc>
        <w:tc>
          <w:tcPr>
            <w:tcW w:w="2790" w:type="dxa"/>
            <w:vAlign w:val="center"/>
          </w:tcPr>
          <w:p w:rsidR="00485094" w:rsidRPr="003B37D3" w:rsidRDefault="00485094" w:rsidP="00453E80">
            <w:pPr>
              <w:pStyle w:val="TableText"/>
              <w:jc w:val="center"/>
            </w:pPr>
            <w:r w:rsidRPr="003B37D3">
              <w:t>0.18</w:t>
            </w:r>
          </w:p>
        </w:tc>
        <w:tc>
          <w:tcPr>
            <w:tcW w:w="2610" w:type="dxa"/>
            <w:vAlign w:val="center"/>
          </w:tcPr>
          <w:p w:rsidR="00485094" w:rsidRPr="003B37D3" w:rsidRDefault="00485094" w:rsidP="00453E80">
            <w:pPr>
              <w:pStyle w:val="TableText"/>
              <w:jc w:val="center"/>
            </w:pPr>
            <w:r w:rsidRPr="003B37D3">
              <w:t>1.06</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Nickel</w:t>
            </w:r>
          </w:p>
        </w:tc>
        <w:tc>
          <w:tcPr>
            <w:tcW w:w="2790" w:type="dxa"/>
            <w:vAlign w:val="center"/>
          </w:tcPr>
          <w:p w:rsidR="00485094" w:rsidRPr="003B37D3" w:rsidRDefault="00485094" w:rsidP="00453E80">
            <w:pPr>
              <w:pStyle w:val="TableText"/>
              <w:jc w:val="center"/>
            </w:pPr>
            <w:r w:rsidRPr="003B37D3">
              <w:t>23</w:t>
            </w:r>
          </w:p>
        </w:tc>
        <w:tc>
          <w:tcPr>
            <w:tcW w:w="2610" w:type="dxa"/>
            <w:vAlign w:val="center"/>
          </w:tcPr>
          <w:p w:rsidR="00485094" w:rsidRPr="003B37D3" w:rsidRDefault="00485094" w:rsidP="00453E80">
            <w:pPr>
              <w:pStyle w:val="TableText"/>
              <w:jc w:val="center"/>
            </w:pPr>
            <w:r w:rsidRPr="003B37D3">
              <w:t>48</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Zinc</w:t>
            </w:r>
          </w:p>
        </w:tc>
        <w:tc>
          <w:tcPr>
            <w:tcW w:w="2790" w:type="dxa"/>
            <w:vAlign w:val="center"/>
          </w:tcPr>
          <w:p w:rsidR="00485094" w:rsidRPr="003B37D3" w:rsidRDefault="00485094" w:rsidP="00453E80">
            <w:pPr>
              <w:pStyle w:val="TableText"/>
              <w:jc w:val="center"/>
            </w:pPr>
            <w:r w:rsidRPr="003B37D3">
              <w:t>121</w:t>
            </w:r>
          </w:p>
        </w:tc>
        <w:tc>
          <w:tcPr>
            <w:tcW w:w="2610" w:type="dxa"/>
            <w:vAlign w:val="center"/>
          </w:tcPr>
          <w:p w:rsidR="00485094" w:rsidRPr="003B37D3" w:rsidRDefault="00485094" w:rsidP="00453E80">
            <w:pPr>
              <w:pStyle w:val="TableText"/>
              <w:jc w:val="center"/>
            </w:pPr>
            <w:r w:rsidRPr="003B37D3">
              <w:t>459</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Silver</w:t>
            </w:r>
          </w:p>
        </w:tc>
        <w:tc>
          <w:tcPr>
            <w:tcW w:w="2790" w:type="dxa"/>
            <w:vAlign w:val="center"/>
          </w:tcPr>
          <w:p w:rsidR="00485094" w:rsidRPr="003B37D3" w:rsidRDefault="00485094" w:rsidP="00453E80">
            <w:pPr>
              <w:pStyle w:val="TableText"/>
              <w:jc w:val="center"/>
            </w:pPr>
            <w:r w:rsidRPr="003B37D3">
              <w:t>1</w:t>
            </w:r>
          </w:p>
        </w:tc>
        <w:tc>
          <w:tcPr>
            <w:tcW w:w="2610" w:type="dxa"/>
            <w:vAlign w:val="center"/>
          </w:tcPr>
          <w:p w:rsidR="00485094" w:rsidRPr="003B37D3" w:rsidRDefault="00485094" w:rsidP="00453E80">
            <w:pPr>
              <w:pStyle w:val="TableText"/>
              <w:jc w:val="center"/>
            </w:pPr>
            <w:r w:rsidRPr="003B37D3">
              <w:t>2.2</w:t>
            </w:r>
          </w:p>
        </w:tc>
      </w:tr>
    </w:tbl>
    <w:p w:rsidR="00485094" w:rsidRDefault="00485094" w:rsidP="00692F31">
      <w:pPr>
        <w:pStyle w:val="Bodytextreduced"/>
      </w:pPr>
    </w:p>
    <w:p w:rsidR="00485094" w:rsidRPr="00F13A39" w:rsidRDefault="00485094" w:rsidP="00692F31">
      <w:pPr>
        <w:pStyle w:val="Bodytextreduced"/>
      </w:pPr>
    </w:p>
    <w:p w:rsidR="00485094" w:rsidRDefault="00485094" w:rsidP="00692F31">
      <w:pPr>
        <w:pStyle w:val="Tableheading"/>
      </w:pPr>
      <w:bookmarkStart w:id="359" w:name="_Toc255482828"/>
      <w:bookmarkStart w:id="360" w:name="_Toc255807486"/>
      <w:bookmarkStart w:id="361" w:name="_Toc262464244"/>
      <w:bookmarkStart w:id="362" w:name="_Toc271280091"/>
      <w:r w:rsidRPr="008C2D3D">
        <w:t xml:space="preserve">Table </w:t>
      </w:r>
      <w:r>
        <w:t>6.2d</w:t>
      </w:r>
      <w:r w:rsidRPr="008C2D3D">
        <w:t>.</w:t>
      </w:r>
      <w:r>
        <w:t xml:space="preserve">  FDEP Freshwater</w:t>
      </w:r>
      <w:r w:rsidRPr="008C2D3D">
        <w:t xml:space="preserve"> </w:t>
      </w:r>
      <w:r>
        <w:t>Lake S</w:t>
      </w:r>
      <w:r w:rsidRPr="008C2D3D">
        <w:t xml:space="preserve">ediment </w:t>
      </w:r>
      <w:r>
        <w:t>C</w:t>
      </w:r>
      <w:r w:rsidRPr="008C2D3D">
        <w:t xml:space="preserve">ontaminant </w:t>
      </w:r>
      <w:r>
        <w:t>T</w:t>
      </w:r>
      <w:r w:rsidRPr="008C2D3D">
        <w:t>hresholds</w:t>
      </w:r>
      <w:r>
        <w:t xml:space="preserve"> for Organic Contaminants</w:t>
      </w:r>
      <w:bookmarkEnd w:id="359"/>
      <w:bookmarkEnd w:id="360"/>
      <w:bookmarkEnd w:id="361"/>
      <w:bookmarkEnd w:id="362"/>
    </w:p>
    <w:p w:rsidR="00485094" w:rsidRDefault="00485094" w:rsidP="00692F31">
      <w:pPr>
        <w:pStyle w:val="TabledescriptionBF"/>
      </w:pPr>
      <w:r>
        <w:t>This is a three-</w:t>
      </w:r>
      <w:r w:rsidRPr="001A77D7">
        <w:t>column table</w:t>
      </w:r>
      <w:r>
        <w:t>.  C</w:t>
      </w:r>
      <w:r w:rsidRPr="001A77D7">
        <w:t xml:space="preserve">olumn </w:t>
      </w:r>
      <w:r>
        <w:t>1</w:t>
      </w:r>
      <w:r w:rsidRPr="001A77D7">
        <w:t xml:space="preserve"> list</w:t>
      </w:r>
      <w:r>
        <w:t>s</w:t>
      </w:r>
      <w:r w:rsidRPr="001A77D7">
        <w:t xml:space="preserve"> the </w:t>
      </w:r>
      <w:r>
        <w:t>organic contaminants, C</w:t>
      </w:r>
      <w:r w:rsidRPr="001A77D7">
        <w:t xml:space="preserve">olumn </w:t>
      </w:r>
      <w:r>
        <w:t>2 lists the threshold effects concentration, and Column 3 lists the probable effects concentration.</w:t>
      </w:r>
    </w:p>
    <w:p w:rsidR="00485094" w:rsidRDefault="00485094" w:rsidP="00692F31">
      <w:pPr>
        <w:pStyle w:val="Tableheading"/>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8"/>
        <w:gridCol w:w="2790"/>
        <w:gridCol w:w="2610"/>
      </w:tblGrid>
      <w:tr w:rsidR="00485094" w:rsidRPr="00F13A39" w:rsidTr="000F2909">
        <w:trPr>
          <w:trHeight w:val="288"/>
          <w:jc w:val="center"/>
        </w:trPr>
        <w:tc>
          <w:tcPr>
            <w:tcW w:w="2538" w:type="dxa"/>
            <w:tcBorders>
              <w:bottom w:val="double" w:sz="4" w:space="0" w:color="auto"/>
            </w:tcBorders>
            <w:shd w:val="clear" w:color="auto" w:fill="BDFFFF"/>
            <w:vAlign w:val="bottom"/>
          </w:tcPr>
          <w:p w:rsidR="00485094" w:rsidRPr="00F13A39" w:rsidRDefault="00485094" w:rsidP="00F01F27">
            <w:pPr>
              <w:pStyle w:val="TableText"/>
              <w:jc w:val="center"/>
              <w:rPr>
                <w:b/>
                <w:i/>
              </w:rPr>
            </w:pPr>
            <w:r w:rsidRPr="00F13A39">
              <w:rPr>
                <w:b/>
                <w:i/>
              </w:rPr>
              <w:t>Organic Contaminant</w:t>
            </w:r>
          </w:p>
        </w:tc>
        <w:tc>
          <w:tcPr>
            <w:tcW w:w="2790" w:type="dxa"/>
            <w:tcBorders>
              <w:bottom w:val="double" w:sz="4" w:space="0" w:color="auto"/>
            </w:tcBorders>
            <w:shd w:val="clear" w:color="auto" w:fill="BDFFFF"/>
            <w:vAlign w:val="bottom"/>
          </w:tcPr>
          <w:p w:rsidR="00485094" w:rsidRPr="00F13A39" w:rsidRDefault="00485094" w:rsidP="00453E80">
            <w:pPr>
              <w:pStyle w:val="TableText"/>
              <w:jc w:val="center"/>
              <w:rPr>
                <w:b/>
                <w:bCs/>
                <w:i/>
              </w:rPr>
            </w:pPr>
            <w:r w:rsidRPr="00F13A39">
              <w:rPr>
                <w:b/>
                <w:bCs/>
                <w:i/>
              </w:rPr>
              <w:t>Threshold Effects Concentration</w:t>
            </w:r>
          </w:p>
          <w:p w:rsidR="00485094" w:rsidRPr="00F13A39" w:rsidRDefault="00485094" w:rsidP="00453E80">
            <w:pPr>
              <w:pStyle w:val="TableText"/>
              <w:jc w:val="center"/>
              <w:rPr>
                <w:b/>
                <w:bCs/>
                <w:i/>
              </w:rPr>
            </w:pPr>
            <w:r w:rsidRPr="00F13A39">
              <w:rPr>
                <w:b/>
                <w:bCs/>
                <w:i/>
              </w:rPr>
              <w:t>(µg/kg)</w:t>
            </w:r>
          </w:p>
        </w:tc>
        <w:tc>
          <w:tcPr>
            <w:tcW w:w="2610" w:type="dxa"/>
            <w:tcBorders>
              <w:bottom w:val="double" w:sz="4" w:space="0" w:color="auto"/>
            </w:tcBorders>
            <w:shd w:val="clear" w:color="auto" w:fill="BDFFFF"/>
            <w:vAlign w:val="bottom"/>
          </w:tcPr>
          <w:p w:rsidR="00485094" w:rsidRPr="00F13A39" w:rsidRDefault="00485094" w:rsidP="00453E80">
            <w:pPr>
              <w:pStyle w:val="TableText"/>
              <w:jc w:val="center"/>
              <w:rPr>
                <w:b/>
                <w:bCs/>
                <w:i/>
              </w:rPr>
            </w:pPr>
            <w:r w:rsidRPr="00F13A39">
              <w:rPr>
                <w:b/>
                <w:bCs/>
                <w:i/>
              </w:rPr>
              <w:t>Probable Effects Concentration</w:t>
            </w:r>
          </w:p>
          <w:p w:rsidR="00485094" w:rsidRPr="00F13A39" w:rsidRDefault="00485094" w:rsidP="00453E80">
            <w:pPr>
              <w:pStyle w:val="TableText"/>
              <w:jc w:val="center"/>
              <w:rPr>
                <w:b/>
                <w:bCs/>
                <w:i/>
              </w:rPr>
            </w:pPr>
            <w:r w:rsidRPr="00F13A39">
              <w:rPr>
                <w:b/>
                <w:bCs/>
                <w:i/>
              </w:rPr>
              <w:t>(µg/kg)</w:t>
            </w:r>
          </w:p>
        </w:tc>
      </w:tr>
      <w:tr w:rsidR="00485094" w:rsidTr="00453E80">
        <w:trPr>
          <w:trHeight w:val="288"/>
          <w:jc w:val="center"/>
        </w:trPr>
        <w:tc>
          <w:tcPr>
            <w:tcW w:w="2538" w:type="dxa"/>
            <w:tcBorders>
              <w:top w:val="double" w:sz="4" w:space="0" w:color="auto"/>
            </w:tcBorders>
            <w:shd w:val="clear" w:color="auto" w:fill="FFFFCC"/>
            <w:vAlign w:val="center"/>
          </w:tcPr>
          <w:p w:rsidR="00485094" w:rsidRPr="003B37D3" w:rsidRDefault="00485094" w:rsidP="00453E80">
            <w:pPr>
              <w:pStyle w:val="TableText"/>
              <w:jc w:val="center"/>
            </w:pPr>
            <w:r w:rsidRPr="003B37D3">
              <w:t>Anthracene</w:t>
            </w:r>
          </w:p>
        </w:tc>
        <w:tc>
          <w:tcPr>
            <w:tcW w:w="2790" w:type="dxa"/>
            <w:tcBorders>
              <w:top w:val="double" w:sz="4" w:space="0" w:color="auto"/>
            </w:tcBorders>
            <w:vAlign w:val="center"/>
          </w:tcPr>
          <w:p w:rsidR="00485094" w:rsidRPr="003B37D3" w:rsidRDefault="00485094" w:rsidP="00453E80">
            <w:pPr>
              <w:pStyle w:val="TableText"/>
              <w:jc w:val="center"/>
            </w:pPr>
            <w:r w:rsidRPr="003B37D3">
              <w:t>57</w:t>
            </w:r>
          </w:p>
        </w:tc>
        <w:tc>
          <w:tcPr>
            <w:tcW w:w="2610" w:type="dxa"/>
            <w:tcBorders>
              <w:top w:val="double" w:sz="4" w:space="0" w:color="auto"/>
            </w:tcBorders>
            <w:vAlign w:val="center"/>
          </w:tcPr>
          <w:p w:rsidR="00485094" w:rsidRPr="003B37D3" w:rsidRDefault="00485094" w:rsidP="00453E80">
            <w:pPr>
              <w:pStyle w:val="TableText"/>
              <w:jc w:val="center"/>
            </w:pPr>
            <w:r w:rsidRPr="003B37D3">
              <w:t>845</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Fluorene</w:t>
            </w:r>
          </w:p>
        </w:tc>
        <w:tc>
          <w:tcPr>
            <w:tcW w:w="2790" w:type="dxa"/>
            <w:vAlign w:val="center"/>
          </w:tcPr>
          <w:p w:rsidR="00485094" w:rsidRPr="003B37D3" w:rsidRDefault="00485094" w:rsidP="00453E80">
            <w:pPr>
              <w:pStyle w:val="TableText"/>
              <w:jc w:val="center"/>
            </w:pPr>
            <w:r w:rsidRPr="003B37D3">
              <w:t>77</w:t>
            </w:r>
          </w:p>
        </w:tc>
        <w:tc>
          <w:tcPr>
            <w:tcW w:w="2610" w:type="dxa"/>
            <w:vAlign w:val="center"/>
          </w:tcPr>
          <w:p w:rsidR="00485094" w:rsidRPr="003B37D3" w:rsidRDefault="00485094" w:rsidP="00453E80">
            <w:pPr>
              <w:pStyle w:val="TableText"/>
              <w:jc w:val="center"/>
            </w:pPr>
            <w:r w:rsidRPr="003B37D3">
              <w:t>536</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Naphthalene</w:t>
            </w:r>
          </w:p>
        </w:tc>
        <w:tc>
          <w:tcPr>
            <w:tcW w:w="2790" w:type="dxa"/>
            <w:vAlign w:val="center"/>
          </w:tcPr>
          <w:p w:rsidR="00485094" w:rsidRPr="003B37D3" w:rsidRDefault="00485094" w:rsidP="00453E80">
            <w:pPr>
              <w:pStyle w:val="TableText"/>
              <w:jc w:val="center"/>
            </w:pPr>
            <w:r w:rsidRPr="003B37D3">
              <w:t>176</w:t>
            </w:r>
          </w:p>
        </w:tc>
        <w:tc>
          <w:tcPr>
            <w:tcW w:w="2610" w:type="dxa"/>
            <w:vAlign w:val="center"/>
          </w:tcPr>
          <w:p w:rsidR="00485094" w:rsidRPr="003B37D3" w:rsidRDefault="00485094" w:rsidP="00453E80">
            <w:pPr>
              <w:pStyle w:val="TableText"/>
              <w:jc w:val="center"/>
            </w:pPr>
            <w:r w:rsidRPr="003B37D3">
              <w:t>561</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Phenanthrene</w:t>
            </w:r>
          </w:p>
        </w:tc>
        <w:tc>
          <w:tcPr>
            <w:tcW w:w="2790" w:type="dxa"/>
            <w:vAlign w:val="center"/>
          </w:tcPr>
          <w:p w:rsidR="00485094" w:rsidRPr="003B37D3" w:rsidRDefault="00485094" w:rsidP="00453E80">
            <w:pPr>
              <w:pStyle w:val="TableText"/>
              <w:jc w:val="center"/>
            </w:pPr>
            <w:r w:rsidRPr="003B37D3">
              <w:t>204</w:t>
            </w:r>
          </w:p>
        </w:tc>
        <w:tc>
          <w:tcPr>
            <w:tcW w:w="2610" w:type="dxa"/>
            <w:vAlign w:val="center"/>
          </w:tcPr>
          <w:p w:rsidR="00485094" w:rsidRPr="003B37D3" w:rsidRDefault="00485094" w:rsidP="00453E80">
            <w:pPr>
              <w:pStyle w:val="TableText"/>
              <w:jc w:val="center"/>
            </w:pPr>
            <w:r w:rsidRPr="003B37D3">
              <w:t>1</w:t>
            </w:r>
            <w:r>
              <w:t>,</w:t>
            </w:r>
            <w:r w:rsidRPr="003B37D3">
              <w:t>170</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Benz[a]anthracene</w:t>
            </w:r>
          </w:p>
        </w:tc>
        <w:tc>
          <w:tcPr>
            <w:tcW w:w="2790" w:type="dxa"/>
            <w:vAlign w:val="center"/>
          </w:tcPr>
          <w:p w:rsidR="00485094" w:rsidRPr="003B37D3" w:rsidRDefault="00485094" w:rsidP="00453E80">
            <w:pPr>
              <w:pStyle w:val="TableText"/>
              <w:jc w:val="center"/>
            </w:pPr>
            <w:r w:rsidRPr="003B37D3">
              <w:t>108</w:t>
            </w:r>
          </w:p>
        </w:tc>
        <w:tc>
          <w:tcPr>
            <w:tcW w:w="2610" w:type="dxa"/>
            <w:vAlign w:val="center"/>
          </w:tcPr>
          <w:p w:rsidR="00485094" w:rsidRPr="003B37D3" w:rsidRDefault="00485094" w:rsidP="00453E80">
            <w:pPr>
              <w:pStyle w:val="TableText"/>
              <w:jc w:val="center"/>
            </w:pPr>
            <w:r w:rsidRPr="003B37D3">
              <w:t>1</w:t>
            </w:r>
            <w:r>
              <w:t>,</w:t>
            </w:r>
            <w:r w:rsidRPr="003B37D3">
              <w:t>050</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Benzo(a)pyrene</w:t>
            </w:r>
          </w:p>
        </w:tc>
        <w:tc>
          <w:tcPr>
            <w:tcW w:w="2790" w:type="dxa"/>
            <w:vAlign w:val="center"/>
          </w:tcPr>
          <w:p w:rsidR="00485094" w:rsidRPr="003B37D3" w:rsidRDefault="00485094" w:rsidP="00453E80">
            <w:pPr>
              <w:pStyle w:val="TableText"/>
              <w:jc w:val="center"/>
            </w:pPr>
            <w:r w:rsidRPr="003B37D3">
              <w:t>150</w:t>
            </w:r>
          </w:p>
        </w:tc>
        <w:tc>
          <w:tcPr>
            <w:tcW w:w="2610" w:type="dxa"/>
            <w:vAlign w:val="center"/>
          </w:tcPr>
          <w:p w:rsidR="00485094" w:rsidRPr="003B37D3" w:rsidRDefault="00485094" w:rsidP="00453E80">
            <w:pPr>
              <w:pStyle w:val="TableText"/>
              <w:jc w:val="center"/>
            </w:pPr>
            <w:r w:rsidRPr="003B37D3">
              <w:t>1</w:t>
            </w:r>
            <w:r>
              <w:t>,</w:t>
            </w:r>
            <w:r w:rsidRPr="003B37D3">
              <w:t>450</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Chrysene</w:t>
            </w:r>
          </w:p>
        </w:tc>
        <w:tc>
          <w:tcPr>
            <w:tcW w:w="2790" w:type="dxa"/>
            <w:vAlign w:val="center"/>
          </w:tcPr>
          <w:p w:rsidR="00485094" w:rsidRPr="003B37D3" w:rsidRDefault="00485094" w:rsidP="00453E80">
            <w:pPr>
              <w:pStyle w:val="TableText"/>
              <w:jc w:val="center"/>
            </w:pPr>
            <w:r w:rsidRPr="003B37D3">
              <w:t>166</w:t>
            </w:r>
          </w:p>
        </w:tc>
        <w:tc>
          <w:tcPr>
            <w:tcW w:w="2610" w:type="dxa"/>
            <w:vAlign w:val="center"/>
          </w:tcPr>
          <w:p w:rsidR="00485094" w:rsidRPr="003B37D3" w:rsidRDefault="00485094" w:rsidP="00453E80">
            <w:pPr>
              <w:pStyle w:val="TableText"/>
              <w:jc w:val="center"/>
            </w:pPr>
            <w:r w:rsidRPr="003B37D3">
              <w:t>1</w:t>
            </w:r>
            <w:r>
              <w:t>,</w:t>
            </w:r>
            <w:r w:rsidRPr="003B37D3">
              <w:t>290</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Fluoranthene</w:t>
            </w:r>
          </w:p>
        </w:tc>
        <w:tc>
          <w:tcPr>
            <w:tcW w:w="2790" w:type="dxa"/>
            <w:vAlign w:val="center"/>
          </w:tcPr>
          <w:p w:rsidR="00485094" w:rsidRPr="003B37D3" w:rsidRDefault="00485094" w:rsidP="00453E80">
            <w:pPr>
              <w:pStyle w:val="TableText"/>
              <w:jc w:val="center"/>
            </w:pPr>
            <w:r w:rsidRPr="003B37D3">
              <w:t>423</w:t>
            </w:r>
          </w:p>
        </w:tc>
        <w:tc>
          <w:tcPr>
            <w:tcW w:w="2610" w:type="dxa"/>
            <w:vAlign w:val="center"/>
          </w:tcPr>
          <w:p w:rsidR="00485094" w:rsidRPr="003B37D3" w:rsidRDefault="00485094" w:rsidP="00453E80">
            <w:pPr>
              <w:pStyle w:val="TableText"/>
              <w:jc w:val="center"/>
            </w:pPr>
            <w:r w:rsidRPr="003B37D3">
              <w:t>2</w:t>
            </w:r>
            <w:r>
              <w:t>,</w:t>
            </w:r>
            <w:r w:rsidRPr="003B37D3">
              <w:t>230</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Pyrene</w:t>
            </w:r>
          </w:p>
        </w:tc>
        <w:tc>
          <w:tcPr>
            <w:tcW w:w="2790" w:type="dxa"/>
            <w:vAlign w:val="center"/>
          </w:tcPr>
          <w:p w:rsidR="00485094" w:rsidRPr="003B37D3" w:rsidRDefault="00485094" w:rsidP="00453E80">
            <w:pPr>
              <w:pStyle w:val="TableText"/>
              <w:jc w:val="center"/>
            </w:pPr>
            <w:r w:rsidRPr="003B37D3">
              <w:t>195</w:t>
            </w:r>
          </w:p>
        </w:tc>
        <w:tc>
          <w:tcPr>
            <w:tcW w:w="2610" w:type="dxa"/>
            <w:vAlign w:val="center"/>
          </w:tcPr>
          <w:p w:rsidR="00485094" w:rsidRPr="003B37D3" w:rsidRDefault="00485094" w:rsidP="00453E80">
            <w:pPr>
              <w:pStyle w:val="TableText"/>
              <w:jc w:val="center"/>
            </w:pPr>
            <w:r w:rsidRPr="003B37D3">
              <w:t>1</w:t>
            </w:r>
            <w:r>
              <w:t>,</w:t>
            </w:r>
            <w:r w:rsidRPr="003B37D3">
              <w:t>520</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Total Polynuclear Aromatic Hydrocarbons (PAH</w:t>
            </w:r>
            <w:r>
              <w:t>s</w:t>
            </w:r>
            <w:r w:rsidRPr="003B37D3">
              <w:t>)</w:t>
            </w:r>
          </w:p>
        </w:tc>
        <w:tc>
          <w:tcPr>
            <w:tcW w:w="2790" w:type="dxa"/>
            <w:vAlign w:val="center"/>
          </w:tcPr>
          <w:p w:rsidR="00485094" w:rsidRPr="003B37D3" w:rsidRDefault="00485094" w:rsidP="00453E80">
            <w:pPr>
              <w:pStyle w:val="TableText"/>
              <w:jc w:val="center"/>
            </w:pPr>
            <w:r w:rsidRPr="003B37D3">
              <w:t>1</w:t>
            </w:r>
            <w:r>
              <w:t>,</w:t>
            </w:r>
            <w:r w:rsidRPr="003B37D3">
              <w:t>610</w:t>
            </w:r>
          </w:p>
        </w:tc>
        <w:tc>
          <w:tcPr>
            <w:tcW w:w="2610" w:type="dxa"/>
            <w:vAlign w:val="center"/>
          </w:tcPr>
          <w:p w:rsidR="00485094" w:rsidRPr="003B37D3" w:rsidRDefault="00485094" w:rsidP="00453E80">
            <w:pPr>
              <w:pStyle w:val="TableText"/>
              <w:jc w:val="center"/>
            </w:pPr>
            <w:r w:rsidRPr="003B37D3">
              <w:t>22</w:t>
            </w:r>
            <w:r>
              <w:t>,</w:t>
            </w:r>
            <w:r w:rsidRPr="003B37D3">
              <w:t>800</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Chlordane</w:t>
            </w:r>
          </w:p>
        </w:tc>
        <w:tc>
          <w:tcPr>
            <w:tcW w:w="2790" w:type="dxa"/>
            <w:vAlign w:val="center"/>
          </w:tcPr>
          <w:p w:rsidR="00485094" w:rsidRPr="003B37D3" w:rsidRDefault="00485094" w:rsidP="00453E80">
            <w:pPr>
              <w:pStyle w:val="TableText"/>
              <w:jc w:val="center"/>
            </w:pPr>
            <w:r w:rsidRPr="003B37D3">
              <w:t>3.2</w:t>
            </w:r>
          </w:p>
        </w:tc>
        <w:tc>
          <w:tcPr>
            <w:tcW w:w="2610" w:type="dxa"/>
            <w:vAlign w:val="center"/>
          </w:tcPr>
          <w:p w:rsidR="00485094" w:rsidRPr="003B37D3" w:rsidRDefault="00485094" w:rsidP="00453E80">
            <w:pPr>
              <w:pStyle w:val="TableText"/>
              <w:jc w:val="center"/>
            </w:pPr>
            <w:r w:rsidRPr="003B37D3">
              <w:t>17.6</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Dieldrin</w:t>
            </w:r>
          </w:p>
        </w:tc>
        <w:tc>
          <w:tcPr>
            <w:tcW w:w="2790" w:type="dxa"/>
            <w:vAlign w:val="center"/>
          </w:tcPr>
          <w:p w:rsidR="00485094" w:rsidRPr="003B37D3" w:rsidRDefault="00485094" w:rsidP="00453E80">
            <w:pPr>
              <w:pStyle w:val="TableText"/>
              <w:jc w:val="center"/>
            </w:pPr>
            <w:r w:rsidRPr="003B37D3">
              <w:t>1.9</w:t>
            </w:r>
          </w:p>
        </w:tc>
        <w:tc>
          <w:tcPr>
            <w:tcW w:w="2610" w:type="dxa"/>
            <w:vAlign w:val="center"/>
          </w:tcPr>
          <w:p w:rsidR="00485094" w:rsidRPr="003B37D3" w:rsidRDefault="00485094" w:rsidP="00453E80">
            <w:pPr>
              <w:pStyle w:val="TableText"/>
              <w:jc w:val="center"/>
            </w:pPr>
            <w:r w:rsidRPr="003B37D3">
              <w:t>61.8</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DDD</w:t>
            </w:r>
          </w:p>
        </w:tc>
        <w:tc>
          <w:tcPr>
            <w:tcW w:w="2790" w:type="dxa"/>
            <w:vAlign w:val="center"/>
          </w:tcPr>
          <w:p w:rsidR="00485094" w:rsidRPr="003B37D3" w:rsidRDefault="00485094" w:rsidP="00453E80">
            <w:pPr>
              <w:pStyle w:val="TableText"/>
              <w:jc w:val="center"/>
            </w:pPr>
            <w:r w:rsidRPr="003B37D3">
              <w:t>4.9</w:t>
            </w:r>
          </w:p>
        </w:tc>
        <w:tc>
          <w:tcPr>
            <w:tcW w:w="2610" w:type="dxa"/>
            <w:vAlign w:val="center"/>
          </w:tcPr>
          <w:p w:rsidR="00485094" w:rsidRPr="003B37D3" w:rsidRDefault="00485094" w:rsidP="00453E80">
            <w:pPr>
              <w:pStyle w:val="TableText"/>
              <w:jc w:val="center"/>
            </w:pPr>
            <w:r w:rsidRPr="003B37D3">
              <w:t>28.0</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DDE</w:t>
            </w:r>
          </w:p>
        </w:tc>
        <w:tc>
          <w:tcPr>
            <w:tcW w:w="2790" w:type="dxa"/>
            <w:vAlign w:val="center"/>
          </w:tcPr>
          <w:p w:rsidR="00485094" w:rsidRPr="003B37D3" w:rsidRDefault="00485094" w:rsidP="00453E80">
            <w:pPr>
              <w:pStyle w:val="TableText"/>
              <w:jc w:val="center"/>
            </w:pPr>
            <w:r w:rsidRPr="003B37D3">
              <w:t>3.2</w:t>
            </w:r>
          </w:p>
        </w:tc>
        <w:tc>
          <w:tcPr>
            <w:tcW w:w="2610" w:type="dxa"/>
            <w:vAlign w:val="center"/>
          </w:tcPr>
          <w:p w:rsidR="00485094" w:rsidRPr="003B37D3" w:rsidRDefault="00485094" w:rsidP="00453E80">
            <w:pPr>
              <w:pStyle w:val="TableText"/>
              <w:jc w:val="center"/>
            </w:pPr>
            <w:r w:rsidRPr="003B37D3">
              <w:t>31.3</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DDT</w:t>
            </w:r>
          </w:p>
        </w:tc>
        <w:tc>
          <w:tcPr>
            <w:tcW w:w="2790" w:type="dxa"/>
            <w:vAlign w:val="center"/>
          </w:tcPr>
          <w:p w:rsidR="00485094" w:rsidRPr="003B37D3" w:rsidRDefault="00485094" w:rsidP="00453E80">
            <w:pPr>
              <w:pStyle w:val="TableText"/>
              <w:jc w:val="center"/>
            </w:pPr>
            <w:r w:rsidRPr="003B37D3">
              <w:t>4.2</w:t>
            </w:r>
          </w:p>
        </w:tc>
        <w:tc>
          <w:tcPr>
            <w:tcW w:w="2610" w:type="dxa"/>
            <w:vAlign w:val="center"/>
          </w:tcPr>
          <w:p w:rsidR="00485094" w:rsidRPr="003B37D3" w:rsidRDefault="00485094" w:rsidP="00453E80">
            <w:pPr>
              <w:pStyle w:val="TableText"/>
              <w:jc w:val="center"/>
            </w:pPr>
            <w:r w:rsidRPr="003B37D3">
              <w:t>62.9</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Endrin</w:t>
            </w:r>
          </w:p>
        </w:tc>
        <w:tc>
          <w:tcPr>
            <w:tcW w:w="2790" w:type="dxa"/>
            <w:vAlign w:val="center"/>
          </w:tcPr>
          <w:p w:rsidR="00485094" w:rsidRPr="003B37D3" w:rsidRDefault="00485094" w:rsidP="00453E80">
            <w:pPr>
              <w:pStyle w:val="TableText"/>
              <w:jc w:val="center"/>
            </w:pPr>
            <w:r w:rsidRPr="003B37D3">
              <w:t>2.2</w:t>
            </w:r>
          </w:p>
        </w:tc>
        <w:tc>
          <w:tcPr>
            <w:tcW w:w="2610" w:type="dxa"/>
            <w:vAlign w:val="center"/>
          </w:tcPr>
          <w:p w:rsidR="00485094" w:rsidRPr="003B37D3" w:rsidRDefault="00485094" w:rsidP="00453E80">
            <w:pPr>
              <w:pStyle w:val="TableText"/>
              <w:jc w:val="center"/>
            </w:pPr>
            <w:r w:rsidRPr="003B37D3">
              <w:t>207</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Lindane</w:t>
            </w:r>
          </w:p>
        </w:tc>
        <w:tc>
          <w:tcPr>
            <w:tcW w:w="2790" w:type="dxa"/>
            <w:vAlign w:val="center"/>
          </w:tcPr>
          <w:p w:rsidR="00485094" w:rsidRPr="003B37D3" w:rsidRDefault="00485094" w:rsidP="00453E80">
            <w:pPr>
              <w:pStyle w:val="TableText"/>
              <w:jc w:val="center"/>
            </w:pPr>
            <w:r w:rsidRPr="003B37D3">
              <w:t>2.4</w:t>
            </w:r>
          </w:p>
        </w:tc>
        <w:tc>
          <w:tcPr>
            <w:tcW w:w="2610" w:type="dxa"/>
            <w:vAlign w:val="center"/>
          </w:tcPr>
          <w:p w:rsidR="00485094" w:rsidRPr="003B37D3" w:rsidRDefault="00485094" w:rsidP="00453E80">
            <w:pPr>
              <w:pStyle w:val="TableText"/>
              <w:jc w:val="center"/>
            </w:pPr>
            <w:r w:rsidRPr="003B37D3">
              <w:t>5.0</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Total Polychlorinated Biphenyls (PCB</w:t>
            </w:r>
            <w:r>
              <w:t>s</w:t>
            </w:r>
            <w:r w:rsidRPr="003B37D3">
              <w:t>)</w:t>
            </w:r>
          </w:p>
        </w:tc>
        <w:tc>
          <w:tcPr>
            <w:tcW w:w="2790" w:type="dxa"/>
            <w:vAlign w:val="center"/>
          </w:tcPr>
          <w:p w:rsidR="00485094" w:rsidRPr="003B37D3" w:rsidRDefault="00485094" w:rsidP="00453E80">
            <w:pPr>
              <w:pStyle w:val="TableText"/>
              <w:jc w:val="center"/>
            </w:pPr>
            <w:r w:rsidRPr="003B37D3">
              <w:t>60</w:t>
            </w:r>
          </w:p>
        </w:tc>
        <w:tc>
          <w:tcPr>
            <w:tcW w:w="2610" w:type="dxa"/>
            <w:vAlign w:val="center"/>
          </w:tcPr>
          <w:p w:rsidR="00485094" w:rsidRPr="003B37D3" w:rsidRDefault="00485094" w:rsidP="00453E80">
            <w:pPr>
              <w:pStyle w:val="TableText"/>
              <w:jc w:val="center"/>
            </w:pPr>
            <w:r w:rsidRPr="003B37D3">
              <w:t>676</w:t>
            </w:r>
          </w:p>
        </w:tc>
      </w:tr>
    </w:tbl>
    <w:p w:rsidR="00485094" w:rsidRDefault="00485094" w:rsidP="00692F31">
      <w:pPr>
        <w:pStyle w:val="Bodytextreduced"/>
      </w:pPr>
    </w:p>
    <w:p w:rsidR="00485094" w:rsidRDefault="00485094" w:rsidP="00692F31">
      <w:pPr>
        <w:pStyle w:val="Bodytextreduced"/>
      </w:pPr>
    </w:p>
    <w:p w:rsidR="00485094" w:rsidRPr="008B521E" w:rsidRDefault="00485094" w:rsidP="00692F31">
      <w:pPr>
        <w:pStyle w:val="Heading3"/>
      </w:pPr>
      <w:bookmarkStart w:id="363" w:name="_Toc255822531"/>
      <w:bookmarkStart w:id="364" w:name="_Toc262464149"/>
      <w:bookmarkStart w:id="365" w:name="_Toc271279973"/>
      <w:r w:rsidRPr="008B521E">
        <w:t>Rivers, Streams, Large Lakes, and Small Lakes</w:t>
      </w:r>
      <w:bookmarkEnd w:id="363"/>
      <w:bookmarkEnd w:id="364"/>
      <w:bookmarkEnd w:id="365"/>
    </w:p>
    <w:p w:rsidR="00485094" w:rsidRDefault="00485094" w:rsidP="00692F31">
      <w:pPr>
        <w:pStyle w:val="Bodytext"/>
      </w:pPr>
      <w:r w:rsidRPr="000D2F61">
        <w:t xml:space="preserve">The </w:t>
      </w:r>
      <w:r>
        <w:t xml:space="preserve">following pages present the </w:t>
      </w:r>
      <w:r w:rsidRPr="000D2F61">
        <w:t xml:space="preserve">surface water </w:t>
      </w:r>
      <w:r>
        <w:t>S</w:t>
      </w:r>
      <w:r w:rsidRPr="000D2F61">
        <w:t xml:space="preserve">tatus </w:t>
      </w:r>
      <w:r>
        <w:t xml:space="preserve">Network </w:t>
      </w:r>
      <w:r w:rsidRPr="000D2F61">
        <w:t>results</w:t>
      </w:r>
      <w:r>
        <w:t xml:space="preserve"> for </w:t>
      </w:r>
      <w:r w:rsidRPr="000D2F61">
        <w:t xml:space="preserve">rivers, streams, large </w:t>
      </w:r>
      <w:r>
        <w:t xml:space="preserve">lakes, </w:t>
      </w:r>
      <w:r w:rsidRPr="000D2F61">
        <w:t xml:space="preserve">and small lakes.  </w:t>
      </w:r>
      <w:r>
        <w:t xml:space="preserve">For each resource, there is </w:t>
      </w:r>
      <w:r w:rsidRPr="000D2F61">
        <w:t>a map showing the sample site locations</w:t>
      </w:r>
      <w:r>
        <w:t xml:space="preserve"> (</w:t>
      </w:r>
      <w:r w:rsidRPr="00E92FF1">
        <w:rPr>
          <w:b/>
          <w:i/>
        </w:rPr>
        <w:t>Figures 6.1, 6.</w:t>
      </w:r>
      <w:r>
        <w:rPr>
          <w:b/>
          <w:i/>
        </w:rPr>
        <w:t>3</w:t>
      </w:r>
      <w:r w:rsidRPr="00E92FF1">
        <w:rPr>
          <w:b/>
          <w:i/>
        </w:rPr>
        <w:t>, 6.</w:t>
      </w:r>
      <w:r>
        <w:rPr>
          <w:b/>
          <w:i/>
        </w:rPr>
        <w:t>5</w:t>
      </w:r>
      <w:r w:rsidRPr="00E92FF1">
        <w:rPr>
          <w:b/>
          <w:i/>
        </w:rPr>
        <w:t xml:space="preserve">, </w:t>
      </w:r>
      <w:r w:rsidRPr="00E92FF1">
        <w:t>and</w:t>
      </w:r>
      <w:r w:rsidRPr="00E92FF1">
        <w:rPr>
          <w:b/>
          <w:i/>
        </w:rPr>
        <w:t xml:space="preserve"> 6.</w:t>
      </w:r>
      <w:r>
        <w:rPr>
          <w:b/>
          <w:i/>
        </w:rPr>
        <w:t>7</w:t>
      </w:r>
      <w:r w:rsidRPr="00E92FF1">
        <w:t>),</w:t>
      </w:r>
      <w:r w:rsidRPr="000D2F61">
        <w:t xml:space="preserve"> a figure with a summary of the statewide results</w:t>
      </w:r>
      <w:r>
        <w:t xml:space="preserve"> (</w:t>
      </w:r>
      <w:r w:rsidRPr="00E92FF1">
        <w:rPr>
          <w:b/>
          <w:i/>
        </w:rPr>
        <w:t>Figures 6.2, 6.4, 6.6,</w:t>
      </w:r>
      <w:r>
        <w:t xml:space="preserve"> and </w:t>
      </w:r>
      <w:r>
        <w:rPr>
          <w:b/>
          <w:i/>
        </w:rPr>
        <w:t>6.</w:t>
      </w:r>
      <w:r w:rsidRPr="00E92FF1">
        <w:rPr>
          <w:b/>
          <w:i/>
        </w:rPr>
        <w:t>8</w:t>
      </w:r>
      <w:r>
        <w:t>),</w:t>
      </w:r>
      <w:r w:rsidRPr="000D2F61">
        <w:t xml:space="preserve"> and a table of the </w:t>
      </w:r>
      <w:r w:rsidRPr="000D2F61">
        <w:rPr>
          <w:rFonts w:cs="Arial"/>
          <w:szCs w:val="22"/>
        </w:rPr>
        <w:t>statewide results</w:t>
      </w:r>
      <w:r>
        <w:rPr>
          <w:rFonts w:cs="Arial"/>
          <w:szCs w:val="22"/>
        </w:rPr>
        <w:t xml:space="preserve"> for each indicator for a particular resource </w:t>
      </w:r>
      <w:r>
        <w:t>(</w:t>
      </w:r>
      <w:r w:rsidRPr="00E92FF1">
        <w:rPr>
          <w:b/>
          <w:i/>
        </w:rPr>
        <w:t>Tables 6.</w:t>
      </w:r>
      <w:r>
        <w:rPr>
          <w:b/>
          <w:i/>
        </w:rPr>
        <w:t>3</w:t>
      </w:r>
      <w:r w:rsidRPr="00E92FF1">
        <w:rPr>
          <w:b/>
          <w:i/>
        </w:rPr>
        <w:t xml:space="preserve">b </w:t>
      </w:r>
      <w:r w:rsidRPr="00E92FF1">
        <w:t>through</w:t>
      </w:r>
      <w:r w:rsidRPr="00E92FF1">
        <w:rPr>
          <w:b/>
          <w:i/>
        </w:rPr>
        <w:t xml:space="preserve"> 6.</w:t>
      </w:r>
      <w:r>
        <w:rPr>
          <w:b/>
          <w:i/>
        </w:rPr>
        <w:t>3</w:t>
      </w:r>
      <w:r w:rsidRPr="00E92FF1">
        <w:rPr>
          <w:b/>
          <w:i/>
        </w:rPr>
        <w:t>e</w:t>
      </w:r>
      <w:r w:rsidRPr="00E92FF1">
        <w:t>),</w:t>
      </w:r>
      <w:r>
        <w:t xml:space="preserve"> followed </w:t>
      </w:r>
      <w:r w:rsidRPr="00E92FF1">
        <w:t>by a discussion</w:t>
      </w:r>
      <w:r>
        <w:t xml:space="preserve">.  </w:t>
      </w:r>
      <w:r w:rsidRPr="00E92FF1">
        <w:rPr>
          <w:b/>
          <w:i/>
        </w:rPr>
        <w:t>Table 6.</w:t>
      </w:r>
      <w:r>
        <w:rPr>
          <w:b/>
          <w:i/>
        </w:rPr>
        <w:t>3</w:t>
      </w:r>
      <w:r w:rsidRPr="00E92FF1">
        <w:rPr>
          <w:b/>
          <w:i/>
        </w:rPr>
        <w:t>a</w:t>
      </w:r>
      <w:r w:rsidRPr="00C93326">
        <w:t xml:space="preserve"> contains </w:t>
      </w:r>
      <w:r>
        <w:t>the</w:t>
      </w:r>
      <w:r w:rsidRPr="00C93326">
        <w:t xml:space="preserve"> legend for the </w:t>
      </w:r>
      <w:r>
        <w:t>terms</w:t>
      </w:r>
      <w:r w:rsidRPr="00C93326">
        <w:t xml:space="preserve"> used in the statewide summary tables.  </w:t>
      </w:r>
    </w:p>
    <w:p w:rsidR="00485094" w:rsidRDefault="00485094" w:rsidP="00692F31">
      <w:pPr>
        <w:rPr>
          <w:rFonts w:ascii="Arial" w:hAnsi="Arial" w:cs="Arial"/>
          <w:sz w:val="22"/>
          <w:szCs w:val="22"/>
        </w:rPr>
      </w:pPr>
    </w:p>
    <w:p w:rsidR="003C6692" w:rsidRDefault="00485094">
      <w:pPr>
        <w:rPr>
          <w:rFonts w:cs="Arial"/>
          <w:szCs w:val="22"/>
        </w:rPr>
      </w:pPr>
      <w:r>
        <w:rPr>
          <w:rFonts w:ascii="Arial" w:hAnsi="Arial" w:cs="Arial"/>
          <w:sz w:val="22"/>
          <w:szCs w:val="22"/>
        </w:rPr>
        <w:t xml:space="preserve">The rotating basin component of the Status Network design allows for individual basin reports to be completed.  Basin-specific reports are available on the </w:t>
      </w:r>
      <w:hyperlink r:id="rId73" w:history="1">
        <w:r w:rsidRPr="00D94E36">
          <w:rPr>
            <w:rStyle w:val="Hyperlink"/>
            <w:rFonts w:ascii="Arial" w:hAnsi="Arial" w:cs="Arial"/>
            <w:sz w:val="22"/>
            <w:szCs w:val="22"/>
          </w:rPr>
          <w:t xml:space="preserve">FDEP </w:t>
        </w:r>
        <w:r>
          <w:rPr>
            <w:rStyle w:val="Hyperlink"/>
            <w:rFonts w:ascii="Arial" w:hAnsi="Arial" w:cs="Arial"/>
            <w:sz w:val="22"/>
            <w:szCs w:val="22"/>
          </w:rPr>
          <w:t xml:space="preserve">Watershed Monitoring </w:t>
        </w:r>
        <w:r w:rsidRPr="00D94E36">
          <w:rPr>
            <w:rStyle w:val="Hyperlink"/>
            <w:rFonts w:ascii="Arial" w:hAnsi="Arial" w:cs="Arial"/>
            <w:sz w:val="22"/>
            <w:szCs w:val="22"/>
          </w:rPr>
          <w:t>website</w:t>
        </w:r>
      </w:hyperlink>
      <w:r>
        <w:rPr>
          <w:rFonts w:ascii="Arial" w:hAnsi="Arial" w:cs="Arial"/>
          <w:sz w:val="22"/>
          <w:szCs w:val="22"/>
        </w:rPr>
        <w:t xml:space="preserve">.  Additionally, basin </w:t>
      </w:r>
      <w:r w:rsidRPr="000D2F61">
        <w:rPr>
          <w:rFonts w:ascii="Arial" w:hAnsi="Arial" w:cs="Arial"/>
          <w:sz w:val="22"/>
          <w:szCs w:val="22"/>
        </w:rPr>
        <w:t xml:space="preserve">results </w:t>
      </w:r>
      <w:r>
        <w:rPr>
          <w:rFonts w:ascii="Arial" w:hAnsi="Arial" w:cs="Arial"/>
          <w:sz w:val="22"/>
          <w:szCs w:val="22"/>
        </w:rPr>
        <w:t>for the</w:t>
      </w:r>
      <w:r w:rsidRPr="000D2F61">
        <w:rPr>
          <w:rFonts w:ascii="Arial" w:hAnsi="Arial" w:cs="Arial"/>
          <w:sz w:val="22"/>
          <w:szCs w:val="22"/>
        </w:rPr>
        <w:t xml:space="preserve"> four resource types are </w:t>
      </w:r>
      <w:r>
        <w:rPr>
          <w:rFonts w:ascii="Arial" w:hAnsi="Arial" w:cs="Arial"/>
          <w:sz w:val="22"/>
          <w:szCs w:val="22"/>
        </w:rPr>
        <w:t>reported as</w:t>
      </w:r>
      <w:r w:rsidRPr="000D2F61">
        <w:rPr>
          <w:rFonts w:ascii="Arial" w:hAnsi="Arial" w:cs="Arial"/>
          <w:sz w:val="22"/>
          <w:szCs w:val="22"/>
        </w:rPr>
        <w:t xml:space="preserve"> maps and in tabular form in </w:t>
      </w:r>
      <w:r w:rsidRPr="000D2F61">
        <w:rPr>
          <w:rFonts w:ascii="Arial" w:hAnsi="Arial" w:cs="Arial"/>
          <w:b/>
          <w:sz w:val="22"/>
          <w:szCs w:val="22"/>
        </w:rPr>
        <w:t xml:space="preserve">Appendix </w:t>
      </w:r>
      <w:r>
        <w:rPr>
          <w:rFonts w:ascii="Arial" w:hAnsi="Arial" w:cs="Arial"/>
          <w:b/>
          <w:sz w:val="22"/>
          <w:szCs w:val="22"/>
        </w:rPr>
        <w:t>A</w:t>
      </w:r>
      <w:r w:rsidRPr="000D2F61">
        <w:rPr>
          <w:rFonts w:ascii="Arial" w:hAnsi="Arial" w:cs="Arial"/>
          <w:b/>
          <w:sz w:val="22"/>
          <w:szCs w:val="22"/>
        </w:rPr>
        <w:t>.</w:t>
      </w:r>
    </w:p>
    <w:p w:rsidR="00485094" w:rsidRDefault="00485094">
      <w:pPr>
        <w:rPr>
          <w:rFonts w:ascii="Arial" w:hAnsi="Arial"/>
          <w:b/>
          <w:i/>
          <w:sz w:val="20"/>
          <w:szCs w:val="20"/>
        </w:rPr>
      </w:pPr>
      <w:bookmarkStart w:id="366" w:name="_Toc134347501"/>
      <w:bookmarkStart w:id="367" w:name="_Toc255482829"/>
      <w:bookmarkStart w:id="368" w:name="_Toc255807487"/>
      <w:bookmarkStart w:id="369" w:name="_Toc262464245"/>
    </w:p>
    <w:p w:rsidR="00485094" w:rsidRDefault="00485094" w:rsidP="00692F31">
      <w:pPr>
        <w:pStyle w:val="Tableheading"/>
      </w:pPr>
      <w:bookmarkStart w:id="370" w:name="_Toc271280092"/>
      <w:r w:rsidRPr="00E92FF1">
        <w:t>Table 6.</w:t>
      </w:r>
      <w:r>
        <w:t>3</w:t>
      </w:r>
      <w:r w:rsidRPr="00E92FF1">
        <w:t>a</w:t>
      </w:r>
      <w:r>
        <w:t>.</w:t>
      </w:r>
      <w:r w:rsidRPr="00E92FF1">
        <w:t xml:space="preserve">  Legend for Terms Used in Tables 6.</w:t>
      </w:r>
      <w:r>
        <w:t>3b</w:t>
      </w:r>
      <w:r w:rsidRPr="00E92FF1">
        <w:t xml:space="preserve"> through 6.</w:t>
      </w:r>
      <w:r>
        <w:t>3</w:t>
      </w:r>
      <w:r w:rsidRPr="00E92FF1">
        <w:t>e</w:t>
      </w:r>
      <w:bookmarkEnd w:id="366"/>
      <w:bookmarkEnd w:id="367"/>
      <w:bookmarkEnd w:id="368"/>
      <w:bookmarkEnd w:id="369"/>
      <w:bookmarkEnd w:id="370"/>
    </w:p>
    <w:p w:rsidR="00485094" w:rsidRDefault="00485094" w:rsidP="00692F31">
      <w:pPr>
        <w:pStyle w:val="TabledescriptionBF"/>
      </w:pPr>
      <w:r>
        <w:t>This is a two-</w:t>
      </w:r>
      <w:r w:rsidRPr="001A77D7">
        <w:t>column table</w:t>
      </w:r>
      <w:r>
        <w:t>.  C</w:t>
      </w:r>
      <w:r w:rsidRPr="001A77D7">
        <w:t xml:space="preserve">olumn </w:t>
      </w:r>
      <w:r>
        <w:t>1</w:t>
      </w:r>
      <w:r w:rsidRPr="001A77D7">
        <w:t xml:space="preserve"> list</w:t>
      </w:r>
      <w:r>
        <w:t>s</w:t>
      </w:r>
      <w:r w:rsidRPr="001A77D7">
        <w:t xml:space="preserve"> the </w:t>
      </w:r>
      <w:r>
        <w:t>terms used and C</w:t>
      </w:r>
      <w:r w:rsidRPr="001A77D7">
        <w:t xml:space="preserve">olumn </w:t>
      </w:r>
      <w:r>
        <w:t>2 explains each term.</w:t>
      </w:r>
    </w:p>
    <w:p w:rsidR="00485094" w:rsidRPr="00D53BE0" w:rsidRDefault="00485094" w:rsidP="00692F31">
      <w:pPr>
        <w:pStyle w:val="Tabledescription"/>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96"/>
        <w:gridCol w:w="5858"/>
      </w:tblGrid>
      <w:tr w:rsidR="00485094" w:rsidRPr="00D53BE0" w:rsidTr="000F2909">
        <w:trPr>
          <w:trHeight w:val="432"/>
          <w:tblHeader/>
          <w:jc w:val="center"/>
        </w:trPr>
        <w:tc>
          <w:tcPr>
            <w:tcW w:w="3196" w:type="dxa"/>
            <w:tcBorders>
              <w:bottom w:val="double" w:sz="4" w:space="0" w:color="auto"/>
            </w:tcBorders>
            <w:shd w:val="clear" w:color="auto" w:fill="BDFFFF"/>
            <w:vAlign w:val="center"/>
          </w:tcPr>
          <w:p w:rsidR="00485094" w:rsidRPr="00D53BE0" w:rsidRDefault="00485094" w:rsidP="00453E80">
            <w:pPr>
              <w:jc w:val="center"/>
              <w:rPr>
                <w:rFonts w:ascii="Arial" w:hAnsi="Arial"/>
                <w:b/>
                <w:i/>
                <w:sz w:val="18"/>
              </w:rPr>
            </w:pPr>
            <w:r w:rsidRPr="00D53BE0">
              <w:rPr>
                <w:rFonts w:ascii="Arial" w:hAnsi="Arial"/>
                <w:b/>
                <w:i/>
                <w:sz w:val="18"/>
              </w:rPr>
              <w:t>Term</w:t>
            </w:r>
          </w:p>
        </w:tc>
        <w:tc>
          <w:tcPr>
            <w:tcW w:w="5858" w:type="dxa"/>
            <w:tcBorders>
              <w:bottom w:val="double" w:sz="4" w:space="0" w:color="auto"/>
            </w:tcBorders>
            <w:shd w:val="clear" w:color="auto" w:fill="BDFFFF"/>
            <w:vAlign w:val="center"/>
          </w:tcPr>
          <w:p w:rsidR="00485094" w:rsidRPr="00D53BE0" w:rsidRDefault="00485094" w:rsidP="00453E80">
            <w:pPr>
              <w:jc w:val="center"/>
              <w:rPr>
                <w:rFonts w:ascii="Arial" w:hAnsi="Arial"/>
                <w:b/>
                <w:i/>
                <w:sz w:val="18"/>
              </w:rPr>
            </w:pPr>
            <w:r w:rsidRPr="00D53BE0">
              <w:rPr>
                <w:rFonts w:ascii="Arial" w:hAnsi="Arial"/>
                <w:b/>
                <w:i/>
                <w:sz w:val="18"/>
              </w:rPr>
              <w:t>Explanation</w:t>
            </w:r>
          </w:p>
        </w:tc>
      </w:tr>
      <w:tr w:rsidR="00485094" w:rsidRPr="00D53BE0" w:rsidTr="00453E80">
        <w:trPr>
          <w:trHeight w:val="432"/>
          <w:jc w:val="center"/>
        </w:trPr>
        <w:tc>
          <w:tcPr>
            <w:tcW w:w="3196" w:type="dxa"/>
            <w:tcBorders>
              <w:top w:val="double" w:sz="4" w:space="0" w:color="auto"/>
            </w:tcBorders>
            <w:shd w:val="clear" w:color="auto" w:fill="FFFFCC"/>
            <w:vAlign w:val="center"/>
          </w:tcPr>
          <w:p w:rsidR="00485094" w:rsidRPr="00D53BE0" w:rsidRDefault="00485094" w:rsidP="00453E80">
            <w:pPr>
              <w:jc w:val="center"/>
              <w:rPr>
                <w:rFonts w:ascii="Arial" w:hAnsi="Arial"/>
                <w:sz w:val="18"/>
              </w:rPr>
            </w:pPr>
            <w:r w:rsidRPr="00D53BE0">
              <w:rPr>
                <w:rFonts w:ascii="Arial" w:hAnsi="Arial"/>
                <w:sz w:val="18"/>
              </w:rPr>
              <w:t>Analyte</w:t>
            </w:r>
          </w:p>
        </w:tc>
        <w:tc>
          <w:tcPr>
            <w:tcW w:w="5858" w:type="dxa"/>
            <w:tcBorders>
              <w:top w:val="double" w:sz="4" w:space="0" w:color="auto"/>
            </w:tcBorders>
            <w:vAlign w:val="center"/>
          </w:tcPr>
          <w:p w:rsidR="00485094" w:rsidRPr="00D53BE0" w:rsidRDefault="00485094" w:rsidP="00453E80">
            <w:pPr>
              <w:pStyle w:val="TableText"/>
              <w:jc w:val="center"/>
            </w:pPr>
            <w:r w:rsidRPr="00D53BE0">
              <w:t>Indicators chosen to base assessment of the condition of waters of the state.</w:t>
            </w:r>
          </w:p>
        </w:tc>
      </w:tr>
      <w:tr w:rsidR="00485094" w:rsidRPr="00D53BE0" w:rsidTr="00453E80">
        <w:trPr>
          <w:trHeight w:val="432"/>
          <w:jc w:val="center"/>
        </w:trPr>
        <w:tc>
          <w:tcPr>
            <w:tcW w:w="3196" w:type="dxa"/>
            <w:shd w:val="clear" w:color="auto" w:fill="FFFFCC"/>
            <w:vAlign w:val="center"/>
          </w:tcPr>
          <w:p w:rsidR="00485094" w:rsidRPr="00D53BE0" w:rsidRDefault="00485094" w:rsidP="00453E80">
            <w:pPr>
              <w:jc w:val="center"/>
              <w:rPr>
                <w:rFonts w:ascii="Arial" w:hAnsi="Arial"/>
                <w:sz w:val="18"/>
              </w:rPr>
            </w:pPr>
            <w:r w:rsidRPr="00D53BE0">
              <w:rPr>
                <w:rFonts w:ascii="Arial" w:hAnsi="Arial"/>
                <w:sz w:val="18"/>
              </w:rPr>
              <w:t>Target Population</w:t>
            </w:r>
          </w:p>
        </w:tc>
        <w:tc>
          <w:tcPr>
            <w:tcW w:w="5858" w:type="dxa"/>
            <w:vAlign w:val="center"/>
          </w:tcPr>
          <w:p w:rsidR="00485094" w:rsidRPr="00D53BE0" w:rsidRDefault="00485094" w:rsidP="00453E80">
            <w:pPr>
              <w:pStyle w:val="TableText"/>
              <w:ind w:left="530" w:hanging="530"/>
              <w:jc w:val="center"/>
            </w:pPr>
            <w:r w:rsidRPr="00D53BE0">
              <w:t xml:space="preserve">Estimate of actual extent of resource from which </w:t>
            </w:r>
            <w:r>
              <w:t>threshold</w:t>
            </w:r>
            <w:r w:rsidRPr="00D53BE0">
              <w:t xml:space="preserve"> results were calculated.  Excludes % of resource that was determined to not fit definition of resource</w:t>
            </w:r>
            <w:r w:rsidR="003D799D">
              <w:t>.</w:t>
            </w:r>
          </w:p>
        </w:tc>
      </w:tr>
      <w:tr w:rsidR="00485094" w:rsidRPr="00D53BE0" w:rsidTr="00453E80">
        <w:trPr>
          <w:trHeight w:val="432"/>
          <w:jc w:val="center"/>
        </w:trPr>
        <w:tc>
          <w:tcPr>
            <w:tcW w:w="3196" w:type="dxa"/>
            <w:shd w:val="clear" w:color="auto" w:fill="FFFFCC"/>
            <w:vAlign w:val="center"/>
          </w:tcPr>
          <w:p w:rsidR="00485094" w:rsidRPr="00D53BE0" w:rsidRDefault="00485094" w:rsidP="00453E80">
            <w:pPr>
              <w:jc w:val="center"/>
              <w:rPr>
                <w:rFonts w:ascii="Arial" w:hAnsi="Arial"/>
                <w:sz w:val="18"/>
              </w:rPr>
            </w:pPr>
            <w:r w:rsidRPr="00D53BE0">
              <w:rPr>
                <w:rFonts w:ascii="Arial" w:hAnsi="Arial"/>
                <w:sz w:val="18"/>
              </w:rPr>
              <w:t>Sampleable</w:t>
            </w:r>
          </w:p>
        </w:tc>
        <w:tc>
          <w:tcPr>
            <w:tcW w:w="5858" w:type="dxa"/>
            <w:vAlign w:val="center"/>
          </w:tcPr>
          <w:p w:rsidR="00485094" w:rsidRPr="00D53BE0" w:rsidRDefault="00485094" w:rsidP="00453E80">
            <w:pPr>
              <w:pStyle w:val="TableText"/>
              <w:jc w:val="center"/>
            </w:pPr>
            <w:r w:rsidRPr="00D53BE0">
              <w:t>Estimate of extent of resource that staff would have been able to sample during index period</w:t>
            </w:r>
            <w:r w:rsidR="003D799D">
              <w:t>.</w:t>
            </w:r>
          </w:p>
        </w:tc>
      </w:tr>
      <w:tr w:rsidR="00485094" w:rsidRPr="00D53BE0" w:rsidTr="00453E80">
        <w:trPr>
          <w:trHeight w:val="432"/>
          <w:jc w:val="center"/>
        </w:trPr>
        <w:tc>
          <w:tcPr>
            <w:tcW w:w="3196" w:type="dxa"/>
            <w:shd w:val="clear" w:color="auto" w:fill="FFFFCC"/>
            <w:vAlign w:val="center"/>
          </w:tcPr>
          <w:p w:rsidR="00485094" w:rsidRPr="00D53BE0" w:rsidRDefault="00485094" w:rsidP="00453E80">
            <w:pPr>
              <w:jc w:val="center"/>
              <w:rPr>
                <w:rFonts w:ascii="Arial" w:hAnsi="Arial"/>
                <w:sz w:val="18"/>
              </w:rPr>
            </w:pPr>
            <w:r w:rsidRPr="00D53BE0">
              <w:rPr>
                <w:rFonts w:ascii="Arial" w:hAnsi="Arial"/>
                <w:sz w:val="18"/>
              </w:rPr>
              <w:t>Inaccessible</w:t>
            </w:r>
          </w:p>
        </w:tc>
        <w:tc>
          <w:tcPr>
            <w:tcW w:w="5858" w:type="dxa"/>
            <w:vAlign w:val="center"/>
          </w:tcPr>
          <w:p w:rsidR="00485094" w:rsidRPr="00D53BE0" w:rsidRDefault="00485094" w:rsidP="00453E80">
            <w:pPr>
              <w:jc w:val="center"/>
              <w:rPr>
                <w:rFonts w:ascii="Arial" w:hAnsi="Arial"/>
                <w:sz w:val="18"/>
              </w:rPr>
            </w:pPr>
            <w:r w:rsidRPr="00D53BE0">
              <w:rPr>
                <w:rFonts w:ascii="Arial" w:hAnsi="Arial"/>
                <w:sz w:val="18"/>
              </w:rPr>
              <w:t>Estimate of extent of resource that was inaccessible due to safety concerns and owner denials</w:t>
            </w:r>
            <w:r w:rsidR="003D799D">
              <w:rPr>
                <w:rFonts w:ascii="Arial" w:hAnsi="Arial"/>
                <w:sz w:val="18"/>
              </w:rPr>
              <w:t>.</w:t>
            </w:r>
          </w:p>
        </w:tc>
      </w:tr>
      <w:tr w:rsidR="00485094" w:rsidRPr="00D53BE0" w:rsidTr="00453E80">
        <w:trPr>
          <w:trHeight w:val="432"/>
          <w:jc w:val="center"/>
        </w:trPr>
        <w:tc>
          <w:tcPr>
            <w:tcW w:w="3196" w:type="dxa"/>
            <w:shd w:val="clear" w:color="auto" w:fill="FFFFCC"/>
            <w:vAlign w:val="center"/>
          </w:tcPr>
          <w:p w:rsidR="00485094" w:rsidRPr="00D53BE0" w:rsidRDefault="00485094" w:rsidP="00453E80">
            <w:pPr>
              <w:jc w:val="center"/>
              <w:rPr>
                <w:rFonts w:ascii="Arial" w:hAnsi="Arial"/>
                <w:sz w:val="18"/>
              </w:rPr>
            </w:pPr>
            <w:r w:rsidRPr="00D53BE0">
              <w:rPr>
                <w:rFonts w:ascii="Arial" w:hAnsi="Arial"/>
                <w:sz w:val="18"/>
              </w:rPr>
              <w:t>Dry</w:t>
            </w:r>
          </w:p>
        </w:tc>
        <w:tc>
          <w:tcPr>
            <w:tcW w:w="5858" w:type="dxa"/>
            <w:vAlign w:val="center"/>
          </w:tcPr>
          <w:p w:rsidR="00485094" w:rsidRPr="00D53BE0" w:rsidRDefault="00485094" w:rsidP="00453E80">
            <w:pPr>
              <w:jc w:val="center"/>
              <w:rPr>
                <w:rFonts w:ascii="Arial" w:hAnsi="Arial"/>
                <w:sz w:val="18"/>
              </w:rPr>
            </w:pPr>
            <w:r w:rsidRPr="00D53BE0">
              <w:rPr>
                <w:rFonts w:ascii="Arial" w:hAnsi="Arial"/>
                <w:sz w:val="18"/>
              </w:rPr>
              <w:t>Estimate of extent of resource that was dry during the index period and therefore could not be sampled</w:t>
            </w:r>
            <w:r w:rsidR="003D799D">
              <w:rPr>
                <w:rFonts w:ascii="Arial" w:hAnsi="Arial"/>
                <w:sz w:val="18"/>
              </w:rPr>
              <w:t>.</w:t>
            </w:r>
          </w:p>
        </w:tc>
      </w:tr>
      <w:tr w:rsidR="00485094" w:rsidRPr="00D53BE0" w:rsidTr="00453E80">
        <w:trPr>
          <w:trHeight w:val="432"/>
          <w:jc w:val="center"/>
        </w:trPr>
        <w:tc>
          <w:tcPr>
            <w:tcW w:w="3196" w:type="dxa"/>
            <w:shd w:val="clear" w:color="auto" w:fill="FFFFCC"/>
            <w:vAlign w:val="center"/>
          </w:tcPr>
          <w:p w:rsidR="00485094" w:rsidRPr="00076ABE" w:rsidRDefault="00485094" w:rsidP="00453E80">
            <w:pPr>
              <w:jc w:val="center"/>
              <w:rPr>
                <w:rFonts w:ascii="Arial" w:hAnsi="Arial"/>
                <w:sz w:val="18"/>
              </w:rPr>
            </w:pPr>
            <w:r w:rsidRPr="00076ABE">
              <w:rPr>
                <w:rFonts w:ascii="Arial" w:hAnsi="Arial"/>
                <w:sz w:val="18"/>
              </w:rPr>
              <w:t>Number of Samples</w:t>
            </w:r>
          </w:p>
        </w:tc>
        <w:tc>
          <w:tcPr>
            <w:tcW w:w="5858" w:type="dxa"/>
            <w:vAlign w:val="center"/>
          </w:tcPr>
          <w:p w:rsidR="00485094" w:rsidRPr="00076ABE" w:rsidRDefault="00485094" w:rsidP="00453E80">
            <w:pPr>
              <w:jc w:val="center"/>
              <w:rPr>
                <w:rFonts w:ascii="Arial" w:hAnsi="Arial"/>
                <w:sz w:val="18"/>
              </w:rPr>
            </w:pPr>
            <w:r w:rsidRPr="00076ABE">
              <w:rPr>
                <w:rFonts w:ascii="Arial" w:hAnsi="Arial"/>
                <w:sz w:val="18"/>
              </w:rPr>
              <w:t xml:space="preserve">Number of samples used for statistical analysis after qualified data and resource exclusions are eliminated from the data pool. </w:t>
            </w:r>
          </w:p>
        </w:tc>
      </w:tr>
      <w:tr w:rsidR="00485094" w:rsidRPr="00D53BE0" w:rsidTr="00453E80">
        <w:trPr>
          <w:trHeight w:val="432"/>
          <w:jc w:val="center"/>
        </w:trPr>
        <w:tc>
          <w:tcPr>
            <w:tcW w:w="3196" w:type="dxa"/>
            <w:shd w:val="clear" w:color="auto" w:fill="FFFFCC"/>
            <w:vAlign w:val="center"/>
          </w:tcPr>
          <w:p w:rsidR="00485094" w:rsidRPr="00D53BE0" w:rsidRDefault="00485094" w:rsidP="00453E80">
            <w:pPr>
              <w:jc w:val="center"/>
              <w:rPr>
                <w:rFonts w:ascii="Arial" w:hAnsi="Arial"/>
                <w:sz w:val="18"/>
              </w:rPr>
            </w:pPr>
            <w:r w:rsidRPr="00D53BE0">
              <w:rPr>
                <w:rFonts w:ascii="Arial" w:hAnsi="Arial"/>
                <w:sz w:val="18"/>
              </w:rPr>
              <w:t>% Meeting Threshold</w:t>
            </w:r>
          </w:p>
        </w:tc>
        <w:tc>
          <w:tcPr>
            <w:tcW w:w="5858" w:type="dxa"/>
            <w:vAlign w:val="center"/>
          </w:tcPr>
          <w:p w:rsidR="00485094" w:rsidRPr="00760638" w:rsidRDefault="00485094" w:rsidP="00453E80">
            <w:pPr>
              <w:jc w:val="center"/>
              <w:rPr>
                <w:rFonts w:ascii="Arial" w:hAnsi="Arial"/>
                <w:sz w:val="18"/>
              </w:rPr>
            </w:pPr>
            <w:r w:rsidRPr="00760638">
              <w:rPr>
                <w:rFonts w:ascii="Arial" w:hAnsi="Arial"/>
                <w:sz w:val="18"/>
              </w:rPr>
              <w:t xml:space="preserve">% estimate of resource that meets a specific indicator’s </w:t>
            </w:r>
            <w:r w:rsidRPr="00FC366A">
              <w:rPr>
                <w:rFonts w:ascii="Arial" w:hAnsi="Arial"/>
                <w:sz w:val="18"/>
              </w:rPr>
              <w:t>criterion</w:t>
            </w:r>
            <w:r>
              <w:rPr>
                <w:rFonts w:ascii="Arial" w:hAnsi="Arial"/>
                <w:sz w:val="18"/>
              </w:rPr>
              <w:t>/threshold</w:t>
            </w:r>
            <w:r w:rsidRPr="00FC366A">
              <w:rPr>
                <w:rFonts w:ascii="Arial" w:hAnsi="Arial"/>
                <w:sz w:val="18"/>
              </w:rPr>
              <w:t xml:space="preserve"> </w:t>
            </w:r>
            <w:r w:rsidRPr="00760638">
              <w:rPr>
                <w:rFonts w:ascii="Arial" w:hAnsi="Arial"/>
                <w:sz w:val="18"/>
              </w:rPr>
              <w:t>value</w:t>
            </w:r>
            <w:r w:rsidR="003D799D">
              <w:rPr>
                <w:rFonts w:ascii="Arial" w:hAnsi="Arial"/>
                <w:sz w:val="18"/>
              </w:rPr>
              <w:t>.</w:t>
            </w:r>
          </w:p>
        </w:tc>
      </w:tr>
      <w:tr w:rsidR="00485094" w:rsidRPr="00D53BE0" w:rsidTr="00453E80">
        <w:trPr>
          <w:trHeight w:val="432"/>
          <w:jc w:val="center"/>
        </w:trPr>
        <w:tc>
          <w:tcPr>
            <w:tcW w:w="3196" w:type="dxa"/>
            <w:shd w:val="clear" w:color="auto" w:fill="FFFFCC"/>
            <w:vAlign w:val="center"/>
          </w:tcPr>
          <w:p w:rsidR="00485094" w:rsidRPr="00D53BE0" w:rsidRDefault="00485094" w:rsidP="00453E80">
            <w:pPr>
              <w:jc w:val="center"/>
              <w:rPr>
                <w:rFonts w:ascii="Arial" w:hAnsi="Arial"/>
                <w:sz w:val="18"/>
              </w:rPr>
            </w:pPr>
            <w:r w:rsidRPr="00D53BE0">
              <w:rPr>
                <w:rFonts w:ascii="Arial" w:hAnsi="Arial"/>
                <w:sz w:val="18"/>
              </w:rPr>
              <w:t xml:space="preserve">95% Confidence Bounds </w:t>
            </w:r>
          </w:p>
          <w:p w:rsidR="00485094" w:rsidRPr="00D53BE0" w:rsidRDefault="00485094" w:rsidP="00453E80">
            <w:pPr>
              <w:jc w:val="center"/>
              <w:rPr>
                <w:rFonts w:ascii="Arial" w:hAnsi="Arial"/>
                <w:sz w:val="18"/>
              </w:rPr>
            </w:pPr>
            <w:r w:rsidRPr="00D53BE0">
              <w:rPr>
                <w:rFonts w:ascii="Arial" w:hAnsi="Arial"/>
                <w:sz w:val="18"/>
              </w:rPr>
              <w:t>(% Meeting Threshold)</w:t>
            </w:r>
          </w:p>
        </w:tc>
        <w:tc>
          <w:tcPr>
            <w:tcW w:w="5858" w:type="dxa"/>
            <w:vAlign w:val="center"/>
          </w:tcPr>
          <w:p w:rsidR="00485094" w:rsidRPr="00D53BE0" w:rsidRDefault="00485094" w:rsidP="00453E80">
            <w:pPr>
              <w:jc w:val="center"/>
              <w:rPr>
                <w:rFonts w:ascii="Arial" w:hAnsi="Arial"/>
                <w:sz w:val="18"/>
              </w:rPr>
            </w:pPr>
            <w:r w:rsidRPr="00D53BE0">
              <w:rPr>
                <w:rFonts w:ascii="Arial" w:hAnsi="Arial"/>
                <w:sz w:val="18"/>
              </w:rPr>
              <w:t xml:space="preserve">Upper and lower bounds for 95% confidence of % </w:t>
            </w:r>
            <w:r>
              <w:rPr>
                <w:rFonts w:ascii="Arial" w:hAnsi="Arial"/>
                <w:sz w:val="18"/>
              </w:rPr>
              <w:t>meet</w:t>
            </w:r>
            <w:r w:rsidRPr="00D53BE0">
              <w:rPr>
                <w:rFonts w:ascii="Arial" w:hAnsi="Arial"/>
                <w:sz w:val="18"/>
              </w:rPr>
              <w:t xml:space="preserve">ing a specific indicator’s </w:t>
            </w:r>
            <w:r w:rsidRPr="00FC366A">
              <w:rPr>
                <w:rFonts w:ascii="Arial" w:hAnsi="Arial"/>
                <w:sz w:val="18"/>
              </w:rPr>
              <w:t>criterion</w:t>
            </w:r>
            <w:r>
              <w:rPr>
                <w:rFonts w:ascii="Arial" w:hAnsi="Arial"/>
                <w:sz w:val="18"/>
              </w:rPr>
              <w:t>/threshold</w:t>
            </w:r>
            <w:r w:rsidRPr="00D53BE0">
              <w:rPr>
                <w:rFonts w:ascii="Arial" w:hAnsi="Arial"/>
                <w:sz w:val="18"/>
              </w:rPr>
              <w:t xml:space="preserve"> value</w:t>
            </w:r>
            <w:r w:rsidR="003D799D">
              <w:rPr>
                <w:rFonts w:ascii="Arial" w:hAnsi="Arial"/>
                <w:sz w:val="18"/>
              </w:rPr>
              <w:t>.</w:t>
            </w:r>
          </w:p>
        </w:tc>
      </w:tr>
      <w:tr w:rsidR="00485094" w:rsidRPr="00D53BE0" w:rsidTr="00453E80">
        <w:trPr>
          <w:trHeight w:val="432"/>
          <w:jc w:val="center"/>
        </w:trPr>
        <w:tc>
          <w:tcPr>
            <w:tcW w:w="3196" w:type="dxa"/>
            <w:shd w:val="clear" w:color="auto" w:fill="FFFFCC"/>
            <w:vAlign w:val="center"/>
          </w:tcPr>
          <w:p w:rsidR="00485094" w:rsidRPr="00D53BE0" w:rsidRDefault="00485094" w:rsidP="00453E80">
            <w:pPr>
              <w:jc w:val="center"/>
              <w:rPr>
                <w:rFonts w:ascii="Arial" w:hAnsi="Arial"/>
                <w:sz w:val="18"/>
              </w:rPr>
            </w:pPr>
            <w:r w:rsidRPr="00D53BE0">
              <w:rPr>
                <w:rFonts w:ascii="Arial" w:hAnsi="Arial"/>
                <w:sz w:val="18"/>
              </w:rPr>
              <w:t>% Not Meeting Threshold</w:t>
            </w:r>
          </w:p>
        </w:tc>
        <w:tc>
          <w:tcPr>
            <w:tcW w:w="5858" w:type="dxa"/>
            <w:vAlign w:val="center"/>
          </w:tcPr>
          <w:p w:rsidR="00485094" w:rsidRPr="00D53BE0" w:rsidRDefault="00485094" w:rsidP="00453E80">
            <w:pPr>
              <w:jc w:val="center"/>
              <w:rPr>
                <w:rFonts w:ascii="Arial" w:hAnsi="Arial"/>
                <w:sz w:val="18"/>
              </w:rPr>
            </w:pPr>
            <w:r w:rsidRPr="00D53BE0">
              <w:rPr>
                <w:rFonts w:ascii="Arial" w:hAnsi="Arial"/>
                <w:sz w:val="18"/>
              </w:rPr>
              <w:t xml:space="preserve">% of estimate of extent of resource that does not </w:t>
            </w:r>
            <w:r>
              <w:rPr>
                <w:rFonts w:ascii="Arial" w:hAnsi="Arial"/>
                <w:sz w:val="18"/>
              </w:rPr>
              <w:t>meet</w:t>
            </w:r>
            <w:r w:rsidRPr="00D53BE0">
              <w:rPr>
                <w:rFonts w:ascii="Arial" w:hAnsi="Arial"/>
                <w:sz w:val="18"/>
              </w:rPr>
              <w:t xml:space="preserve"> a specific indicator’s </w:t>
            </w:r>
            <w:r w:rsidRPr="00FC366A">
              <w:rPr>
                <w:rFonts w:ascii="Arial" w:hAnsi="Arial"/>
                <w:sz w:val="18"/>
              </w:rPr>
              <w:t>criterion</w:t>
            </w:r>
            <w:r>
              <w:rPr>
                <w:rFonts w:ascii="Arial" w:hAnsi="Arial"/>
                <w:sz w:val="18"/>
              </w:rPr>
              <w:t>/threshold</w:t>
            </w:r>
            <w:r w:rsidRPr="00D53BE0">
              <w:rPr>
                <w:rFonts w:ascii="Arial" w:hAnsi="Arial"/>
                <w:sz w:val="18"/>
              </w:rPr>
              <w:t xml:space="preserve"> value</w:t>
            </w:r>
            <w:r w:rsidR="003D799D">
              <w:rPr>
                <w:rFonts w:ascii="Arial" w:hAnsi="Arial"/>
                <w:sz w:val="18"/>
              </w:rPr>
              <w:t>.</w:t>
            </w:r>
          </w:p>
        </w:tc>
      </w:tr>
      <w:tr w:rsidR="00485094" w:rsidRPr="00D53BE0" w:rsidTr="00453E80">
        <w:trPr>
          <w:trHeight w:val="432"/>
          <w:jc w:val="center"/>
        </w:trPr>
        <w:tc>
          <w:tcPr>
            <w:tcW w:w="3196" w:type="dxa"/>
            <w:shd w:val="clear" w:color="auto" w:fill="FFFFCC"/>
            <w:vAlign w:val="center"/>
          </w:tcPr>
          <w:p w:rsidR="00485094" w:rsidRPr="00D53BE0" w:rsidRDefault="00485094" w:rsidP="00453E80">
            <w:pPr>
              <w:jc w:val="center"/>
              <w:rPr>
                <w:rFonts w:ascii="Arial" w:hAnsi="Arial"/>
                <w:sz w:val="18"/>
              </w:rPr>
            </w:pPr>
            <w:r w:rsidRPr="00D53BE0">
              <w:rPr>
                <w:rFonts w:ascii="Arial" w:hAnsi="Arial"/>
                <w:sz w:val="18"/>
              </w:rPr>
              <w:t>Assessment Period</w:t>
            </w:r>
          </w:p>
        </w:tc>
        <w:tc>
          <w:tcPr>
            <w:tcW w:w="5858" w:type="dxa"/>
            <w:vAlign w:val="center"/>
          </w:tcPr>
          <w:p w:rsidR="00485094" w:rsidRPr="00D53BE0" w:rsidRDefault="00485094" w:rsidP="00453E80">
            <w:pPr>
              <w:jc w:val="center"/>
              <w:rPr>
                <w:rFonts w:ascii="Arial" w:hAnsi="Arial"/>
                <w:sz w:val="18"/>
              </w:rPr>
            </w:pPr>
            <w:r w:rsidRPr="00D53BE0">
              <w:rPr>
                <w:rFonts w:ascii="Arial" w:hAnsi="Arial"/>
                <w:sz w:val="18"/>
              </w:rPr>
              <w:t>Duration of probabilistic survey sampling event</w:t>
            </w:r>
            <w:r w:rsidR="003D799D">
              <w:rPr>
                <w:rFonts w:ascii="Arial" w:hAnsi="Arial"/>
                <w:sz w:val="18"/>
              </w:rPr>
              <w:t>.</w:t>
            </w:r>
          </w:p>
        </w:tc>
      </w:tr>
    </w:tbl>
    <w:p w:rsidR="00485094" w:rsidRDefault="00485094" w:rsidP="00692F31">
      <w:pPr>
        <w:pStyle w:val="Bodytext"/>
        <w:rPr>
          <w:szCs w:val="24"/>
        </w:rPr>
      </w:pPr>
    </w:p>
    <w:p w:rsidR="00485094" w:rsidRDefault="00485094" w:rsidP="00692F31">
      <w:pPr>
        <w:pStyle w:val="Bodytextreduced"/>
      </w:pPr>
      <w:r>
        <w:br w:type="page"/>
      </w:r>
    </w:p>
    <w:p w:rsidR="00485094" w:rsidRPr="00C93326" w:rsidRDefault="001717CD" w:rsidP="00692F31">
      <w:pPr>
        <w:pStyle w:val="Caption"/>
      </w:pPr>
      <w:r>
        <w:rPr>
          <w:noProof/>
        </w:rPr>
        <w:drawing>
          <wp:anchor distT="0" distB="0" distL="114300" distR="114300" simplePos="0" relativeHeight="251659776" behindDoc="0" locked="0" layoutInCell="1" allowOverlap="1">
            <wp:simplePos x="0" y="0"/>
            <wp:positionH relativeFrom="column">
              <wp:align>center</wp:align>
            </wp:positionH>
            <wp:positionV relativeFrom="paragraph">
              <wp:posOffset>488315</wp:posOffset>
            </wp:positionV>
            <wp:extent cx="5160645" cy="5947410"/>
            <wp:effectExtent l="19050" t="0" r="1905" b="0"/>
            <wp:wrapTopAndBottom/>
            <wp:docPr id="47" name="Picture 1" descr="Figure 6.1.  Statewide River Sample Locations by Basin.  This is a map of the state of Florida divided into the 29 basins showing the locations where river samples were col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6.1.  Statewide River Sample Locations by Basin"/>
                    <pic:cNvPicPr>
                      <a:picLocks noChangeAspect="1" noChangeArrowheads="1"/>
                    </pic:cNvPicPr>
                  </pic:nvPicPr>
                  <pic:blipFill>
                    <a:blip r:embed="rId74"/>
                    <a:srcRect/>
                    <a:stretch>
                      <a:fillRect/>
                    </a:stretch>
                  </pic:blipFill>
                  <pic:spPr bwMode="auto">
                    <a:xfrm>
                      <a:off x="0" y="0"/>
                      <a:ext cx="5160645" cy="5947410"/>
                    </a:xfrm>
                    <a:prstGeom prst="rect">
                      <a:avLst/>
                    </a:prstGeom>
                    <a:noFill/>
                    <a:ln w="9525">
                      <a:noFill/>
                      <a:miter lim="800000"/>
                      <a:headEnd/>
                      <a:tailEnd/>
                    </a:ln>
                  </pic:spPr>
                </pic:pic>
              </a:graphicData>
            </a:graphic>
          </wp:anchor>
        </w:drawing>
      </w:r>
      <w:bookmarkStart w:id="371" w:name="_Toc262464294"/>
      <w:bookmarkStart w:id="372" w:name="_Toc271280146"/>
      <w:r w:rsidR="00485094" w:rsidRPr="00491133">
        <w:t xml:space="preserve">Figure </w:t>
      </w:r>
      <w:r w:rsidR="00485094">
        <w:t>6.1.  Statewide River Sample Locations by Basin</w:t>
      </w:r>
      <w:bookmarkEnd w:id="371"/>
      <w:bookmarkEnd w:id="372"/>
    </w:p>
    <w:p w:rsidR="00485094" w:rsidRDefault="00485094" w:rsidP="00692F31">
      <w:pPr>
        <w:pStyle w:val="Bodytext"/>
        <w:rPr>
          <w:b/>
          <w:i/>
        </w:rPr>
      </w:pPr>
    </w:p>
    <w:p w:rsidR="00485094" w:rsidRDefault="00485094" w:rsidP="00692F31">
      <w:pPr>
        <w:pStyle w:val="Bodytext"/>
        <w:rPr>
          <w:b/>
          <w:i/>
        </w:rPr>
      </w:pPr>
    </w:p>
    <w:p w:rsidR="00485094" w:rsidRDefault="00485094" w:rsidP="00692F31">
      <w:pPr>
        <w:pStyle w:val="Bodytext"/>
        <w:rPr>
          <w:b/>
          <w:i/>
        </w:rPr>
      </w:pPr>
    </w:p>
    <w:p w:rsidR="00485094" w:rsidRDefault="00485094" w:rsidP="00692F31">
      <w:pPr>
        <w:pStyle w:val="Bodytextreduced"/>
      </w:pPr>
      <w:r>
        <w:br w:type="page"/>
      </w:r>
    </w:p>
    <w:p w:rsidR="00485094" w:rsidRDefault="001717CD" w:rsidP="00692F31">
      <w:pPr>
        <w:pStyle w:val="Caption"/>
      </w:pPr>
      <w:r>
        <w:rPr>
          <w:noProof/>
        </w:rPr>
        <w:drawing>
          <wp:anchor distT="0" distB="0" distL="114300" distR="114300" simplePos="0" relativeHeight="251660800" behindDoc="0" locked="0" layoutInCell="1" allowOverlap="1">
            <wp:simplePos x="0" y="0"/>
            <wp:positionH relativeFrom="column">
              <wp:align>center</wp:align>
            </wp:positionH>
            <wp:positionV relativeFrom="paragraph">
              <wp:posOffset>193675</wp:posOffset>
            </wp:positionV>
            <wp:extent cx="5407025" cy="5947410"/>
            <wp:effectExtent l="19050" t="0" r="3175" b="0"/>
            <wp:wrapTopAndBottom/>
            <wp:docPr id="46" name="Picture 2" descr="Figure 6.2.  Statewide Summary of River Results.  This graphic shows statewide results in pie chart format for the river indicators.  The results follow in Table 6.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6.2.  Statewide Summary of River Results"/>
                    <pic:cNvPicPr>
                      <a:picLocks noChangeAspect="1" noChangeArrowheads="1"/>
                    </pic:cNvPicPr>
                  </pic:nvPicPr>
                  <pic:blipFill>
                    <a:blip r:embed="rId75"/>
                    <a:srcRect/>
                    <a:stretch>
                      <a:fillRect/>
                    </a:stretch>
                  </pic:blipFill>
                  <pic:spPr bwMode="auto">
                    <a:xfrm>
                      <a:off x="0" y="0"/>
                      <a:ext cx="5407025" cy="5947410"/>
                    </a:xfrm>
                    <a:prstGeom prst="rect">
                      <a:avLst/>
                    </a:prstGeom>
                    <a:noFill/>
                    <a:ln w="9525">
                      <a:noFill/>
                      <a:miter lim="800000"/>
                      <a:headEnd/>
                      <a:tailEnd/>
                    </a:ln>
                  </pic:spPr>
                </pic:pic>
              </a:graphicData>
            </a:graphic>
          </wp:anchor>
        </w:drawing>
      </w:r>
      <w:bookmarkStart w:id="373" w:name="_Toc262464295"/>
      <w:bookmarkStart w:id="374" w:name="_Toc271280147"/>
      <w:r w:rsidR="00485094" w:rsidRPr="00491133">
        <w:t xml:space="preserve">Figure </w:t>
      </w:r>
      <w:r w:rsidR="00485094">
        <w:t>6.2.  Statewide Summary of River Results</w:t>
      </w:r>
      <w:bookmarkEnd w:id="373"/>
      <w:bookmarkEnd w:id="374"/>
    </w:p>
    <w:p w:rsidR="00485094" w:rsidRDefault="00485094" w:rsidP="00692F31">
      <w:pPr>
        <w:pStyle w:val="Bodytext"/>
        <w:rPr>
          <w:b/>
          <w:i/>
        </w:rPr>
      </w:pPr>
    </w:p>
    <w:p w:rsidR="00485094" w:rsidRDefault="00485094" w:rsidP="00692F31">
      <w:pPr>
        <w:pStyle w:val="Tableheading"/>
        <w:sectPr w:rsidR="00485094" w:rsidSect="00F97DA7">
          <w:pgSz w:w="12240" w:h="15840" w:code="1"/>
          <w:pgMar w:top="1440" w:right="1440" w:bottom="1440" w:left="1440" w:header="720" w:footer="720" w:gutter="0"/>
          <w:paperSrc w:first="261"/>
          <w:pgNumType w:start="1"/>
          <w:cols w:space="720"/>
          <w:docGrid w:linePitch="360"/>
        </w:sectPr>
      </w:pPr>
    </w:p>
    <w:p w:rsidR="00485094" w:rsidRPr="00D53BE0" w:rsidRDefault="00BD6EFE" w:rsidP="00692F31">
      <w:pPr>
        <w:pStyle w:val="Bodytextreduced"/>
      </w:pPr>
      <w:bookmarkStart w:id="375" w:name="_Toc255482830"/>
      <w:r>
        <w:tab/>
      </w:r>
    </w:p>
    <w:p w:rsidR="00485094" w:rsidRDefault="00485094" w:rsidP="00692F31">
      <w:pPr>
        <w:pStyle w:val="Tableheading"/>
        <w:rPr>
          <w:bCs/>
          <w:szCs w:val="22"/>
        </w:rPr>
      </w:pPr>
      <w:bookmarkStart w:id="376" w:name="_Toc255807488"/>
      <w:bookmarkStart w:id="377" w:name="_Toc262464246"/>
      <w:bookmarkStart w:id="378" w:name="_Toc271280093"/>
      <w:r w:rsidRPr="00E92FF1">
        <w:t>Table 6.</w:t>
      </w:r>
      <w:r>
        <w:t>3</w:t>
      </w:r>
      <w:r w:rsidRPr="00E92FF1">
        <w:t>b.  Statewide Percentage of Rivers Meeting Threshold Values for Indicators Calculated Using Probabilistic Monitoring Design</w:t>
      </w:r>
      <w:bookmarkEnd w:id="375"/>
      <w:bookmarkEnd w:id="376"/>
      <w:bookmarkEnd w:id="377"/>
      <w:bookmarkEnd w:id="378"/>
    </w:p>
    <w:p w:rsidR="00485094" w:rsidRDefault="00485094" w:rsidP="00692F31">
      <w:pPr>
        <w:ind w:left="1440"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Miles</w:t>
      </w:r>
    </w:p>
    <w:p w:rsidR="00485094" w:rsidRDefault="00485094" w:rsidP="00692F31">
      <w:pPr>
        <w:pStyle w:val="TabledescriptionBF"/>
      </w:pPr>
      <w:r>
        <w:t>This is a 10-column table.  Column 1 lists the analyte, Column 2 lists the target population, Column 3 lists the sampleable miles, Column 4 lists the dry miles, Column 5 lists the inaccessible miles, Column 6 lists the number of samples, Column 7 lists the percent meeting the threshold, Column 8 lists the 95% confidence bounds, Column 9 lists the percent not meeting the threshold, and Column 10 lists the assessment period.</w:t>
      </w:r>
    </w:p>
    <w:p w:rsidR="00485094" w:rsidRPr="00D53BE0" w:rsidRDefault="00485094" w:rsidP="00692F31">
      <w:pPr>
        <w:pStyle w:val="Bodytextreduced"/>
      </w:pPr>
    </w:p>
    <w:p w:rsidR="00485094" w:rsidRDefault="00485094" w:rsidP="00692F31">
      <w:pPr>
        <w:pStyle w:val="Bodytextreduced"/>
        <w:rPr>
          <w:rFonts w:cs="Arial"/>
        </w:rPr>
      </w:pPr>
      <w:r w:rsidRPr="00D53BE0">
        <w:rPr>
          <w:rFonts w:cs="Arial"/>
          <w:vertAlign w:val="superscript"/>
        </w:rPr>
        <w:t xml:space="preserve">1 </w:t>
      </w:r>
      <w:r w:rsidRPr="00D53BE0">
        <w:rPr>
          <w:rFonts w:cs="Arial"/>
        </w:rPr>
        <w:t>Miles</w:t>
      </w:r>
    </w:p>
    <w:p w:rsidR="00485094" w:rsidRPr="00D53BE0" w:rsidRDefault="00485094" w:rsidP="00692F31">
      <w:pPr>
        <w:pStyle w:val="Bodytextreduced"/>
        <w:rPr>
          <w:rFonts w:cs="Arial"/>
        </w:rPr>
      </w:pPr>
      <w:r w:rsidRPr="00CC5085">
        <w:rPr>
          <w:rFonts w:cs="Arial"/>
          <w:vertAlign w:val="superscript"/>
        </w:rPr>
        <w:t xml:space="preserve">2 </w:t>
      </w:r>
      <w:r>
        <w:rPr>
          <w:rFonts w:cs="Arial"/>
        </w:rPr>
        <w:t>Estimated number of miles</w:t>
      </w:r>
    </w:p>
    <w:tbl>
      <w:tblPr>
        <w:tblW w:w="13703" w:type="dxa"/>
        <w:jc w:val="center"/>
        <w:tblBorders>
          <w:top w:val="single" w:sz="4" w:space="0" w:color="auto"/>
          <w:left w:val="single" w:sz="4" w:space="0" w:color="auto"/>
          <w:bottom w:val="single" w:sz="6" w:space="0" w:color="auto"/>
          <w:right w:val="single" w:sz="4" w:space="0" w:color="auto"/>
          <w:insideH w:val="single" w:sz="6" w:space="0" w:color="auto"/>
          <w:insideV w:val="single" w:sz="6" w:space="0" w:color="auto"/>
        </w:tblBorders>
        <w:tblLayout w:type="fixed"/>
        <w:tblLook w:val="01E0"/>
      </w:tblPr>
      <w:tblGrid>
        <w:gridCol w:w="2273"/>
        <w:gridCol w:w="1350"/>
        <w:gridCol w:w="1350"/>
        <w:gridCol w:w="810"/>
        <w:gridCol w:w="1440"/>
        <w:gridCol w:w="1159"/>
        <w:gridCol w:w="1181"/>
        <w:gridCol w:w="1609"/>
        <w:gridCol w:w="1181"/>
        <w:gridCol w:w="1350"/>
      </w:tblGrid>
      <w:tr w:rsidR="00485094" w:rsidRPr="00AB1D07" w:rsidTr="000F2909">
        <w:trPr>
          <w:tblHeader/>
          <w:jc w:val="center"/>
        </w:trPr>
        <w:tc>
          <w:tcPr>
            <w:tcW w:w="2273" w:type="dxa"/>
            <w:tcBorders>
              <w:top w:val="single" w:sz="4" w:space="0" w:color="auto"/>
              <w:bottom w:val="double" w:sz="4" w:space="0" w:color="auto"/>
            </w:tcBorders>
            <w:shd w:val="clear" w:color="auto" w:fill="BDFFFF"/>
            <w:vAlign w:val="bottom"/>
          </w:tcPr>
          <w:p w:rsidR="00485094" w:rsidRPr="00AB1D07" w:rsidRDefault="00485094" w:rsidP="00453E80">
            <w:pPr>
              <w:pStyle w:val="TableText"/>
              <w:jc w:val="center"/>
              <w:rPr>
                <w:b/>
                <w:i/>
                <w:szCs w:val="18"/>
              </w:rPr>
            </w:pPr>
            <w:r w:rsidRPr="00AB1D07">
              <w:rPr>
                <w:b/>
                <w:i/>
                <w:szCs w:val="18"/>
              </w:rPr>
              <w:t>Analyte</w:t>
            </w:r>
          </w:p>
        </w:tc>
        <w:tc>
          <w:tcPr>
            <w:tcW w:w="1350" w:type="dxa"/>
            <w:tcBorders>
              <w:top w:val="single" w:sz="4" w:space="0" w:color="auto"/>
              <w:bottom w:val="double" w:sz="4" w:space="0" w:color="auto"/>
            </w:tcBorders>
            <w:shd w:val="clear" w:color="auto" w:fill="BDFFFF"/>
            <w:vAlign w:val="bottom"/>
          </w:tcPr>
          <w:p w:rsidR="00485094" w:rsidRPr="00AB1D07" w:rsidRDefault="00485094" w:rsidP="00453E80">
            <w:pPr>
              <w:pStyle w:val="TableText"/>
              <w:jc w:val="center"/>
              <w:rPr>
                <w:b/>
                <w:i/>
                <w:szCs w:val="18"/>
              </w:rPr>
            </w:pPr>
            <w:r w:rsidRPr="00AB1D07">
              <w:rPr>
                <w:b/>
                <w:i/>
                <w:szCs w:val="18"/>
              </w:rPr>
              <w:t>Target Population</w:t>
            </w:r>
            <w:r w:rsidRPr="00AB1D07">
              <w:rPr>
                <w:b/>
                <w:i/>
                <w:szCs w:val="18"/>
                <w:vertAlign w:val="superscript"/>
              </w:rPr>
              <w:t>1</w:t>
            </w:r>
          </w:p>
        </w:tc>
        <w:tc>
          <w:tcPr>
            <w:tcW w:w="1350" w:type="dxa"/>
            <w:tcBorders>
              <w:top w:val="single" w:sz="4" w:space="0" w:color="auto"/>
              <w:bottom w:val="double" w:sz="4" w:space="0" w:color="auto"/>
            </w:tcBorders>
            <w:shd w:val="clear" w:color="auto" w:fill="BDFFFF"/>
            <w:vAlign w:val="bottom"/>
          </w:tcPr>
          <w:p w:rsidR="00485094" w:rsidRPr="00AB1D07" w:rsidRDefault="00485094" w:rsidP="00453E80">
            <w:pPr>
              <w:pStyle w:val="TableText"/>
              <w:jc w:val="center"/>
              <w:rPr>
                <w:b/>
                <w:i/>
                <w:szCs w:val="18"/>
              </w:rPr>
            </w:pPr>
            <w:r w:rsidRPr="00AB1D07">
              <w:rPr>
                <w:b/>
                <w:i/>
                <w:szCs w:val="18"/>
              </w:rPr>
              <w:t>Sampleable</w:t>
            </w:r>
            <w:r w:rsidRPr="00AB1D07">
              <w:rPr>
                <w:b/>
                <w:i/>
                <w:szCs w:val="18"/>
                <w:vertAlign w:val="superscript"/>
              </w:rPr>
              <w:t>2</w:t>
            </w:r>
          </w:p>
        </w:tc>
        <w:tc>
          <w:tcPr>
            <w:tcW w:w="810" w:type="dxa"/>
            <w:tcBorders>
              <w:top w:val="single" w:sz="4" w:space="0" w:color="auto"/>
              <w:bottom w:val="double" w:sz="4" w:space="0" w:color="auto"/>
            </w:tcBorders>
            <w:shd w:val="clear" w:color="auto" w:fill="BDFFFF"/>
            <w:vAlign w:val="bottom"/>
          </w:tcPr>
          <w:p w:rsidR="00485094" w:rsidRPr="00AB1D07" w:rsidRDefault="00485094" w:rsidP="00453E80">
            <w:pPr>
              <w:pStyle w:val="TableText"/>
              <w:jc w:val="center"/>
              <w:rPr>
                <w:b/>
                <w:i/>
                <w:szCs w:val="18"/>
              </w:rPr>
            </w:pPr>
            <w:r w:rsidRPr="00AB1D07">
              <w:rPr>
                <w:b/>
                <w:i/>
                <w:szCs w:val="18"/>
              </w:rPr>
              <w:t>Dry</w:t>
            </w:r>
            <w:r w:rsidRPr="00AB1D07">
              <w:rPr>
                <w:b/>
                <w:i/>
                <w:szCs w:val="18"/>
                <w:vertAlign w:val="superscript"/>
              </w:rPr>
              <w:t>2</w:t>
            </w:r>
          </w:p>
        </w:tc>
        <w:tc>
          <w:tcPr>
            <w:tcW w:w="1440" w:type="dxa"/>
            <w:tcBorders>
              <w:top w:val="single" w:sz="4" w:space="0" w:color="auto"/>
              <w:bottom w:val="double" w:sz="4" w:space="0" w:color="auto"/>
            </w:tcBorders>
            <w:shd w:val="clear" w:color="auto" w:fill="BDFFFF"/>
            <w:vAlign w:val="bottom"/>
          </w:tcPr>
          <w:p w:rsidR="00485094" w:rsidRPr="00AB1D07" w:rsidRDefault="00485094" w:rsidP="00453E80">
            <w:pPr>
              <w:pStyle w:val="TableText"/>
              <w:jc w:val="center"/>
              <w:rPr>
                <w:b/>
                <w:i/>
                <w:szCs w:val="18"/>
              </w:rPr>
            </w:pPr>
            <w:r w:rsidRPr="00AB1D07">
              <w:rPr>
                <w:b/>
                <w:i/>
                <w:szCs w:val="18"/>
              </w:rPr>
              <w:t>Inaccessible</w:t>
            </w:r>
            <w:r w:rsidRPr="00AB1D07">
              <w:rPr>
                <w:b/>
                <w:i/>
                <w:szCs w:val="18"/>
                <w:vertAlign w:val="superscript"/>
              </w:rPr>
              <w:t>2</w:t>
            </w:r>
          </w:p>
        </w:tc>
        <w:tc>
          <w:tcPr>
            <w:tcW w:w="1159" w:type="dxa"/>
            <w:tcBorders>
              <w:top w:val="single" w:sz="4" w:space="0" w:color="auto"/>
              <w:bottom w:val="double" w:sz="4" w:space="0" w:color="auto"/>
            </w:tcBorders>
            <w:shd w:val="clear" w:color="auto" w:fill="BDFFFF"/>
            <w:vAlign w:val="bottom"/>
          </w:tcPr>
          <w:p w:rsidR="00485094" w:rsidRPr="00AB1D07" w:rsidRDefault="00485094" w:rsidP="00453E80">
            <w:pPr>
              <w:pStyle w:val="TableText"/>
              <w:jc w:val="center"/>
              <w:rPr>
                <w:b/>
                <w:i/>
                <w:szCs w:val="18"/>
              </w:rPr>
            </w:pPr>
            <w:r w:rsidRPr="00AB1D07">
              <w:rPr>
                <w:b/>
                <w:i/>
                <w:szCs w:val="18"/>
              </w:rPr>
              <w:t>Number of Samples</w:t>
            </w:r>
          </w:p>
        </w:tc>
        <w:tc>
          <w:tcPr>
            <w:tcW w:w="1181" w:type="dxa"/>
            <w:tcBorders>
              <w:top w:val="single" w:sz="4" w:space="0" w:color="auto"/>
              <w:bottom w:val="double" w:sz="4" w:space="0" w:color="auto"/>
            </w:tcBorders>
            <w:shd w:val="clear" w:color="auto" w:fill="BDFFFF"/>
            <w:vAlign w:val="bottom"/>
          </w:tcPr>
          <w:p w:rsidR="00485094" w:rsidRPr="00AB1D07" w:rsidRDefault="00485094" w:rsidP="00453E80">
            <w:pPr>
              <w:pStyle w:val="TableText"/>
              <w:jc w:val="center"/>
              <w:rPr>
                <w:b/>
                <w:i/>
                <w:szCs w:val="18"/>
              </w:rPr>
            </w:pPr>
            <w:r w:rsidRPr="00AB1D07">
              <w:rPr>
                <w:b/>
                <w:i/>
                <w:szCs w:val="18"/>
              </w:rPr>
              <w:t>% Meeting Threshold</w:t>
            </w:r>
          </w:p>
        </w:tc>
        <w:tc>
          <w:tcPr>
            <w:tcW w:w="1609" w:type="dxa"/>
            <w:tcBorders>
              <w:top w:val="single" w:sz="4" w:space="0" w:color="auto"/>
              <w:bottom w:val="double" w:sz="4" w:space="0" w:color="auto"/>
            </w:tcBorders>
            <w:shd w:val="clear" w:color="auto" w:fill="BDFFFF"/>
            <w:vAlign w:val="bottom"/>
          </w:tcPr>
          <w:p w:rsidR="00485094" w:rsidRPr="00AB1D07" w:rsidRDefault="00485094" w:rsidP="00453E80">
            <w:pPr>
              <w:pStyle w:val="TableText"/>
              <w:jc w:val="center"/>
              <w:rPr>
                <w:b/>
                <w:i/>
                <w:szCs w:val="18"/>
              </w:rPr>
            </w:pPr>
            <w:r w:rsidRPr="00AB1D07">
              <w:rPr>
                <w:b/>
                <w:i/>
                <w:szCs w:val="18"/>
              </w:rPr>
              <w:t xml:space="preserve">95% </w:t>
            </w:r>
          </w:p>
          <w:p w:rsidR="00485094" w:rsidRPr="00AB1D07" w:rsidRDefault="00485094" w:rsidP="00453E80">
            <w:pPr>
              <w:pStyle w:val="TableText"/>
              <w:jc w:val="center"/>
              <w:rPr>
                <w:b/>
                <w:i/>
                <w:szCs w:val="18"/>
              </w:rPr>
            </w:pPr>
            <w:r w:rsidRPr="00AB1D07">
              <w:rPr>
                <w:b/>
                <w:i/>
                <w:szCs w:val="18"/>
              </w:rPr>
              <w:t>Confidence Bounds</w:t>
            </w:r>
          </w:p>
          <w:p w:rsidR="00485094" w:rsidRPr="00AB1D07" w:rsidRDefault="00485094" w:rsidP="00453E80">
            <w:pPr>
              <w:pStyle w:val="TableText"/>
              <w:jc w:val="center"/>
              <w:rPr>
                <w:b/>
                <w:i/>
                <w:szCs w:val="18"/>
              </w:rPr>
            </w:pPr>
            <w:r w:rsidRPr="00AB1D07">
              <w:rPr>
                <w:b/>
                <w:i/>
                <w:szCs w:val="18"/>
              </w:rPr>
              <w:t>(% Meeting Threshold)</w:t>
            </w:r>
          </w:p>
        </w:tc>
        <w:tc>
          <w:tcPr>
            <w:tcW w:w="1181" w:type="dxa"/>
            <w:tcBorders>
              <w:top w:val="single" w:sz="4" w:space="0" w:color="auto"/>
              <w:bottom w:val="double" w:sz="4" w:space="0" w:color="auto"/>
            </w:tcBorders>
            <w:shd w:val="clear" w:color="auto" w:fill="BDFFFF"/>
            <w:vAlign w:val="bottom"/>
          </w:tcPr>
          <w:p w:rsidR="00485094" w:rsidRPr="00AB1D07" w:rsidRDefault="00485094" w:rsidP="00453E80">
            <w:pPr>
              <w:pStyle w:val="TableText"/>
              <w:jc w:val="center"/>
              <w:rPr>
                <w:b/>
                <w:i/>
                <w:szCs w:val="18"/>
              </w:rPr>
            </w:pPr>
            <w:r w:rsidRPr="00AB1D07">
              <w:rPr>
                <w:b/>
                <w:i/>
                <w:szCs w:val="18"/>
              </w:rPr>
              <w:t>% Not Meeting Threshold</w:t>
            </w:r>
          </w:p>
        </w:tc>
        <w:tc>
          <w:tcPr>
            <w:tcW w:w="1350" w:type="dxa"/>
            <w:tcBorders>
              <w:top w:val="single" w:sz="4" w:space="0" w:color="auto"/>
              <w:bottom w:val="double" w:sz="4" w:space="0" w:color="auto"/>
            </w:tcBorders>
            <w:shd w:val="clear" w:color="auto" w:fill="BDFFFF"/>
            <w:vAlign w:val="bottom"/>
          </w:tcPr>
          <w:p w:rsidR="00485094" w:rsidRPr="00AB1D07" w:rsidRDefault="00485094" w:rsidP="00453E80">
            <w:pPr>
              <w:pStyle w:val="TableText"/>
              <w:jc w:val="center"/>
              <w:rPr>
                <w:b/>
                <w:i/>
                <w:szCs w:val="18"/>
              </w:rPr>
            </w:pPr>
            <w:r w:rsidRPr="00AB1D07">
              <w:rPr>
                <w:b/>
                <w:i/>
                <w:szCs w:val="18"/>
              </w:rPr>
              <w:t>Assessment Period</w:t>
            </w:r>
          </w:p>
        </w:tc>
      </w:tr>
      <w:tr w:rsidR="00485094" w:rsidRPr="00AB1D07" w:rsidTr="00453E80">
        <w:trPr>
          <w:cantSplit/>
          <w:trHeight w:val="288"/>
          <w:jc w:val="center"/>
        </w:trPr>
        <w:tc>
          <w:tcPr>
            <w:tcW w:w="2273" w:type="dxa"/>
            <w:tcBorders>
              <w:top w:val="double" w:sz="4" w:space="0" w:color="auto"/>
            </w:tcBorders>
            <w:vAlign w:val="center"/>
          </w:tcPr>
          <w:p w:rsidR="00485094" w:rsidRPr="00F30218" w:rsidRDefault="00485094" w:rsidP="00453E80">
            <w:pPr>
              <w:pStyle w:val="TableText"/>
              <w:jc w:val="center"/>
              <w:rPr>
                <w:i/>
                <w:szCs w:val="18"/>
              </w:rPr>
            </w:pPr>
            <w:r w:rsidRPr="00F30218">
              <w:rPr>
                <w:szCs w:val="18"/>
              </w:rPr>
              <w:t xml:space="preserve">Chlorophyll </w:t>
            </w:r>
            <w:r w:rsidRPr="00F30218">
              <w:rPr>
                <w:i/>
                <w:szCs w:val="18"/>
              </w:rPr>
              <w:t>a</w:t>
            </w:r>
          </w:p>
        </w:tc>
        <w:tc>
          <w:tcPr>
            <w:tcW w:w="1350" w:type="dxa"/>
            <w:tcBorders>
              <w:top w:val="double" w:sz="4" w:space="0" w:color="auto"/>
            </w:tcBorders>
            <w:vAlign w:val="center"/>
          </w:tcPr>
          <w:p w:rsidR="00485094" w:rsidRPr="00AB1D07" w:rsidRDefault="00485094" w:rsidP="00453E80">
            <w:pPr>
              <w:pStyle w:val="TableText"/>
              <w:jc w:val="center"/>
              <w:rPr>
                <w:szCs w:val="18"/>
              </w:rPr>
            </w:pPr>
            <w:r w:rsidRPr="00AB1D07">
              <w:rPr>
                <w:szCs w:val="18"/>
              </w:rPr>
              <w:t>3,282</w:t>
            </w:r>
          </w:p>
        </w:tc>
        <w:tc>
          <w:tcPr>
            <w:tcW w:w="1350" w:type="dxa"/>
            <w:tcBorders>
              <w:top w:val="double" w:sz="4" w:space="0" w:color="auto"/>
            </w:tcBorders>
            <w:vAlign w:val="center"/>
          </w:tcPr>
          <w:p w:rsidR="00485094" w:rsidRPr="00AB1D07" w:rsidRDefault="00485094" w:rsidP="00453E80">
            <w:pPr>
              <w:pStyle w:val="TableText"/>
              <w:jc w:val="center"/>
              <w:rPr>
                <w:szCs w:val="18"/>
              </w:rPr>
            </w:pPr>
            <w:r w:rsidRPr="00AB1D07">
              <w:rPr>
                <w:szCs w:val="18"/>
              </w:rPr>
              <w:t>2,664</w:t>
            </w:r>
          </w:p>
        </w:tc>
        <w:tc>
          <w:tcPr>
            <w:tcW w:w="810" w:type="dxa"/>
            <w:tcBorders>
              <w:top w:val="double" w:sz="4" w:space="0" w:color="auto"/>
            </w:tcBorders>
            <w:vAlign w:val="center"/>
          </w:tcPr>
          <w:p w:rsidR="00485094" w:rsidRPr="00AB1D07" w:rsidRDefault="00485094" w:rsidP="00453E80">
            <w:pPr>
              <w:pStyle w:val="TableText"/>
              <w:jc w:val="center"/>
              <w:rPr>
                <w:szCs w:val="18"/>
              </w:rPr>
            </w:pPr>
            <w:r w:rsidRPr="00AB1D07">
              <w:rPr>
                <w:szCs w:val="18"/>
              </w:rPr>
              <w:t>84</w:t>
            </w:r>
          </w:p>
        </w:tc>
        <w:tc>
          <w:tcPr>
            <w:tcW w:w="1440" w:type="dxa"/>
            <w:tcBorders>
              <w:top w:val="double" w:sz="4" w:space="0" w:color="auto"/>
            </w:tcBorders>
            <w:vAlign w:val="center"/>
          </w:tcPr>
          <w:p w:rsidR="00485094" w:rsidRPr="00AB1D07" w:rsidRDefault="00485094" w:rsidP="00453E80">
            <w:pPr>
              <w:pStyle w:val="TableText"/>
              <w:jc w:val="center"/>
              <w:rPr>
                <w:szCs w:val="18"/>
              </w:rPr>
            </w:pPr>
            <w:r w:rsidRPr="00AB1D07">
              <w:rPr>
                <w:szCs w:val="18"/>
              </w:rPr>
              <w:t>534</w:t>
            </w:r>
          </w:p>
        </w:tc>
        <w:tc>
          <w:tcPr>
            <w:tcW w:w="1159" w:type="dxa"/>
            <w:tcBorders>
              <w:top w:val="double" w:sz="4" w:space="0" w:color="auto"/>
            </w:tcBorders>
            <w:vAlign w:val="center"/>
          </w:tcPr>
          <w:p w:rsidR="00485094" w:rsidRPr="00AB1D07" w:rsidRDefault="00485094" w:rsidP="00453E80">
            <w:pPr>
              <w:pStyle w:val="TableText"/>
              <w:jc w:val="center"/>
              <w:rPr>
                <w:szCs w:val="18"/>
              </w:rPr>
            </w:pPr>
            <w:r w:rsidRPr="00AB1D07">
              <w:rPr>
                <w:szCs w:val="18"/>
              </w:rPr>
              <w:t>740</w:t>
            </w:r>
          </w:p>
        </w:tc>
        <w:tc>
          <w:tcPr>
            <w:tcW w:w="1181" w:type="dxa"/>
            <w:tcBorders>
              <w:top w:val="double" w:sz="4" w:space="0" w:color="auto"/>
            </w:tcBorders>
            <w:vAlign w:val="center"/>
          </w:tcPr>
          <w:p w:rsidR="00485094" w:rsidRPr="00AB1D07" w:rsidRDefault="00485094" w:rsidP="00453E80">
            <w:pPr>
              <w:pStyle w:val="TableText"/>
              <w:jc w:val="center"/>
              <w:rPr>
                <w:szCs w:val="18"/>
              </w:rPr>
            </w:pPr>
            <w:r w:rsidRPr="00AB1D07">
              <w:rPr>
                <w:szCs w:val="18"/>
              </w:rPr>
              <w:t>85.6</w:t>
            </w:r>
          </w:p>
        </w:tc>
        <w:tc>
          <w:tcPr>
            <w:tcW w:w="1609" w:type="dxa"/>
            <w:tcBorders>
              <w:top w:val="double" w:sz="4" w:space="0" w:color="auto"/>
            </w:tcBorders>
            <w:vAlign w:val="center"/>
          </w:tcPr>
          <w:p w:rsidR="00485094" w:rsidRPr="00AB1D07" w:rsidRDefault="00485094" w:rsidP="00453E80">
            <w:pPr>
              <w:pStyle w:val="TableText"/>
              <w:jc w:val="center"/>
              <w:rPr>
                <w:szCs w:val="18"/>
              </w:rPr>
            </w:pPr>
            <w:r w:rsidRPr="00AB1D07">
              <w:rPr>
                <w:szCs w:val="18"/>
              </w:rPr>
              <w:t>83.6-87.5</w:t>
            </w:r>
          </w:p>
        </w:tc>
        <w:tc>
          <w:tcPr>
            <w:tcW w:w="1181" w:type="dxa"/>
            <w:tcBorders>
              <w:top w:val="double" w:sz="4" w:space="0" w:color="auto"/>
            </w:tcBorders>
            <w:vAlign w:val="center"/>
          </w:tcPr>
          <w:p w:rsidR="00485094" w:rsidRPr="00AB1D07" w:rsidRDefault="00485094" w:rsidP="00453E80">
            <w:pPr>
              <w:pStyle w:val="TableText"/>
              <w:jc w:val="center"/>
              <w:rPr>
                <w:szCs w:val="18"/>
              </w:rPr>
            </w:pPr>
            <w:r w:rsidRPr="00AB1D07">
              <w:rPr>
                <w:szCs w:val="18"/>
              </w:rPr>
              <w:t>14.4</w:t>
            </w:r>
          </w:p>
        </w:tc>
        <w:tc>
          <w:tcPr>
            <w:tcW w:w="1350" w:type="dxa"/>
            <w:tcBorders>
              <w:top w:val="double" w:sz="4" w:space="0" w:color="auto"/>
            </w:tcBorders>
            <w:vAlign w:val="center"/>
          </w:tcPr>
          <w:p w:rsidR="00485094" w:rsidRPr="00AB1D07" w:rsidRDefault="00485094" w:rsidP="00453E80">
            <w:pPr>
              <w:pStyle w:val="TableText"/>
              <w:jc w:val="center"/>
              <w:rPr>
                <w:szCs w:val="18"/>
              </w:rPr>
            </w:pPr>
            <w:r w:rsidRPr="00AB1D07">
              <w:rPr>
                <w:szCs w:val="18"/>
              </w:rPr>
              <w:t>2004-08</w:t>
            </w:r>
          </w:p>
        </w:tc>
      </w:tr>
      <w:tr w:rsidR="00485094" w:rsidRPr="00AB1D07" w:rsidTr="00453E80">
        <w:trPr>
          <w:cantSplit/>
          <w:trHeight w:val="288"/>
          <w:jc w:val="center"/>
        </w:trPr>
        <w:tc>
          <w:tcPr>
            <w:tcW w:w="2273" w:type="dxa"/>
            <w:shd w:val="clear" w:color="auto" w:fill="FFFFCC"/>
            <w:vAlign w:val="center"/>
          </w:tcPr>
          <w:p w:rsidR="00485094" w:rsidRPr="00F30218" w:rsidRDefault="00485094" w:rsidP="00453E80">
            <w:pPr>
              <w:pStyle w:val="TableText"/>
              <w:jc w:val="center"/>
              <w:rPr>
                <w:szCs w:val="18"/>
              </w:rPr>
            </w:pPr>
            <w:r w:rsidRPr="00F30218">
              <w:rPr>
                <w:szCs w:val="18"/>
              </w:rPr>
              <w:t>Un-ionized Ammonia</w:t>
            </w:r>
          </w:p>
        </w:tc>
        <w:tc>
          <w:tcPr>
            <w:tcW w:w="1350" w:type="dxa"/>
            <w:shd w:val="clear" w:color="auto" w:fill="FFFFCC"/>
            <w:vAlign w:val="center"/>
          </w:tcPr>
          <w:p w:rsidR="00485094" w:rsidRPr="00AB1D07" w:rsidRDefault="00485094" w:rsidP="00453E80">
            <w:pPr>
              <w:pStyle w:val="TableText"/>
              <w:jc w:val="center"/>
              <w:rPr>
                <w:szCs w:val="18"/>
              </w:rPr>
            </w:pPr>
            <w:r w:rsidRPr="00AB1D07">
              <w:rPr>
                <w:szCs w:val="18"/>
              </w:rPr>
              <w:t>3,282</w:t>
            </w:r>
          </w:p>
        </w:tc>
        <w:tc>
          <w:tcPr>
            <w:tcW w:w="1350" w:type="dxa"/>
            <w:shd w:val="clear" w:color="auto" w:fill="FFFFCC"/>
            <w:vAlign w:val="center"/>
          </w:tcPr>
          <w:p w:rsidR="00485094" w:rsidRPr="00AB1D07" w:rsidRDefault="00485094" w:rsidP="00453E80">
            <w:pPr>
              <w:pStyle w:val="TableText"/>
              <w:jc w:val="center"/>
              <w:rPr>
                <w:szCs w:val="18"/>
              </w:rPr>
            </w:pPr>
            <w:r w:rsidRPr="00AB1D07">
              <w:rPr>
                <w:szCs w:val="18"/>
              </w:rPr>
              <w:t>2,664</w:t>
            </w:r>
          </w:p>
        </w:tc>
        <w:tc>
          <w:tcPr>
            <w:tcW w:w="810" w:type="dxa"/>
            <w:shd w:val="clear" w:color="auto" w:fill="FFFFCC"/>
            <w:vAlign w:val="center"/>
          </w:tcPr>
          <w:p w:rsidR="00485094" w:rsidRPr="00AB1D07" w:rsidRDefault="00485094" w:rsidP="00453E80">
            <w:pPr>
              <w:pStyle w:val="TableText"/>
              <w:jc w:val="center"/>
              <w:rPr>
                <w:szCs w:val="18"/>
              </w:rPr>
            </w:pPr>
            <w:r w:rsidRPr="00AB1D07">
              <w:rPr>
                <w:szCs w:val="18"/>
              </w:rPr>
              <w:t>84</w:t>
            </w:r>
          </w:p>
        </w:tc>
        <w:tc>
          <w:tcPr>
            <w:tcW w:w="1440" w:type="dxa"/>
            <w:shd w:val="clear" w:color="auto" w:fill="FFFFCC"/>
            <w:vAlign w:val="center"/>
          </w:tcPr>
          <w:p w:rsidR="00485094" w:rsidRPr="00AB1D07" w:rsidRDefault="00485094" w:rsidP="00453E80">
            <w:pPr>
              <w:pStyle w:val="TableText"/>
              <w:jc w:val="center"/>
              <w:rPr>
                <w:szCs w:val="18"/>
              </w:rPr>
            </w:pPr>
            <w:r w:rsidRPr="00AB1D07">
              <w:rPr>
                <w:szCs w:val="18"/>
              </w:rPr>
              <w:t>534</w:t>
            </w:r>
          </w:p>
        </w:tc>
        <w:tc>
          <w:tcPr>
            <w:tcW w:w="1159" w:type="dxa"/>
            <w:shd w:val="clear" w:color="auto" w:fill="FFFFCC"/>
            <w:vAlign w:val="center"/>
          </w:tcPr>
          <w:p w:rsidR="00485094" w:rsidRPr="00AB1D07" w:rsidRDefault="00485094" w:rsidP="00453E80">
            <w:pPr>
              <w:pStyle w:val="TableText"/>
              <w:jc w:val="center"/>
              <w:rPr>
                <w:szCs w:val="18"/>
              </w:rPr>
            </w:pPr>
            <w:r w:rsidRPr="00AB1D07">
              <w:rPr>
                <w:szCs w:val="18"/>
              </w:rPr>
              <w:t>746</w:t>
            </w:r>
          </w:p>
        </w:tc>
        <w:tc>
          <w:tcPr>
            <w:tcW w:w="1181" w:type="dxa"/>
            <w:shd w:val="clear" w:color="auto" w:fill="FFFFCC"/>
            <w:vAlign w:val="center"/>
          </w:tcPr>
          <w:p w:rsidR="00485094" w:rsidRPr="00AB1D07" w:rsidRDefault="00485094" w:rsidP="00453E80">
            <w:pPr>
              <w:pStyle w:val="TableText"/>
              <w:jc w:val="center"/>
              <w:rPr>
                <w:szCs w:val="18"/>
              </w:rPr>
            </w:pPr>
            <w:r w:rsidRPr="00AB1D07">
              <w:rPr>
                <w:szCs w:val="18"/>
              </w:rPr>
              <w:t>99.4</w:t>
            </w:r>
          </w:p>
        </w:tc>
        <w:tc>
          <w:tcPr>
            <w:tcW w:w="1609" w:type="dxa"/>
            <w:shd w:val="clear" w:color="auto" w:fill="FFFFCC"/>
            <w:vAlign w:val="center"/>
          </w:tcPr>
          <w:p w:rsidR="00485094" w:rsidRPr="00AB1D07" w:rsidRDefault="00485094" w:rsidP="00453E80">
            <w:pPr>
              <w:pStyle w:val="TableText"/>
              <w:jc w:val="center"/>
              <w:rPr>
                <w:szCs w:val="18"/>
              </w:rPr>
            </w:pPr>
            <w:r w:rsidRPr="00AB1D07">
              <w:rPr>
                <w:szCs w:val="18"/>
              </w:rPr>
              <w:t>99.1–99.8</w:t>
            </w:r>
          </w:p>
        </w:tc>
        <w:tc>
          <w:tcPr>
            <w:tcW w:w="1181" w:type="dxa"/>
            <w:shd w:val="clear" w:color="auto" w:fill="FFFFCC"/>
            <w:vAlign w:val="center"/>
          </w:tcPr>
          <w:p w:rsidR="00485094" w:rsidRPr="00AB1D07" w:rsidRDefault="00485094" w:rsidP="00453E80">
            <w:pPr>
              <w:pStyle w:val="TableText"/>
              <w:jc w:val="center"/>
              <w:rPr>
                <w:szCs w:val="18"/>
              </w:rPr>
            </w:pPr>
            <w:r w:rsidRPr="00AB1D07">
              <w:rPr>
                <w:szCs w:val="18"/>
              </w:rPr>
              <w:t>0.6</w:t>
            </w:r>
          </w:p>
        </w:tc>
        <w:tc>
          <w:tcPr>
            <w:tcW w:w="1350" w:type="dxa"/>
            <w:shd w:val="clear" w:color="auto" w:fill="FFFFCC"/>
            <w:vAlign w:val="center"/>
          </w:tcPr>
          <w:p w:rsidR="00485094" w:rsidRPr="00AB1D07" w:rsidRDefault="00485094" w:rsidP="00453E80">
            <w:pPr>
              <w:pStyle w:val="TableText"/>
              <w:jc w:val="center"/>
              <w:rPr>
                <w:szCs w:val="18"/>
              </w:rPr>
            </w:pPr>
            <w:r w:rsidRPr="00AB1D07">
              <w:rPr>
                <w:szCs w:val="18"/>
              </w:rPr>
              <w:t>2004-08</w:t>
            </w:r>
          </w:p>
        </w:tc>
      </w:tr>
      <w:tr w:rsidR="00485094" w:rsidRPr="00AB1D07" w:rsidTr="00453E80">
        <w:trPr>
          <w:cantSplit/>
          <w:trHeight w:val="288"/>
          <w:jc w:val="center"/>
        </w:trPr>
        <w:tc>
          <w:tcPr>
            <w:tcW w:w="2273" w:type="dxa"/>
            <w:vAlign w:val="center"/>
          </w:tcPr>
          <w:p w:rsidR="00485094" w:rsidRPr="00F30218" w:rsidRDefault="00485094" w:rsidP="00453E80">
            <w:pPr>
              <w:pStyle w:val="TableText"/>
              <w:jc w:val="center"/>
              <w:rPr>
                <w:szCs w:val="18"/>
              </w:rPr>
            </w:pPr>
            <w:r w:rsidRPr="00F30218">
              <w:rPr>
                <w:szCs w:val="18"/>
              </w:rPr>
              <w:t>Fecal Coliform</w:t>
            </w:r>
          </w:p>
        </w:tc>
        <w:tc>
          <w:tcPr>
            <w:tcW w:w="1350" w:type="dxa"/>
            <w:vAlign w:val="center"/>
          </w:tcPr>
          <w:p w:rsidR="00485094" w:rsidRPr="00AB1D07" w:rsidRDefault="00485094" w:rsidP="00453E80">
            <w:pPr>
              <w:pStyle w:val="TableText"/>
              <w:jc w:val="center"/>
              <w:rPr>
                <w:szCs w:val="18"/>
              </w:rPr>
            </w:pPr>
            <w:r w:rsidRPr="00AB1D07">
              <w:rPr>
                <w:szCs w:val="18"/>
              </w:rPr>
              <w:t>3,282</w:t>
            </w:r>
          </w:p>
        </w:tc>
        <w:tc>
          <w:tcPr>
            <w:tcW w:w="1350" w:type="dxa"/>
            <w:vAlign w:val="center"/>
          </w:tcPr>
          <w:p w:rsidR="00485094" w:rsidRPr="00AB1D07" w:rsidRDefault="00485094" w:rsidP="00453E80">
            <w:pPr>
              <w:pStyle w:val="TableText"/>
              <w:jc w:val="center"/>
              <w:rPr>
                <w:szCs w:val="18"/>
              </w:rPr>
            </w:pPr>
            <w:r w:rsidRPr="00AB1D07">
              <w:rPr>
                <w:szCs w:val="18"/>
              </w:rPr>
              <w:t>2,664</w:t>
            </w:r>
          </w:p>
        </w:tc>
        <w:tc>
          <w:tcPr>
            <w:tcW w:w="810" w:type="dxa"/>
            <w:vAlign w:val="center"/>
          </w:tcPr>
          <w:p w:rsidR="00485094" w:rsidRPr="00AB1D07" w:rsidRDefault="00485094" w:rsidP="00453E80">
            <w:pPr>
              <w:pStyle w:val="TableText"/>
              <w:jc w:val="center"/>
              <w:rPr>
                <w:szCs w:val="18"/>
              </w:rPr>
            </w:pPr>
            <w:r w:rsidRPr="00AB1D07">
              <w:rPr>
                <w:szCs w:val="18"/>
              </w:rPr>
              <w:t>84</w:t>
            </w:r>
          </w:p>
        </w:tc>
        <w:tc>
          <w:tcPr>
            <w:tcW w:w="1440" w:type="dxa"/>
            <w:vAlign w:val="center"/>
          </w:tcPr>
          <w:p w:rsidR="00485094" w:rsidRPr="00AB1D07" w:rsidRDefault="00485094" w:rsidP="00453E80">
            <w:pPr>
              <w:pStyle w:val="TableText"/>
              <w:jc w:val="center"/>
              <w:rPr>
                <w:szCs w:val="18"/>
              </w:rPr>
            </w:pPr>
            <w:r w:rsidRPr="00AB1D07">
              <w:rPr>
                <w:szCs w:val="18"/>
              </w:rPr>
              <w:t>534</w:t>
            </w:r>
          </w:p>
        </w:tc>
        <w:tc>
          <w:tcPr>
            <w:tcW w:w="1159" w:type="dxa"/>
            <w:vAlign w:val="center"/>
          </w:tcPr>
          <w:p w:rsidR="00485094" w:rsidRPr="00AB1D07" w:rsidRDefault="00485094" w:rsidP="00453E80">
            <w:pPr>
              <w:pStyle w:val="TableText"/>
              <w:jc w:val="center"/>
              <w:rPr>
                <w:szCs w:val="18"/>
              </w:rPr>
            </w:pPr>
            <w:r w:rsidRPr="00AB1D07">
              <w:rPr>
                <w:szCs w:val="18"/>
              </w:rPr>
              <w:t>686</w:t>
            </w:r>
          </w:p>
        </w:tc>
        <w:tc>
          <w:tcPr>
            <w:tcW w:w="1181" w:type="dxa"/>
            <w:vAlign w:val="center"/>
          </w:tcPr>
          <w:p w:rsidR="00485094" w:rsidRPr="00AB1D07" w:rsidRDefault="00485094" w:rsidP="00453E80">
            <w:pPr>
              <w:pStyle w:val="TableText"/>
              <w:jc w:val="center"/>
              <w:rPr>
                <w:szCs w:val="18"/>
              </w:rPr>
            </w:pPr>
            <w:r w:rsidRPr="00AB1D07">
              <w:rPr>
                <w:szCs w:val="18"/>
              </w:rPr>
              <w:t>89.2</w:t>
            </w:r>
          </w:p>
        </w:tc>
        <w:tc>
          <w:tcPr>
            <w:tcW w:w="1609" w:type="dxa"/>
            <w:vAlign w:val="center"/>
          </w:tcPr>
          <w:p w:rsidR="00485094" w:rsidRPr="00AB1D07" w:rsidRDefault="00485094" w:rsidP="00453E80">
            <w:pPr>
              <w:pStyle w:val="TableText"/>
              <w:jc w:val="center"/>
              <w:rPr>
                <w:szCs w:val="18"/>
              </w:rPr>
            </w:pPr>
            <w:r w:rsidRPr="00AB1D07">
              <w:rPr>
                <w:szCs w:val="18"/>
              </w:rPr>
              <w:t>87.5-90.8</w:t>
            </w:r>
          </w:p>
        </w:tc>
        <w:tc>
          <w:tcPr>
            <w:tcW w:w="1181" w:type="dxa"/>
            <w:vAlign w:val="center"/>
          </w:tcPr>
          <w:p w:rsidR="00485094" w:rsidRPr="00AB1D07" w:rsidRDefault="00485094" w:rsidP="00453E80">
            <w:pPr>
              <w:pStyle w:val="TableText"/>
              <w:jc w:val="center"/>
              <w:rPr>
                <w:szCs w:val="18"/>
              </w:rPr>
            </w:pPr>
            <w:r w:rsidRPr="00AB1D07">
              <w:rPr>
                <w:szCs w:val="18"/>
              </w:rPr>
              <w:t>10.8</w:t>
            </w:r>
          </w:p>
        </w:tc>
        <w:tc>
          <w:tcPr>
            <w:tcW w:w="1350" w:type="dxa"/>
            <w:vAlign w:val="center"/>
          </w:tcPr>
          <w:p w:rsidR="00485094" w:rsidRPr="00AB1D07" w:rsidRDefault="00485094" w:rsidP="00453E80">
            <w:pPr>
              <w:pStyle w:val="TableText"/>
              <w:jc w:val="center"/>
              <w:rPr>
                <w:szCs w:val="18"/>
              </w:rPr>
            </w:pPr>
            <w:r w:rsidRPr="00AB1D07">
              <w:rPr>
                <w:szCs w:val="18"/>
              </w:rPr>
              <w:t>2004-08</w:t>
            </w:r>
          </w:p>
        </w:tc>
      </w:tr>
      <w:tr w:rsidR="00485094" w:rsidRPr="00AB1D07" w:rsidTr="00453E80">
        <w:trPr>
          <w:cantSplit/>
          <w:trHeight w:val="288"/>
          <w:jc w:val="center"/>
        </w:trPr>
        <w:tc>
          <w:tcPr>
            <w:tcW w:w="2273" w:type="dxa"/>
            <w:shd w:val="clear" w:color="auto" w:fill="FFFFCC"/>
            <w:vAlign w:val="center"/>
          </w:tcPr>
          <w:p w:rsidR="00485094" w:rsidRPr="00F30218" w:rsidRDefault="00485094" w:rsidP="00453E80">
            <w:pPr>
              <w:pStyle w:val="TableText"/>
              <w:jc w:val="center"/>
              <w:rPr>
                <w:szCs w:val="18"/>
              </w:rPr>
            </w:pPr>
            <w:r>
              <w:rPr>
                <w:szCs w:val="18"/>
              </w:rPr>
              <w:t>DO</w:t>
            </w:r>
          </w:p>
        </w:tc>
        <w:tc>
          <w:tcPr>
            <w:tcW w:w="1350" w:type="dxa"/>
            <w:shd w:val="clear" w:color="auto" w:fill="FFFFCC"/>
            <w:vAlign w:val="center"/>
          </w:tcPr>
          <w:p w:rsidR="00485094" w:rsidRPr="00AB1D07" w:rsidRDefault="00485094" w:rsidP="00453E80">
            <w:pPr>
              <w:pStyle w:val="TableText"/>
              <w:jc w:val="center"/>
              <w:rPr>
                <w:szCs w:val="18"/>
              </w:rPr>
            </w:pPr>
            <w:r w:rsidRPr="00AB1D07">
              <w:rPr>
                <w:szCs w:val="18"/>
              </w:rPr>
              <w:t>3,282</w:t>
            </w:r>
          </w:p>
        </w:tc>
        <w:tc>
          <w:tcPr>
            <w:tcW w:w="1350" w:type="dxa"/>
            <w:shd w:val="clear" w:color="auto" w:fill="FFFFCC"/>
            <w:vAlign w:val="center"/>
          </w:tcPr>
          <w:p w:rsidR="00485094" w:rsidRPr="00AB1D07" w:rsidRDefault="00485094" w:rsidP="00453E80">
            <w:pPr>
              <w:pStyle w:val="TableText"/>
              <w:jc w:val="center"/>
              <w:rPr>
                <w:szCs w:val="18"/>
              </w:rPr>
            </w:pPr>
            <w:r w:rsidRPr="00AB1D07">
              <w:rPr>
                <w:szCs w:val="18"/>
              </w:rPr>
              <w:t>2,664</w:t>
            </w:r>
          </w:p>
        </w:tc>
        <w:tc>
          <w:tcPr>
            <w:tcW w:w="810" w:type="dxa"/>
            <w:shd w:val="clear" w:color="auto" w:fill="FFFFCC"/>
            <w:vAlign w:val="center"/>
          </w:tcPr>
          <w:p w:rsidR="00485094" w:rsidRPr="00AB1D07" w:rsidRDefault="00485094" w:rsidP="00453E80">
            <w:pPr>
              <w:pStyle w:val="TableText"/>
              <w:jc w:val="center"/>
              <w:rPr>
                <w:szCs w:val="18"/>
              </w:rPr>
            </w:pPr>
            <w:r w:rsidRPr="00AB1D07">
              <w:rPr>
                <w:szCs w:val="18"/>
              </w:rPr>
              <w:t>84</w:t>
            </w:r>
          </w:p>
        </w:tc>
        <w:tc>
          <w:tcPr>
            <w:tcW w:w="1440" w:type="dxa"/>
            <w:shd w:val="clear" w:color="auto" w:fill="FFFFCC"/>
            <w:vAlign w:val="center"/>
          </w:tcPr>
          <w:p w:rsidR="00485094" w:rsidRPr="00AB1D07" w:rsidRDefault="00485094" w:rsidP="00453E80">
            <w:pPr>
              <w:pStyle w:val="TableText"/>
              <w:jc w:val="center"/>
              <w:rPr>
                <w:szCs w:val="18"/>
              </w:rPr>
            </w:pPr>
            <w:r w:rsidRPr="00AB1D07">
              <w:rPr>
                <w:szCs w:val="18"/>
              </w:rPr>
              <w:t>534</w:t>
            </w:r>
          </w:p>
        </w:tc>
        <w:tc>
          <w:tcPr>
            <w:tcW w:w="1159" w:type="dxa"/>
            <w:shd w:val="clear" w:color="auto" w:fill="FFFFCC"/>
            <w:vAlign w:val="center"/>
          </w:tcPr>
          <w:p w:rsidR="00485094" w:rsidRPr="00AB1D07" w:rsidRDefault="00485094" w:rsidP="00453E80">
            <w:pPr>
              <w:pStyle w:val="TableText"/>
              <w:jc w:val="center"/>
              <w:rPr>
                <w:szCs w:val="18"/>
              </w:rPr>
            </w:pPr>
            <w:r w:rsidRPr="00AB1D07">
              <w:rPr>
                <w:szCs w:val="18"/>
              </w:rPr>
              <w:t>744</w:t>
            </w:r>
          </w:p>
        </w:tc>
        <w:tc>
          <w:tcPr>
            <w:tcW w:w="1181" w:type="dxa"/>
            <w:shd w:val="clear" w:color="auto" w:fill="FFFFCC"/>
            <w:vAlign w:val="center"/>
          </w:tcPr>
          <w:p w:rsidR="00485094" w:rsidRPr="00AB1D07" w:rsidRDefault="00485094" w:rsidP="00453E80">
            <w:pPr>
              <w:pStyle w:val="TableText"/>
              <w:jc w:val="center"/>
              <w:rPr>
                <w:szCs w:val="18"/>
              </w:rPr>
            </w:pPr>
            <w:r w:rsidRPr="00AB1D07">
              <w:rPr>
                <w:szCs w:val="18"/>
              </w:rPr>
              <w:t>71.8</w:t>
            </w:r>
          </w:p>
        </w:tc>
        <w:tc>
          <w:tcPr>
            <w:tcW w:w="1609" w:type="dxa"/>
            <w:shd w:val="clear" w:color="auto" w:fill="FFFFCC"/>
            <w:vAlign w:val="center"/>
          </w:tcPr>
          <w:p w:rsidR="00485094" w:rsidRPr="00AB1D07" w:rsidRDefault="00485094" w:rsidP="00453E80">
            <w:pPr>
              <w:pStyle w:val="TableText"/>
              <w:jc w:val="center"/>
              <w:rPr>
                <w:szCs w:val="18"/>
              </w:rPr>
            </w:pPr>
            <w:r w:rsidRPr="00AB1D07">
              <w:rPr>
                <w:szCs w:val="18"/>
              </w:rPr>
              <w:t>69.1-74.5</w:t>
            </w:r>
          </w:p>
        </w:tc>
        <w:tc>
          <w:tcPr>
            <w:tcW w:w="1181" w:type="dxa"/>
            <w:shd w:val="clear" w:color="auto" w:fill="FFFFCC"/>
            <w:vAlign w:val="center"/>
          </w:tcPr>
          <w:p w:rsidR="00485094" w:rsidRPr="00AB1D07" w:rsidRDefault="00485094" w:rsidP="00453E80">
            <w:pPr>
              <w:pStyle w:val="TableText"/>
              <w:jc w:val="center"/>
              <w:rPr>
                <w:szCs w:val="18"/>
              </w:rPr>
            </w:pPr>
            <w:r w:rsidRPr="00AB1D07">
              <w:rPr>
                <w:szCs w:val="18"/>
              </w:rPr>
              <w:t>28.2</w:t>
            </w:r>
          </w:p>
        </w:tc>
        <w:tc>
          <w:tcPr>
            <w:tcW w:w="1350" w:type="dxa"/>
            <w:shd w:val="clear" w:color="auto" w:fill="FFFFCC"/>
            <w:vAlign w:val="center"/>
          </w:tcPr>
          <w:p w:rsidR="00485094" w:rsidRPr="00AB1D07" w:rsidRDefault="00485094" w:rsidP="00453E80">
            <w:pPr>
              <w:pStyle w:val="TableText"/>
              <w:jc w:val="center"/>
              <w:rPr>
                <w:szCs w:val="18"/>
              </w:rPr>
            </w:pPr>
            <w:r w:rsidRPr="00AB1D07">
              <w:rPr>
                <w:szCs w:val="18"/>
              </w:rPr>
              <w:t>2004-08</w:t>
            </w:r>
          </w:p>
        </w:tc>
      </w:tr>
    </w:tbl>
    <w:p w:rsidR="00485094" w:rsidRDefault="00485094" w:rsidP="00692F31">
      <w:pPr>
        <w:pStyle w:val="Bodytextreduced"/>
      </w:pPr>
    </w:p>
    <w:p w:rsidR="00485094" w:rsidRDefault="00485094" w:rsidP="00692F31">
      <w:pPr>
        <w:pStyle w:val="Bodytext"/>
        <w:rPr>
          <w:rFonts w:cs="Arial"/>
          <w:b/>
          <w:szCs w:val="24"/>
        </w:rPr>
      </w:pPr>
      <w:r>
        <w:rPr>
          <w:rFonts w:cs="Arial"/>
          <w:b/>
          <w:szCs w:val="24"/>
        </w:rPr>
        <w:t>Highlights:  Rivers</w:t>
      </w:r>
    </w:p>
    <w:p w:rsidR="00485094" w:rsidRDefault="00485094" w:rsidP="00692F31">
      <w:pPr>
        <w:pStyle w:val="ListBullet"/>
        <w:rPr>
          <w:b/>
        </w:rPr>
      </w:pPr>
      <w:r>
        <w:t>N</w:t>
      </w:r>
      <w:r w:rsidRPr="00000364">
        <w:t xml:space="preserve">o river resources in the Tampa Bay, Charlotte Harbor, Everglades, Florida Keys, and Indian River Lagoon </w:t>
      </w:r>
      <w:r>
        <w:t>B</w:t>
      </w:r>
      <w:r w:rsidRPr="00000364">
        <w:t>asins fit the defin</w:t>
      </w:r>
      <w:r>
        <w:t>ition of the target population.</w:t>
      </w:r>
    </w:p>
    <w:p w:rsidR="00485094" w:rsidRDefault="00485094" w:rsidP="00692F31">
      <w:pPr>
        <w:pStyle w:val="ListBullet"/>
      </w:pPr>
      <w:r w:rsidRPr="00000364">
        <w:t>Statewide</w:t>
      </w:r>
      <w:r>
        <w:t>,</w:t>
      </w:r>
      <w:r w:rsidRPr="00000364">
        <w:t xml:space="preserve"> 85.6% of </w:t>
      </w:r>
      <w:r>
        <w:t>the</w:t>
      </w:r>
      <w:r w:rsidRPr="00000364">
        <w:t xml:space="preserve"> target population’s river </w:t>
      </w:r>
      <w:r>
        <w:t xml:space="preserve">miles were below the chlorophyll a indicator (&lt; 20 </w:t>
      </w:r>
      <w:r w:rsidR="003D799D">
        <w:rPr>
          <w:rFonts w:ascii="Symbol" w:hAnsi="Symbol"/>
        </w:rPr>
        <w:t></w:t>
      </w:r>
      <w:r>
        <w:t>g/L) criteria</w:t>
      </w:r>
      <w:r w:rsidRPr="00000364">
        <w:t xml:space="preserve">.  The threshold for chlorophyll </w:t>
      </w:r>
      <w:r>
        <w:t xml:space="preserve">a </w:t>
      </w:r>
      <w:r w:rsidRPr="00000364">
        <w:t xml:space="preserve">was met for 80%, or greater, of each basin’s river mileage for all but </w:t>
      </w:r>
      <w:r>
        <w:t>5</w:t>
      </w:r>
      <w:r w:rsidRPr="00000364">
        <w:t xml:space="preserve"> basins.  </w:t>
      </w:r>
      <w:r>
        <w:t xml:space="preserve">The </w:t>
      </w:r>
      <w:r w:rsidRPr="00000364">
        <w:t xml:space="preserve">Lake Okeechobee </w:t>
      </w:r>
      <w:r>
        <w:t>Basin had the lowest percentage of meeting the threshold;</w:t>
      </w:r>
      <w:r w:rsidRPr="00000364">
        <w:t xml:space="preserve"> this may be attribut</w:t>
      </w:r>
      <w:r>
        <w:t>able</w:t>
      </w:r>
      <w:r w:rsidRPr="00000364">
        <w:t xml:space="preserve"> to the fact that the vast majori</w:t>
      </w:r>
      <w:r>
        <w:t>ty of river miles were canals.</w:t>
      </w:r>
    </w:p>
    <w:p w:rsidR="00485094" w:rsidRPr="00000364" w:rsidRDefault="00485094" w:rsidP="00692F31">
      <w:pPr>
        <w:pStyle w:val="ListBullet"/>
      </w:pPr>
      <w:r w:rsidRPr="00000364">
        <w:t>Statewide</w:t>
      </w:r>
      <w:r>
        <w:t>,</w:t>
      </w:r>
      <w:r w:rsidRPr="00000364">
        <w:t xml:space="preserve"> </w:t>
      </w:r>
      <w:r>
        <w:t>99.4</w:t>
      </w:r>
      <w:r w:rsidRPr="00000364">
        <w:t xml:space="preserve">% of </w:t>
      </w:r>
      <w:r>
        <w:t>the</w:t>
      </w:r>
      <w:r w:rsidRPr="00000364">
        <w:t xml:space="preserve"> target population’s river mile</w:t>
      </w:r>
      <w:r>
        <w:t>s were below the un-ionized ammonia (</w:t>
      </w:r>
      <w:r w:rsidRPr="003B37D3">
        <w:rPr>
          <w:rFonts w:cs="Arial"/>
        </w:rPr>
        <w:t>≤ 0.02 mg/L</w:t>
      </w:r>
      <w:r>
        <w:rPr>
          <w:rFonts w:cs="Arial"/>
        </w:rPr>
        <w:t xml:space="preserve">) </w:t>
      </w:r>
      <w:r>
        <w:t>criteria</w:t>
      </w:r>
      <w:r w:rsidRPr="00000364">
        <w:t xml:space="preserve">.  The threshold </w:t>
      </w:r>
      <w:r>
        <w:t xml:space="preserve">for un-ionized ammonia </w:t>
      </w:r>
      <w:r w:rsidRPr="00000364">
        <w:t xml:space="preserve">was met for </w:t>
      </w:r>
      <w:r>
        <w:t>95</w:t>
      </w:r>
      <w:r w:rsidRPr="00000364">
        <w:t xml:space="preserve">%, or greater, of </w:t>
      </w:r>
      <w:r>
        <w:t xml:space="preserve">all of the </w:t>
      </w:r>
      <w:r w:rsidRPr="00000364">
        <w:t>basins</w:t>
      </w:r>
      <w:r>
        <w:t xml:space="preserve">’ </w:t>
      </w:r>
      <w:r w:rsidRPr="00000364">
        <w:t xml:space="preserve">river mileage.  </w:t>
      </w:r>
    </w:p>
    <w:p w:rsidR="00485094" w:rsidRDefault="00485094" w:rsidP="00692F31">
      <w:pPr>
        <w:pStyle w:val="ListBullet"/>
      </w:pPr>
      <w:r w:rsidRPr="00000364">
        <w:t>Statewide</w:t>
      </w:r>
      <w:r>
        <w:t>,</w:t>
      </w:r>
      <w:r w:rsidRPr="00000364">
        <w:t xml:space="preserve"> 89.2% of </w:t>
      </w:r>
      <w:r>
        <w:t>the</w:t>
      </w:r>
      <w:r w:rsidRPr="00000364">
        <w:t xml:space="preserve"> target population’s river mile</w:t>
      </w:r>
      <w:r>
        <w:t>s were below the fecal coliform (</w:t>
      </w:r>
      <w:r w:rsidRPr="003B37D3">
        <w:rPr>
          <w:rFonts w:cs="Arial"/>
        </w:rPr>
        <w:t>&lt; 400 colonies/100mL</w:t>
      </w:r>
      <w:r>
        <w:rPr>
          <w:rFonts w:cs="Arial"/>
        </w:rPr>
        <w:t xml:space="preserve">) </w:t>
      </w:r>
      <w:r>
        <w:t>criteria</w:t>
      </w:r>
      <w:r w:rsidRPr="00000364">
        <w:t xml:space="preserve">.  The threshold for fecal coliform was met for 80%, or greater, of each basin’s river mileage for all but </w:t>
      </w:r>
      <w:r>
        <w:t>3</w:t>
      </w:r>
      <w:r w:rsidRPr="00000364">
        <w:t xml:space="preserve"> basins</w:t>
      </w:r>
      <w:r>
        <w:t xml:space="preserve">:  </w:t>
      </w:r>
      <w:r w:rsidRPr="00000364">
        <w:t>Middle St. Johns (50.0%), Southeast Coast</w:t>
      </w:r>
      <w:r>
        <w:t>–</w:t>
      </w:r>
      <w:r w:rsidRPr="00000364">
        <w:t>Biscayne Bay</w:t>
      </w:r>
      <w:r>
        <w:t xml:space="preserve"> (71.4%), and Springs Coast (73.3%).  </w:t>
      </w:r>
    </w:p>
    <w:p w:rsidR="00485094" w:rsidRDefault="00485094" w:rsidP="00692F31">
      <w:pPr>
        <w:pStyle w:val="ListBullet"/>
      </w:pPr>
      <w:r w:rsidRPr="00000364">
        <w:t>Statewide</w:t>
      </w:r>
      <w:r>
        <w:t xml:space="preserve">, </w:t>
      </w:r>
      <w:r w:rsidRPr="00000364">
        <w:t xml:space="preserve">71.8% of </w:t>
      </w:r>
      <w:r>
        <w:t>the</w:t>
      </w:r>
      <w:r w:rsidRPr="00000364">
        <w:t xml:space="preserve"> target population’s river mile</w:t>
      </w:r>
      <w:r>
        <w:t>s were above the DO (</w:t>
      </w:r>
      <w:r w:rsidRPr="003B37D3">
        <w:rPr>
          <w:rFonts w:cs="Arial"/>
          <w:lang w:val="fr-FR"/>
        </w:rPr>
        <w:t>≥ 5 mg/L</w:t>
      </w:r>
      <w:r>
        <w:rPr>
          <w:rFonts w:cs="Arial"/>
          <w:lang w:val="fr-FR"/>
        </w:rPr>
        <w:t xml:space="preserve">) </w:t>
      </w:r>
      <w:r>
        <w:t>criteria</w:t>
      </w:r>
      <w:r w:rsidRPr="00000364">
        <w:t xml:space="preserve">.  </w:t>
      </w:r>
      <w:r>
        <w:t>O</w:t>
      </w:r>
      <w:r w:rsidRPr="00000364">
        <w:t xml:space="preserve">nly </w:t>
      </w:r>
      <w:r>
        <w:t>8</w:t>
      </w:r>
      <w:r w:rsidRPr="00000364">
        <w:t xml:space="preserve"> </w:t>
      </w:r>
      <w:r>
        <w:t xml:space="preserve">of the 24 </w:t>
      </w:r>
      <w:r w:rsidRPr="00000364">
        <w:t xml:space="preserve">basins </w:t>
      </w:r>
      <w:r>
        <w:t>met th</w:t>
      </w:r>
      <w:r w:rsidRPr="00000364">
        <w:t xml:space="preserve">e DO </w:t>
      </w:r>
      <w:r>
        <w:t xml:space="preserve">threshold for </w:t>
      </w:r>
      <w:r w:rsidRPr="00000364">
        <w:t>8</w:t>
      </w:r>
      <w:r>
        <w:t xml:space="preserve">0% of their river resource.  Input of color and organic carbon from wetlands, stream geomorphology, respiration, and decomposition are factors that lower DO.   </w:t>
      </w:r>
    </w:p>
    <w:p w:rsidR="00485094" w:rsidRDefault="00485094" w:rsidP="00692F31">
      <w:pPr>
        <w:pStyle w:val="Bodytext"/>
        <w:rPr>
          <w:rFonts w:cs="Arial"/>
          <w:b/>
          <w:i/>
          <w:sz w:val="20"/>
        </w:rPr>
      </w:pPr>
    </w:p>
    <w:p w:rsidR="00485094" w:rsidRDefault="00485094" w:rsidP="00692F31">
      <w:pPr>
        <w:pStyle w:val="Bodytext"/>
        <w:rPr>
          <w:rFonts w:cs="Arial"/>
          <w:b/>
          <w:i/>
          <w:sz w:val="20"/>
        </w:rPr>
        <w:sectPr w:rsidR="00485094" w:rsidSect="003B37D3">
          <w:pgSz w:w="15840" w:h="12240" w:orient="landscape" w:code="1"/>
          <w:pgMar w:top="1440" w:right="1440" w:bottom="1440" w:left="1440" w:header="720" w:footer="720" w:gutter="0"/>
          <w:paperSrc w:first="261"/>
          <w:cols w:space="720"/>
          <w:docGrid w:linePitch="360"/>
        </w:sectPr>
      </w:pPr>
    </w:p>
    <w:p w:rsidR="00485094" w:rsidRDefault="001717CD" w:rsidP="00692F31">
      <w:pPr>
        <w:pStyle w:val="Caption"/>
      </w:pPr>
      <w:r>
        <w:rPr>
          <w:noProof/>
        </w:rPr>
        <w:drawing>
          <wp:anchor distT="0" distB="0" distL="114300" distR="114300" simplePos="0" relativeHeight="251661824" behindDoc="0" locked="0" layoutInCell="1" allowOverlap="1">
            <wp:simplePos x="0" y="0"/>
            <wp:positionH relativeFrom="column">
              <wp:align>center</wp:align>
            </wp:positionH>
            <wp:positionV relativeFrom="paragraph">
              <wp:posOffset>426085</wp:posOffset>
            </wp:positionV>
            <wp:extent cx="5160645" cy="5947410"/>
            <wp:effectExtent l="19050" t="0" r="1905" b="0"/>
            <wp:wrapTopAndBottom/>
            <wp:docPr id="40" name="Picture 4" descr="Figure 6.3.  Statewide Stream Sample Locations by Basin.  This is a map of the state of Florida divided into the 29 basins showing the locations where stream samples were col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6.3.  Statewide Stream Sample Locations by Basin"/>
                    <pic:cNvPicPr>
                      <a:picLocks noChangeAspect="1" noChangeArrowheads="1"/>
                    </pic:cNvPicPr>
                  </pic:nvPicPr>
                  <pic:blipFill>
                    <a:blip r:embed="rId76"/>
                    <a:srcRect/>
                    <a:stretch>
                      <a:fillRect/>
                    </a:stretch>
                  </pic:blipFill>
                  <pic:spPr bwMode="auto">
                    <a:xfrm>
                      <a:off x="0" y="0"/>
                      <a:ext cx="5160645" cy="5947410"/>
                    </a:xfrm>
                    <a:prstGeom prst="rect">
                      <a:avLst/>
                    </a:prstGeom>
                    <a:noFill/>
                    <a:ln w="9525">
                      <a:noFill/>
                      <a:miter lim="800000"/>
                      <a:headEnd/>
                      <a:tailEnd/>
                    </a:ln>
                  </pic:spPr>
                </pic:pic>
              </a:graphicData>
            </a:graphic>
          </wp:anchor>
        </w:drawing>
      </w:r>
      <w:bookmarkStart w:id="379" w:name="_Toc262464296"/>
      <w:bookmarkStart w:id="380" w:name="_Toc271280148"/>
      <w:r w:rsidR="00485094" w:rsidRPr="00491133">
        <w:t xml:space="preserve">Figure </w:t>
      </w:r>
      <w:r w:rsidR="00485094">
        <w:t>6.3.  Statewide Stream Sample Locations by Basin</w:t>
      </w:r>
      <w:bookmarkEnd w:id="379"/>
      <w:bookmarkEnd w:id="380"/>
    </w:p>
    <w:p w:rsidR="00485094" w:rsidRDefault="00485094" w:rsidP="00692F31">
      <w:pPr>
        <w:pStyle w:val="Bodytext"/>
        <w:rPr>
          <w:b/>
          <w:i/>
        </w:rPr>
      </w:pPr>
    </w:p>
    <w:p w:rsidR="00485094" w:rsidRDefault="00485094" w:rsidP="00692F31">
      <w:pPr>
        <w:pStyle w:val="Bodytext"/>
        <w:rPr>
          <w:b/>
          <w:i/>
        </w:rPr>
      </w:pPr>
    </w:p>
    <w:p w:rsidR="00485094" w:rsidRDefault="00485094" w:rsidP="00692F31">
      <w:pPr>
        <w:autoSpaceDE w:val="0"/>
        <w:autoSpaceDN w:val="0"/>
        <w:adjustRightInd w:val="0"/>
        <w:rPr>
          <w:rFonts w:ascii="Arial" w:hAnsi="Arial" w:cs="Arial"/>
          <w:b/>
          <w:i/>
          <w:sz w:val="20"/>
          <w:szCs w:val="20"/>
        </w:rPr>
      </w:pPr>
    </w:p>
    <w:p w:rsidR="00485094" w:rsidRDefault="00485094" w:rsidP="00692F31">
      <w:pPr>
        <w:pStyle w:val="Bodytextreduced"/>
      </w:pPr>
      <w:r>
        <w:br w:type="page"/>
      </w:r>
    </w:p>
    <w:p w:rsidR="00485094" w:rsidRDefault="00485094" w:rsidP="00692F31">
      <w:pPr>
        <w:pStyle w:val="Caption"/>
      </w:pPr>
      <w:bookmarkStart w:id="381" w:name="_Toc262464297"/>
      <w:bookmarkStart w:id="382" w:name="_Toc271280149"/>
      <w:r w:rsidRPr="00491133">
        <w:t xml:space="preserve">Figure </w:t>
      </w:r>
      <w:r>
        <w:t>6.4.  Statewide Summary of Stream Results</w:t>
      </w:r>
      <w:bookmarkEnd w:id="381"/>
      <w:bookmarkEnd w:id="382"/>
    </w:p>
    <w:p w:rsidR="00485094" w:rsidRDefault="001717CD" w:rsidP="00692F31">
      <w:pPr>
        <w:autoSpaceDE w:val="0"/>
        <w:autoSpaceDN w:val="0"/>
        <w:adjustRightInd w:val="0"/>
        <w:rPr>
          <w:rFonts w:ascii="Arial" w:hAnsi="Arial" w:cs="Arial"/>
          <w:b/>
          <w:i/>
          <w:sz w:val="20"/>
          <w:szCs w:val="20"/>
        </w:rPr>
      </w:pPr>
      <w:r>
        <w:rPr>
          <w:noProof/>
        </w:rPr>
        <w:drawing>
          <wp:anchor distT="0" distB="0" distL="114300" distR="114300" simplePos="0" relativeHeight="251662848" behindDoc="0" locked="0" layoutInCell="1" allowOverlap="1">
            <wp:simplePos x="0" y="0"/>
            <wp:positionH relativeFrom="column">
              <wp:align>center</wp:align>
            </wp:positionH>
            <wp:positionV relativeFrom="paragraph">
              <wp:posOffset>146050</wp:posOffset>
            </wp:positionV>
            <wp:extent cx="5407025" cy="5947410"/>
            <wp:effectExtent l="19050" t="0" r="3175" b="0"/>
            <wp:wrapTopAndBottom/>
            <wp:docPr id="39" name="Picture 3" descr="Figure 6.4.  Statewide Summary of Stream Results.  This graphic shows statewide results in pie chart format for the stream indicators.  The results follow in Table 6.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6.4.  Statewide Summary of Stream Results"/>
                    <pic:cNvPicPr>
                      <a:picLocks noChangeAspect="1" noChangeArrowheads="1"/>
                    </pic:cNvPicPr>
                  </pic:nvPicPr>
                  <pic:blipFill>
                    <a:blip r:embed="rId77"/>
                    <a:srcRect/>
                    <a:stretch>
                      <a:fillRect/>
                    </a:stretch>
                  </pic:blipFill>
                  <pic:spPr bwMode="auto">
                    <a:xfrm>
                      <a:off x="0" y="0"/>
                      <a:ext cx="5407025" cy="5947410"/>
                    </a:xfrm>
                    <a:prstGeom prst="rect">
                      <a:avLst/>
                    </a:prstGeom>
                    <a:noFill/>
                    <a:ln w="9525">
                      <a:noFill/>
                      <a:miter lim="800000"/>
                      <a:headEnd/>
                      <a:tailEnd/>
                    </a:ln>
                  </pic:spPr>
                </pic:pic>
              </a:graphicData>
            </a:graphic>
          </wp:anchor>
        </w:drawing>
      </w:r>
    </w:p>
    <w:p w:rsidR="00485094" w:rsidRDefault="00485094" w:rsidP="00692F31">
      <w:pPr>
        <w:autoSpaceDE w:val="0"/>
        <w:autoSpaceDN w:val="0"/>
        <w:adjustRightInd w:val="0"/>
        <w:rPr>
          <w:rFonts w:ascii="Arial" w:hAnsi="Arial" w:cs="Arial"/>
          <w:b/>
          <w:i/>
          <w:sz w:val="20"/>
          <w:szCs w:val="20"/>
        </w:rPr>
      </w:pPr>
    </w:p>
    <w:p w:rsidR="00485094" w:rsidRDefault="00485094" w:rsidP="00692F31">
      <w:pPr>
        <w:autoSpaceDE w:val="0"/>
        <w:autoSpaceDN w:val="0"/>
        <w:adjustRightInd w:val="0"/>
        <w:rPr>
          <w:rFonts w:ascii="Arial" w:hAnsi="Arial" w:cs="Arial"/>
          <w:b/>
          <w:i/>
          <w:sz w:val="20"/>
          <w:szCs w:val="20"/>
        </w:rPr>
      </w:pPr>
    </w:p>
    <w:p w:rsidR="00485094" w:rsidRDefault="00485094" w:rsidP="00692F31">
      <w:pPr>
        <w:autoSpaceDE w:val="0"/>
        <w:autoSpaceDN w:val="0"/>
        <w:adjustRightInd w:val="0"/>
        <w:rPr>
          <w:rFonts w:ascii="Arial" w:hAnsi="Arial" w:cs="Arial"/>
          <w:b/>
          <w:i/>
          <w:sz w:val="20"/>
          <w:szCs w:val="20"/>
        </w:rPr>
        <w:sectPr w:rsidR="00485094" w:rsidSect="003B37D3">
          <w:pgSz w:w="12240" w:h="15840" w:code="1"/>
          <w:pgMar w:top="1440" w:right="1440" w:bottom="1440" w:left="1440" w:header="720" w:footer="720" w:gutter="0"/>
          <w:paperSrc w:first="261"/>
          <w:cols w:space="720"/>
          <w:docGrid w:linePitch="360"/>
        </w:sectPr>
      </w:pPr>
    </w:p>
    <w:p w:rsidR="00485094" w:rsidRPr="00F25CEA" w:rsidRDefault="00485094" w:rsidP="00692F31">
      <w:pPr>
        <w:autoSpaceDE w:val="0"/>
        <w:autoSpaceDN w:val="0"/>
        <w:adjustRightInd w:val="0"/>
        <w:rPr>
          <w:rFonts w:ascii="Arial" w:hAnsi="Arial" w:cs="Arial"/>
          <w:sz w:val="16"/>
          <w:szCs w:val="16"/>
        </w:rPr>
      </w:pPr>
    </w:p>
    <w:p w:rsidR="00485094" w:rsidRDefault="00485094" w:rsidP="00692F31">
      <w:pPr>
        <w:pStyle w:val="Tableheading"/>
        <w:rPr>
          <w:bCs/>
          <w:szCs w:val="22"/>
        </w:rPr>
      </w:pPr>
      <w:bookmarkStart w:id="383" w:name="_Toc255482831"/>
      <w:bookmarkStart w:id="384" w:name="_Toc255807489"/>
      <w:bookmarkStart w:id="385" w:name="_Toc262464247"/>
      <w:bookmarkStart w:id="386" w:name="_Toc271280094"/>
      <w:r w:rsidRPr="00FD0860">
        <w:t xml:space="preserve">Table </w:t>
      </w:r>
      <w:r w:rsidRPr="00E92FF1">
        <w:t>6.</w:t>
      </w:r>
      <w:r>
        <w:t>3c.  Statewide Percentage of Streams Meeting Threshold Values</w:t>
      </w:r>
      <w:r w:rsidRPr="00FD0860">
        <w:t xml:space="preserve"> </w:t>
      </w:r>
      <w:r>
        <w:t xml:space="preserve">for Indicators </w:t>
      </w:r>
      <w:r w:rsidRPr="00FD0860">
        <w:t xml:space="preserve">Calculated Using </w:t>
      </w:r>
      <w:r>
        <w:t>Probabilistic Monitoring Design</w:t>
      </w:r>
      <w:bookmarkEnd w:id="383"/>
      <w:bookmarkEnd w:id="384"/>
      <w:bookmarkEnd w:id="385"/>
      <w:bookmarkEnd w:id="386"/>
    </w:p>
    <w:p w:rsidR="00485094" w:rsidRDefault="00485094" w:rsidP="00692F31">
      <w:pPr>
        <w:ind w:left="1440"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Miles</w:t>
      </w:r>
    </w:p>
    <w:p w:rsidR="00485094" w:rsidRDefault="00485094" w:rsidP="00692F31">
      <w:pPr>
        <w:pStyle w:val="TabledescriptionBF"/>
      </w:pPr>
      <w:r>
        <w:t>This is a 10-column table.  Column 1 lists the analyte, Column 2 lists the target population, Column 3 lists the sampleable miles, Column 4 lists the dry miles, Column 5 lists the inaccessible miles, Column 6 lists the number of samples, Column 7 lists the percent meeting the threshold, Column 8 lists the 95% confidence bounds, Column 9 lists the percent not meeting the threshold, and Column 10 lists the assessment period.</w:t>
      </w:r>
    </w:p>
    <w:p w:rsidR="00485094" w:rsidRPr="00D53BE0" w:rsidRDefault="00485094" w:rsidP="00692F31">
      <w:pPr>
        <w:pStyle w:val="TabledescriptionBF"/>
      </w:pPr>
    </w:p>
    <w:p w:rsidR="00485094" w:rsidRDefault="00485094" w:rsidP="00692F31">
      <w:pPr>
        <w:ind w:left="-240"/>
        <w:rPr>
          <w:rFonts w:ascii="Arial" w:hAnsi="Arial" w:cs="Arial"/>
          <w:sz w:val="18"/>
          <w:szCs w:val="18"/>
        </w:rPr>
      </w:pPr>
      <w:r w:rsidRPr="00D53BE0">
        <w:rPr>
          <w:rFonts w:ascii="Arial" w:hAnsi="Arial" w:cs="Arial"/>
          <w:sz w:val="18"/>
          <w:szCs w:val="18"/>
          <w:vertAlign w:val="superscript"/>
        </w:rPr>
        <w:t xml:space="preserve">1 </w:t>
      </w:r>
      <w:r w:rsidRPr="00D53BE0">
        <w:rPr>
          <w:rFonts w:ascii="Arial" w:hAnsi="Arial" w:cs="Arial"/>
          <w:sz w:val="18"/>
          <w:szCs w:val="18"/>
        </w:rPr>
        <w:t>Miles</w:t>
      </w:r>
    </w:p>
    <w:p w:rsidR="00485094" w:rsidRPr="00D53BE0" w:rsidRDefault="00485094" w:rsidP="00692F31">
      <w:pPr>
        <w:ind w:left="-240"/>
        <w:rPr>
          <w:rFonts w:ascii="Arial" w:hAnsi="Arial" w:cs="Arial"/>
          <w:sz w:val="18"/>
          <w:szCs w:val="18"/>
        </w:rPr>
      </w:pPr>
      <w:r w:rsidRPr="00CC5085">
        <w:rPr>
          <w:rFonts w:ascii="Arial" w:hAnsi="Arial" w:cs="Arial"/>
          <w:sz w:val="18"/>
          <w:szCs w:val="18"/>
          <w:vertAlign w:val="superscript"/>
        </w:rPr>
        <w:t xml:space="preserve">2 </w:t>
      </w:r>
      <w:r>
        <w:rPr>
          <w:rFonts w:ascii="Arial" w:hAnsi="Arial" w:cs="Arial"/>
          <w:sz w:val="18"/>
          <w:szCs w:val="18"/>
        </w:rPr>
        <w:t>Estimated number of miles</w:t>
      </w:r>
    </w:p>
    <w:tbl>
      <w:tblPr>
        <w:tblW w:w="1370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tblPr>
      <w:tblGrid>
        <w:gridCol w:w="2273"/>
        <w:gridCol w:w="1350"/>
        <w:gridCol w:w="1350"/>
        <w:gridCol w:w="810"/>
        <w:gridCol w:w="1440"/>
        <w:gridCol w:w="1159"/>
        <w:gridCol w:w="1181"/>
        <w:gridCol w:w="1609"/>
        <w:gridCol w:w="1181"/>
        <w:gridCol w:w="1350"/>
      </w:tblGrid>
      <w:tr w:rsidR="00485094" w:rsidRPr="00D53BE0" w:rsidTr="000F2909">
        <w:trPr>
          <w:tblHeader/>
          <w:jc w:val="center"/>
        </w:trPr>
        <w:tc>
          <w:tcPr>
            <w:tcW w:w="2273"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Analyte</w:t>
            </w:r>
          </w:p>
        </w:tc>
        <w:tc>
          <w:tcPr>
            <w:tcW w:w="1350"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Target Population</w:t>
            </w:r>
            <w:r w:rsidRPr="00D53BE0">
              <w:rPr>
                <w:b/>
                <w:i/>
                <w:vertAlign w:val="superscript"/>
              </w:rPr>
              <w:t>1</w:t>
            </w:r>
          </w:p>
        </w:tc>
        <w:tc>
          <w:tcPr>
            <w:tcW w:w="1350"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Sampleable</w:t>
            </w:r>
            <w:r>
              <w:rPr>
                <w:b/>
                <w:i/>
                <w:vertAlign w:val="superscript"/>
              </w:rPr>
              <w:t>2</w:t>
            </w:r>
          </w:p>
        </w:tc>
        <w:tc>
          <w:tcPr>
            <w:tcW w:w="810"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Dry</w:t>
            </w:r>
            <w:r>
              <w:rPr>
                <w:b/>
                <w:i/>
                <w:vertAlign w:val="superscript"/>
              </w:rPr>
              <w:t>2</w:t>
            </w:r>
          </w:p>
        </w:tc>
        <w:tc>
          <w:tcPr>
            <w:tcW w:w="1440"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Inaccessible</w:t>
            </w:r>
            <w:r>
              <w:rPr>
                <w:b/>
                <w:i/>
                <w:vertAlign w:val="superscript"/>
              </w:rPr>
              <w:t>2</w:t>
            </w:r>
          </w:p>
        </w:tc>
        <w:tc>
          <w:tcPr>
            <w:tcW w:w="1159"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Number of Samples</w:t>
            </w:r>
          </w:p>
        </w:tc>
        <w:tc>
          <w:tcPr>
            <w:tcW w:w="1181"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 Meeting Threshold</w:t>
            </w:r>
          </w:p>
        </w:tc>
        <w:tc>
          <w:tcPr>
            <w:tcW w:w="1609"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 xml:space="preserve">95% </w:t>
            </w:r>
          </w:p>
          <w:p w:rsidR="00485094" w:rsidRPr="00D53BE0" w:rsidRDefault="00485094" w:rsidP="00453E80">
            <w:pPr>
              <w:pStyle w:val="TableText"/>
              <w:jc w:val="center"/>
              <w:rPr>
                <w:b/>
                <w:i/>
              </w:rPr>
            </w:pPr>
            <w:r w:rsidRPr="00D53BE0">
              <w:rPr>
                <w:b/>
                <w:i/>
              </w:rPr>
              <w:t>Confidence Bounds</w:t>
            </w:r>
          </w:p>
          <w:p w:rsidR="00485094" w:rsidRPr="00D53BE0" w:rsidRDefault="00485094" w:rsidP="00453E80">
            <w:pPr>
              <w:pStyle w:val="TableText"/>
              <w:jc w:val="center"/>
              <w:rPr>
                <w:b/>
                <w:i/>
              </w:rPr>
            </w:pPr>
            <w:r w:rsidRPr="00D53BE0">
              <w:rPr>
                <w:b/>
                <w:i/>
              </w:rPr>
              <w:t>(% Meeting Threshold)</w:t>
            </w:r>
          </w:p>
        </w:tc>
        <w:tc>
          <w:tcPr>
            <w:tcW w:w="1181"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 Not Meeting Threshold</w:t>
            </w:r>
          </w:p>
        </w:tc>
        <w:tc>
          <w:tcPr>
            <w:tcW w:w="1350"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Assessment Period</w:t>
            </w:r>
          </w:p>
        </w:tc>
      </w:tr>
      <w:tr w:rsidR="00485094" w:rsidRPr="00D53BE0" w:rsidTr="00453E80">
        <w:trPr>
          <w:cantSplit/>
          <w:trHeight w:val="288"/>
          <w:jc w:val="center"/>
        </w:trPr>
        <w:tc>
          <w:tcPr>
            <w:tcW w:w="2273" w:type="dxa"/>
            <w:tcBorders>
              <w:top w:val="double" w:sz="4" w:space="0" w:color="auto"/>
            </w:tcBorders>
            <w:vAlign w:val="center"/>
          </w:tcPr>
          <w:p w:rsidR="00485094" w:rsidRPr="00BD303B" w:rsidRDefault="00485094" w:rsidP="00453E80">
            <w:pPr>
              <w:pStyle w:val="TableText"/>
              <w:jc w:val="center"/>
              <w:rPr>
                <w:i/>
                <w:szCs w:val="18"/>
              </w:rPr>
            </w:pPr>
            <w:r w:rsidRPr="00BD303B">
              <w:rPr>
                <w:szCs w:val="18"/>
              </w:rPr>
              <w:t xml:space="preserve">Chlorophyll </w:t>
            </w:r>
            <w:r w:rsidRPr="00BD303B">
              <w:rPr>
                <w:i/>
                <w:szCs w:val="18"/>
              </w:rPr>
              <w:t>a</w:t>
            </w:r>
          </w:p>
        </w:tc>
        <w:tc>
          <w:tcPr>
            <w:tcW w:w="1350"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34,390</w:t>
            </w:r>
          </w:p>
        </w:tc>
        <w:tc>
          <w:tcPr>
            <w:tcW w:w="1350"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13,652</w:t>
            </w:r>
          </w:p>
        </w:tc>
        <w:tc>
          <w:tcPr>
            <w:tcW w:w="810"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5,090</w:t>
            </w:r>
          </w:p>
        </w:tc>
        <w:tc>
          <w:tcPr>
            <w:tcW w:w="1440"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15,648</w:t>
            </w:r>
          </w:p>
        </w:tc>
        <w:tc>
          <w:tcPr>
            <w:tcW w:w="1159"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761</w:t>
            </w:r>
          </w:p>
        </w:tc>
        <w:tc>
          <w:tcPr>
            <w:tcW w:w="1181"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75.2</w:t>
            </w:r>
          </w:p>
        </w:tc>
        <w:tc>
          <w:tcPr>
            <w:tcW w:w="1609"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71.5-78.9</w:t>
            </w:r>
          </w:p>
        </w:tc>
        <w:tc>
          <w:tcPr>
            <w:tcW w:w="1181"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24.8</w:t>
            </w:r>
          </w:p>
        </w:tc>
        <w:tc>
          <w:tcPr>
            <w:tcW w:w="1350"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2004-08</w:t>
            </w:r>
          </w:p>
        </w:tc>
      </w:tr>
      <w:tr w:rsidR="00485094" w:rsidRPr="00D53BE0" w:rsidTr="00453E80">
        <w:trPr>
          <w:cantSplit/>
          <w:trHeight w:val="288"/>
          <w:jc w:val="center"/>
        </w:trPr>
        <w:tc>
          <w:tcPr>
            <w:tcW w:w="2273" w:type="dxa"/>
            <w:shd w:val="clear" w:color="auto" w:fill="FFFFCC"/>
            <w:vAlign w:val="center"/>
          </w:tcPr>
          <w:p w:rsidR="00485094" w:rsidRPr="00BD303B" w:rsidRDefault="00485094" w:rsidP="00453E80">
            <w:pPr>
              <w:pStyle w:val="TableText"/>
              <w:jc w:val="center"/>
              <w:rPr>
                <w:szCs w:val="18"/>
              </w:rPr>
            </w:pPr>
            <w:r w:rsidRPr="00BD303B">
              <w:rPr>
                <w:szCs w:val="18"/>
              </w:rPr>
              <w:t>Un-ionized Ammonia</w:t>
            </w:r>
          </w:p>
        </w:tc>
        <w:tc>
          <w:tcPr>
            <w:tcW w:w="1350" w:type="dxa"/>
            <w:shd w:val="clear" w:color="auto" w:fill="FFFFCC"/>
            <w:vAlign w:val="center"/>
          </w:tcPr>
          <w:p w:rsidR="00485094" w:rsidRPr="00BD303B" w:rsidRDefault="00485094" w:rsidP="00453E80">
            <w:pPr>
              <w:pStyle w:val="TableText"/>
              <w:jc w:val="center"/>
              <w:rPr>
                <w:szCs w:val="18"/>
              </w:rPr>
            </w:pPr>
            <w:r w:rsidRPr="00BD303B">
              <w:rPr>
                <w:szCs w:val="18"/>
              </w:rPr>
              <w:t>34,390</w:t>
            </w:r>
          </w:p>
        </w:tc>
        <w:tc>
          <w:tcPr>
            <w:tcW w:w="1350" w:type="dxa"/>
            <w:shd w:val="clear" w:color="auto" w:fill="FFFFCC"/>
            <w:vAlign w:val="center"/>
          </w:tcPr>
          <w:p w:rsidR="00485094" w:rsidRPr="00BD303B" w:rsidRDefault="00485094" w:rsidP="00453E80">
            <w:pPr>
              <w:pStyle w:val="TableText"/>
              <w:jc w:val="center"/>
              <w:rPr>
                <w:szCs w:val="18"/>
              </w:rPr>
            </w:pPr>
            <w:r w:rsidRPr="00BD303B">
              <w:rPr>
                <w:szCs w:val="18"/>
              </w:rPr>
              <w:t>13,652</w:t>
            </w:r>
          </w:p>
        </w:tc>
        <w:tc>
          <w:tcPr>
            <w:tcW w:w="810" w:type="dxa"/>
            <w:shd w:val="clear" w:color="auto" w:fill="FFFFCC"/>
            <w:vAlign w:val="center"/>
          </w:tcPr>
          <w:p w:rsidR="00485094" w:rsidRPr="00BD303B" w:rsidRDefault="00485094" w:rsidP="00453E80">
            <w:pPr>
              <w:pStyle w:val="TableText"/>
              <w:jc w:val="center"/>
              <w:rPr>
                <w:szCs w:val="18"/>
              </w:rPr>
            </w:pPr>
            <w:r w:rsidRPr="00BD303B">
              <w:rPr>
                <w:szCs w:val="18"/>
              </w:rPr>
              <w:t>5,090</w:t>
            </w:r>
          </w:p>
        </w:tc>
        <w:tc>
          <w:tcPr>
            <w:tcW w:w="1440" w:type="dxa"/>
            <w:shd w:val="clear" w:color="auto" w:fill="FFFFCC"/>
            <w:vAlign w:val="center"/>
          </w:tcPr>
          <w:p w:rsidR="00485094" w:rsidRPr="00BD303B" w:rsidRDefault="00485094" w:rsidP="00453E80">
            <w:pPr>
              <w:pStyle w:val="TableText"/>
              <w:jc w:val="center"/>
              <w:rPr>
                <w:szCs w:val="18"/>
              </w:rPr>
            </w:pPr>
            <w:r w:rsidRPr="00BD303B">
              <w:rPr>
                <w:szCs w:val="18"/>
              </w:rPr>
              <w:t>15,648</w:t>
            </w:r>
          </w:p>
        </w:tc>
        <w:tc>
          <w:tcPr>
            <w:tcW w:w="1159" w:type="dxa"/>
            <w:shd w:val="clear" w:color="auto" w:fill="FFFFCC"/>
            <w:vAlign w:val="center"/>
          </w:tcPr>
          <w:p w:rsidR="00485094" w:rsidRPr="00BD303B" w:rsidRDefault="00485094" w:rsidP="00453E80">
            <w:pPr>
              <w:pStyle w:val="TableText"/>
              <w:jc w:val="center"/>
              <w:rPr>
                <w:szCs w:val="18"/>
              </w:rPr>
            </w:pPr>
            <w:r w:rsidRPr="00BD303B">
              <w:rPr>
                <w:szCs w:val="18"/>
              </w:rPr>
              <w:t>750</w:t>
            </w:r>
          </w:p>
        </w:tc>
        <w:tc>
          <w:tcPr>
            <w:tcW w:w="1181" w:type="dxa"/>
            <w:shd w:val="clear" w:color="auto" w:fill="FFFFCC"/>
            <w:vAlign w:val="center"/>
          </w:tcPr>
          <w:p w:rsidR="00485094" w:rsidRPr="00BD303B" w:rsidRDefault="00485094" w:rsidP="00453E80">
            <w:pPr>
              <w:pStyle w:val="TableText"/>
              <w:jc w:val="center"/>
              <w:rPr>
                <w:szCs w:val="18"/>
              </w:rPr>
            </w:pPr>
            <w:r w:rsidRPr="00BD303B">
              <w:rPr>
                <w:szCs w:val="18"/>
              </w:rPr>
              <w:t>98.4</w:t>
            </w:r>
          </w:p>
        </w:tc>
        <w:tc>
          <w:tcPr>
            <w:tcW w:w="1609" w:type="dxa"/>
            <w:shd w:val="clear" w:color="auto" w:fill="FFFFCC"/>
            <w:vAlign w:val="center"/>
          </w:tcPr>
          <w:p w:rsidR="00485094" w:rsidRPr="00BD303B" w:rsidRDefault="00485094" w:rsidP="00453E80">
            <w:pPr>
              <w:pStyle w:val="TableText"/>
              <w:jc w:val="center"/>
              <w:rPr>
                <w:szCs w:val="18"/>
              </w:rPr>
            </w:pPr>
            <w:r w:rsidRPr="00BD303B">
              <w:rPr>
                <w:szCs w:val="18"/>
              </w:rPr>
              <w:t>97.4-99.3</w:t>
            </w:r>
          </w:p>
        </w:tc>
        <w:tc>
          <w:tcPr>
            <w:tcW w:w="1181" w:type="dxa"/>
            <w:shd w:val="clear" w:color="auto" w:fill="FFFFCC"/>
            <w:vAlign w:val="center"/>
          </w:tcPr>
          <w:p w:rsidR="00485094" w:rsidRPr="00BD303B" w:rsidRDefault="00485094" w:rsidP="00453E80">
            <w:pPr>
              <w:pStyle w:val="TableText"/>
              <w:jc w:val="center"/>
              <w:rPr>
                <w:szCs w:val="18"/>
              </w:rPr>
            </w:pPr>
            <w:r w:rsidRPr="00BD303B">
              <w:rPr>
                <w:szCs w:val="18"/>
              </w:rPr>
              <w:t>1.6</w:t>
            </w:r>
          </w:p>
        </w:tc>
        <w:tc>
          <w:tcPr>
            <w:tcW w:w="1350" w:type="dxa"/>
            <w:shd w:val="clear" w:color="auto" w:fill="FFFFCC"/>
            <w:vAlign w:val="center"/>
          </w:tcPr>
          <w:p w:rsidR="00485094" w:rsidRPr="00BD303B" w:rsidRDefault="00485094" w:rsidP="00453E80">
            <w:pPr>
              <w:pStyle w:val="TableText"/>
              <w:jc w:val="center"/>
              <w:rPr>
                <w:szCs w:val="18"/>
              </w:rPr>
            </w:pPr>
            <w:r w:rsidRPr="00BD303B">
              <w:rPr>
                <w:szCs w:val="18"/>
              </w:rPr>
              <w:t>2004-08</w:t>
            </w:r>
          </w:p>
        </w:tc>
      </w:tr>
      <w:tr w:rsidR="00485094" w:rsidRPr="00D53BE0" w:rsidTr="00453E80">
        <w:trPr>
          <w:cantSplit/>
          <w:trHeight w:val="288"/>
          <w:jc w:val="center"/>
        </w:trPr>
        <w:tc>
          <w:tcPr>
            <w:tcW w:w="2273" w:type="dxa"/>
            <w:vAlign w:val="center"/>
          </w:tcPr>
          <w:p w:rsidR="00485094" w:rsidRPr="00BD303B" w:rsidRDefault="00485094" w:rsidP="00453E80">
            <w:pPr>
              <w:pStyle w:val="TableText"/>
              <w:jc w:val="center"/>
              <w:rPr>
                <w:szCs w:val="18"/>
              </w:rPr>
            </w:pPr>
            <w:r w:rsidRPr="00BD303B">
              <w:rPr>
                <w:szCs w:val="18"/>
              </w:rPr>
              <w:t>Fecal Coliform</w:t>
            </w:r>
          </w:p>
        </w:tc>
        <w:tc>
          <w:tcPr>
            <w:tcW w:w="1350" w:type="dxa"/>
            <w:vAlign w:val="center"/>
          </w:tcPr>
          <w:p w:rsidR="00485094" w:rsidRPr="00BD303B" w:rsidRDefault="00485094" w:rsidP="00453E80">
            <w:pPr>
              <w:pStyle w:val="TableText"/>
              <w:jc w:val="center"/>
              <w:rPr>
                <w:szCs w:val="18"/>
              </w:rPr>
            </w:pPr>
            <w:r w:rsidRPr="00BD303B">
              <w:rPr>
                <w:szCs w:val="18"/>
              </w:rPr>
              <w:t>34,390</w:t>
            </w:r>
          </w:p>
        </w:tc>
        <w:tc>
          <w:tcPr>
            <w:tcW w:w="1350" w:type="dxa"/>
            <w:vAlign w:val="center"/>
          </w:tcPr>
          <w:p w:rsidR="00485094" w:rsidRPr="00BD303B" w:rsidRDefault="00485094" w:rsidP="00453E80">
            <w:pPr>
              <w:pStyle w:val="TableText"/>
              <w:jc w:val="center"/>
              <w:rPr>
                <w:szCs w:val="18"/>
              </w:rPr>
            </w:pPr>
            <w:r w:rsidRPr="00BD303B">
              <w:rPr>
                <w:szCs w:val="18"/>
              </w:rPr>
              <w:t>13,652</w:t>
            </w:r>
          </w:p>
        </w:tc>
        <w:tc>
          <w:tcPr>
            <w:tcW w:w="810" w:type="dxa"/>
            <w:vAlign w:val="center"/>
          </w:tcPr>
          <w:p w:rsidR="00485094" w:rsidRPr="00BD303B" w:rsidRDefault="00485094" w:rsidP="00453E80">
            <w:pPr>
              <w:pStyle w:val="TableText"/>
              <w:jc w:val="center"/>
              <w:rPr>
                <w:szCs w:val="18"/>
              </w:rPr>
            </w:pPr>
            <w:r w:rsidRPr="00BD303B">
              <w:rPr>
                <w:szCs w:val="18"/>
              </w:rPr>
              <w:t>5,090</w:t>
            </w:r>
          </w:p>
        </w:tc>
        <w:tc>
          <w:tcPr>
            <w:tcW w:w="1440" w:type="dxa"/>
            <w:vAlign w:val="center"/>
          </w:tcPr>
          <w:p w:rsidR="00485094" w:rsidRPr="00BD303B" w:rsidRDefault="00485094" w:rsidP="00453E80">
            <w:pPr>
              <w:pStyle w:val="TableText"/>
              <w:jc w:val="center"/>
              <w:rPr>
                <w:szCs w:val="18"/>
              </w:rPr>
            </w:pPr>
            <w:r w:rsidRPr="00BD303B">
              <w:rPr>
                <w:szCs w:val="18"/>
              </w:rPr>
              <w:t>15,648</w:t>
            </w:r>
          </w:p>
        </w:tc>
        <w:tc>
          <w:tcPr>
            <w:tcW w:w="1159" w:type="dxa"/>
            <w:vAlign w:val="center"/>
          </w:tcPr>
          <w:p w:rsidR="00485094" w:rsidRPr="00BD303B" w:rsidRDefault="00485094" w:rsidP="00453E80">
            <w:pPr>
              <w:pStyle w:val="TableText"/>
              <w:jc w:val="center"/>
              <w:rPr>
                <w:szCs w:val="18"/>
              </w:rPr>
            </w:pPr>
            <w:r w:rsidRPr="00BD303B">
              <w:rPr>
                <w:szCs w:val="18"/>
              </w:rPr>
              <w:t>763</w:t>
            </w:r>
          </w:p>
        </w:tc>
        <w:tc>
          <w:tcPr>
            <w:tcW w:w="1181" w:type="dxa"/>
            <w:vAlign w:val="center"/>
          </w:tcPr>
          <w:p w:rsidR="00485094" w:rsidRPr="00BD303B" w:rsidRDefault="00485094" w:rsidP="00453E80">
            <w:pPr>
              <w:pStyle w:val="TableText"/>
              <w:jc w:val="center"/>
              <w:rPr>
                <w:szCs w:val="18"/>
              </w:rPr>
            </w:pPr>
            <w:r w:rsidRPr="00BD303B">
              <w:rPr>
                <w:szCs w:val="18"/>
              </w:rPr>
              <w:t>71.6</w:t>
            </w:r>
          </w:p>
        </w:tc>
        <w:tc>
          <w:tcPr>
            <w:tcW w:w="1609" w:type="dxa"/>
            <w:vAlign w:val="center"/>
          </w:tcPr>
          <w:p w:rsidR="00485094" w:rsidRPr="00BD303B" w:rsidRDefault="00485094" w:rsidP="00453E80">
            <w:pPr>
              <w:pStyle w:val="TableText"/>
              <w:jc w:val="center"/>
              <w:rPr>
                <w:szCs w:val="18"/>
              </w:rPr>
            </w:pPr>
            <w:r w:rsidRPr="00BD303B">
              <w:rPr>
                <w:szCs w:val="18"/>
              </w:rPr>
              <w:t>68.2-75.0</w:t>
            </w:r>
          </w:p>
        </w:tc>
        <w:tc>
          <w:tcPr>
            <w:tcW w:w="1181" w:type="dxa"/>
            <w:vAlign w:val="center"/>
          </w:tcPr>
          <w:p w:rsidR="00485094" w:rsidRPr="00BD303B" w:rsidRDefault="00485094" w:rsidP="00453E80">
            <w:pPr>
              <w:pStyle w:val="TableText"/>
              <w:jc w:val="center"/>
              <w:rPr>
                <w:szCs w:val="18"/>
              </w:rPr>
            </w:pPr>
            <w:r w:rsidRPr="00BD303B">
              <w:rPr>
                <w:szCs w:val="18"/>
              </w:rPr>
              <w:t>28.4</w:t>
            </w:r>
          </w:p>
        </w:tc>
        <w:tc>
          <w:tcPr>
            <w:tcW w:w="1350" w:type="dxa"/>
            <w:vAlign w:val="center"/>
          </w:tcPr>
          <w:p w:rsidR="00485094" w:rsidRPr="00BD303B" w:rsidRDefault="00485094" w:rsidP="00453E80">
            <w:pPr>
              <w:pStyle w:val="TableText"/>
              <w:jc w:val="center"/>
              <w:rPr>
                <w:szCs w:val="18"/>
              </w:rPr>
            </w:pPr>
            <w:r w:rsidRPr="00BD303B">
              <w:rPr>
                <w:szCs w:val="18"/>
              </w:rPr>
              <w:t>2004-08</w:t>
            </w:r>
          </w:p>
        </w:tc>
      </w:tr>
      <w:tr w:rsidR="00485094" w:rsidRPr="00D53BE0" w:rsidTr="00453E80">
        <w:trPr>
          <w:cantSplit/>
          <w:trHeight w:val="288"/>
          <w:jc w:val="center"/>
        </w:trPr>
        <w:tc>
          <w:tcPr>
            <w:tcW w:w="2273" w:type="dxa"/>
            <w:shd w:val="clear" w:color="auto" w:fill="FFFFCC"/>
            <w:vAlign w:val="center"/>
          </w:tcPr>
          <w:p w:rsidR="00485094" w:rsidRPr="00BD303B" w:rsidRDefault="00485094" w:rsidP="00453E80">
            <w:pPr>
              <w:pStyle w:val="TableText"/>
              <w:jc w:val="center"/>
              <w:rPr>
                <w:szCs w:val="18"/>
              </w:rPr>
            </w:pPr>
            <w:r w:rsidRPr="00BD303B">
              <w:rPr>
                <w:szCs w:val="18"/>
              </w:rPr>
              <w:t>DO</w:t>
            </w:r>
          </w:p>
        </w:tc>
        <w:tc>
          <w:tcPr>
            <w:tcW w:w="1350" w:type="dxa"/>
            <w:shd w:val="clear" w:color="auto" w:fill="FFFFCC"/>
            <w:vAlign w:val="center"/>
          </w:tcPr>
          <w:p w:rsidR="00485094" w:rsidRPr="00BD303B" w:rsidRDefault="00485094" w:rsidP="00453E80">
            <w:pPr>
              <w:pStyle w:val="TableText"/>
              <w:jc w:val="center"/>
              <w:rPr>
                <w:szCs w:val="18"/>
              </w:rPr>
            </w:pPr>
            <w:r w:rsidRPr="00BD303B">
              <w:rPr>
                <w:szCs w:val="18"/>
              </w:rPr>
              <w:t>34,390</w:t>
            </w:r>
          </w:p>
        </w:tc>
        <w:tc>
          <w:tcPr>
            <w:tcW w:w="1350" w:type="dxa"/>
            <w:shd w:val="clear" w:color="auto" w:fill="FFFFCC"/>
            <w:vAlign w:val="center"/>
          </w:tcPr>
          <w:p w:rsidR="00485094" w:rsidRPr="00BD303B" w:rsidRDefault="00485094" w:rsidP="00453E80">
            <w:pPr>
              <w:pStyle w:val="TableText"/>
              <w:jc w:val="center"/>
              <w:rPr>
                <w:szCs w:val="18"/>
              </w:rPr>
            </w:pPr>
            <w:r w:rsidRPr="00BD303B">
              <w:rPr>
                <w:szCs w:val="18"/>
              </w:rPr>
              <w:t>13,652</w:t>
            </w:r>
          </w:p>
        </w:tc>
        <w:tc>
          <w:tcPr>
            <w:tcW w:w="810" w:type="dxa"/>
            <w:shd w:val="clear" w:color="auto" w:fill="FFFFCC"/>
            <w:vAlign w:val="center"/>
          </w:tcPr>
          <w:p w:rsidR="00485094" w:rsidRPr="00BD303B" w:rsidRDefault="00485094" w:rsidP="00453E80">
            <w:pPr>
              <w:pStyle w:val="TableText"/>
              <w:jc w:val="center"/>
              <w:rPr>
                <w:szCs w:val="18"/>
              </w:rPr>
            </w:pPr>
            <w:r w:rsidRPr="00BD303B">
              <w:rPr>
                <w:szCs w:val="18"/>
              </w:rPr>
              <w:t>5,090</w:t>
            </w:r>
          </w:p>
        </w:tc>
        <w:tc>
          <w:tcPr>
            <w:tcW w:w="1440" w:type="dxa"/>
            <w:shd w:val="clear" w:color="auto" w:fill="FFFFCC"/>
            <w:vAlign w:val="center"/>
          </w:tcPr>
          <w:p w:rsidR="00485094" w:rsidRPr="00BD303B" w:rsidRDefault="00485094" w:rsidP="00453E80">
            <w:pPr>
              <w:pStyle w:val="TableText"/>
              <w:jc w:val="center"/>
              <w:rPr>
                <w:szCs w:val="18"/>
              </w:rPr>
            </w:pPr>
            <w:r w:rsidRPr="00BD303B">
              <w:rPr>
                <w:szCs w:val="18"/>
              </w:rPr>
              <w:t>15,648</w:t>
            </w:r>
          </w:p>
        </w:tc>
        <w:tc>
          <w:tcPr>
            <w:tcW w:w="1159" w:type="dxa"/>
            <w:shd w:val="clear" w:color="auto" w:fill="FFFFCC"/>
            <w:vAlign w:val="center"/>
          </w:tcPr>
          <w:p w:rsidR="00485094" w:rsidRPr="00BD303B" w:rsidRDefault="00485094" w:rsidP="00453E80">
            <w:pPr>
              <w:pStyle w:val="TableText"/>
              <w:jc w:val="center"/>
              <w:rPr>
                <w:szCs w:val="18"/>
              </w:rPr>
            </w:pPr>
            <w:r w:rsidRPr="00BD303B">
              <w:rPr>
                <w:szCs w:val="18"/>
              </w:rPr>
              <w:t>765</w:t>
            </w:r>
          </w:p>
        </w:tc>
        <w:tc>
          <w:tcPr>
            <w:tcW w:w="1181" w:type="dxa"/>
            <w:shd w:val="clear" w:color="auto" w:fill="FFFFCC"/>
            <w:vAlign w:val="center"/>
          </w:tcPr>
          <w:p w:rsidR="00485094" w:rsidRPr="00BD303B" w:rsidRDefault="00485094" w:rsidP="00453E80">
            <w:pPr>
              <w:pStyle w:val="TableText"/>
              <w:jc w:val="center"/>
              <w:rPr>
                <w:szCs w:val="18"/>
              </w:rPr>
            </w:pPr>
            <w:r w:rsidRPr="00BD303B">
              <w:rPr>
                <w:szCs w:val="18"/>
              </w:rPr>
              <w:t>45.6</w:t>
            </w:r>
          </w:p>
        </w:tc>
        <w:tc>
          <w:tcPr>
            <w:tcW w:w="1609" w:type="dxa"/>
            <w:shd w:val="clear" w:color="auto" w:fill="FFFFCC"/>
            <w:vAlign w:val="center"/>
          </w:tcPr>
          <w:p w:rsidR="00485094" w:rsidRPr="00BD303B" w:rsidRDefault="00485094" w:rsidP="00453E80">
            <w:pPr>
              <w:pStyle w:val="TableText"/>
              <w:jc w:val="center"/>
              <w:rPr>
                <w:szCs w:val="18"/>
              </w:rPr>
            </w:pPr>
            <w:r w:rsidRPr="00BD303B">
              <w:rPr>
                <w:szCs w:val="18"/>
              </w:rPr>
              <w:t>42.0-49.2</w:t>
            </w:r>
          </w:p>
        </w:tc>
        <w:tc>
          <w:tcPr>
            <w:tcW w:w="1181" w:type="dxa"/>
            <w:shd w:val="clear" w:color="auto" w:fill="FFFFCC"/>
            <w:vAlign w:val="center"/>
          </w:tcPr>
          <w:p w:rsidR="00485094" w:rsidRPr="00BD303B" w:rsidRDefault="00485094" w:rsidP="00453E80">
            <w:pPr>
              <w:pStyle w:val="TableText"/>
              <w:jc w:val="center"/>
              <w:rPr>
                <w:szCs w:val="18"/>
              </w:rPr>
            </w:pPr>
            <w:r w:rsidRPr="00BD303B">
              <w:rPr>
                <w:szCs w:val="18"/>
              </w:rPr>
              <w:t>54.4</w:t>
            </w:r>
          </w:p>
        </w:tc>
        <w:tc>
          <w:tcPr>
            <w:tcW w:w="1350" w:type="dxa"/>
            <w:shd w:val="clear" w:color="auto" w:fill="FFFFCC"/>
            <w:vAlign w:val="center"/>
          </w:tcPr>
          <w:p w:rsidR="00485094" w:rsidRPr="00BD303B" w:rsidRDefault="00485094" w:rsidP="00453E80">
            <w:pPr>
              <w:pStyle w:val="TableText"/>
              <w:jc w:val="center"/>
              <w:rPr>
                <w:szCs w:val="18"/>
              </w:rPr>
            </w:pPr>
            <w:r w:rsidRPr="00BD303B">
              <w:rPr>
                <w:szCs w:val="18"/>
              </w:rPr>
              <w:t>2004-08</w:t>
            </w:r>
          </w:p>
        </w:tc>
      </w:tr>
    </w:tbl>
    <w:p w:rsidR="00485094" w:rsidRDefault="00485094" w:rsidP="00692F31">
      <w:pPr>
        <w:pStyle w:val="Bodytextreduced"/>
      </w:pPr>
    </w:p>
    <w:p w:rsidR="00485094" w:rsidRDefault="00485094" w:rsidP="00692F31">
      <w:pPr>
        <w:autoSpaceDE w:val="0"/>
        <w:autoSpaceDN w:val="0"/>
        <w:adjustRightInd w:val="0"/>
        <w:rPr>
          <w:rFonts w:ascii="Arial" w:hAnsi="Arial" w:cs="Arial"/>
          <w:b/>
          <w:bCs/>
          <w:sz w:val="22"/>
          <w:szCs w:val="22"/>
        </w:rPr>
      </w:pPr>
      <w:r>
        <w:rPr>
          <w:rFonts w:ascii="Arial" w:hAnsi="Arial" w:cs="Arial"/>
          <w:b/>
          <w:bCs/>
          <w:sz w:val="22"/>
          <w:szCs w:val="22"/>
        </w:rPr>
        <w:t>Highlights:  Streams</w:t>
      </w:r>
    </w:p>
    <w:p w:rsidR="00485094" w:rsidRDefault="00485094" w:rsidP="00692F31">
      <w:pPr>
        <w:pStyle w:val="ListBullet"/>
        <w:rPr>
          <w:b/>
        </w:rPr>
      </w:pPr>
      <w:r>
        <w:t>N</w:t>
      </w:r>
      <w:r w:rsidRPr="00000364">
        <w:t xml:space="preserve">o </w:t>
      </w:r>
      <w:r>
        <w:t xml:space="preserve">stream resources </w:t>
      </w:r>
      <w:r w:rsidRPr="00000364">
        <w:t xml:space="preserve">in the Florida Keys fit the definition of the target population. </w:t>
      </w:r>
      <w:r w:rsidRPr="00000364">
        <w:rPr>
          <w:b/>
        </w:rPr>
        <w:t xml:space="preserve"> </w:t>
      </w:r>
    </w:p>
    <w:p w:rsidR="00485094" w:rsidRDefault="00485094" w:rsidP="00692F31">
      <w:pPr>
        <w:pStyle w:val="ListBullet"/>
      </w:pPr>
      <w:r w:rsidRPr="00000364">
        <w:t>Statewide</w:t>
      </w:r>
      <w:r>
        <w:t>,</w:t>
      </w:r>
      <w:r w:rsidRPr="00000364">
        <w:t xml:space="preserve"> </w:t>
      </w:r>
      <w:r>
        <w:t>7</w:t>
      </w:r>
      <w:r w:rsidRPr="00000364">
        <w:t>5.</w:t>
      </w:r>
      <w:r>
        <w:t>2</w:t>
      </w:r>
      <w:r w:rsidRPr="00000364">
        <w:t xml:space="preserve">% of </w:t>
      </w:r>
      <w:r>
        <w:t>the</w:t>
      </w:r>
      <w:r w:rsidRPr="00000364">
        <w:t xml:space="preserve"> target population’s </w:t>
      </w:r>
      <w:r>
        <w:t xml:space="preserve">stream miles were below the chlorophyll a indicator (&lt; 20 </w:t>
      </w:r>
      <w:r w:rsidR="003D799D">
        <w:rPr>
          <w:rFonts w:ascii="Symbol" w:hAnsi="Symbol"/>
        </w:rPr>
        <w:t></w:t>
      </w:r>
      <w:r>
        <w:t>g/L) criteria</w:t>
      </w:r>
      <w:r w:rsidRPr="00000364">
        <w:t xml:space="preserve">.  The threshold for chlorophyll </w:t>
      </w:r>
      <w:r>
        <w:t xml:space="preserve">a </w:t>
      </w:r>
      <w:r w:rsidRPr="00000364">
        <w:t xml:space="preserve">was met for 80%, or greater, of each basin’s </w:t>
      </w:r>
      <w:r>
        <w:t>stream</w:t>
      </w:r>
      <w:r w:rsidRPr="00000364">
        <w:t xml:space="preserve"> mileage for all but </w:t>
      </w:r>
      <w:r>
        <w:t>12</w:t>
      </w:r>
      <w:r w:rsidRPr="00000364">
        <w:t xml:space="preserve"> basins.  </w:t>
      </w:r>
      <w:r>
        <w:t>The Everglades</w:t>
      </w:r>
      <w:r w:rsidRPr="00000364">
        <w:t xml:space="preserve"> </w:t>
      </w:r>
      <w:r>
        <w:t>Basin had the lowest percentage of meeting the threshold;</w:t>
      </w:r>
      <w:r w:rsidRPr="00000364">
        <w:t xml:space="preserve"> this may be attribut</w:t>
      </w:r>
      <w:r>
        <w:t>able</w:t>
      </w:r>
      <w:r w:rsidRPr="00000364">
        <w:t xml:space="preserve"> to the fact that the vast majority of </w:t>
      </w:r>
      <w:r>
        <w:t xml:space="preserve">the </w:t>
      </w:r>
      <w:r w:rsidRPr="00000364">
        <w:t xml:space="preserve">target population </w:t>
      </w:r>
      <w:r>
        <w:t>stream</w:t>
      </w:r>
      <w:r w:rsidRPr="00000364">
        <w:t xml:space="preserve"> m</w:t>
      </w:r>
      <w:r>
        <w:t>iles in the basin were canals.</w:t>
      </w:r>
    </w:p>
    <w:p w:rsidR="00485094" w:rsidRDefault="00485094" w:rsidP="00692F31">
      <w:pPr>
        <w:pStyle w:val="ListBullet"/>
      </w:pPr>
      <w:r>
        <w:t>Statewide, 98.4</w:t>
      </w:r>
      <w:r w:rsidRPr="00000364">
        <w:t xml:space="preserve">% of </w:t>
      </w:r>
      <w:r>
        <w:t>the</w:t>
      </w:r>
      <w:r w:rsidRPr="00000364">
        <w:t xml:space="preserve"> target population’s </w:t>
      </w:r>
      <w:r>
        <w:t xml:space="preserve">stream </w:t>
      </w:r>
      <w:r w:rsidRPr="00000364">
        <w:t>mile</w:t>
      </w:r>
      <w:r>
        <w:t>s were below the un-ionized ammonia (</w:t>
      </w:r>
      <w:r w:rsidRPr="003B37D3">
        <w:rPr>
          <w:rFonts w:cs="Arial"/>
        </w:rPr>
        <w:t>≤ 0.02 mg/L</w:t>
      </w:r>
      <w:r>
        <w:rPr>
          <w:rFonts w:cs="Arial"/>
        </w:rPr>
        <w:t xml:space="preserve">) </w:t>
      </w:r>
      <w:r>
        <w:t>criteria</w:t>
      </w:r>
      <w:r w:rsidRPr="00000364">
        <w:t xml:space="preserve">.  The threshold for </w:t>
      </w:r>
      <w:r>
        <w:t>un-ionized ammonia</w:t>
      </w:r>
      <w:r w:rsidRPr="00000364">
        <w:t xml:space="preserve"> was met for </w:t>
      </w:r>
      <w:r>
        <w:t>95</w:t>
      </w:r>
      <w:r w:rsidRPr="00000364">
        <w:t xml:space="preserve">%, or greater, of </w:t>
      </w:r>
      <w:r>
        <w:t xml:space="preserve">all of the </w:t>
      </w:r>
      <w:r w:rsidRPr="00000364">
        <w:t>basins</w:t>
      </w:r>
      <w:r>
        <w:t xml:space="preserve">’ stream </w:t>
      </w:r>
      <w:r w:rsidRPr="00000364">
        <w:t xml:space="preserve">mileage.  </w:t>
      </w:r>
    </w:p>
    <w:p w:rsidR="00485094" w:rsidRDefault="00485094" w:rsidP="00692F31">
      <w:pPr>
        <w:pStyle w:val="ListBullet"/>
      </w:pPr>
      <w:r w:rsidRPr="00000364">
        <w:t>Statewide</w:t>
      </w:r>
      <w:r>
        <w:t>,</w:t>
      </w:r>
      <w:r w:rsidRPr="00000364">
        <w:t xml:space="preserve"> </w:t>
      </w:r>
      <w:r>
        <w:t>71.6</w:t>
      </w:r>
      <w:r w:rsidRPr="00000364">
        <w:t xml:space="preserve">% of </w:t>
      </w:r>
      <w:r>
        <w:t>the</w:t>
      </w:r>
      <w:r w:rsidRPr="00000364">
        <w:t xml:space="preserve"> target population’s </w:t>
      </w:r>
      <w:r>
        <w:t>stream</w:t>
      </w:r>
      <w:r w:rsidRPr="00000364">
        <w:t xml:space="preserve"> mile</w:t>
      </w:r>
      <w:r>
        <w:t>s were below the fecal coliform (</w:t>
      </w:r>
      <w:r w:rsidRPr="003B37D3">
        <w:rPr>
          <w:rFonts w:cs="Arial"/>
        </w:rPr>
        <w:t>&lt; 400 colonies/100mL</w:t>
      </w:r>
      <w:r>
        <w:rPr>
          <w:rFonts w:cs="Arial"/>
        </w:rPr>
        <w:t xml:space="preserve">) </w:t>
      </w:r>
      <w:r>
        <w:t>criteria</w:t>
      </w:r>
      <w:r w:rsidRPr="00000364">
        <w:t xml:space="preserve">.  The threshold for </w:t>
      </w:r>
      <w:r>
        <w:t>fecal coliform</w:t>
      </w:r>
      <w:r w:rsidRPr="00000364">
        <w:t xml:space="preserve"> was met for 80%, or greater, of each basin’s </w:t>
      </w:r>
      <w:r>
        <w:t>stream</w:t>
      </w:r>
      <w:r w:rsidRPr="00000364">
        <w:t xml:space="preserve"> mileage for only </w:t>
      </w:r>
      <w:r>
        <w:t>10</w:t>
      </w:r>
      <w:r w:rsidRPr="00000364">
        <w:t xml:space="preserve"> basins.  </w:t>
      </w:r>
      <w:r>
        <w:t xml:space="preserve">Basins not meeting the </w:t>
      </w:r>
      <w:r w:rsidRPr="00000364">
        <w:t xml:space="preserve">threshold for </w:t>
      </w:r>
      <w:r>
        <w:t>fecal coliform</w:t>
      </w:r>
      <w:r w:rsidRPr="00000364">
        <w:t xml:space="preserve"> </w:t>
      </w:r>
      <w:r>
        <w:t xml:space="preserve">for less than 50% of the basin’s stream miles </w:t>
      </w:r>
      <w:r w:rsidRPr="00B264A1">
        <w:t>include</w:t>
      </w:r>
      <w:r>
        <w:t xml:space="preserve"> </w:t>
      </w:r>
      <w:r w:rsidRPr="00FD0860">
        <w:t>Tampa Bay</w:t>
      </w:r>
      <w:r>
        <w:t xml:space="preserve"> (30.0%), </w:t>
      </w:r>
      <w:r w:rsidRPr="00423D44">
        <w:t>Upper St. Johns</w:t>
      </w:r>
      <w:r>
        <w:t xml:space="preserve"> (48.3%). and the Indian River Lagoon (47.5%). </w:t>
      </w:r>
    </w:p>
    <w:p w:rsidR="00485094" w:rsidRPr="009045D5" w:rsidRDefault="00485094" w:rsidP="00692F31">
      <w:pPr>
        <w:pStyle w:val="ListBullet"/>
        <w:autoSpaceDE w:val="0"/>
        <w:autoSpaceDN w:val="0"/>
        <w:adjustRightInd w:val="0"/>
      </w:pPr>
      <w:r w:rsidRPr="00000364">
        <w:t>Statewide</w:t>
      </w:r>
      <w:r>
        <w:t>,</w:t>
      </w:r>
      <w:r w:rsidRPr="00D53BE0">
        <w:t xml:space="preserve"> </w:t>
      </w:r>
      <w:r>
        <w:t>45.6</w:t>
      </w:r>
      <w:r w:rsidRPr="00000364">
        <w:t xml:space="preserve">% of </w:t>
      </w:r>
      <w:r>
        <w:t>the</w:t>
      </w:r>
      <w:r w:rsidRPr="00000364">
        <w:t xml:space="preserve"> target population’s </w:t>
      </w:r>
      <w:r>
        <w:t>stream</w:t>
      </w:r>
      <w:r w:rsidRPr="00000364">
        <w:t xml:space="preserve"> mile</w:t>
      </w:r>
      <w:r>
        <w:t>s were above the DO (</w:t>
      </w:r>
      <w:r w:rsidRPr="003B37D3">
        <w:rPr>
          <w:rFonts w:cs="Arial"/>
          <w:lang w:val="fr-FR"/>
        </w:rPr>
        <w:t>≥ 5 mg/L</w:t>
      </w:r>
      <w:r>
        <w:rPr>
          <w:rFonts w:cs="Arial"/>
          <w:lang w:val="fr-FR"/>
        </w:rPr>
        <w:t xml:space="preserve">) </w:t>
      </w:r>
      <w:r>
        <w:t>criteria</w:t>
      </w:r>
      <w:r w:rsidRPr="00000364">
        <w:t xml:space="preserve">.  </w:t>
      </w:r>
      <w:r>
        <w:t>O</w:t>
      </w:r>
      <w:r w:rsidRPr="00000364">
        <w:t xml:space="preserve">nly </w:t>
      </w:r>
      <w:r>
        <w:t>4</w:t>
      </w:r>
      <w:r w:rsidRPr="00000364">
        <w:t xml:space="preserve"> </w:t>
      </w:r>
      <w:r>
        <w:t xml:space="preserve">of the 28 </w:t>
      </w:r>
      <w:r w:rsidRPr="00000364">
        <w:t xml:space="preserve">basins </w:t>
      </w:r>
      <w:r>
        <w:t>met th</w:t>
      </w:r>
      <w:r w:rsidRPr="00000364">
        <w:t xml:space="preserve">e DO </w:t>
      </w:r>
      <w:r>
        <w:t xml:space="preserve">threshold for </w:t>
      </w:r>
      <w:r w:rsidRPr="00000364">
        <w:t>8</w:t>
      </w:r>
      <w:r>
        <w:t>0% of their stream resource.  Input of color and organic carbon from wetlands, stream geomorphology, respiration, and decomposition are factors that lower DO.  FDEP is currently evaluating a revision to the DO criterion to more accurately account for natural low DO throughout the state.</w:t>
      </w:r>
    </w:p>
    <w:p w:rsidR="00485094" w:rsidRDefault="00485094" w:rsidP="00692F31">
      <w:pPr>
        <w:autoSpaceDE w:val="0"/>
        <w:autoSpaceDN w:val="0"/>
        <w:adjustRightInd w:val="0"/>
        <w:rPr>
          <w:rFonts w:ascii="Arial" w:hAnsi="Arial" w:cs="Arial"/>
          <w:b/>
          <w:i/>
          <w:sz w:val="20"/>
          <w:szCs w:val="20"/>
        </w:rPr>
        <w:sectPr w:rsidR="00485094" w:rsidSect="003B37D3">
          <w:pgSz w:w="15840" w:h="12240" w:orient="landscape" w:code="1"/>
          <w:pgMar w:top="1440" w:right="1440" w:bottom="1440" w:left="1440" w:header="720" w:footer="720" w:gutter="0"/>
          <w:paperSrc w:first="261"/>
          <w:cols w:space="720"/>
          <w:docGrid w:linePitch="360"/>
        </w:sectPr>
      </w:pPr>
    </w:p>
    <w:p w:rsidR="00485094" w:rsidRPr="00491133" w:rsidRDefault="00485094" w:rsidP="00692F31">
      <w:pPr>
        <w:pStyle w:val="Caption"/>
        <w:rPr>
          <w:bCs/>
        </w:rPr>
      </w:pPr>
      <w:bookmarkStart w:id="387" w:name="_Toc262464298"/>
      <w:bookmarkStart w:id="388" w:name="_Toc271280150"/>
      <w:r w:rsidRPr="00491133">
        <w:t xml:space="preserve">Figure </w:t>
      </w:r>
      <w:r>
        <w:t>6.5.  Statewide Large Lake Sample Locations by Basin</w:t>
      </w:r>
      <w:bookmarkEnd w:id="387"/>
      <w:bookmarkEnd w:id="388"/>
    </w:p>
    <w:p w:rsidR="00485094" w:rsidRDefault="00485094" w:rsidP="00692F31">
      <w:pPr>
        <w:spacing w:after="200" w:line="276" w:lineRule="auto"/>
        <w:rPr>
          <w:rFonts w:ascii="Arial" w:hAnsi="Arial"/>
          <w:b/>
          <w:szCs w:val="20"/>
        </w:rPr>
      </w:pPr>
    </w:p>
    <w:p w:rsidR="00485094" w:rsidRDefault="001717CD" w:rsidP="00692F31">
      <w:pPr>
        <w:pStyle w:val="Bodytextreduced"/>
      </w:pPr>
      <w:r>
        <w:rPr>
          <w:noProof/>
        </w:rPr>
        <w:drawing>
          <wp:anchor distT="0" distB="0" distL="114300" distR="114300" simplePos="0" relativeHeight="251663872" behindDoc="0" locked="0" layoutInCell="1" allowOverlap="1">
            <wp:simplePos x="0" y="0"/>
            <wp:positionH relativeFrom="column">
              <wp:align>center</wp:align>
            </wp:positionH>
            <wp:positionV relativeFrom="paragraph">
              <wp:posOffset>21590</wp:posOffset>
            </wp:positionV>
            <wp:extent cx="5160645" cy="5947410"/>
            <wp:effectExtent l="19050" t="0" r="1905" b="0"/>
            <wp:wrapTopAndBottom/>
            <wp:docPr id="38" name="Picture 0" descr="Figure 6.5.  Statewide Large Lake Sample Locations by Basin.  This is a map of the state of Florida divided into the 29 basins showing the locations where large lakes samples were col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igure 6.5.  Statewide Large Lake Sample Locations by Basin"/>
                    <pic:cNvPicPr>
                      <a:picLocks noChangeAspect="1" noChangeArrowheads="1"/>
                    </pic:cNvPicPr>
                  </pic:nvPicPr>
                  <pic:blipFill>
                    <a:blip r:embed="rId78"/>
                    <a:srcRect/>
                    <a:stretch>
                      <a:fillRect/>
                    </a:stretch>
                  </pic:blipFill>
                  <pic:spPr bwMode="auto">
                    <a:xfrm>
                      <a:off x="0" y="0"/>
                      <a:ext cx="5160645" cy="5947410"/>
                    </a:xfrm>
                    <a:prstGeom prst="rect">
                      <a:avLst/>
                    </a:prstGeom>
                    <a:noFill/>
                    <a:ln w="9525">
                      <a:noFill/>
                      <a:miter lim="800000"/>
                      <a:headEnd/>
                      <a:tailEnd/>
                    </a:ln>
                  </pic:spPr>
                </pic:pic>
              </a:graphicData>
            </a:graphic>
          </wp:anchor>
        </w:drawing>
      </w:r>
      <w:r w:rsidR="00485094">
        <w:rPr>
          <w:b/>
          <w:i/>
        </w:rPr>
        <w:br w:type="page"/>
      </w:r>
    </w:p>
    <w:p w:rsidR="00485094" w:rsidRDefault="00485094" w:rsidP="00692F31">
      <w:pPr>
        <w:pStyle w:val="Caption"/>
      </w:pPr>
      <w:bookmarkStart w:id="389" w:name="_Toc262464299"/>
      <w:bookmarkStart w:id="390" w:name="_Toc271280151"/>
      <w:r w:rsidRPr="00491133">
        <w:t xml:space="preserve">Figure </w:t>
      </w:r>
      <w:r>
        <w:t>6.6.  Statewide Summary of Large Lake Results</w:t>
      </w:r>
      <w:bookmarkEnd w:id="389"/>
      <w:bookmarkEnd w:id="390"/>
    </w:p>
    <w:p w:rsidR="00485094" w:rsidRDefault="00485094" w:rsidP="00692F31">
      <w:pPr>
        <w:autoSpaceDE w:val="0"/>
        <w:autoSpaceDN w:val="0"/>
        <w:adjustRightInd w:val="0"/>
        <w:rPr>
          <w:rFonts w:ascii="Arial" w:hAnsi="Arial" w:cs="Arial"/>
          <w:b/>
          <w:i/>
          <w:sz w:val="20"/>
          <w:szCs w:val="20"/>
        </w:rPr>
      </w:pPr>
    </w:p>
    <w:p w:rsidR="00485094" w:rsidRDefault="001717CD" w:rsidP="00692F31">
      <w:pPr>
        <w:autoSpaceDE w:val="0"/>
        <w:autoSpaceDN w:val="0"/>
        <w:adjustRightInd w:val="0"/>
        <w:rPr>
          <w:b/>
          <w:i/>
        </w:rPr>
      </w:pPr>
      <w:r>
        <w:rPr>
          <w:noProof/>
        </w:rPr>
        <w:drawing>
          <wp:anchor distT="0" distB="0" distL="114300" distR="114300" simplePos="0" relativeHeight="251664896" behindDoc="0" locked="0" layoutInCell="1" allowOverlap="1">
            <wp:simplePos x="0" y="0"/>
            <wp:positionH relativeFrom="column">
              <wp:align>center</wp:align>
            </wp:positionH>
            <wp:positionV relativeFrom="paragraph">
              <wp:posOffset>130175</wp:posOffset>
            </wp:positionV>
            <wp:extent cx="5947410" cy="6154420"/>
            <wp:effectExtent l="19050" t="0" r="0" b="0"/>
            <wp:wrapTopAndBottom/>
            <wp:docPr id="32" name="Picture 1" descr="Figure 6.6.  Statewide Summary of Large Lake Results.  This graphic shows statewide results in pie chart format for the  large lake indicators.  The results follow in Table 6.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6.6.  Statewide Summary of Large Lake Results"/>
                    <pic:cNvPicPr>
                      <a:picLocks noChangeAspect="1" noChangeArrowheads="1"/>
                    </pic:cNvPicPr>
                  </pic:nvPicPr>
                  <pic:blipFill>
                    <a:blip r:embed="rId79"/>
                    <a:srcRect t="5612"/>
                    <a:stretch>
                      <a:fillRect/>
                    </a:stretch>
                  </pic:blipFill>
                  <pic:spPr bwMode="auto">
                    <a:xfrm>
                      <a:off x="0" y="0"/>
                      <a:ext cx="5947410" cy="6154420"/>
                    </a:xfrm>
                    <a:prstGeom prst="rect">
                      <a:avLst/>
                    </a:prstGeom>
                    <a:noFill/>
                    <a:ln w="9525">
                      <a:noFill/>
                      <a:miter lim="800000"/>
                      <a:headEnd/>
                      <a:tailEnd/>
                    </a:ln>
                  </pic:spPr>
                </pic:pic>
              </a:graphicData>
            </a:graphic>
          </wp:anchor>
        </w:drawing>
      </w:r>
    </w:p>
    <w:p w:rsidR="00485094" w:rsidRDefault="00485094" w:rsidP="00692F31">
      <w:pPr>
        <w:autoSpaceDE w:val="0"/>
        <w:autoSpaceDN w:val="0"/>
        <w:adjustRightInd w:val="0"/>
        <w:rPr>
          <w:rFonts w:ascii="Arial" w:hAnsi="Arial" w:cs="Arial"/>
          <w:b/>
          <w:i/>
          <w:sz w:val="20"/>
          <w:szCs w:val="20"/>
        </w:rPr>
        <w:sectPr w:rsidR="00485094" w:rsidSect="003B37D3">
          <w:pgSz w:w="12240" w:h="15840" w:code="1"/>
          <w:pgMar w:top="1440" w:right="1440" w:bottom="1440" w:left="1440" w:header="720" w:footer="720" w:gutter="0"/>
          <w:paperSrc w:first="261"/>
          <w:cols w:space="720"/>
          <w:docGrid w:linePitch="360"/>
        </w:sectPr>
      </w:pPr>
    </w:p>
    <w:p w:rsidR="00485094" w:rsidRDefault="00485094" w:rsidP="00692F31">
      <w:pPr>
        <w:pStyle w:val="Bodytextreduced"/>
      </w:pPr>
    </w:p>
    <w:p w:rsidR="00485094" w:rsidRDefault="00485094" w:rsidP="00692F31">
      <w:pPr>
        <w:pStyle w:val="Tableheading"/>
        <w:rPr>
          <w:bCs/>
          <w:szCs w:val="22"/>
        </w:rPr>
      </w:pPr>
      <w:bookmarkStart w:id="391" w:name="_Toc255482832"/>
      <w:bookmarkStart w:id="392" w:name="_Toc255807490"/>
      <w:bookmarkStart w:id="393" w:name="_Toc262464248"/>
      <w:bookmarkStart w:id="394" w:name="_Toc271280095"/>
      <w:r w:rsidRPr="00E92FF1">
        <w:t>Table 6</w:t>
      </w:r>
      <w:r>
        <w:t>.3d.  Statewide Percentage of Large Lakes Meeting Threshold Values</w:t>
      </w:r>
      <w:r w:rsidRPr="00FD0860">
        <w:t xml:space="preserve"> </w:t>
      </w:r>
      <w:r>
        <w:t xml:space="preserve">for Indicators </w:t>
      </w:r>
      <w:r w:rsidRPr="00FD0860">
        <w:t xml:space="preserve">Calculated Using </w:t>
      </w:r>
      <w:r>
        <w:t>Probabilistic Monitoring Design</w:t>
      </w:r>
      <w:bookmarkEnd w:id="391"/>
      <w:bookmarkEnd w:id="392"/>
      <w:bookmarkEnd w:id="393"/>
      <w:bookmarkEnd w:id="394"/>
    </w:p>
    <w:p w:rsidR="00485094" w:rsidRDefault="00485094" w:rsidP="00692F31">
      <w:pPr>
        <w:ind w:left="1440"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Acres</w:t>
      </w:r>
    </w:p>
    <w:p w:rsidR="00485094" w:rsidRDefault="00485094" w:rsidP="00692F31">
      <w:pPr>
        <w:pStyle w:val="TabledescriptionBF"/>
      </w:pPr>
      <w:r>
        <w:t>This is a 10-column table.  Column 1 lists the analyte, Column 2 lists the target population, Column 3 lists the sampleable miles, Column 4 lists the dry miles, Column 5 lists the inaccessible miles, Column 6 lists the number of samples, Column 7 lists the percent meeting the threshold, Column 8 lists the 95% confidence bounds, Column 9 lists the percent not meeting the threshold, and Column 10 lists the assessment period.</w:t>
      </w:r>
    </w:p>
    <w:p w:rsidR="00485094" w:rsidRDefault="00485094" w:rsidP="00692F31">
      <w:pPr>
        <w:pStyle w:val="Bodytextreduced"/>
      </w:pPr>
    </w:p>
    <w:p w:rsidR="00485094" w:rsidRDefault="00485094" w:rsidP="00692F31">
      <w:pPr>
        <w:pStyle w:val="Bodytextreduced"/>
      </w:pPr>
      <w:r w:rsidRPr="00D53BE0">
        <w:rPr>
          <w:vertAlign w:val="superscript"/>
        </w:rPr>
        <w:t xml:space="preserve">1 </w:t>
      </w:r>
      <w:r w:rsidRPr="00D53BE0">
        <w:t>Acres</w:t>
      </w:r>
    </w:p>
    <w:p w:rsidR="00485094" w:rsidRPr="00D53BE0" w:rsidRDefault="00485094" w:rsidP="00692F31">
      <w:pPr>
        <w:pStyle w:val="Bodytextreduced"/>
      </w:pPr>
      <w:r w:rsidRPr="00CC5085">
        <w:rPr>
          <w:vertAlign w:val="superscript"/>
        </w:rPr>
        <w:t xml:space="preserve">2 </w:t>
      </w:r>
      <w:r w:rsidRPr="00CC5085">
        <w:t>Estimated number of acres</w:t>
      </w:r>
    </w:p>
    <w:tbl>
      <w:tblPr>
        <w:tblW w:w="1370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tblPr>
      <w:tblGrid>
        <w:gridCol w:w="2273"/>
        <w:gridCol w:w="1350"/>
        <w:gridCol w:w="1350"/>
        <w:gridCol w:w="889"/>
        <w:gridCol w:w="1361"/>
        <w:gridCol w:w="1159"/>
        <w:gridCol w:w="1181"/>
        <w:gridCol w:w="1609"/>
        <w:gridCol w:w="1181"/>
        <w:gridCol w:w="1350"/>
      </w:tblGrid>
      <w:tr w:rsidR="00485094" w:rsidRPr="00D53BE0" w:rsidTr="000F2909">
        <w:trPr>
          <w:tblHeader/>
          <w:jc w:val="center"/>
        </w:trPr>
        <w:tc>
          <w:tcPr>
            <w:tcW w:w="2273"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Analyte</w:t>
            </w:r>
          </w:p>
        </w:tc>
        <w:tc>
          <w:tcPr>
            <w:tcW w:w="1350"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Target Population</w:t>
            </w:r>
            <w:r w:rsidRPr="00D53BE0">
              <w:rPr>
                <w:b/>
                <w:i/>
                <w:vertAlign w:val="superscript"/>
              </w:rPr>
              <w:t>1</w:t>
            </w:r>
          </w:p>
        </w:tc>
        <w:tc>
          <w:tcPr>
            <w:tcW w:w="1350"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Sampleable</w:t>
            </w:r>
            <w:r>
              <w:rPr>
                <w:b/>
                <w:i/>
                <w:vertAlign w:val="superscript"/>
              </w:rPr>
              <w:t>2</w:t>
            </w:r>
          </w:p>
        </w:tc>
        <w:tc>
          <w:tcPr>
            <w:tcW w:w="889"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Dry</w:t>
            </w:r>
            <w:r>
              <w:rPr>
                <w:b/>
                <w:i/>
                <w:vertAlign w:val="superscript"/>
              </w:rPr>
              <w:t>2</w:t>
            </w:r>
          </w:p>
        </w:tc>
        <w:tc>
          <w:tcPr>
            <w:tcW w:w="1361"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Inaccessible</w:t>
            </w:r>
            <w:r>
              <w:rPr>
                <w:b/>
                <w:i/>
                <w:vertAlign w:val="superscript"/>
              </w:rPr>
              <w:t>2</w:t>
            </w:r>
          </w:p>
        </w:tc>
        <w:tc>
          <w:tcPr>
            <w:tcW w:w="1159"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Number of Samples</w:t>
            </w:r>
          </w:p>
        </w:tc>
        <w:tc>
          <w:tcPr>
            <w:tcW w:w="1181"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 Meeting Threshold</w:t>
            </w:r>
          </w:p>
        </w:tc>
        <w:tc>
          <w:tcPr>
            <w:tcW w:w="1609"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 xml:space="preserve">95% </w:t>
            </w:r>
          </w:p>
          <w:p w:rsidR="00485094" w:rsidRPr="00D53BE0" w:rsidRDefault="00485094" w:rsidP="00453E80">
            <w:pPr>
              <w:pStyle w:val="TableText"/>
              <w:jc w:val="center"/>
              <w:rPr>
                <w:b/>
                <w:i/>
              </w:rPr>
            </w:pPr>
            <w:r w:rsidRPr="00D53BE0">
              <w:rPr>
                <w:b/>
                <w:i/>
              </w:rPr>
              <w:t>Confidence Bounds</w:t>
            </w:r>
          </w:p>
          <w:p w:rsidR="00485094" w:rsidRPr="00D53BE0" w:rsidRDefault="00485094" w:rsidP="00453E80">
            <w:pPr>
              <w:pStyle w:val="TableText"/>
              <w:jc w:val="center"/>
              <w:rPr>
                <w:b/>
                <w:i/>
              </w:rPr>
            </w:pPr>
            <w:r w:rsidRPr="00D53BE0">
              <w:rPr>
                <w:b/>
                <w:i/>
              </w:rPr>
              <w:t xml:space="preserve">(% Meeting </w:t>
            </w:r>
            <w:r>
              <w:rPr>
                <w:b/>
                <w:i/>
              </w:rPr>
              <w:t>T</w:t>
            </w:r>
            <w:r w:rsidRPr="00D53BE0">
              <w:rPr>
                <w:b/>
                <w:i/>
              </w:rPr>
              <w:t>hreshold)</w:t>
            </w:r>
          </w:p>
        </w:tc>
        <w:tc>
          <w:tcPr>
            <w:tcW w:w="1181"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 Not Meeting Threshold</w:t>
            </w:r>
          </w:p>
        </w:tc>
        <w:tc>
          <w:tcPr>
            <w:tcW w:w="1350"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Assessment Period</w:t>
            </w:r>
          </w:p>
        </w:tc>
      </w:tr>
      <w:tr w:rsidR="00485094" w:rsidRPr="00D53BE0" w:rsidTr="00453E80">
        <w:trPr>
          <w:cantSplit/>
          <w:trHeight w:val="288"/>
          <w:jc w:val="center"/>
        </w:trPr>
        <w:tc>
          <w:tcPr>
            <w:tcW w:w="2273" w:type="dxa"/>
            <w:tcBorders>
              <w:top w:val="double" w:sz="4" w:space="0" w:color="auto"/>
            </w:tcBorders>
            <w:vAlign w:val="center"/>
          </w:tcPr>
          <w:p w:rsidR="00485094" w:rsidRPr="00BD303B" w:rsidRDefault="00485094" w:rsidP="00453E80">
            <w:pPr>
              <w:pStyle w:val="TableText"/>
              <w:jc w:val="center"/>
              <w:rPr>
                <w:i/>
                <w:szCs w:val="18"/>
              </w:rPr>
            </w:pPr>
            <w:r w:rsidRPr="00BD303B">
              <w:rPr>
                <w:szCs w:val="18"/>
              </w:rPr>
              <w:t>TSI</w:t>
            </w:r>
          </w:p>
        </w:tc>
        <w:tc>
          <w:tcPr>
            <w:tcW w:w="1350"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1,038,899</w:t>
            </w:r>
          </w:p>
        </w:tc>
        <w:tc>
          <w:tcPr>
            <w:tcW w:w="1350"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811,851</w:t>
            </w:r>
          </w:p>
        </w:tc>
        <w:tc>
          <w:tcPr>
            <w:tcW w:w="889"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26,563</w:t>
            </w:r>
          </w:p>
        </w:tc>
        <w:tc>
          <w:tcPr>
            <w:tcW w:w="1361"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200,485</w:t>
            </w:r>
          </w:p>
        </w:tc>
        <w:tc>
          <w:tcPr>
            <w:tcW w:w="1159"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627</w:t>
            </w:r>
          </w:p>
        </w:tc>
        <w:tc>
          <w:tcPr>
            <w:tcW w:w="1181"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94.0</w:t>
            </w:r>
          </w:p>
        </w:tc>
        <w:tc>
          <w:tcPr>
            <w:tcW w:w="1609"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90.75-97.6</w:t>
            </w:r>
          </w:p>
        </w:tc>
        <w:tc>
          <w:tcPr>
            <w:tcW w:w="1181"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6.0</w:t>
            </w:r>
          </w:p>
        </w:tc>
        <w:tc>
          <w:tcPr>
            <w:tcW w:w="1350"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2004-08</w:t>
            </w:r>
          </w:p>
        </w:tc>
      </w:tr>
      <w:tr w:rsidR="00485094" w:rsidRPr="00D53BE0" w:rsidTr="00453E80">
        <w:trPr>
          <w:cantSplit/>
          <w:trHeight w:val="288"/>
          <w:jc w:val="center"/>
        </w:trPr>
        <w:tc>
          <w:tcPr>
            <w:tcW w:w="2273" w:type="dxa"/>
            <w:shd w:val="clear" w:color="auto" w:fill="FFFFCC"/>
            <w:vAlign w:val="center"/>
          </w:tcPr>
          <w:p w:rsidR="00485094" w:rsidRPr="00BD303B" w:rsidRDefault="00485094" w:rsidP="00453E80">
            <w:pPr>
              <w:pStyle w:val="TableText"/>
              <w:jc w:val="center"/>
              <w:rPr>
                <w:szCs w:val="18"/>
              </w:rPr>
            </w:pPr>
            <w:r w:rsidRPr="00BD303B">
              <w:rPr>
                <w:szCs w:val="18"/>
              </w:rPr>
              <w:t>Un-ionized Ammonia</w:t>
            </w:r>
          </w:p>
        </w:tc>
        <w:tc>
          <w:tcPr>
            <w:tcW w:w="1350" w:type="dxa"/>
            <w:shd w:val="clear" w:color="auto" w:fill="FFFFCC"/>
            <w:vAlign w:val="center"/>
          </w:tcPr>
          <w:p w:rsidR="00485094" w:rsidRPr="00BD303B" w:rsidRDefault="00485094" w:rsidP="00453E80">
            <w:pPr>
              <w:pStyle w:val="TableText"/>
              <w:jc w:val="center"/>
              <w:rPr>
                <w:szCs w:val="18"/>
              </w:rPr>
            </w:pPr>
            <w:r w:rsidRPr="00BD303B">
              <w:rPr>
                <w:szCs w:val="18"/>
              </w:rPr>
              <w:t>1,038,899</w:t>
            </w:r>
          </w:p>
        </w:tc>
        <w:tc>
          <w:tcPr>
            <w:tcW w:w="1350" w:type="dxa"/>
            <w:shd w:val="clear" w:color="auto" w:fill="FFFFCC"/>
            <w:vAlign w:val="center"/>
          </w:tcPr>
          <w:p w:rsidR="00485094" w:rsidRPr="00BD303B" w:rsidRDefault="00485094" w:rsidP="00453E80">
            <w:pPr>
              <w:pStyle w:val="TableText"/>
              <w:jc w:val="center"/>
              <w:rPr>
                <w:szCs w:val="18"/>
              </w:rPr>
            </w:pPr>
            <w:r w:rsidRPr="00BD303B">
              <w:rPr>
                <w:szCs w:val="18"/>
              </w:rPr>
              <w:t>811,851</w:t>
            </w:r>
          </w:p>
        </w:tc>
        <w:tc>
          <w:tcPr>
            <w:tcW w:w="889" w:type="dxa"/>
            <w:shd w:val="clear" w:color="auto" w:fill="FFFFCC"/>
            <w:vAlign w:val="center"/>
          </w:tcPr>
          <w:p w:rsidR="00485094" w:rsidRPr="00BD303B" w:rsidRDefault="00485094" w:rsidP="00453E80">
            <w:pPr>
              <w:pStyle w:val="TableText"/>
              <w:jc w:val="center"/>
              <w:rPr>
                <w:szCs w:val="18"/>
              </w:rPr>
            </w:pPr>
            <w:r w:rsidRPr="00BD303B">
              <w:rPr>
                <w:szCs w:val="18"/>
              </w:rPr>
              <w:t>26,563</w:t>
            </w:r>
          </w:p>
        </w:tc>
        <w:tc>
          <w:tcPr>
            <w:tcW w:w="1361" w:type="dxa"/>
            <w:shd w:val="clear" w:color="auto" w:fill="FFFFCC"/>
            <w:vAlign w:val="center"/>
          </w:tcPr>
          <w:p w:rsidR="00485094" w:rsidRPr="00BD303B" w:rsidRDefault="00485094" w:rsidP="00453E80">
            <w:pPr>
              <w:pStyle w:val="TableText"/>
              <w:jc w:val="center"/>
              <w:rPr>
                <w:szCs w:val="18"/>
              </w:rPr>
            </w:pPr>
            <w:r w:rsidRPr="00BD303B">
              <w:rPr>
                <w:szCs w:val="18"/>
              </w:rPr>
              <w:t>200,485</w:t>
            </w:r>
          </w:p>
        </w:tc>
        <w:tc>
          <w:tcPr>
            <w:tcW w:w="1159" w:type="dxa"/>
            <w:shd w:val="clear" w:color="auto" w:fill="FFFFCC"/>
            <w:vAlign w:val="center"/>
          </w:tcPr>
          <w:p w:rsidR="00485094" w:rsidRPr="00BD303B" w:rsidRDefault="00485094" w:rsidP="00453E80">
            <w:pPr>
              <w:pStyle w:val="TableText"/>
              <w:jc w:val="center"/>
              <w:rPr>
                <w:szCs w:val="18"/>
              </w:rPr>
            </w:pPr>
            <w:r w:rsidRPr="00BD303B">
              <w:rPr>
                <w:szCs w:val="18"/>
              </w:rPr>
              <w:t>626</w:t>
            </w:r>
          </w:p>
        </w:tc>
        <w:tc>
          <w:tcPr>
            <w:tcW w:w="1181" w:type="dxa"/>
            <w:shd w:val="clear" w:color="auto" w:fill="FFFFCC"/>
            <w:vAlign w:val="center"/>
          </w:tcPr>
          <w:p w:rsidR="00485094" w:rsidRPr="00BD303B" w:rsidRDefault="00485094" w:rsidP="00453E80">
            <w:pPr>
              <w:pStyle w:val="TableText"/>
              <w:jc w:val="center"/>
              <w:rPr>
                <w:szCs w:val="18"/>
              </w:rPr>
            </w:pPr>
            <w:r w:rsidRPr="00BD303B">
              <w:rPr>
                <w:szCs w:val="18"/>
              </w:rPr>
              <w:t>96.6</w:t>
            </w:r>
          </w:p>
        </w:tc>
        <w:tc>
          <w:tcPr>
            <w:tcW w:w="1609" w:type="dxa"/>
            <w:shd w:val="clear" w:color="auto" w:fill="FFFFCC"/>
            <w:vAlign w:val="center"/>
          </w:tcPr>
          <w:p w:rsidR="00485094" w:rsidRPr="00BD303B" w:rsidRDefault="00485094" w:rsidP="00453E80">
            <w:pPr>
              <w:pStyle w:val="TableText"/>
              <w:jc w:val="center"/>
              <w:rPr>
                <w:szCs w:val="18"/>
              </w:rPr>
            </w:pPr>
            <w:r w:rsidRPr="00BD303B">
              <w:rPr>
                <w:szCs w:val="18"/>
              </w:rPr>
              <w:t>95.2-98.1</w:t>
            </w:r>
          </w:p>
        </w:tc>
        <w:tc>
          <w:tcPr>
            <w:tcW w:w="1181" w:type="dxa"/>
            <w:shd w:val="clear" w:color="auto" w:fill="FFFFCC"/>
            <w:vAlign w:val="center"/>
          </w:tcPr>
          <w:p w:rsidR="00485094" w:rsidRPr="00BD303B" w:rsidRDefault="00485094" w:rsidP="00453E80">
            <w:pPr>
              <w:pStyle w:val="TableText"/>
              <w:jc w:val="center"/>
              <w:rPr>
                <w:szCs w:val="18"/>
              </w:rPr>
            </w:pPr>
            <w:r w:rsidRPr="00BD303B">
              <w:rPr>
                <w:szCs w:val="18"/>
              </w:rPr>
              <w:t>3.4</w:t>
            </w:r>
          </w:p>
        </w:tc>
        <w:tc>
          <w:tcPr>
            <w:tcW w:w="1350" w:type="dxa"/>
            <w:shd w:val="clear" w:color="auto" w:fill="FFFFCC"/>
            <w:vAlign w:val="center"/>
          </w:tcPr>
          <w:p w:rsidR="00485094" w:rsidRPr="00BD303B" w:rsidRDefault="00485094" w:rsidP="00453E80">
            <w:pPr>
              <w:pStyle w:val="TableText"/>
              <w:jc w:val="center"/>
              <w:rPr>
                <w:szCs w:val="18"/>
              </w:rPr>
            </w:pPr>
            <w:r w:rsidRPr="00BD303B">
              <w:rPr>
                <w:szCs w:val="18"/>
              </w:rPr>
              <w:t>2004-08</w:t>
            </w:r>
          </w:p>
        </w:tc>
      </w:tr>
      <w:tr w:rsidR="00485094" w:rsidRPr="00D53BE0" w:rsidTr="00453E80">
        <w:trPr>
          <w:cantSplit/>
          <w:trHeight w:val="288"/>
          <w:jc w:val="center"/>
        </w:trPr>
        <w:tc>
          <w:tcPr>
            <w:tcW w:w="2273" w:type="dxa"/>
            <w:vAlign w:val="center"/>
          </w:tcPr>
          <w:p w:rsidR="00485094" w:rsidRPr="00BD303B" w:rsidRDefault="00485094" w:rsidP="00453E80">
            <w:pPr>
              <w:pStyle w:val="TableText"/>
              <w:jc w:val="center"/>
              <w:rPr>
                <w:szCs w:val="18"/>
              </w:rPr>
            </w:pPr>
            <w:r w:rsidRPr="00BD303B">
              <w:rPr>
                <w:szCs w:val="18"/>
              </w:rPr>
              <w:t>Fecal Coliform</w:t>
            </w:r>
          </w:p>
        </w:tc>
        <w:tc>
          <w:tcPr>
            <w:tcW w:w="1350" w:type="dxa"/>
            <w:vAlign w:val="center"/>
          </w:tcPr>
          <w:p w:rsidR="00485094" w:rsidRPr="00BD303B" w:rsidRDefault="00485094" w:rsidP="00453E80">
            <w:pPr>
              <w:pStyle w:val="TableText"/>
              <w:jc w:val="center"/>
              <w:rPr>
                <w:szCs w:val="18"/>
              </w:rPr>
            </w:pPr>
            <w:r w:rsidRPr="00BD303B">
              <w:rPr>
                <w:szCs w:val="18"/>
              </w:rPr>
              <w:t>1,038,899</w:t>
            </w:r>
          </w:p>
        </w:tc>
        <w:tc>
          <w:tcPr>
            <w:tcW w:w="1350" w:type="dxa"/>
            <w:vAlign w:val="center"/>
          </w:tcPr>
          <w:p w:rsidR="00485094" w:rsidRPr="00BD303B" w:rsidRDefault="00485094" w:rsidP="00453E80">
            <w:pPr>
              <w:pStyle w:val="TableText"/>
              <w:jc w:val="center"/>
              <w:rPr>
                <w:szCs w:val="18"/>
              </w:rPr>
            </w:pPr>
            <w:r w:rsidRPr="00BD303B">
              <w:rPr>
                <w:szCs w:val="18"/>
              </w:rPr>
              <w:t>811,851</w:t>
            </w:r>
          </w:p>
        </w:tc>
        <w:tc>
          <w:tcPr>
            <w:tcW w:w="889" w:type="dxa"/>
            <w:vAlign w:val="center"/>
          </w:tcPr>
          <w:p w:rsidR="00485094" w:rsidRPr="00BD303B" w:rsidRDefault="00485094" w:rsidP="00453E80">
            <w:pPr>
              <w:pStyle w:val="TableText"/>
              <w:jc w:val="center"/>
              <w:rPr>
                <w:szCs w:val="18"/>
              </w:rPr>
            </w:pPr>
            <w:r w:rsidRPr="00BD303B">
              <w:rPr>
                <w:szCs w:val="18"/>
              </w:rPr>
              <w:t>26,563</w:t>
            </w:r>
          </w:p>
        </w:tc>
        <w:tc>
          <w:tcPr>
            <w:tcW w:w="1361" w:type="dxa"/>
            <w:vAlign w:val="center"/>
          </w:tcPr>
          <w:p w:rsidR="00485094" w:rsidRPr="00BD303B" w:rsidRDefault="00485094" w:rsidP="00453E80">
            <w:pPr>
              <w:pStyle w:val="TableText"/>
              <w:jc w:val="center"/>
              <w:rPr>
                <w:szCs w:val="18"/>
              </w:rPr>
            </w:pPr>
            <w:r w:rsidRPr="00BD303B">
              <w:rPr>
                <w:szCs w:val="18"/>
              </w:rPr>
              <w:t>200,485</w:t>
            </w:r>
          </w:p>
        </w:tc>
        <w:tc>
          <w:tcPr>
            <w:tcW w:w="1159" w:type="dxa"/>
            <w:vAlign w:val="center"/>
          </w:tcPr>
          <w:p w:rsidR="00485094" w:rsidRPr="00BD303B" w:rsidRDefault="00485094" w:rsidP="00453E80">
            <w:pPr>
              <w:pStyle w:val="TableText"/>
              <w:jc w:val="center"/>
              <w:rPr>
                <w:szCs w:val="18"/>
              </w:rPr>
            </w:pPr>
            <w:r w:rsidRPr="00BD303B">
              <w:rPr>
                <w:szCs w:val="18"/>
              </w:rPr>
              <w:t>616</w:t>
            </w:r>
          </w:p>
        </w:tc>
        <w:tc>
          <w:tcPr>
            <w:tcW w:w="1181" w:type="dxa"/>
            <w:vAlign w:val="center"/>
          </w:tcPr>
          <w:p w:rsidR="00485094" w:rsidRPr="00BD303B" w:rsidRDefault="00485094" w:rsidP="00453E80">
            <w:pPr>
              <w:pStyle w:val="TableText"/>
              <w:jc w:val="center"/>
              <w:rPr>
                <w:szCs w:val="18"/>
              </w:rPr>
            </w:pPr>
            <w:r w:rsidRPr="00BD303B">
              <w:rPr>
                <w:szCs w:val="18"/>
              </w:rPr>
              <w:t>99.7</w:t>
            </w:r>
          </w:p>
        </w:tc>
        <w:tc>
          <w:tcPr>
            <w:tcW w:w="1609" w:type="dxa"/>
            <w:vAlign w:val="center"/>
          </w:tcPr>
          <w:p w:rsidR="00485094" w:rsidRPr="00BD303B" w:rsidRDefault="00485094" w:rsidP="00453E80">
            <w:pPr>
              <w:pStyle w:val="TableText"/>
              <w:jc w:val="center"/>
              <w:rPr>
                <w:szCs w:val="18"/>
              </w:rPr>
            </w:pPr>
            <w:r w:rsidRPr="00BD303B">
              <w:rPr>
                <w:szCs w:val="18"/>
              </w:rPr>
              <w:t>99.5-99.9</w:t>
            </w:r>
          </w:p>
        </w:tc>
        <w:tc>
          <w:tcPr>
            <w:tcW w:w="1181" w:type="dxa"/>
            <w:vAlign w:val="center"/>
          </w:tcPr>
          <w:p w:rsidR="00485094" w:rsidRPr="00BD303B" w:rsidRDefault="00485094" w:rsidP="00453E80">
            <w:pPr>
              <w:pStyle w:val="TableText"/>
              <w:jc w:val="center"/>
              <w:rPr>
                <w:szCs w:val="18"/>
              </w:rPr>
            </w:pPr>
            <w:r w:rsidRPr="00BD303B">
              <w:rPr>
                <w:szCs w:val="18"/>
              </w:rPr>
              <w:t>0.3</w:t>
            </w:r>
          </w:p>
        </w:tc>
        <w:tc>
          <w:tcPr>
            <w:tcW w:w="1350" w:type="dxa"/>
            <w:vAlign w:val="center"/>
          </w:tcPr>
          <w:p w:rsidR="00485094" w:rsidRPr="00BD303B" w:rsidRDefault="00485094" w:rsidP="00453E80">
            <w:pPr>
              <w:pStyle w:val="TableText"/>
              <w:jc w:val="center"/>
              <w:rPr>
                <w:szCs w:val="18"/>
              </w:rPr>
            </w:pPr>
            <w:r w:rsidRPr="00BD303B">
              <w:rPr>
                <w:szCs w:val="18"/>
              </w:rPr>
              <w:t>2004-08</w:t>
            </w:r>
          </w:p>
        </w:tc>
      </w:tr>
      <w:tr w:rsidR="00485094" w:rsidRPr="00D53BE0" w:rsidTr="00453E80">
        <w:trPr>
          <w:cantSplit/>
          <w:trHeight w:val="288"/>
          <w:jc w:val="center"/>
        </w:trPr>
        <w:tc>
          <w:tcPr>
            <w:tcW w:w="2273" w:type="dxa"/>
            <w:shd w:val="clear" w:color="auto" w:fill="FFFFCC"/>
            <w:vAlign w:val="center"/>
          </w:tcPr>
          <w:p w:rsidR="00485094" w:rsidRPr="00BD303B" w:rsidRDefault="00485094" w:rsidP="00453E80">
            <w:pPr>
              <w:pStyle w:val="TableText"/>
              <w:jc w:val="center"/>
              <w:rPr>
                <w:szCs w:val="18"/>
              </w:rPr>
            </w:pPr>
            <w:r w:rsidRPr="00BD303B">
              <w:rPr>
                <w:szCs w:val="18"/>
              </w:rPr>
              <w:t>DO</w:t>
            </w:r>
          </w:p>
        </w:tc>
        <w:tc>
          <w:tcPr>
            <w:tcW w:w="1350" w:type="dxa"/>
            <w:shd w:val="clear" w:color="auto" w:fill="FFFFCC"/>
            <w:vAlign w:val="center"/>
          </w:tcPr>
          <w:p w:rsidR="00485094" w:rsidRPr="00BD303B" w:rsidRDefault="00485094" w:rsidP="00453E80">
            <w:pPr>
              <w:pStyle w:val="TableText"/>
              <w:jc w:val="center"/>
              <w:rPr>
                <w:szCs w:val="18"/>
              </w:rPr>
            </w:pPr>
            <w:r w:rsidRPr="00BD303B">
              <w:rPr>
                <w:szCs w:val="18"/>
              </w:rPr>
              <w:t>1,038,899</w:t>
            </w:r>
          </w:p>
        </w:tc>
        <w:tc>
          <w:tcPr>
            <w:tcW w:w="1350" w:type="dxa"/>
            <w:shd w:val="clear" w:color="auto" w:fill="FFFFCC"/>
            <w:vAlign w:val="center"/>
          </w:tcPr>
          <w:p w:rsidR="00485094" w:rsidRPr="00BD303B" w:rsidRDefault="00485094" w:rsidP="00453E80">
            <w:pPr>
              <w:pStyle w:val="TableText"/>
              <w:jc w:val="center"/>
              <w:rPr>
                <w:szCs w:val="18"/>
              </w:rPr>
            </w:pPr>
            <w:r w:rsidRPr="00BD303B">
              <w:rPr>
                <w:szCs w:val="18"/>
              </w:rPr>
              <w:t>811,851</w:t>
            </w:r>
          </w:p>
        </w:tc>
        <w:tc>
          <w:tcPr>
            <w:tcW w:w="889" w:type="dxa"/>
            <w:shd w:val="clear" w:color="auto" w:fill="FFFFCC"/>
            <w:vAlign w:val="center"/>
          </w:tcPr>
          <w:p w:rsidR="00485094" w:rsidRPr="00BD303B" w:rsidRDefault="00485094" w:rsidP="00453E80">
            <w:pPr>
              <w:pStyle w:val="TableText"/>
              <w:jc w:val="center"/>
              <w:rPr>
                <w:szCs w:val="18"/>
              </w:rPr>
            </w:pPr>
            <w:r w:rsidRPr="00BD303B">
              <w:rPr>
                <w:szCs w:val="18"/>
              </w:rPr>
              <w:t>26,563</w:t>
            </w:r>
          </w:p>
        </w:tc>
        <w:tc>
          <w:tcPr>
            <w:tcW w:w="1361" w:type="dxa"/>
            <w:shd w:val="clear" w:color="auto" w:fill="FFFFCC"/>
            <w:vAlign w:val="center"/>
          </w:tcPr>
          <w:p w:rsidR="00485094" w:rsidRPr="00BD303B" w:rsidRDefault="00485094" w:rsidP="00453E80">
            <w:pPr>
              <w:pStyle w:val="TableText"/>
              <w:jc w:val="center"/>
              <w:rPr>
                <w:szCs w:val="18"/>
              </w:rPr>
            </w:pPr>
            <w:r w:rsidRPr="00BD303B">
              <w:rPr>
                <w:szCs w:val="18"/>
              </w:rPr>
              <w:t>200,485</w:t>
            </w:r>
          </w:p>
        </w:tc>
        <w:tc>
          <w:tcPr>
            <w:tcW w:w="1159" w:type="dxa"/>
            <w:shd w:val="clear" w:color="auto" w:fill="FFFFCC"/>
            <w:vAlign w:val="center"/>
          </w:tcPr>
          <w:p w:rsidR="00485094" w:rsidRPr="00BD303B" w:rsidRDefault="00485094" w:rsidP="00453E80">
            <w:pPr>
              <w:pStyle w:val="TableText"/>
              <w:jc w:val="center"/>
              <w:rPr>
                <w:szCs w:val="18"/>
              </w:rPr>
            </w:pPr>
            <w:r w:rsidRPr="00BD303B">
              <w:rPr>
                <w:szCs w:val="18"/>
              </w:rPr>
              <w:t>628</w:t>
            </w:r>
          </w:p>
        </w:tc>
        <w:tc>
          <w:tcPr>
            <w:tcW w:w="1181" w:type="dxa"/>
            <w:shd w:val="clear" w:color="auto" w:fill="FFFFCC"/>
            <w:vAlign w:val="center"/>
          </w:tcPr>
          <w:p w:rsidR="00485094" w:rsidRPr="00BD303B" w:rsidRDefault="00485094" w:rsidP="00453E80">
            <w:pPr>
              <w:pStyle w:val="TableText"/>
              <w:jc w:val="center"/>
              <w:rPr>
                <w:szCs w:val="18"/>
              </w:rPr>
            </w:pPr>
            <w:r w:rsidRPr="00BD303B">
              <w:rPr>
                <w:szCs w:val="18"/>
              </w:rPr>
              <w:t>95.0</w:t>
            </w:r>
          </w:p>
        </w:tc>
        <w:tc>
          <w:tcPr>
            <w:tcW w:w="1609" w:type="dxa"/>
            <w:shd w:val="clear" w:color="auto" w:fill="FFFFCC"/>
            <w:vAlign w:val="center"/>
          </w:tcPr>
          <w:p w:rsidR="00485094" w:rsidRPr="00BD303B" w:rsidRDefault="00485094" w:rsidP="00453E80">
            <w:pPr>
              <w:pStyle w:val="TableText"/>
              <w:jc w:val="center"/>
              <w:rPr>
                <w:szCs w:val="18"/>
              </w:rPr>
            </w:pPr>
            <w:r w:rsidRPr="00BD303B">
              <w:rPr>
                <w:szCs w:val="18"/>
              </w:rPr>
              <w:t>93.4-96.7</w:t>
            </w:r>
          </w:p>
        </w:tc>
        <w:tc>
          <w:tcPr>
            <w:tcW w:w="1181" w:type="dxa"/>
            <w:shd w:val="clear" w:color="auto" w:fill="FFFFCC"/>
            <w:vAlign w:val="center"/>
          </w:tcPr>
          <w:p w:rsidR="00485094" w:rsidRPr="00BD303B" w:rsidRDefault="00485094" w:rsidP="00453E80">
            <w:pPr>
              <w:pStyle w:val="TableText"/>
              <w:jc w:val="center"/>
              <w:rPr>
                <w:szCs w:val="18"/>
              </w:rPr>
            </w:pPr>
            <w:r w:rsidRPr="00BD303B">
              <w:rPr>
                <w:szCs w:val="18"/>
              </w:rPr>
              <w:t>5.0</w:t>
            </w:r>
          </w:p>
        </w:tc>
        <w:tc>
          <w:tcPr>
            <w:tcW w:w="1350" w:type="dxa"/>
            <w:shd w:val="clear" w:color="auto" w:fill="FFFFCC"/>
            <w:vAlign w:val="center"/>
          </w:tcPr>
          <w:p w:rsidR="00485094" w:rsidRPr="00BD303B" w:rsidRDefault="00485094" w:rsidP="00453E80">
            <w:pPr>
              <w:pStyle w:val="TableText"/>
              <w:jc w:val="center"/>
              <w:rPr>
                <w:szCs w:val="18"/>
              </w:rPr>
            </w:pPr>
            <w:r w:rsidRPr="00BD303B">
              <w:rPr>
                <w:szCs w:val="18"/>
              </w:rPr>
              <w:t>2004-08</w:t>
            </w:r>
          </w:p>
        </w:tc>
      </w:tr>
    </w:tbl>
    <w:p w:rsidR="00485094" w:rsidRDefault="00485094" w:rsidP="00692F31">
      <w:pPr>
        <w:pStyle w:val="Bodytextreduced"/>
      </w:pPr>
    </w:p>
    <w:p w:rsidR="00485094" w:rsidRDefault="00485094" w:rsidP="00692F31">
      <w:pPr>
        <w:pStyle w:val="Bodytext"/>
        <w:rPr>
          <w:rFonts w:cs="Arial"/>
          <w:b/>
          <w:color w:val="000000"/>
          <w:szCs w:val="24"/>
        </w:rPr>
      </w:pPr>
      <w:r w:rsidRPr="00626C5F">
        <w:rPr>
          <w:rFonts w:cs="Arial"/>
          <w:b/>
          <w:color w:val="000000"/>
          <w:szCs w:val="24"/>
        </w:rPr>
        <w:t>Highlights</w:t>
      </w:r>
      <w:r>
        <w:rPr>
          <w:rFonts w:cs="Arial"/>
          <w:b/>
          <w:color w:val="000000"/>
          <w:szCs w:val="24"/>
        </w:rPr>
        <w:t>:  Large Lakes</w:t>
      </w:r>
    </w:p>
    <w:p w:rsidR="00485094" w:rsidRDefault="00485094" w:rsidP="00692F31">
      <w:pPr>
        <w:pStyle w:val="ListBullet"/>
        <w:rPr>
          <w:b/>
        </w:rPr>
      </w:pPr>
      <w:r>
        <w:t>N</w:t>
      </w:r>
      <w:r w:rsidRPr="00D51C9B">
        <w:t xml:space="preserve">o large lake resources in the Charlotte Harbor, Caloosahatchee, Southeast Coast–Biscayne Bay, Everglades, Florida Keys, Indian River Lagoon, and Upper East Coast </w:t>
      </w:r>
      <w:r>
        <w:t>B</w:t>
      </w:r>
      <w:r w:rsidRPr="00D51C9B">
        <w:t xml:space="preserve">asins fit the definition of the target population. </w:t>
      </w:r>
      <w:r w:rsidRPr="00D51C9B">
        <w:rPr>
          <w:b/>
        </w:rPr>
        <w:t xml:space="preserve"> </w:t>
      </w:r>
    </w:p>
    <w:p w:rsidR="00485094" w:rsidRDefault="00485094" w:rsidP="00692F31">
      <w:pPr>
        <w:pStyle w:val="ListBullet"/>
      </w:pPr>
      <w:r w:rsidRPr="00D51C9B">
        <w:t>Statewide</w:t>
      </w:r>
      <w:r>
        <w:t>,</w:t>
      </w:r>
      <w:r w:rsidRPr="00D51C9B">
        <w:t xml:space="preserve"> 94% of </w:t>
      </w:r>
      <w:r>
        <w:t>the</w:t>
      </w:r>
      <w:r w:rsidRPr="00D51C9B">
        <w:t xml:space="preserve"> </w:t>
      </w:r>
      <w:r>
        <w:t>target population’s lake acres</w:t>
      </w:r>
      <w:r w:rsidRPr="00B13CD3">
        <w:t xml:space="preserve"> </w:t>
      </w:r>
      <w:r>
        <w:t>were below the TSI indicator (</w:t>
      </w:r>
      <w:r w:rsidRPr="003B37D3">
        <w:rPr>
          <w:rFonts w:cs="Arial"/>
        </w:rPr>
        <w:t>Color ≤ 40 PCUs, then TSI ≤ 40</w:t>
      </w:r>
      <w:r>
        <w:rPr>
          <w:rFonts w:cs="Arial"/>
        </w:rPr>
        <w:t xml:space="preserve">; </w:t>
      </w:r>
      <w:r w:rsidRPr="003B37D3">
        <w:rPr>
          <w:rFonts w:cs="Arial"/>
        </w:rPr>
        <w:t>Color &gt; 40 PCUs, then TSI ≤ 60</w:t>
      </w:r>
      <w:r>
        <w:t>) criteria.</w:t>
      </w:r>
      <w:r w:rsidRPr="00D51C9B">
        <w:t xml:space="preserve">  This threshold for TSI was met for 90%, or greater, of each basin’s lake acreage with two exceptions</w:t>
      </w:r>
      <w:r>
        <w:t>:  th</w:t>
      </w:r>
      <w:r w:rsidRPr="00D51C9B">
        <w:t xml:space="preserve">e </w:t>
      </w:r>
      <w:r>
        <w:t>Everglades West Coast (79.3%) and</w:t>
      </w:r>
      <w:r w:rsidRPr="00D51C9B">
        <w:t xml:space="preserve"> Sarasota Bay</w:t>
      </w:r>
      <w:r>
        <w:t>–</w:t>
      </w:r>
      <w:r w:rsidRPr="00D51C9B">
        <w:t>Peace</w:t>
      </w:r>
      <w:r>
        <w:t>–</w:t>
      </w:r>
      <w:r w:rsidRPr="00D51C9B">
        <w:t>Myakka (73.3%)</w:t>
      </w:r>
      <w:r>
        <w:t xml:space="preserve"> Basins</w:t>
      </w:r>
      <w:r w:rsidRPr="00D51C9B">
        <w:t>.</w:t>
      </w:r>
      <w:r>
        <w:t xml:space="preserve">  </w:t>
      </w:r>
    </w:p>
    <w:p w:rsidR="00485094" w:rsidRDefault="00485094" w:rsidP="00692F31">
      <w:pPr>
        <w:pStyle w:val="ListBullet"/>
      </w:pPr>
      <w:r w:rsidRPr="00D51C9B">
        <w:t>Statewide</w:t>
      </w:r>
      <w:r>
        <w:t>,</w:t>
      </w:r>
      <w:r w:rsidRPr="00D51C9B">
        <w:t xml:space="preserve"> </w:t>
      </w:r>
      <w:r w:rsidRPr="00867B0D">
        <w:t>9</w:t>
      </w:r>
      <w:r w:rsidRPr="00D62122">
        <w:t>6</w:t>
      </w:r>
      <w:r w:rsidRPr="00867B0D">
        <w:t>.6%</w:t>
      </w:r>
      <w:r w:rsidRPr="00D51C9B">
        <w:t xml:space="preserve"> of </w:t>
      </w:r>
      <w:r>
        <w:t>the</w:t>
      </w:r>
      <w:r w:rsidRPr="00D51C9B">
        <w:t xml:space="preserve"> </w:t>
      </w:r>
      <w:r>
        <w:t>target population’s lake acres</w:t>
      </w:r>
      <w:r w:rsidRPr="00576ED2">
        <w:t xml:space="preserve"> </w:t>
      </w:r>
      <w:r>
        <w:t>were below the un-ionized ammonia (</w:t>
      </w:r>
      <w:r w:rsidRPr="003B37D3">
        <w:rPr>
          <w:rFonts w:cs="Arial"/>
        </w:rPr>
        <w:t>≤ 0.02 mg/L</w:t>
      </w:r>
      <w:r>
        <w:rPr>
          <w:rFonts w:cs="Arial"/>
        </w:rPr>
        <w:t xml:space="preserve">) </w:t>
      </w:r>
      <w:r>
        <w:t>criteria</w:t>
      </w:r>
      <w:r w:rsidRPr="00D51C9B">
        <w:t xml:space="preserve">.  This threshold for </w:t>
      </w:r>
      <w:r>
        <w:t>un-ionized ammonia</w:t>
      </w:r>
      <w:r w:rsidRPr="00000364">
        <w:t xml:space="preserve"> </w:t>
      </w:r>
      <w:r w:rsidRPr="00D51C9B">
        <w:t xml:space="preserve">was met for 90%, or greater, </w:t>
      </w:r>
      <w:r>
        <w:t xml:space="preserve">of each basin’s lake acreage </w:t>
      </w:r>
      <w:r w:rsidRPr="00D51C9B">
        <w:t>with two exceptions</w:t>
      </w:r>
      <w:r>
        <w:t xml:space="preserve">:  </w:t>
      </w:r>
      <w:r w:rsidRPr="00D51C9B">
        <w:t>the Everglades West Coast (89.7%) and the Ocklawaha (80.0%)</w:t>
      </w:r>
      <w:r>
        <w:t xml:space="preserve"> Basins.</w:t>
      </w:r>
    </w:p>
    <w:p w:rsidR="00485094" w:rsidRDefault="00485094" w:rsidP="00692F31">
      <w:pPr>
        <w:pStyle w:val="ListBullet"/>
      </w:pPr>
      <w:r w:rsidRPr="00D51C9B">
        <w:t>Statewide</w:t>
      </w:r>
      <w:r>
        <w:t>,</w:t>
      </w:r>
      <w:r w:rsidRPr="00D51C9B">
        <w:t xml:space="preserve"> 99.7% of </w:t>
      </w:r>
      <w:r>
        <w:t>the</w:t>
      </w:r>
      <w:r w:rsidRPr="00D51C9B">
        <w:t xml:space="preserve"> </w:t>
      </w:r>
      <w:r>
        <w:t>target population’s lake acres</w:t>
      </w:r>
      <w:r w:rsidRPr="00576ED2">
        <w:t xml:space="preserve"> </w:t>
      </w:r>
      <w:r>
        <w:t>were below the fecal coliform (</w:t>
      </w:r>
      <w:r w:rsidRPr="003B37D3">
        <w:rPr>
          <w:rFonts w:cs="Arial"/>
        </w:rPr>
        <w:t>&lt; 400 colonies/100mL</w:t>
      </w:r>
      <w:r>
        <w:rPr>
          <w:rFonts w:cs="Arial"/>
        </w:rPr>
        <w:t xml:space="preserve">) </w:t>
      </w:r>
      <w:r>
        <w:t>criteria</w:t>
      </w:r>
      <w:r w:rsidRPr="00D51C9B">
        <w:t xml:space="preserve">.  This threshold for fecal coliform was met for 90%, or greater, in all basins.  </w:t>
      </w:r>
    </w:p>
    <w:p w:rsidR="00485094" w:rsidRPr="00576ED2" w:rsidRDefault="00485094" w:rsidP="00692F31">
      <w:pPr>
        <w:pStyle w:val="ListBullet"/>
        <w:autoSpaceDE w:val="0"/>
        <w:autoSpaceDN w:val="0"/>
        <w:adjustRightInd w:val="0"/>
        <w:rPr>
          <w:rFonts w:cs="Arial"/>
          <w:b/>
          <w:sz w:val="20"/>
          <w:szCs w:val="20"/>
        </w:rPr>
      </w:pPr>
      <w:r w:rsidRPr="00D51C9B">
        <w:t>Statewide</w:t>
      </w:r>
      <w:r>
        <w:t xml:space="preserve">, </w:t>
      </w:r>
      <w:r w:rsidRPr="00D51C9B">
        <w:t xml:space="preserve">95% of </w:t>
      </w:r>
      <w:r>
        <w:t>the</w:t>
      </w:r>
      <w:r w:rsidRPr="00D51C9B">
        <w:t xml:space="preserve"> </w:t>
      </w:r>
      <w:r>
        <w:t>target population’s lake acres were above the DO (</w:t>
      </w:r>
      <w:r w:rsidRPr="00576ED2">
        <w:rPr>
          <w:rFonts w:cs="Arial"/>
          <w:lang w:val="fr-FR"/>
        </w:rPr>
        <w:t xml:space="preserve">≥ 5 mg/L) </w:t>
      </w:r>
      <w:r>
        <w:t>criteria</w:t>
      </w:r>
      <w:r w:rsidRPr="00D51C9B">
        <w:t>.  This threshold for DO was met for 80%, or greater, of each basin’s lake acreage</w:t>
      </w:r>
      <w:r>
        <w:t xml:space="preserve">, except for the Ochlockonee–St. Marks (53.3%) and </w:t>
      </w:r>
      <w:r w:rsidRPr="00D51C9B">
        <w:t>Apalachicola–Chipola (50.0%)</w:t>
      </w:r>
      <w:r>
        <w:t xml:space="preserve"> Basins</w:t>
      </w:r>
      <w:r w:rsidRPr="00D51C9B">
        <w:t xml:space="preserve">. </w:t>
      </w:r>
      <w:r w:rsidRPr="002B4327">
        <w:t xml:space="preserve"> </w:t>
      </w:r>
      <w:r>
        <w:t>Input of color and organic carbon from wetlands, r</w:t>
      </w:r>
      <w:r w:rsidRPr="00B32EC7">
        <w:t xml:space="preserve">espiration by aquatic animals, decomposition, and various chemical reactions </w:t>
      </w:r>
      <w:r>
        <w:t>lower DO</w:t>
      </w:r>
      <w:r w:rsidRPr="00B32EC7">
        <w:t>.</w:t>
      </w:r>
    </w:p>
    <w:p w:rsidR="00485094" w:rsidRDefault="00485094" w:rsidP="00692F31">
      <w:pPr>
        <w:autoSpaceDE w:val="0"/>
        <w:autoSpaceDN w:val="0"/>
        <w:adjustRightInd w:val="0"/>
        <w:rPr>
          <w:rFonts w:ascii="Arial" w:hAnsi="Arial" w:cs="Arial"/>
          <w:b/>
          <w:i/>
          <w:sz w:val="20"/>
          <w:szCs w:val="20"/>
        </w:rPr>
        <w:sectPr w:rsidR="00485094" w:rsidSect="003B37D3">
          <w:pgSz w:w="15840" w:h="12240" w:orient="landscape" w:code="1"/>
          <w:pgMar w:top="1440" w:right="1440" w:bottom="1440" w:left="1440" w:header="720" w:footer="720" w:gutter="0"/>
          <w:paperSrc w:first="261"/>
          <w:cols w:space="720"/>
          <w:docGrid w:linePitch="360"/>
        </w:sectPr>
      </w:pPr>
    </w:p>
    <w:p w:rsidR="00485094" w:rsidRPr="00491133" w:rsidRDefault="00485094" w:rsidP="00692F31">
      <w:pPr>
        <w:pStyle w:val="Caption"/>
        <w:rPr>
          <w:bCs/>
        </w:rPr>
      </w:pPr>
      <w:bookmarkStart w:id="395" w:name="_Toc262464300"/>
      <w:bookmarkStart w:id="396" w:name="_Toc271280152"/>
      <w:r w:rsidRPr="00491133">
        <w:t xml:space="preserve">Figure </w:t>
      </w:r>
      <w:r>
        <w:t>6.7.  Statewide Small Lake Sample Locations by Basin</w:t>
      </w:r>
      <w:bookmarkEnd w:id="395"/>
      <w:bookmarkEnd w:id="396"/>
    </w:p>
    <w:p w:rsidR="00485094" w:rsidRDefault="00485094" w:rsidP="00692F31">
      <w:pPr>
        <w:pStyle w:val="Bodytext"/>
        <w:rPr>
          <w:b/>
          <w:i/>
        </w:rPr>
      </w:pPr>
    </w:p>
    <w:p w:rsidR="00485094" w:rsidRDefault="001717CD" w:rsidP="00692F31">
      <w:pPr>
        <w:pStyle w:val="Bodytext"/>
        <w:jc w:val="center"/>
        <w:rPr>
          <w:b/>
          <w:i/>
        </w:rPr>
      </w:pPr>
      <w:r>
        <w:rPr>
          <w:b/>
          <w:i/>
          <w:noProof/>
        </w:rPr>
        <w:drawing>
          <wp:inline distT="0" distB="0" distL="0" distR="0">
            <wp:extent cx="5106670" cy="5943600"/>
            <wp:effectExtent l="19050" t="0" r="0" b="0"/>
            <wp:docPr id="5" name="Picture 1" descr="Figure 6.7.  Statewide Small Lake Sample Locations by Basin.  This is a map of the state of Florida divided into the 29 basins showing the locations where small lakes samples were col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6.7.  Statewide Small Lake Sample Locations by Basin"/>
                    <pic:cNvPicPr>
                      <a:picLocks noChangeAspect="1" noChangeArrowheads="1"/>
                    </pic:cNvPicPr>
                  </pic:nvPicPr>
                  <pic:blipFill>
                    <a:blip r:embed="rId80"/>
                    <a:srcRect/>
                    <a:stretch>
                      <a:fillRect/>
                    </a:stretch>
                  </pic:blipFill>
                  <pic:spPr bwMode="auto">
                    <a:xfrm>
                      <a:off x="0" y="0"/>
                      <a:ext cx="5106670" cy="5943600"/>
                    </a:xfrm>
                    <a:prstGeom prst="rect">
                      <a:avLst/>
                    </a:prstGeom>
                    <a:noFill/>
                    <a:ln w="9525">
                      <a:noFill/>
                      <a:miter lim="800000"/>
                      <a:headEnd/>
                      <a:tailEnd/>
                    </a:ln>
                  </pic:spPr>
                </pic:pic>
              </a:graphicData>
            </a:graphic>
          </wp:inline>
        </w:drawing>
      </w:r>
    </w:p>
    <w:p w:rsidR="00485094" w:rsidRDefault="00485094" w:rsidP="00692F31">
      <w:pPr>
        <w:pStyle w:val="Bodytext"/>
        <w:rPr>
          <w:b/>
          <w:i/>
        </w:rPr>
      </w:pPr>
    </w:p>
    <w:p w:rsidR="00485094" w:rsidRDefault="00485094" w:rsidP="00692F31">
      <w:pPr>
        <w:pStyle w:val="Bodytext"/>
        <w:rPr>
          <w:b/>
          <w:i/>
        </w:rPr>
      </w:pPr>
    </w:p>
    <w:p w:rsidR="00485094" w:rsidRDefault="00485094" w:rsidP="00692F31">
      <w:pPr>
        <w:pStyle w:val="Bodytextreduced"/>
      </w:pPr>
      <w:r>
        <w:rPr>
          <w:rFonts w:cs="Arial"/>
          <w:b/>
          <w:i/>
          <w:sz w:val="20"/>
        </w:rPr>
        <w:br w:type="page"/>
      </w:r>
    </w:p>
    <w:p w:rsidR="00485094" w:rsidRDefault="00485094" w:rsidP="00692F31">
      <w:pPr>
        <w:pStyle w:val="Caption"/>
      </w:pPr>
      <w:bookmarkStart w:id="397" w:name="_Toc262464301"/>
      <w:bookmarkStart w:id="398" w:name="_Toc271280153"/>
      <w:r w:rsidRPr="00491133">
        <w:t xml:space="preserve">Figure </w:t>
      </w:r>
      <w:r>
        <w:t>6.8.  Statewide Summary of Small Lake Results</w:t>
      </w:r>
      <w:bookmarkEnd w:id="397"/>
      <w:bookmarkEnd w:id="398"/>
    </w:p>
    <w:p w:rsidR="00485094" w:rsidRDefault="00485094" w:rsidP="00692F31">
      <w:pPr>
        <w:pStyle w:val="Bodytext"/>
        <w:rPr>
          <w:b/>
          <w:i/>
        </w:rPr>
      </w:pPr>
    </w:p>
    <w:p w:rsidR="00485094" w:rsidRDefault="001717CD" w:rsidP="00692F31">
      <w:pPr>
        <w:pStyle w:val="Bodytext"/>
        <w:jc w:val="center"/>
        <w:rPr>
          <w:b/>
          <w:i/>
        </w:rPr>
      </w:pPr>
      <w:r>
        <w:rPr>
          <w:b/>
          <w:i/>
          <w:noProof/>
        </w:rPr>
        <w:drawing>
          <wp:inline distT="0" distB="0" distL="0" distR="0">
            <wp:extent cx="5943600" cy="6513195"/>
            <wp:effectExtent l="19050" t="0" r="0" b="0"/>
            <wp:docPr id="6" name="Picture 2" descr="Figure 6.8.  Statewide Summary of Small Lake Results.  This graphic shows statewide results in pie chart format for the small lake indicators.  The results follow in Table 6.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6.8.  Statewide Summary of Small Lake Results"/>
                    <pic:cNvPicPr>
                      <a:picLocks noChangeAspect="1" noChangeArrowheads="1"/>
                    </pic:cNvPicPr>
                  </pic:nvPicPr>
                  <pic:blipFill>
                    <a:blip r:embed="rId81"/>
                    <a:srcRect/>
                    <a:stretch>
                      <a:fillRect/>
                    </a:stretch>
                  </pic:blipFill>
                  <pic:spPr bwMode="auto">
                    <a:xfrm>
                      <a:off x="0" y="0"/>
                      <a:ext cx="5943600" cy="6513195"/>
                    </a:xfrm>
                    <a:prstGeom prst="rect">
                      <a:avLst/>
                    </a:prstGeom>
                    <a:noFill/>
                    <a:ln w="9525">
                      <a:noFill/>
                      <a:miter lim="800000"/>
                      <a:headEnd/>
                      <a:tailEnd/>
                    </a:ln>
                  </pic:spPr>
                </pic:pic>
              </a:graphicData>
            </a:graphic>
          </wp:inline>
        </w:drawing>
      </w:r>
    </w:p>
    <w:p w:rsidR="00485094" w:rsidRDefault="00485094" w:rsidP="00692F31">
      <w:pPr>
        <w:pStyle w:val="Bodytext"/>
        <w:rPr>
          <w:b/>
          <w:i/>
        </w:rPr>
      </w:pPr>
    </w:p>
    <w:p w:rsidR="00485094" w:rsidRDefault="00485094" w:rsidP="00692F31">
      <w:pPr>
        <w:sectPr w:rsidR="00485094" w:rsidSect="003B37D3">
          <w:pgSz w:w="12240" w:h="15840" w:code="1"/>
          <w:pgMar w:top="1440" w:right="1440" w:bottom="1440" w:left="1440" w:header="720" w:footer="720" w:gutter="0"/>
          <w:paperSrc w:first="261"/>
          <w:cols w:space="720"/>
          <w:docGrid w:linePitch="360"/>
        </w:sectPr>
      </w:pPr>
      <w:bookmarkStart w:id="399" w:name="_Toc129076558"/>
      <w:bookmarkStart w:id="400" w:name="_Toc134347503"/>
    </w:p>
    <w:p w:rsidR="00485094" w:rsidRDefault="00485094" w:rsidP="00692F31">
      <w:pPr>
        <w:pStyle w:val="Bodytextreduced"/>
      </w:pPr>
    </w:p>
    <w:p w:rsidR="00485094" w:rsidRDefault="00485094" w:rsidP="00692F31">
      <w:pPr>
        <w:pStyle w:val="Tableheading"/>
        <w:rPr>
          <w:bCs/>
          <w:szCs w:val="22"/>
        </w:rPr>
      </w:pPr>
      <w:bookmarkStart w:id="401" w:name="_Toc255482833"/>
      <w:bookmarkStart w:id="402" w:name="_Toc255807491"/>
      <w:bookmarkStart w:id="403" w:name="_Toc262464249"/>
      <w:bookmarkStart w:id="404" w:name="_Toc271280096"/>
      <w:r w:rsidRPr="00FD0860">
        <w:t xml:space="preserve">Table </w:t>
      </w:r>
      <w:r>
        <w:t>6.3e.  Statewide Percentage of Small Lakes Meeting Threshold Values</w:t>
      </w:r>
      <w:r w:rsidRPr="00FD0860">
        <w:t xml:space="preserve"> </w:t>
      </w:r>
      <w:r>
        <w:t xml:space="preserve">for Indicators </w:t>
      </w:r>
      <w:r w:rsidRPr="00FD0860">
        <w:t xml:space="preserve">Calculated Using </w:t>
      </w:r>
      <w:r>
        <w:t>Probabilistic Monitoring Design</w:t>
      </w:r>
      <w:bookmarkEnd w:id="401"/>
      <w:bookmarkEnd w:id="402"/>
      <w:bookmarkEnd w:id="403"/>
      <w:bookmarkEnd w:id="404"/>
    </w:p>
    <w:p w:rsidR="00485094" w:rsidRDefault="00485094" w:rsidP="00692F31">
      <w:pPr>
        <w:ind w:left="1440"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Lakes</w:t>
      </w:r>
    </w:p>
    <w:p w:rsidR="00485094" w:rsidRDefault="00485094" w:rsidP="00692F31">
      <w:pPr>
        <w:pStyle w:val="TabledescriptionBF"/>
      </w:pPr>
      <w:r>
        <w:t>This is a 10-column table.  Column 1 lists the analyte, Column 2 lists the target population, Column 3 lists the sampleable miles, Column 4 lists the dry miles, Column 5 lists the inaccessible miles, Column 6 lists the number of samples, Column 7 lists the percent meeting the threshold, Column 8 lists the 95% confidence bounds, Column 9 lists the percent not meeting the threshold, and Column 10 lists the assessment period.</w:t>
      </w:r>
    </w:p>
    <w:p w:rsidR="00485094" w:rsidRPr="00D53BE0" w:rsidRDefault="00485094" w:rsidP="00692F31">
      <w:pPr>
        <w:pStyle w:val="Bodytextreduced"/>
      </w:pPr>
    </w:p>
    <w:p w:rsidR="00485094" w:rsidRDefault="00485094" w:rsidP="00692F31">
      <w:pPr>
        <w:pStyle w:val="Bodytextreduced"/>
        <w:rPr>
          <w:rFonts w:cs="Arial"/>
        </w:rPr>
      </w:pPr>
      <w:r w:rsidRPr="00D53BE0">
        <w:rPr>
          <w:rFonts w:cs="Arial"/>
          <w:vertAlign w:val="superscript"/>
        </w:rPr>
        <w:t xml:space="preserve">1 </w:t>
      </w:r>
      <w:r>
        <w:rPr>
          <w:rFonts w:cs="Arial"/>
        </w:rPr>
        <w:t>Lakes</w:t>
      </w:r>
    </w:p>
    <w:p w:rsidR="00485094" w:rsidRPr="00D53BE0" w:rsidRDefault="00485094" w:rsidP="00692F31">
      <w:pPr>
        <w:pStyle w:val="Bodytextreduced"/>
        <w:rPr>
          <w:rFonts w:cs="Arial"/>
        </w:rPr>
      </w:pPr>
      <w:r w:rsidRPr="00CC5085">
        <w:rPr>
          <w:rFonts w:cs="Arial"/>
          <w:vertAlign w:val="superscript"/>
        </w:rPr>
        <w:t xml:space="preserve">2 </w:t>
      </w:r>
      <w:r>
        <w:rPr>
          <w:rFonts w:cs="Arial"/>
        </w:rPr>
        <w:t>Estimated number of lakes</w:t>
      </w:r>
    </w:p>
    <w:tbl>
      <w:tblPr>
        <w:tblW w:w="1370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273"/>
        <w:gridCol w:w="1350"/>
        <w:gridCol w:w="1350"/>
        <w:gridCol w:w="810"/>
        <w:gridCol w:w="1440"/>
        <w:gridCol w:w="1159"/>
        <w:gridCol w:w="1181"/>
        <w:gridCol w:w="1609"/>
        <w:gridCol w:w="1181"/>
        <w:gridCol w:w="1350"/>
      </w:tblGrid>
      <w:tr w:rsidR="00485094" w:rsidRPr="00A94B36" w:rsidTr="000F2909">
        <w:trPr>
          <w:tblHeader/>
          <w:jc w:val="center"/>
        </w:trPr>
        <w:tc>
          <w:tcPr>
            <w:tcW w:w="2273" w:type="dxa"/>
            <w:tcBorders>
              <w:top w:val="single" w:sz="4" w:space="0" w:color="auto"/>
              <w:bottom w:val="double" w:sz="4" w:space="0" w:color="auto"/>
            </w:tcBorders>
            <w:shd w:val="clear" w:color="auto" w:fill="BDFFFF"/>
            <w:vAlign w:val="bottom"/>
          </w:tcPr>
          <w:p w:rsidR="00485094" w:rsidRPr="00A94B36" w:rsidRDefault="00485094" w:rsidP="00453E80">
            <w:pPr>
              <w:pStyle w:val="TableText"/>
              <w:jc w:val="center"/>
              <w:rPr>
                <w:b/>
                <w:i/>
                <w:szCs w:val="18"/>
              </w:rPr>
            </w:pPr>
            <w:r w:rsidRPr="00A94B36">
              <w:rPr>
                <w:b/>
                <w:i/>
                <w:szCs w:val="18"/>
              </w:rPr>
              <w:t>Analyte</w:t>
            </w:r>
          </w:p>
        </w:tc>
        <w:tc>
          <w:tcPr>
            <w:tcW w:w="1350" w:type="dxa"/>
            <w:tcBorders>
              <w:top w:val="single" w:sz="4" w:space="0" w:color="auto"/>
              <w:bottom w:val="double" w:sz="4" w:space="0" w:color="auto"/>
            </w:tcBorders>
            <w:shd w:val="clear" w:color="auto" w:fill="BDFFFF"/>
            <w:vAlign w:val="bottom"/>
          </w:tcPr>
          <w:p w:rsidR="00485094" w:rsidRPr="00A94B36" w:rsidRDefault="00485094" w:rsidP="00453E80">
            <w:pPr>
              <w:pStyle w:val="TableText"/>
              <w:jc w:val="center"/>
              <w:rPr>
                <w:b/>
                <w:i/>
                <w:szCs w:val="18"/>
              </w:rPr>
            </w:pPr>
            <w:r w:rsidRPr="00A94B36">
              <w:rPr>
                <w:b/>
                <w:i/>
                <w:szCs w:val="18"/>
              </w:rPr>
              <w:t>Target Population</w:t>
            </w:r>
            <w:r w:rsidRPr="00A94B36">
              <w:rPr>
                <w:b/>
                <w:i/>
                <w:szCs w:val="18"/>
                <w:vertAlign w:val="superscript"/>
              </w:rPr>
              <w:t>1</w:t>
            </w:r>
          </w:p>
        </w:tc>
        <w:tc>
          <w:tcPr>
            <w:tcW w:w="1350" w:type="dxa"/>
            <w:tcBorders>
              <w:top w:val="single" w:sz="4" w:space="0" w:color="auto"/>
              <w:bottom w:val="double" w:sz="4" w:space="0" w:color="auto"/>
            </w:tcBorders>
            <w:shd w:val="clear" w:color="auto" w:fill="BDFFFF"/>
            <w:vAlign w:val="bottom"/>
          </w:tcPr>
          <w:p w:rsidR="00485094" w:rsidRPr="00A94B36" w:rsidRDefault="00485094" w:rsidP="00453E80">
            <w:pPr>
              <w:pStyle w:val="TableText"/>
              <w:jc w:val="center"/>
              <w:rPr>
                <w:b/>
                <w:i/>
                <w:szCs w:val="18"/>
              </w:rPr>
            </w:pPr>
            <w:r w:rsidRPr="00A94B36">
              <w:rPr>
                <w:b/>
                <w:i/>
                <w:szCs w:val="18"/>
              </w:rPr>
              <w:t>Sampleable</w:t>
            </w:r>
            <w:r w:rsidRPr="00A94B36">
              <w:rPr>
                <w:b/>
                <w:i/>
                <w:szCs w:val="18"/>
                <w:vertAlign w:val="superscript"/>
              </w:rPr>
              <w:t>2</w:t>
            </w:r>
          </w:p>
        </w:tc>
        <w:tc>
          <w:tcPr>
            <w:tcW w:w="810" w:type="dxa"/>
            <w:tcBorders>
              <w:top w:val="single" w:sz="4" w:space="0" w:color="auto"/>
              <w:bottom w:val="double" w:sz="4" w:space="0" w:color="auto"/>
            </w:tcBorders>
            <w:shd w:val="clear" w:color="auto" w:fill="BDFFFF"/>
            <w:vAlign w:val="bottom"/>
          </w:tcPr>
          <w:p w:rsidR="00485094" w:rsidRPr="00A94B36" w:rsidRDefault="00485094" w:rsidP="00453E80">
            <w:pPr>
              <w:pStyle w:val="TableText"/>
              <w:jc w:val="center"/>
              <w:rPr>
                <w:b/>
                <w:i/>
                <w:szCs w:val="18"/>
              </w:rPr>
            </w:pPr>
            <w:r w:rsidRPr="00A94B36">
              <w:rPr>
                <w:b/>
                <w:i/>
                <w:szCs w:val="18"/>
              </w:rPr>
              <w:t>Dry</w:t>
            </w:r>
            <w:r w:rsidRPr="00A94B36">
              <w:rPr>
                <w:b/>
                <w:i/>
                <w:szCs w:val="18"/>
                <w:vertAlign w:val="superscript"/>
              </w:rPr>
              <w:t>2</w:t>
            </w:r>
          </w:p>
        </w:tc>
        <w:tc>
          <w:tcPr>
            <w:tcW w:w="1440" w:type="dxa"/>
            <w:tcBorders>
              <w:top w:val="single" w:sz="4" w:space="0" w:color="auto"/>
              <w:bottom w:val="double" w:sz="4" w:space="0" w:color="auto"/>
            </w:tcBorders>
            <w:shd w:val="clear" w:color="auto" w:fill="BDFFFF"/>
            <w:vAlign w:val="bottom"/>
          </w:tcPr>
          <w:p w:rsidR="00485094" w:rsidRPr="00A94B36" w:rsidRDefault="00485094" w:rsidP="00453E80">
            <w:pPr>
              <w:pStyle w:val="TableText"/>
              <w:jc w:val="center"/>
              <w:rPr>
                <w:b/>
                <w:i/>
                <w:szCs w:val="18"/>
              </w:rPr>
            </w:pPr>
            <w:r w:rsidRPr="00A94B36">
              <w:rPr>
                <w:b/>
                <w:i/>
                <w:szCs w:val="18"/>
              </w:rPr>
              <w:t>Inaccessible</w:t>
            </w:r>
            <w:r w:rsidRPr="00A94B36">
              <w:rPr>
                <w:b/>
                <w:i/>
                <w:szCs w:val="18"/>
                <w:vertAlign w:val="superscript"/>
              </w:rPr>
              <w:t>2</w:t>
            </w:r>
          </w:p>
        </w:tc>
        <w:tc>
          <w:tcPr>
            <w:tcW w:w="1159" w:type="dxa"/>
            <w:tcBorders>
              <w:top w:val="single" w:sz="4" w:space="0" w:color="auto"/>
              <w:bottom w:val="double" w:sz="4" w:space="0" w:color="auto"/>
            </w:tcBorders>
            <w:shd w:val="clear" w:color="auto" w:fill="BDFFFF"/>
            <w:vAlign w:val="bottom"/>
          </w:tcPr>
          <w:p w:rsidR="00485094" w:rsidRPr="00A94B36" w:rsidRDefault="00485094" w:rsidP="00453E80">
            <w:pPr>
              <w:pStyle w:val="TableText"/>
              <w:jc w:val="center"/>
              <w:rPr>
                <w:b/>
                <w:i/>
                <w:szCs w:val="18"/>
              </w:rPr>
            </w:pPr>
            <w:r w:rsidRPr="00A94B36">
              <w:rPr>
                <w:b/>
                <w:i/>
                <w:szCs w:val="18"/>
              </w:rPr>
              <w:t>Number of Samples</w:t>
            </w:r>
          </w:p>
        </w:tc>
        <w:tc>
          <w:tcPr>
            <w:tcW w:w="1181" w:type="dxa"/>
            <w:tcBorders>
              <w:top w:val="single" w:sz="4" w:space="0" w:color="auto"/>
              <w:bottom w:val="double" w:sz="4" w:space="0" w:color="auto"/>
            </w:tcBorders>
            <w:shd w:val="clear" w:color="auto" w:fill="BDFFFF"/>
            <w:vAlign w:val="bottom"/>
          </w:tcPr>
          <w:p w:rsidR="00485094" w:rsidRPr="00A94B36" w:rsidRDefault="00485094" w:rsidP="00453E80">
            <w:pPr>
              <w:pStyle w:val="TableText"/>
              <w:jc w:val="center"/>
              <w:rPr>
                <w:b/>
                <w:i/>
                <w:szCs w:val="18"/>
              </w:rPr>
            </w:pPr>
            <w:r w:rsidRPr="00A94B36">
              <w:rPr>
                <w:b/>
                <w:i/>
                <w:szCs w:val="18"/>
              </w:rPr>
              <w:t>% Meeting Threshold</w:t>
            </w:r>
          </w:p>
        </w:tc>
        <w:tc>
          <w:tcPr>
            <w:tcW w:w="1609" w:type="dxa"/>
            <w:tcBorders>
              <w:top w:val="single" w:sz="4" w:space="0" w:color="auto"/>
              <w:bottom w:val="double" w:sz="4" w:space="0" w:color="auto"/>
            </w:tcBorders>
            <w:shd w:val="clear" w:color="auto" w:fill="BDFFFF"/>
            <w:vAlign w:val="bottom"/>
          </w:tcPr>
          <w:p w:rsidR="00485094" w:rsidRPr="00A94B36" w:rsidRDefault="00485094" w:rsidP="00453E80">
            <w:pPr>
              <w:pStyle w:val="TableText"/>
              <w:jc w:val="center"/>
              <w:rPr>
                <w:b/>
                <w:i/>
                <w:szCs w:val="18"/>
              </w:rPr>
            </w:pPr>
            <w:r w:rsidRPr="00A94B36">
              <w:rPr>
                <w:b/>
                <w:i/>
                <w:szCs w:val="18"/>
              </w:rPr>
              <w:t xml:space="preserve">95% </w:t>
            </w:r>
          </w:p>
          <w:p w:rsidR="00485094" w:rsidRPr="00A94B36" w:rsidRDefault="00485094" w:rsidP="00453E80">
            <w:pPr>
              <w:pStyle w:val="TableText"/>
              <w:jc w:val="center"/>
              <w:rPr>
                <w:b/>
                <w:i/>
                <w:szCs w:val="18"/>
              </w:rPr>
            </w:pPr>
            <w:r w:rsidRPr="00A94B36">
              <w:rPr>
                <w:b/>
                <w:i/>
                <w:szCs w:val="18"/>
              </w:rPr>
              <w:t>Confidence Bounds</w:t>
            </w:r>
          </w:p>
          <w:p w:rsidR="00485094" w:rsidRPr="00A94B36" w:rsidRDefault="00485094" w:rsidP="00453E80">
            <w:pPr>
              <w:pStyle w:val="TableText"/>
              <w:jc w:val="center"/>
              <w:rPr>
                <w:b/>
                <w:i/>
                <w:szCs w:val="18"/>
              </w:rPr>
            </w:pPr>
            <w:r w:rsidRPr="00A94B36">
              <w:rPr>
                <w:b/>
                <w:i/>
                <w:szCs w:val="18"/>
              </w:rPr>
              <w:t>(% Meeting Threshold)</w:t>
            </w:r>
          </w:p>
        </w:tc>
        <w:tc>
          <w:tcPr>
            <w:tcW w:w="1181" w:type="dxa"/>
            <w:tcBorders>
              <w:top w:val="single" w:sz="4" w:space="0" w:color="auto"/>
              <w:bottom w:val="double" w:sz="4" w:space="0" w:color="auto"/>
            </w:tcBorders>
            <w:shd w:val="clear" w:color="auto" w:fill="BDFFFF"/>
            <w:vAlign w:val="bottom"/>
          </w:tcPr>
          <w:p w:rsidR="00485094" w:rsidRPr="00A94B36" w:rsidRDefault="00485094" w:rsidP="00453E80">
            <w:pPr>
              <w:pStyle w:val="TableText"/>
              <w:jc w:val="center"/>
              <w:rPr>
                <w:b/>
                <w:i/>
                <w:szCs w:val="18"/>
              </w:rPr>
            </w:pPr>
            <w:r w:rsidRPr="00A94B36">
              <w:rPr>
                <w:b/>
                <w:i/>
                <w:szCs w:val="18"/>
              </w:rPr>
              <w:t>% Not Meeting Threshold</w:t>
            </w:r>
          </w:p>
        </w:tc>
        <w:tc>
          <w:tcPr>
            <w:tcW w:w="1350" w:type="dxa"/>
            <w:tcBorders>
              <w:top w:val="single" w:sz="4" w:space="0" w:color="auto"/>
              <w:bottom w:val="double" w:sz="4" w:space="0" w:color="auto"/>
            </w:tcBorders>
            <w:shd w:val="clear" w:color="auto" w:fill="BDFFFF"/>
            <w:vAlign w:val="bottom"/>
          </w:tcPr>
          <w:p w:rsidR="00485094" w:rsidRPr="00A94B36" w:rsidRDefault="00485094" w:rsidP="00453E80">
            <w:pPr>
              <w:pStyle w:val="TableText"/>
              <w:jc w:val="center"/>
              <w:rPr>
                <w:b/>
                <w:i/>
                <w:szCs w:val="18"/>
              </w:rPr>
            </w:pPr>
            <w:r w:rsidRPr="00A94B36">
              <w:rPr>
                <w:b/>
                <w:i/>
                <w:szCs w:val="18"/>
              </w:rPr>
              <w:t>Assessment Period</w:t>
            </w:r>
          </w:p>
        </w:tc>
      </w:tr>
      <w:tr w:rsidR="00485094" w:rsidRPr="00A94B36" w:rsidTr="00453E80">
        <w:trPr>
          <w:cantSplit/>
          <w:trHeight w:val="288"/>
          <w:jc w:val="center"/>
        </w:trPr>
        <w:tc>
          <w:tcPr>
            <w:tcW w:w="2273" w:type="dxa"/>
            <w:tcBorders>
              <w:top w:val="double" w:sz="4" w:space="0" w:color="auto"/>
              <w:left w:val="single" w:sz="6" w:space="0" w:color="auto"/>
            </w:tcBorders>
            <w:vAlign w:val="center"/>
          </w:tcPr>
          <w:p w:rsidR="00485094" w:rsidRPr="00BD303B" w:rsidRDefault="00485094" w:rsidP="00453E80">
            <w:pPr>
              <w:pStyle w:val="TableText"/>
              <w:jc w:val="center"/>
              <w:rPr>
                <w:i/>
                <w:szCs w:val="18"/>
              </w:rPr>
            </w:pPr>
            <w:r w:rsidRPr="00BD303B">
              <w:rPr>
                <w:szCs w:val="18"/>
              </w:rPr>
              <w:t>TSI</w:t>
            </w:r>
          </w:p>
        </w:tc>
        <w:tc>
          <w:tcPr>
            <w:tcW w:w="1350"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5,882</w:t>
            </w:r>
          </w:p>
        </w:tc>
        <w:tc>
          <w:tcPr>
            <w:tcW w:w="1350"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2,147</w:t>
            </w:r>
          </w:p>
        </w:tc>
        <w:tc>
          <w:tcPr>
            <w:tcW w:w="810"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1,516</w:t>
            </w:r>
          </w:p>
        </w:tc>
        <w:tc>
          <w:tcPr>
            <w:tcW w:w="1440"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2,219</w:t>
            </w:r>
          </w:p>
        </w:tc>
        <w:tc>
          <w:tcPr>
            <w:tcW w:w="1159"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465</w:t>
            </w:r>
          </w:p>
        </w:tc>
        <w:tc>
          <w:tcPr>
            <w:tcW w:w="1181"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90.3</w:t>
            </w:r>
          </w:p>
        </w:tc>
        <w:tc>
          <w:tcPr>
            <w:tcW w:w="1609"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86.8-93.8</w:t>
            </w:r>
          </w:p>
        </w:tc>
        <w:tc>
          <w:tcPr>
            <w:tcW w:w="1181"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9.7</w:t>
            </w:r>
          </w:p>
        </w:tc>
        <w:tc>
          <w:tcPr>
            <w:tcW w:w="1350" w:type="dxa"/>
            <w:tcBorders>
              <w:top w:val="double" w:sz="4" w:space="0" w:color="auto"/>
              <w:right w:val="single" w:sz="6" w:space="0" w:color="auto"/>
            </w:tcBorders>
            <w:vAlign w:val="center"/>
          </w:tcPr>
          <w:p w:rsidR="00485094" w:rsidRPr="00BD303B" w:rsidRDefault="00485094" w:rsidP="00453E80">
            <w:pPr>
              <w:pStyle w:val="TableText"/>
              <w:jc w:val="center"/>
              <w:rPr>
                <w:szCs w:val="18"/>
              </w:rPr>
            </w:pPr>
            <w:r w:rsidRPr="00BD303B">
              <w:rPr>
                <w:szCs w:val="18"/>
              </w:rPr>
              <w:t>2004-08</w:t>
            </w:r>
          </w:p>
        </w:tc>
      </w:tr>
      <w:tr w:rsidR="00485094" w:rsidRPr="00A94B36" w:rsidTr="00453E80">
        <w:trPr>
          <w:cantSplit/>
          <w:trHeight w:val="288"/>
          <w:jc w:val="center"/>
        </w:trPr>
        <w:tc>
          <w:tcPr>
            <w:tcW w:w="2273" w:type="dxa"/>
            <w:tcBorders>
              <w:left w:val="single" w:sz="6" w:space="0" w:color="auto"/>
            </w:tcBorders>
            <w:shd w:val="clear" w:color="auto" w:fill="FFFFCC"/>
            <w:vAlign w:val="center"/>
          </w:tcPr>
          <w:p w:rsidR="00485094" w:rsidRPr="00BD303B" w:rsidRDefault="00485094" w:rsidP="00453E80">
            <w:pPr>
              <w:pStyle w:val="TableText"/>
              <w:jc w:val="center"/>
              <w:rPr>
                <w:szCs w:val="18"/>
              </w:rPr>
            </w:pPr>
            <w:r w:rsidRPr="00BD303B">
              <w:rPr>
                <w:szCs w:val="18"/>
              </w:rPr>
              <w:t>Un-ionized Ammonia</w:t>
            </w:r>
          </w:p>
        </w:tc>
        <w:tc>
          <w:tcPr>
            <w:tcW w:w="1350" w:type="dxa"/>
            <w:shd w:val="clear" w:color="auto" w:fill="FFFFCC"/>
            <w:vAlign w:val="center"/>
          </w:tcPr>
          <w:p w:rsidR="00485094" w:rsidRPr="00BD303B" w:rsidRDefault="00485094" w:rsidP="00453E80">
            <w:pPr>
              <w:pStyle w:val="TableText"/>
              <w:jc w:val="center"/>
              <w:rPr>
                <w:szCs w:val="18"/>
              </w:rPr>
            </w:pPr>
            <w:r w:rsidRPr="00BD303B">
              <w:rPr>
                <w:szCs w:val="18"/>
              </w:rPr>
              <w:t>5,882</w:t>
            </w:r>
          </w:p>
        </w:tc>
        <w:tc>
          <w:tcPr>
            <w:tcW w:w="1350" w:type="dxa"/>
            <w:shd w:val="clear" w:color="auto" w:fill="FFFFCC"/>
            <w:vAlign w:val="center"/>
          </w:tcPr>
          <w:p w:rsidR="00485094" w:rsidRPr="00BD303B" w:rsidRDefault="00485094" w:rsidP="00453E80">
            <w:pPr>
              <w:pStyle w:val="TableText"/>
              <w:jc w:val="center"/>
              <w:rPr>
                <w:szCs w:val="18"/>
              </w:rPr>
            </w:pPr>
            <w:r w:rsidRPr="00BD303B">
              <w:rPr>
                <w:szCs w:val="18"/>
              </w:rPr>
              <w:t>2,147</w:t>
            </w:r>
          </w:p>
        </w:tc>
        <w:tc>
          <w:tcPr>
            <w:tcW w:w="810" w:type="dxa"/>
            <w:shd w:val="clear" w:color="auto" w:fill="FFFFCC"/>
            <w:vAlign w:val="center"/>
          </w:tcPr>
          <w:p w:rsidR="00485094" w:rsidRPr="00BD303B" w:rsidRDefault="00485094" w:rsidP="00453E80">
            <w:pPr>
              <w:pStyle w:val="TableText"/>
              <w:jc w:val="center"/>
              <w:rPr>
                <w:szCs w:val="18"/>
              </w:rPr>
            </w:pPr>
            <w:r w:rsidRPr="00BD303B">
              <w:rPr>
                <w:szCs w:val="18"/>
              </w:rPr>
              <w:t>1,516</w:t>
            </w:r>
          </w:p>
        </w:tc>
        <w:tc>
          <w:tcPr>
            <w:tcW w:w="1440" w:type="dxa"/>
            <w:shd w:val="clear" w:color="auto" w:fill="FFFFCC"/>
            <w:vAlign w:val="center"/>
          </w:tcPr>
          <w:p w:rsidR="00485094" w:rsidRPr="00BD303B" w:rsidRDefault="00485094" w:rsidP="00453E80">
            <w:pPr>
              <w:pStyle w:val="TableText"/>
              <w:jc w:val="center"/>
              <w:rPr>
                <w:szCs w:val="18"/>
              </w:rPr>
            </w:pPr>
            <w:r w:rsidRPr="00BD303B">
              <w:rPr>
                <w:szCs w:val="18"/>
              </w:rPr>
              <w:t>2,219</w:t>
            </w:r>
          </w:p>
        </w:tc>
        <w:tc>
          <w:tcPr>
            <w:tcW w:w="1159" w:type="dxa"/>
            <w:shd w:val="clear" w:color="auto" w:fill="FFFFCC"/>
            <w:vAlign w:val="center"/>
          </w:tcPr>
          <w:p w:rsidR="00485094" w:rsidRPr="00BD303B" w:rsidRDefault="00485094" w:rsidP="00453E80">
            <w:pPr>
              <w:pStyle w:val="TableText"/>
              <w:jc w:val="center"/>
              <w:rPr>
                <w:szCs w:val="18"/>
              </w:rPr>
            </w:pPr>
            <w:r w:rsidRPr="00BD303B">
              <w:rPr>
                <w:szCs w:val="18"/>
              </w:rPr>
              <w:t>464</w:t>
            </w:r>
          </w:p>
        </w:tc>
        <w:tc>
          <w:tcPr>
            <w:tcW w:w="1181" w:type="dxa"/>
            <w:shd w:val="clear" w:color="auto" w:fill="FFFFCC"/>
            <w:vAlign w:val="center"/>
          </w:tcPr>
          <w:p w:rsidR="00485094" w:rsidRPr="00BD303B" w:rsidRDefault="00485094" w:rsidP="00453E80">
            <w:pPr>
              <w:pStyle w:val="TableText"/>
              <w:jc w:val="center"/>
              <w:rPr>
                <w:szCs w:val="18"/>
              </w:rPr>
            </w:pPr>
            <w:r w:rsidRPr="00BD303B">
              <w:rPr>
                <w:szCs w:val="18"/>
              </w:rPr>
              <w:t>99.3</w:t>
            </w:r>
          </w:p>
        </w:tc>
        <w:tc>
          <w:tcPr>
            <w:tcW w:w="1609" w:type="dxa"/>
            <w:shd w:val="clear" w:color="auto" w:fill="FFFFCC"/>
            <w:vAlign w:val="center"/>
          </w:tcPr>
          <w:p w:rsidR="00485094" w:rsidRPr="00BD303B" w:rsidRDefault="00485094" w:rsidP="00453E80">
            <w:pPr>
              <w:pStyle w:val="TableText"/>
              <w:jc w:val="center"/>
              <w:rPr>
                <w:szCs w:val="18"/>
              </w:rPr>
            </w:pPr>
            <w:r w:rsidRPr="00BD303B">
              <w:rPr>
                <w:szCs w:val="18"/>
              </w:rPr>
              <w:t>98.5-100.0</w:t>
            </w:r>
          </w:p>
        </w:tc>
        <w:tc>
          <w:tcPr>
            <w:tcW w:w="1181" w:type="dxa"/>
            <w:shd w:val="clear" w:color="auto" w:fill="FFFFCC"/>
            <w:vAlign w:val="center"/>
          </w:tcPr>
          <w:p w:rsidR="00485094" w:rsidRPr="00BD303B" w:rsidRDefault="00485094" w:rsidP="00453E80">
            <w:pPr>
              <w:pStyle w:val="TableText"/>
              <w:jc w:val="center"/>
              <w:rPr>
                <w:szCs w:val="18"/>
              </w:rPr>
            </w:pPr>
            <w:r w:rsidRPr="00BD303B">
              <w:rPr>
                <w:szCs w:val="18"/>
              </w:rPr>
              <w:t>0.7</w:t>
            </w:r>
          </w:p>
        </w:tc>
        <w:tc>
          <w:tcPr>
            <w:tcW w:w="1350" w:type="dxa"/>
            <w:tcBorders>
              <w:right w:val="single" w:sz="6" w:space="0" w:color="auto"/>
            </w:tcBorders>
            <w:shd w:val="clear" w:color="auto" w:fill="FFFFCC"/>
            <w:vAlign w:val="center"/>
          </w:tcPr>
          <w:p w:rsidR="00485094" w:rsidRPr="00BD303B" w:rsidRDefault="00485094" w:rsidP="00453E80">
            <w:pPr>
              <w:pStyle w:val="TableText"/>
              <w:jc w:val="center"/>
              <w:rPr>
                <w:szCs w:val="18"/>
              </w:rPr>
            </w:pPr>
            <w:r w:rsidRPr="00BD303B">
              <w:rPr>
                <w:szCs w:val="18"/>
              </w:rPr>
              <w:t>2004-08</w:t>
            </w:r>
          </w:p>
        </w:tc>
      </w:tr>
      <w:tr w:rsidR="00485094" w:rsidRPr="00A94B36" w:rsidTr="00453E80">
        <w:trPr>
          <w:cantSplit/>
          <w:trHeight w:val="288"/>
          <w:jc w:val="center"/>
        </w:trPr>
        <w:tc>
          <w:tcPr>
            <w:tcW w:w="2273" w:type="dxa"/>
            <w:tcBorders>
              <w:left w:val="single" w:sz="6" w:space="0" w:color="auto"/>
            </w:tcBorders>
            <w:vAlign w:val="center"/>
          </w:tcPr>
          <w:p w:rsidR="00485094" w:rsidRPr="00BD303B" w:rsidRDefault="00485094" w:rsidP="00453E80">
            <w:pPr>
              <w:pStyle w:val="TableText"/>
              <w:jc w:val="center"/>
              <w:rPr>
                <w:szCs w:val="18"/>
              </w:rPr>
            </w:pPr>
            <w:r w:rsidRPr="00BD303B">
              <w:rPr>
                <w:szCs w:val="18"/>
              </w:rPr>
              <w:t>Fecal Coliform</w:t>
            </w:r>
          </w:p>
        </w:tc>
        <w:tc>
          <w:tcPr>
            <w:tcW w:w="1350" w:type="dxa"/>
            <w:vAlign w:val="center"/>
          </w:tcPr>
          <w:p w:rsidR="00485094" w:rsidRPr="00BD303B" w:rsidRDefault="00485094" w:rsidP="00453E80">
            <w:pPr>
              <w:pStyle w:val="TableText"/>
              <w:jc w:val="center"/>
              <w:rPr>
                <w:szCs w:val="18"/>
              </w:rPr>
            </w:pPr>
            <w:r w:rsidRPr="00BD303B">
              <w:rPr>
                <w:szCs w:val="18"/>
              </w:rPr>
              <w:t>5,882</w:t>
            </w:r>
          </w:p>
        </w:tc>
        <w:tc>
          <w:tcPr>
            <w:tcW w:w="1350" w:type="dxa"/>
            <w:vAlign w:val="center"/>
          </w:tcPr>
          <w:p w:rsidR="00485094" w:rsidRPr="00BD303B" w:rsidRDefault="00485094" w:rsidP="00453E80">
            <w:pPr>
              <w:pStyle w:val="TableText"/>
              <w:jc w:val="center"/>
              <w:rPr>
                <w:szCs w:val="18"/>
              </w:rPr>
            </w:pPr>
            <w:r w:rsidRPr="00BD303B">
              <w:rPr>
                <w:szCs w:val="18"/>
              </w:rPr>
              <w:t>2,147</w:t>
            </w:r>
          </w:p>
        </w:tc>
        <w:tc>
          <w:tcPr>
            <w:tcW w:w="810" w:type="dxa"/>
            <w:vAlign w:val="center"/>
          </w:tcPr>
          <w:p w:rsidR="00485094" w:rsidRPr="00BD303B" w:rsidRDefault="00485094" w:rsidP="00453E80">
            <w:pPr>
              <w:pStyle w:val="TableText"/>
              <w:jc w:val="center"/>
              <w:rPr>
                <w:szCs w:val="18"/>
              </w:rPr>
            </w:pPr>
            <w:r w:rsidRPr="00BD303B">
              <w:rPr>
                <w:szCs w:val="18"/>
              </w:rPr>
              <w:t>1,516</w:t>
            </w:r>
          </w:p>
        </w:tc>
        <w:tc>
          <w:tcPr>
            <w:tcW w:w="1440" w:type="dxa"/>
            <w:vAlign w:val="center"/>
          </w:tcPr>
          <w:p w:rsidR="00485094" w:rsidRPr="00BD303B" w:rsidRDefault="00485094" w:rsidP="00453E80">
            <w:pPr>
              <w:pStyle w:val="TableText"/>
              <w:jc w:val="center"/>
              <w:rPr>
                <w:szCs w:val="18"/>
              </w:rPr>
            </w:pPr>
            <w:r w:rsidRPr="00BD303B">
              <w:rPr>
                <w:szCs w:val="18"/>
              </w:rPr>
              <w:t>2,219</w:t>
            </w:r>
          </w:p>
        </w:tc>
        <w:tc>
          <w:tcPr>
            <w:tcW w:w="1159" w:type="dxa"/>
            <w:vAlign w:val="center"/>
          </w:tcPr>
          <w:p w:rsidR="00485094" w:rsidRPr="00BD303B" w:rsidRDefault="00485094" w:rsidP="00453E80">
            <w:pPr>
              <w:pStyle w:val="TableText"/>
              <w:jc w:val="center"/>
              <w:rPr>
                <w:szCs w:val="18"/>
              </w:rPr>
            </w:pPr>
            <w:r w:rsidRPr="00BD303B">
              <w:rPr>
                <w:szCs w:val="18"/>
              </w:rPr>
              <w:t>456</w:t>
            </w:r>
          </w:p>
        </w:tc>
        <w:tc>
          <w:tcPr>
            <w:tcW w:w="1181" w:type="dxa"/>
            <w:vAlign w:val="center"/>
          </w:tcPr>
          <w:p w:rsidR="00485094" w:rsidRPr="00BD303B" w:rsidRDefault="00485094" w:rsidP="00453E80">
            <w:pPr>
              <w:pStyle w:val="TableText"/>
              <w:jc w:val="center"/>
              <w:rPr>
                <w:szCs w:val="18"/>
              </w:rPr>
            </w:pPr>
            <w:r w:rsidRPr="00BD303B">
              <w:rPr>
                <w:szCs w:val="18"/>
              </w:rPr>
              <w:t>90.9</w:t>
            </w:r>
          </w:p>
        </w:tc>
        <w:tc>
          <w:tcPr>
            <w:tcW w:w="1609" w:type="dxa"/>
            <w:vAlign w:val="center"/>
          </w:tcPr>
          <w:p w:rsidR="00485094" w:rsidRPr="00BD303B" w:rsidRDefault="00485094" w:rsidP="00453E80">
            <w:pPr>
              <w:pStyle w:val="TableText"/>
              <w:jc w:val="center"/>
              <w:rPr>
                <w:szCs w:val="18"/>
              </w:rPr>
            </w:pPr>
            <w:r w:rsidRPr="00BD303B">
              <w:rPr>
                <w:szCs w:val="18"/>
              </w:rPr>
              <w:t>84.1-97.7</w:t>
            </w:r>
          </w:p>
        </w:tc>
        <w:tc>
          <w:tcPr>
            <w:tcW w:w="1181" w:type="dxa"/>
            <w:vAlign w:val="center"/>
          </w:tcPr>
          <w:p w:rsidR="00485094" w:rsidRPr="00BD303B" w:rsidRDefault="00485094" w:rsidP="00453E80">
            <w:pPr>
              <w:pStyle w:val="TableText"/>
              <w:jc w:val="center"/>
              <w:rPr>
                <w:szCs w:val="18"/>
              </w:rPr>
            </w:pPr>
            <w:r w:rsidRPr="00BD303B">
              <w:rPr>
                <w:szCs w:val="18"/>
              </w:rPr>
              <w:t>9.1</w:t>
            </w:r>
          </w:p>
        </w:tc>
        <w:tc>
          <w:tcPr>
            <w:tcW w:w="1350" w:type="dxa"/>
            <w:tcBorders>
              <w:right w:val="single" w:sz="6" w:space="0" w:color="auto"/>
            </w:tcBorders>
            <w:vAlign w:val="center"/>
          </w:tcPr>
          <w:p w:rsidR="00485094" w:rsidRPr="00BD303B" w:rsidRDefault="00485094" w:rsidP="00453E80">
            <w:pPr>
              <w:pStyle w:val="TableText"/>
              <w:jc w:val="center"/>
              <w:rPr>
                <w:szCs w:val="18"/>
              </w:rPr>
            </w:pPr>
            <w:r w:rsidRPr="00BD303B">
              <w:rPr>
                <w:szCs w:val="18"/>
              </w:rPr>
              <w:t>2004-08</w:t>
            </w:r>
          </w:p>
        </w:tc>
      </w:tr>
      <w:tr w:rsidR="00485094" w:rsidRPr="00A94B36" w:rsidTr="00453E80">
        <w:trPr>
          <w:cantSplit/>
          <w:trHeight w:val="288"/>
          <w:jc w:val="center"/>
        </w:trPr>
        <w:tc>
          <w:tcPr>
            <w:tcW w:w="2273" w:type="dxa"/>
            <w:tcBorders>
              <w:left w:val="single" w:sz="6" w:space="0" w:color="auto"/>
            </w:tcBorders>
            <w:shd w:val="clear" w:color="auto" w:fill="FFFFCC"/>
            <w:vAlign w:val="center"/>
          </w:tcPr>
          <w:p w:rsidR="00485094" w:rsidRPr="00BD303B" w:rsidRDefault="00485094" w:rsidP="00453E80">
            <w:pPr>
              <w:pStyle w:val="TableText"/>
              <w:jc w:val="center"/>
              <w:rPr>
                <w:szCs w:val="18"/>
              </w:rPr>
            </w:pPr>
            <w:r w:rsidRPr="00BD303B">
              <w:rPr>
                <w:szCs w:val="18"/>
              </w:rPr>
              <w:t>DO</w:t>
            </w:r>
          </w:p>
        </w:tc>
        <w:tc>
          <w:tcPr>
            <w:tcW w:w="1350" w:type="dxa"/>
            <w:shd w:val="clear" w:color="auto" w:fill="FFFFCC"/>
            <w:vAlign w:val="center"/>
          </w:tcPr>
          <w:p w:rsidR="00485094" w:rsidRPr="00BD303B" w:rsidRDefault="00485094" w:rsidP="00453E80">
            <w:pPr>
              <w:pStyle w:val="TableText"/>
              <w:jc w:val="center"/>
              <w:rPr>
                <w:szCs w:val="18"/>
              </w:rPr>
            </w:pPr>
            <w:r w:rsidRPr="00BD303B">
              <w:rPr>
                <w:szCs w:val="18"/>
              </w:rPr>
              <w:t>5,882</w:t>
            </w:r>
          </w:p>
        </w:tc>
        <w:tc>
          <w:tcPr>
            <w:tcW w:w="1350" w:type="dxa"/>
            <w:shd w:val="clear" w:color="auto" w:fill="FFFFCC"/>
            <w:vAlign w:val="center"/>
          </w:tcPr>
          <w:p w:rsidR="00485094" w:rsidRPr="00BD303B" w:rsidRDefault="00485094" w:rsidP="00453E80">
            <w:pPr>
              <w:pStyle w:val="TableText"/>
              <w:jc w:val="center"/>
              <w:rPr>
                <w:szCs w:val="18"/>
              </w:rPr>
            </w:pPr>
            <w:r w:rsidRPr="00BD303B">
              <w:rPr>
                <w:szCs w:val="18"/>
              </w:rPr>
              <w:t>2,147</w:t>
            </w:r>
          </w:p>
        </w:tc>
        <w:tc>
          <w:tcPr>
            <w:tcW w:w="810" w:type="dxa"/>
            <w:shd w:val="clear" w:color="auto" w:fill="FFFFCC"/>
            <w:vAlign w:val="center"/>
          </w:tcPr>
          <w:p w:rsidR="00485094" w:rsidRPr="00BD303B" w:rsidRDefault="00485094" w:rsidP="00453E80">
            <w:pPr>
              <w:pStyle w:val="TableText"/>
              <w:jc w:val="center"/>
              <w:rPr>
                <w:szCs w:val="18"/>
              </w:rPr>
            </w:pPr>
            <w:r w:rsidRPr="00BD303B">
              <w:rPr>
                <w:szCs w:val="18"/>
              </w:rPr>
              <w:t>1,516</w:t>
            </w:r>
          </w:p>
        </w:tc>
        <w:tc>
          <w:tcPr>
            <w:tcW w:w="1440" w:type="dxa"/>
            <w:shd w:val="clear" w:color="auto" w:fill="FFFFCC"/>
            <w:vAlign w:val="center"/>
          </w:tcPr>
          <w:p w:rsidR="00485094" w:rsidRPr="00BD303B" w:rsidRDefault="00485094" w:rsidP="00453E80">
            <w:pPr>
              <w:pStyle w:val="TableText"/>
              <w:jc w:val="center"/>
              <w:rPr>
                <w:szCs w:val="18"/>
              </w:rPr>
            </w:pPr>
            <w:r w:rsidRPr="00BD303B">
              <w:rPr>
                <w:szCs w:val="18"/>
              </w:rPr>
              <w:t>2,219</w:t>
            </w:r>
          </w:p>
        </w:tc>
        <w:tc>
          <w:tcPr>
            <w:tcW w:w="1159" w:type="dxa"/>
            <w:shd w:val="clear" w:color="auto" w:fill="FFFFCC"/>
            <w:vAlign w:val="center"/>
          </w:tcPr>
          <w:p w:rsidR="00485094" w:rsidRPr="00BD303B" w:rsidRDefault="00485094" w:rsidP="00453E80">
            <w:pPr>
              <w:pStyle w:val="TableText"/>
              <w:jc w:val="center"/>
              <w:rPr>
                <w:szCs w:val="18"/>
              </w:rPr>
            </w:pPr>
            <w:r w:rsidRPr="00BD303B">
              <w:rPr>
                <w:szCs w:val="18"/>
              </w:rPr>
              <w:t>465</w:t>
            </w:r>
          </w:p>
        </w:tc>
        <w:tc>
          <w:tcPr>
            <w:tcW w:w="1181" w:type="dxa"/>
            <w:shd w:val="clear" w:color="auto" w:fill="FFFFCC"/>
            <w:vAlign w:val="center"/>
          </w:tcPr>
          <w:p w:rsidR="00485094" w:rsidRPr="00BD303B" w:rsidRDefault="00485094" w:rsidP="00453E80">
            <w:pPr>
              <w:pStyle w:val="TableText"/>
              <w:jc w:val="center"/>
              <w:rPr>
                <w:szCs w:val="18"/>
              </w:rPr>
            </w:pPr>
            <w:r w:rsidRPr="00BD303B">
              <w:rPr>
                <w:szCs w:val="18"/>
              </w:rPr>
              <w:t>71.2</w:t>
            </w:r>
          </w:p>
        </w:tc>
        <w:tc>
          <w:tcPr>
            <w:tcW w:w="1609" w:type="dxa"/>
            <w:shd w:val="clear" w:color="auto" w:fill="FFFFCC"/>
            <w:vAlign w:val="center"/>
          </w:tcPr>
          <w:p w:rsidR="00485094" w:rsidRPr="00BD303B" w:rsidRDefault="00485094" w:rsidP="00453E80">
            <w:pPr>
              <w:pStyle w:val="TableText"/>
              <w:jc w:val="center"/>
              <w:rPr>
                <w:szCs w:val="18"/>
              </w:rPr>
            </w:pPr>
            <w:r w:rsidRPr="00BD303B">
              <w:rPr>
                <w:szCs w:val="18"/>
              </w:rPr>
              <w:t>66.7-75.6</w:t>
            </w:r>
          </w:p>
        </w:tc>
        <w:tc>
          <w:tcPr>
            <w:tcW w:w="1181" w:type="dxa"/>
            <w:shd w:val="clear" w:color="auto" w:fill="FFFFCC"/>
            <w:vAlign w:val="center"/>
          </w:tcPr>
          <w:p w:rsidR="00485094" w:rsidRPr="00BD303B" w:rsidRDefault="00485094" w:rsidP="00453E80">
            <w:pPr>
              <w:pStyle w:val="TableText"/>
              <w:jc w:val="center"/>
              <w:rPr>
                <w:szCs w:val="18"/>
              </w:rPr>
            </w:pPr>
            <w:r w:rsidRPr="00BD303B">
              <w:rPr>
                <w:szCs w:val="18"/>
              </w:rPr>
              <w:t>28.8</w:t>
            </w:r>
          </w:p>
        </w:tc>
        <w:tc>
          <w:tcPr>
            <w:tcW w:w="1350" w:type="dxa"/>
            <w:tcBorders>
              <w:right w:val="single" w:sz="6" w:space="0" w:color="auto"/>
            </w:tcBorders>
            <w:shd w:val="clear" w:color="auto" w:fill="FFFFCC"/>
            <w:vAlign w:val="center"/>
          </w:tcPr>
          <w:p w:rsidR="00485094" w:rsidRPr="00BD303B" w:rsidRDefault="00485094" w:rsidP="00453E80">
            <w:pPr>
              <w:pStyle w:val="TableText"/>
              <w:jc w:val="center"/>
              <w:rPr>
                <w:szCs w:val="18"/>
              </w:rPr>
            </w:pPr>
            <w:r w:rsidRPr="00BD303B">
              <w:rPr>
                <w:szCs w:val="18"/>
              </w:rPr>
              <w:t>2004-08</w:t>
            </w:r>
          </w:p>
        </w:tc>
      </w:tr>
    </w:tbl>
    <w:p w:rsidR="00485094" w:rsidRDefault="00485094" w:rsidP="00692F31">
      <w:pPr>
        <w:pStyle w:val="Bodytextreduced"/>
      </w:pPr>
    </w:p>
    <w:p w:rsidR="00485094" w:rsidRPr="00A94B36" w:rsidRDefault="00485094" w:rsidP="00692F31">
      <w:pPr>
        <w:pStyle w:val="Bodytext"/>
        <w:rPr>
          <w:b/>
          <w:color w:val="000000"/>
        </w:rPr>
      </w:pPr>
      <w:r w:rsidRPr="00A94B36">
        <w:rPr>
          <w:b/>
          <w:color w:val="000000"/>
        </w:rPr>
        <w:t>Highlights</w:t>
      </w:r>
      <w:r>
        <w:rPr>
          <w:b/>
          <w:color w:val="000000"/>
        </w:rPr>
        <w:t>:  Small Lakes</w:t>
      </w:r>
    </w:p>
    <w:p w:rsidR="00485094" w:rsidRDefault="00485094" w:rsidP="00692F31">
      <w:pPr>
        <w:pStyle w:val="ListBullet"/>
      </w:pPr>
      <w:r>
        <w:t>N</w:t>
      </w:r>
      <w:r w:rsidRPr="009775CD">
        <w:t xml:space="preserve">o small lake resources in </w:t>
      </w:r>
      <w:r>
        <w:t xml:space="preserve">the </w:t>
      </w:r>
      <w:r w:rsidRPr="009775CD">
        <w:t>Everglades West Coast, Lake Okeechobee, Charlotte Harbor, Everglades, Florida Keys, and Indian River Lagoon</w:t>
      </w:r>
      <w:r>
        <w:t xml:space="preserve"> Basins </w:t>
      </w:r>
      <w:r w:rsidRPr="00D51C9B">
        <w:rPr>
          <w:rFonts w:cs="Arial"/>
        </w:rPr>
        <w:t>fit the definition of the target population</w:t>
      </w:r>
      <w:r>
        <w:t>.</w:t>
      </w:r>
    </w:p>
    <w:p w:rsidR="00485094" w:rsidRDefault="00485094" w:rsidP="00692F31">
      <w:pPr>
        <w:pStyle w:val="ListBullet"/>
        <w:rPr>
          <w:rFonts w:cs="Arial"/>
        </w:rPr>
      </w:pPr>
      <w:r>
        <w:rPr>
          <w:rFonts w:cs="Arial"/>
        </w:rPr>
        <w:t>S</w:t>
      </w:r>
      <w:r w:rsidRPr="00D51C9B">
        <w:rPr>
          <w:rFonts w:cs="Arial"/>
        </w:rPr>
        <w:t>tatewide</w:t>
      </w:r>
      <w:r>
        <w:rPr>
          <w:rFonts w:cs="Arial"/>
        </w:rPr>
        <w:t>,</w:t>
      </w:r>
      <w:r w:rsidRPr="00D51C9B">
        <w:rPr>
          <w:rFonts w:cs="Arial"/>
        </w:rPr>
        <w:t xml:space="preserve"> </w:t>
      </w:r>
      <w:r>
        <w:t>90.3</w:t>
      </w:r>
      <w:r w:rsidRPr="00D51C9B">
        <w:rPr>
          <w:rFonts w:cs="Arial"/>
        </w:rPr>
        <w:t xml:space="preserve">% of </w:t>
      </w:r>
      <w:r>
        <w:rPr>
          <w:rFonts w:cs="Arial"/>
        </w:rPr>
        <w:t>the</w:t>
      </w:r>
      <w:r w:rsidRPr="00D51C9B">
        <w:rPr>
          <w:rFonts w:cs="Arial"/>
        </w:rPr>
        <w:t xml:space="preserve"> target population’s </w:t>
      </w:r>
      <w:r>
        <w:rPr>
          <w:rFonts w:cs="Arial"/>
        </w:rPr>
        <w:t>individual lakes</w:t>
      </w:r>
      <w:r w:rsidRPr="00BD303B">
        <w:t xml:space="preserve"> </w:t>
      </w:r>
      <w:r>
        <w:t>were below the TSI indicator (</w:t>
      </w:r>
      <w:r w:rsidRPr="003B37D3">
        <w:rPr>
          <w:rFonts w:cs="Arial"/>
        </w:rPr>
        <w:t>Color ≤ 40 PCUs, then TSI ≤ 40</w:t>
      </w:r>
      <w:r>
        <w:rPr>
          <w:rFonts w:cs="Arial"/>
        </w:rPr>
        <w:t xml:space="preserve">; </w:t>
      </w:r>
      <w:r w:rsidRPr="003B37D3">
        <w:rPr>
          <w:rFonts w:cs="Arial"/>
        </w:rPr>
        <w:t>Color &gt; 40 PCUs, then TSI ≤ 60</w:t>
      </w:r>
      <w:r>
        <w:t>) criteria</w:t>
      </w:r>
      <w:r>
        <w:rPr>
          <w:rFonts w:cs="Arial"/>
        </w:rPr>
        <w:t xml:space="preserve">.  </w:t>
      </w:r>
      <w:r w:rsidRPr="00D51C9B">
        <w:rPr>
          <w:rFonts w:cs="Arial"/>
        </w:rPr>
        <w:t xml:space="preserve">This threshold for </w:t>
      </w:r>
      <w:r>
        <w:rPr>
          <w:rFonts w:cs="Arial"/>
        </w:rPr>
        <w:t>TSI</w:t>
      </w:r>
      <w:r w:rsidRPr="00D51C9B">
        <w:rPr>
          <w:rFonts w:cs="Arial"/>
        </w:rPr>
        <w:t xml:space="preserve"> was met for 80%, or greater, of each basin’s </w:t>
      </w:r>
      <w:r>
        <w:rPr>
          <w:rFonts w:cs="Arial"/>
        </w:rPr>
        <w:t>individual lakes</w:t>
      </w:r>
      <w:r w:rsidRPr="00D51C9B">
        <w:rPr>
          <w:rFonts w:cs="Arial"/>
        </w:rPr>
        <w:t xml:space="preserve"> with </w:t>
      </w:r>
      <w:r>
        <w:rPr>
          <w:rFonts w:cs="Arial"/>
        </w:rPr>
        <w:t>2</w:t>
      </w:r>
      <w:r w:rsidRPr="00D51C9B">
        <w:rPr>
          <w:rFonts w:cs="Arial"/>
        </w:rPr>
        <w:t xml:space="preserve"> exceptions</w:t>
      </w:r>
      <w:r>
        <w:rPr>
          <w:rFonts w:cs="Arial"/>
        </w:rPr>
        <w:t xml:space="preserve">:  </w:t>
      </w:r>
      <w:r w:rsidRPr="00D51C9B">
        <w:rPr>
          <w:rFonts w:cs="Arial"/>
        </w:rPr>
        <w:t xml:space="preserve">the </w:t>
      </w:r>
      <w:r w:rsidRPr="00423D44">
        <w:t>Upper St. Johns</w:t>
      </w:r>
      <w:r w:rsidRPr="00D51C9B">
        <w:rPr>
          <w:rFonts w:cs="Arial"/>
        </w:rPr>
        <w:t xml:space="preserve"> (</w:t>
      </w:r>
      <w:r>
        <w:rPr>
          <w:rFonts w:cs="Arial"/>
        </w:rPr>
        <w:t>75.0</w:t>
      </w:r>
      <w:r w:rsidRPr="00D51C9B">
        <w:rPr>
          <w:rFonts w:cs="Arial"/>
        </w:rPr>
        <w:t>%)</w:t>
      </w:r>
      <w:r>
        <w:rPr>
          <w:rFonts w:cs="Arial"/>
        </w:rPr>
        <w:t xml:space="preserve"> and Springs Coast </w:t>
      </w:r>
      <w:r w:rsidRPr="00D51C9B">
        <w:rPr>
          <w:rFonts w:cs="Arial"/>
        </w:rPr>
        <w:t>(</w:t>
      </w:r>
      <w:r>
        <w:t>76.7</w:t>
      </w:r>
      <w:r w:rsidRPr="00D51C9B">
        <w:rPr>
          <w:rFonts w:cs="Arial"/>
        </w:rPr>
        <w:t>%)</w:t>
      </w:r>
      <w:r>
        <w:rPr>
          <w:rFonts w:cs="Arial"/>
        </w:rPr>
        <w:t xml:space="preserve"> Basins.</w:t>
      </w:r>
    </w:p>
    <w:p w:rsidR="00485094" w:rsidRDefault="00485094" w:rsidP="00692F31">
      <w:pPr>
        <w:pStyle w:val="ListBullet"/>
        <w:rPr>
          <w:rFonts w:cs="Arial"/>
        </w:rPr>
      </w:pPr>
      <w:r w:rsidRPr="009775CD">
        <w:rPr>
          <w:rFonts w:cs="Arial"/>
        </w:rPr>
        <w:t>S</w:t>
      </w:r>
      <w:r w:rsidRPr="00D51C9B">
        <w:rPr>
          <w:rFonts w:cs="Arial"/>
        </w:rPr>
        <w:t>tatewide</w:t>
      </w:r>
      <w:r>
        <w:rPr>
          <w:rFonts w:cs="Arial"/>
        </w:rPr>
        <w:t>,</w:t>
      </w:r>
      <w:r w:rsidRPr="00D51C9B">
        <w:rPr>
          <w:rFonts w:cs="Arial"/>
        </w:rPr>
        <w:t xml:space="preserve"> </w:t>
      </w:r>
      <w:r>
        <w:t>99.3</w:t>
      </w:r>
      <w:r w:rsidRPr="00D51C9B">
        <w:rPr>
          <w:rFonts w:cs="Arial"/>
        </w:rPr>
        <w:t xml:space="preserve">% of </w:t>
      </w:r>
      <w:r>
        <w:rPr>
          <w:rFonts w:cs="Arial"/>
        </w:rPr>
        <w:t>the</w:t>
      </w:r>
      <w:r w:rsidRPr="00D51C9B">
        <w:rPr>
          <w:rFonts w:cs="Arial"/>
        </w:rPr>
        <w:t xml:space="preserve"> target population’s </w:t>
      </w:r>
      <w:r>
        <w:rPr>
          <w:rFonts w:cs="Arial"/>
        </w:rPr>
        <w:t>individual lakes</w:t>
      </w:r>
      <w:r w:rsidRPr="00BD303B">
        <w:t xml:space="preserve"> </w:t>
      </w:r>
      <w:r>
        <w:t>were below the un-ionized ammonia (</w:t>
      </w:r>
      <w:r w:rsidRPr="003B37D3">
        <w:rPr>
          <w:rFonts w:cs="Arial"/>
        </w:rPr>
        <w:t>≤ 0.02 mg/L</w:t>
      </w:r>
      <w:r>
        <w:rPr>
          <w:rFonts w:cs="Arial"/>
        </w:rPr>
        <w:t xml:space="preserve">) </w:t>
      </w:r>
      <w:r>
        <w:t>criteria</w:t>
      </w:r>
      <w:r>
        <w:rPr>
          <w:rFonts w:cs="Arial"/>
        </w:rPr>
        <w:t xml:space="preserve">.  </w:t>
      </w:r>
      <w:r w:rsidRPr="00D51C9B">
        <w:rPr>
          <w:rFonts w:cs="Arial"/>
        </w:rPr>
        <w:t xml:space="preserve">This threshold for </w:t>
      </w:r>
      <w:r>
        <w:rPr>
          <w:rFonts w:cs="Arial"/>
        </w:rPr>
        <w:t>un-ionized ammonia</w:t>
      </w:r>
      <w:r w:rsidRPr="00D51C9B">
        <w:rPr>
          <w:rFonts w:cs="Arial"/>
        </w:rPr>
        <w:t xml:space="preserve"> was met for </w:t>
      </w:r>
      <w:r>
        <w:rPr>
          <w:rFonts w:cs="Arial"/>
        </w:rPr>
        <w:t>95</w:t>
      </w:r>
      <w:r w:rsidRPr="00D51C9B">
        <w:rPr>
          <w:rFonts w:cs="Arial"/>
        </w:rPr>
        <w:t xml:space="preserve">%, or greater, </w:t>
      </w:r>
      <w:r>
        <w:rPr>
          <w:rFonts w:cs="Arial"/>
        </w:rPr>
        <w:t>of each basin’s individual lakes.</w:t>
      </w:r>
    </w:p>
    <w:p w:rsidR="00485094" w:rsidRDefault="00485094" w:rsidP="00692F31">
      <w:pPr>
        <w:pStyle w:val="ListBullet"/>
        <w:rPr>
          <w:rFonts w:cs="Arial"/>
        </w:rPr>
      </w:pPr>
      <w:r w:rsidRPr="009775CD">
        <w:rPr>
          <w:rFonts w:cs="Arial"/>
        </w:rPr>
        <w:t>S</w:t>
      </w:r>
      <w:r w:rsidRPr="00D51C9B">
        <w:rPr>
          <w:rFonts w:cs="Arial"/>
        </w:rPr>
        <w:t>tatewide</w:t>
      </w:r>
      <w:r>
        <w:rPr>
          <w:rFonts w:cs="Arial"/>
        </w:rPr>
        <w:t>,</w:t>
      </w:r>
      <w:r w:rsidRPr="00D51C9B">
        <w:rPr>
          <w:rFonts w:cs="Arial"/>
        </w:rPr>
        <w:t xml:space="preserve"> </w:t>
      </w:r>
      <w:r>
        <w:t>90.9</w:t>
      </w:r>
      <w:r w:rsidRPr="00D51C9B">
        <w:rPr>
          <w:rFonts w:cs="Arial"/>
        </w:rPr>
        <w:t xml:space="preserve">% of </w:t>
      </w:r>
      <w:r>
        <w:rPr>
          <w:rFonts w:cs="Arial"/>
        </w:rPr>
        <w:t>the</w:t>
      </w:r>
      <w:r w:rsidRPr="00D51C9B">
        <w:rPr>
          <w:rFonts w:cs="Arial"/>
        </w:rPr>
        <w:t xml:space="preserve"> target population’s </w:t>
      </w:r>
      <w:r>
        <w:rPr>
          <w:rFonts w:cs="Arial"/>
        </w:rPr>
        <w:t>individual lakes</w:t>
      </w:r>
      <w:r w:rsidRPr="00BD303B">
        <w:t xml:space="preserve"> </w:t>
      </w:r>
      <w:r>
        <w:t>were below the fecal coliform (</w:t>
      </w:r>
      <w:r w:rsidRPr="003B37D3">
        <w:rPr>
          <w:rFonts w:cs="Arial"/>
        </w:rPr>
        <w:t>&lt; 400 colonies/100mL</w:t>
      </w:r>
      <w:r>
        <w:rPr>
          <w:rFonts w:cs="Arial"/>
        </w:rPr>
        <w:t xml:space="preserve">) </w:t>
      </w:r>
      <w:r>
        <w:t>criteria</w:t>
      </w:r>
      <w:r>
        <w:rPr>
          <w:rFonts w:cs="Arial"/>
        </w:rPr>
        <w:t xml:space="preserve">.  </w:t>
      </w:r>
      <w:r w:rsidRPr="00D51C9B">
        <w:rPr>
          <w:rFonts w:cs="Arial"/>
        </w:rPr>
        <w:t xml:space="preserve">This threshold for </w:t>
      </w:r>
      <w:r>
        <w:rPr>
          <w:rFonts w:cs="Arial"/>
        </w:rPr>
        <w:t>fecal coliform</w:t>
      </w:r>
      <w:r w:rsidRPr="00D51C9B">
        <w:rPr>
          <w:rFonts w:cs="Arial"/>
        </w:rPr>
        <w:t xml:space="preserve"> was met for 80%, or greater, of each basin’s </w:t>
      </w:r>
      <w:r>
        <w:rPr>
          <w:rFonts w:cs="Arial"/>
        </w:rPr>
        <w:t>individual lakes</w:t>
      </w:r>
      <w:r w:rsidRPr="00D51C9B">
        <w:rPr>
          <w:rFonts w:cs="Arial"/>
        </w:rPr>
        <w:t xml:space="preserve"> with </w:t>
      </w:r>
      <w:r>
        <w:rPr>
          <w:rFonts w:cs="Arial"/>
        </w:rPr>
        <w:t>4</w:t>
      </w:r>
      <w:r w:rsidRPr="00D51C9B">
        <w:rPr>
          <w:rFonts w:cs="Arial"/>
        </w:rPr>
        <w:t xml:space="preserve"> exceptions</w:t>
      </w:r>
      <w:r>
        <w:rPr>
          <w:rFonts w:cs="Arial"/>
        </w:rPr>
        <w:t xml:space="preserve">:  </w:t>
      </w:r>
      <w:r w:rsidRPr="00D51C9B">
        <w:rPr>
          <w:rFonts w:cs="Arial"/>
        </w:rPr>
        <w:t xml:space="preserve">the </w:t>
      </w:r>
      <w:r w:rsidRPr="00423D44">
        <w:t>Upper St. Johns</w:t>
      </w:r>
      <w:r w:rsidRPr="00D51C9B">
        <w:rPr>
          <w:rFonts w:cs="Arial"/>
        </w:rPr>
        <w:t xml:space="preserve"> (</w:t>
      </w:r>
      <w:r>
        <w:rPr>
          <w:rFonts w:cs="Arial"/>
        </w:rPr>
        <w:t>50.0</w:t>
      </w:r>
      <w:r w:rsidRPr="00D51C9B">
        <w:rPr>
          <w:rFonts w:cs="Arial"/>
        </w:rPr>
        <w:t xml:space="preserve">%), </w:t>
      </w:r>
      <w:r>
        <w:t>Sarasota Bay–</w:t>
      </w:r>
      <w:r w:rsidRPr="00423D44">
        <w:t>Peace</w:t>
      </w:r>
      <w:r>
        <w:t>–</w:t>
      </w:r>
      <w:r w:rsidRPr="00423D44">
        <w:t>Myakka</w:t>
      </w:r>
      <w:r w:rsidRPr="00D51C9B">
        <w:rPr>
          <w:rFonts w:cs="Arial"/>
        </w:rPr>
        <w:t xml:space="preserve"> </w:t>
      </w:r>
      <w:r>
        <w:rPr>
          <w:rFonts w:cs="Arial"/>
        </w:rPr>
        <w:t xml:space="preserve">(77.8%), </w:t>
      </w:r>
      <w:r w:rsidRPr="00423D44">
        <w:t>Fisheating Creek</w:t>
      </w:r>
      <w:r w:rsidRPr="00D51C9B">
        <w:rPr>
          <w:rFonts w:cs="Arial"/>
        </w:rPr>
        <w:t xml:space="preserve"> </w:t>
      </w:r>
      <w:r>
        <w:rPr>
          <w:rFonts w:cs="Arial"/>
        </w:rPr>
        <w:t xml:space="preserve">(50.0%), and Springs Coast </w:t>
      </w:r>
      <w:r w:rsidRPr="00D51C9B">
        <w:rPr>
          <w:rFonts w:cs="Arial"/>
        </w:rPr>
        <w:t>(</w:t>
      </w:r>
      <w:r>
        <w:t>75.9</w:t>
      </w:r>
      <w:r w:rsidRPr="00D51C9B">
        <w:rPr>
          <w:rFonts w:cs="Arial"/>
        </w:rPr>
        <w:t>%)</w:t>
      </w:r>
      <w:r>
        <w:rPr>
          <w:rFonts w:cs="Arial"/>
        </w:rPr>
        <w:t xml:space="preserve"> Basins</w:t>
      </w:r>
      <w:r w:rsidRPr="00D51C9B">
        <w:rPr>
          <w:rFonts w:cs="Arial"/>
        </w:rPr>
        <w:t>.</w:t>
      </w:r>
    </w:p>
    <w:p w:rsidR="00485094" w:rsidRDefault="00485094" w:rsidP="00692F31">
      <w:pPr>
        <w:pStyle w:val="ListBullet"/>
        <w:rPr>
          <w:rFonts w:cs="Arial"/>
        </w:rPr>
      </w:pPr>
      <w:r w:rsidRPr="009775CD">
        <w:rPr>
          <w:rFonts w:cs="Arial"/>
        </w:rPr>
        <w:t>S</w:t>
      </w:r>
      <w:r w:rsidRPr="00D51C9B">
        <w:rPr>
          <w:rFonts w:cs="Arial"/>
        </w:rPr>
        <w:t>tatewide</w:t>
      </w:r>
      <w:r>
        <w:rPr>
          <w:rFonts w:cs="Arial"/>
        </w:rPr>
        <w:t xml:space="preserve">, </w:t>
      </w:r>
      <w:r w:rsidRPr="009775CD">
        <w:t>71.2</w:t>
      </w:r>
      <w:r w:rsidRPr="00D51C9B">
        <w:rPr>
          <w:rFonts w:cs="Arial"/>
        </w:rPr>
        <w:t xml:space="preserve">% of </w:t>
      </w:r>
      <w:r>
        <w:rPr>
          <w:rFonts w:cs="Arial"/>
        </w:rPr>
        <w:t>the</w:t>
      </w:r>
      <w:r w:rsidRPr="00D51C9B">
        <w:rPr>
          <w:rFonts w:cs="Arial"/>
        </w:rPr>
        <w:t xml:space="preserve"> target population’s </w:t>
      </w:r>
      <w:r>
        <w:rPr>
          <w:rFonts w:cs="Arial"/>
        </w:rPr>
        <w:t>individual lakes</w:t>
      </w:r>
      <w:r w:rsidRPr="00BD303B">
        <w:t xml:space="preserve"> </w:t>
      </w:r>
      <w:r>
        <w:t>were above the DO (</w:t>
      </w:r>
      <w:r w:rsidRPr="00576ED2">
        <w:rPr>
          <w:rFonts w:cs="Arial"/>
          <w:lang w:val="fr-FR"/>
        </w:rPr>
        <w:t xml:space="preserve">≥ 5 mg/L) </w:t>
      </w:r>
      <w:r>
        <w:t>criteria</w:t>
      </w:r>
      <w:r>
        <w:rPr>
          <w:rFonts w:cs="Arial"/>
        </w:rPr>
        <w:t>.  O</w:t>
      </w:r>
      <w:r w:rsidRPr="00000364">
        <w:rPr>
          <w:rFonts w:cs="Arial"/>
        </w:rPr>
        <w:t xml:space="preserve">nly </w:t>
      </w:r>
      <w:r>
        <w:rPr>
          <w:rFonts w:cs="Arial"/>
        </w:rPr>
        <w:t>8</w:t>
      </w:r>
      <w:r w:rsidRPr="00000364">
        <w:rPr>
          <w:rFonts w:cs="Arial"/>
        </w:rPr>
        <w:t xml:space="preserve"> </w:t>
      </w:r>
      <w:r>
        <w:rPr>
          <w:rFonts w:cs="Arial"/>
        </w:rPr>
        <w:t xml:space="preserve">of the 23 </w:t>
      </w:r>
      <w:r w:rsidRPr="00000364">
        <w:rPr>
          <w:rFonts w:cs="Arial"/>
        </w:rPr>
        <w:t xml:space="preserve">basins </w:t>
      </w:r>
      <w:r>
        <w:rPr>
          <w:rFonts w:cs="Arial"/>
        </w:rPr>
        <w:t>met th</w:t>
      </w:r>
      <w:r w:rsidRPr="00000364">
        <w:rPr>
          <w:rFonts w:cs="Arial"/>
        </w:rPr>
        <w:t xml:space="preserve">e DO </w:t>
      </w:r>
      <w:r>
        <w:rPr>
          <w:rFonts w:cs="Arial"/>
        </w:rPr>
        <w:t xml:space="preserve">threshold for </w:t>
      </w:r>
      <w:r w:rsidRPr="00000364">
        <w:rPr>
          <w:rFonts w:cs="Arial"/>
        </w:rPr>
        <w:t>8</w:t>
      </w:r>
      <w:r>
        <w:rPr>
          <w:rFonts w:cs="Arial"/>
        </w:rPr>
        <w:t>0% of each</w:t>
      </w:r>
      <w:r w:rsidRPr="00D51C9B">
        <w:rPr>
          <w:rFonts w:cs="Arial"/>
        </w:rPr>
        <w:t xml:space="preserve"> basin</w:t>
      </w:r>
      <w:r>
        <w:rPr>
          <w:rFonts w:cs="Arial"/>
        </w:rPr>
        <w:t>’</w:t>
      </w:r>
      <w:r w:rsidRPr="00D51C9B">
        <w:rPr>
          <w:rFonts w:cs="Arial"/>
        </w:rPr>
        <w:t xml:space="preserve">s </w:t>
      </w:r>
      <w:r>
        <w:rPr>
          <w:rFonts w:cs="Arial"/>
        </w:rPr>
        <w:t xml:space="preserve">individual small lakes.  </w:t>
      </w:r>
      <w:r>
        <w:t xml:space="preserve">Input of color and organic carbon from wetlands, stream geomorphology, respiration, and decomposition are factors that lower DO.  </w:t>
      </w:r>
    </w:p>
    <w:p w:rsidR="00485094" w:rsidRPr="00D53BE0" w:rsidRDefault="00485094" w:rsidP="00692F31">
      <w:pPr>
        <w:pStyle w:val="Bodytext"/>
        <w:rPr>
          <w:szCs w:val="24"/>
        </w:rPr>
      </w:pPr>
    </w:p>
    <w:p w:rsidR="00485094" w:rsidRDefault="00485094" w:rsidP="00692F31">
      <w:pPr>
        <w:pStyle w:val="Heading4"/>
        <w:sectPr w:rsidR="00485094" w:rsidSect="003B37D3">
          <w:footerReference w:type="even" r:id="rId82"/>
          <w:pgSz w:w="15840" w:h="12240" w:orient="landscape" w:code="1"/>
          <w:pgMar w:top="1440" w:right="1440" w:bottom="1440" w:left="1440" w:header="720" w:footer="720" w:gutter="0"/>
          <w:paperSrc w:first="261"/>
          <w:cols w:space="720"/>
          <w:docGrid w:linePitch="360"/>
        </w:sectPr>
      </w:pPr>
    </w:p>
    <w:p w:rsidR="00485094" w:rsidRDefault="00485094" w:rsidP="00692F31">
      <w:pPr>
        <w:pStyle w:val="Heading3"/>
      </w:pPr>
      <w:bookmarkStart w:id="405" w:name="_Toc255822532"/>
      <w:bookmarkStart w:id="406" w:name="_Toc262464150"/>
      <w:bookmarkStart w:id="407" w:name="_Toc271279974"/>
      <w:bookmarkEnd w:id="399"/>
      <w:bookmarkEnd w:id="400"/>
      <w:r>
        <w:t>Sediment Quality Evaluation</w:t>
      </w:r>
      <w:bookmarkEnd w:id="405"/>
      <w:bookmarkEnd w:id="406"/>
      <w:bookmarkEnd w:id="407"/>
    </w:p>
    <w:p w:rsidR="00485094" w:rsidRDefault="00485094" w:rsidP="00692F31">
      <w:pPr>
        <w:pStyle w:val="Heading4"/>
      </w:pPr>
      <w:r>
        <w:t>Background</w:t>
      </w:r>
    </w:p>
    <w:p w:rsidR="00485094" w:rsidRDefault="00485094" w:rsidP="00692F31">
      <w:pPr>
        <w:pStyle w:val="Default"/>
        <w:rPr>
          <w:sz w:val="22"/>
          <w:szCs w:val="22"/>
        </w:rPr>
      </w:pPr>
      <w:r w:rsidRPr="001A7340">
        <w:rPr>
          <w:sz w:val="22"/>
          <w:szCs w:val="22"/>
        </w:rPr>
        <w:t xml:space="preserve">In healthy aquatic environments, sediments provide critical habitat for many organisms. </w:t>
      </w:r>
      <w:r>
        <w:rPr>
          <w:sz w:val="22"/>
          <w:szCs w:val="22"/>
        </w:rPr>
        <w:t xml:space="preserve"> </w:t>
      </w:r>
      <w:r w:rsidRPr="005D6D8F">
        <w:rPr>
          <w:color w:val="auto"/>
          <w:sz w:val="22"/>
          <w:szCs w:val="22"/>
        </w:rPr>
        <w:t xml:space="preserve">Sediments </w:t>
      </w:r>
      <w:r>
        <w:rPr>
          <w:color w:val="auto"/>
          <w:sz w:val="22"/>
          <w:szCs w:val="22"/>
        </w:rPr>
        <w:t xml:space="preserve">also </w:t>
      </w:r>
      <w:r w:rsidRPr="005D6D8F">
        <w:rPr>
          <w:color w:val="auto"/>
          <w:sz w:val="22"/>
          <w:szCs w:val="22"/>
        </w:rPr>
        <w:t xml:space="preserve">function as both a sink and a source of contamination and nutrients, as they accumulate both </w:t>
      </w:r>
      <w:r>
        <w:rPr>
          <w:color w:val="auto"/>
          <w:sz w:val="22"/>
          <w:szCs w:val="22"/>
        </w:rPr>
        <w:t xml:space="preserve">over time </w:t>
      </w:r>
      <w:r w:rsidRPr="005D6D8F">
        <w:rPr>
          <w:color w:val="auto"/>
          <w:sz w:val="22"/>
          <w:szCs w:val="22"/>
        </w:rPr>
        <w:t>from upland discharges, decomposition of organic (aquatic vegetation, algal species, etc.) material and atmospheric deposition.</w:t>
      </w:r>
      <w:r w:rsidRPr="005D6D8F">
        <w:rPr>
          <w:sz w:val="22"/>
          <w:szCs w:val="22"/>
        </w:rPr>
        <w:t xml:space="preserve">  </w:t>
      </w:r>
      <w:r>
        <w:rPr>
          <w:sz w:val="22"/>
          <w:szCs w:val="22"/>
        </w:rPr>
        <w:t>This accumulation can potentially affect the biological community</w:t>
      </w:r>
      <w:r w:rsidRPr="001A7340">
        <w:rPr>
          <w:sz w:val="22"/>
          <w:szCs w:val="22"/>
        </w:rPr>
        <w:t xml:space="preserve">. </w:t>
      </w:r>
      <w:r>
        <w:rPr>
          <w:sz w:val="22"/>
          <w:szCs w:val="22"/>
        </w:rPr>
        <w:t xml:space="preserve"> </w:t>
      </w:r>
      <w:r w:rsidRPr="001A7340">
        <w:rPr>
          <w:sz w:val="22"/>
          <w:szCs w:val="22"/>
        </w:rPr>
        <w:t xml:space="preserve">Knowledge of existing sediment quality is important for environmental managers in evaluating restoration and dredging projects, </w:t>
      </w:r>
      <w:r>
        <w:rPr>
          <w:sz w:val="22"/>
          <w:szCs w:val="22"/>
        </w:rPr>
        <w:t>and</w:t>
      </w:r>
      <w:r w:rsidRPr="001A7340">
        <w:rPr>
          <w:sz w:val="22"/>
          <w:szCs w:val="22"/>
        </w:rPr>
        <w:t xml:space="preserve"> to complement traditional water resource monitoring</w:t>
      </w:r>
      <w:r w:rsidRPr="009C7D97">
        <w:rPr>
          <w:sz w:val="22"/>
          <w:szCs w:val="22"/>
        </w:rPr>
        <w:t>.  Periodic water quality monitoring</w:t>
      </w:r>
      <w:r>
        <w:rPr>
          <w:sz w:val="22"/>
          <w:szCs w:val="22"/>
        </w:rPr>
        <w:t xml:space="preserve"> </w:t>
      </w:r>
      <w:r w:rsidRPr="009C7D97">
        <w:rPr>
          <w:sz w:val="22"/>
          <w:szCs w:val="22"/>
        </w:rPr>
        <w:t xml:space="preserve">cannot fully </w:t>
      </w:r>
      <w:r>
        <w:rPr>
          <w:sz w:val="22"/>
          <w:szCs w:val="22"/>
        </w:rPr>
        <w:t>evaluate</w:t>
      </w:r>
      <w:r w:rsidRPr="009C7D97">
        <w:rPr>
          <w:sz w:val="22"/>
          <w:szCs w:val="22"/>
        </w:rPr>
        <w:t xml:space="preserve"> aquatic ecosystems</w:t>
      </w:r>
      <w:r>
        <w:rPr>
          <w:sz w:val="22"/>
          <w:szCs w:val="22"/>
        </w:rPr>
        <w:t>,</w:t>
      </w:r>
      <w:r w:rsidRPr="009C7D97">
        <w:rPr>
          <w:sz w:val="22"/>
          <w:szCs w:val="22"/>
        </w:rPr>
        <w:t xml:space="preserve"> as it is not usually designed to assess the cumulative impact of contaminants.</w:t>
      </w:r>
    </w:p>
    <w:p w:rsidR="00485094" w:rsidRPr="001A7340" w:rsidRDefault="00485094" w:rsidP="00692F31">
      <w:pPr>
        <w:pStyle w:val="Default"/>
        <w:rPr>
          <w:sz w:val="22"/>
          <w:szCs w:val="22"/>
        </w:rPr>
      </w:pPr>
    </w:p>
    <w:p w:rsidR="00485094" w:rsidRPr="00072C64" w:rsidRDefault="00485094" w:rsidP="00692F31">
      <w:pPr>
        <w:pStyle w:val="Default"/>
        <w:rPr>
          <w:sz w:val="22"/>
          <w:szCs w:val="22"/>
        </w:rPr>
      </w:pPr>
      <w:r w:rsidRPr="00072C64">
        <w:rPr>
          <w:sz w:val="22"/>
          <w:szCs w:val="22"/>
        </w:rPr>
        <w:t>Before the 1980s, little was known about the abundance of metals or organics in sediments, especially the natural metals concentrations that differ in clay-rich north Florida sediments and carbonate-rich south Florida sediments.  Unlike many water column constituents, Florida has no standards (criteria) for sediment, and no statutory authority to establish criteria.  Therefore, it is important to use scientifically defensible thresholds to estimate the condition of sediments and determine the ecological significance of these thresholds.</w:t>
      </w:r>
    </w:p>
    <w:p w:rsidR="00485094" w:rsidRPr="00072C64" w:rsidRDefault="00485094" w:rsidP="00692F31">
      <w:pPr>
        <w:pStyle w:val="Default"/>
        <w:rPr>
          <w:sz w:val="22"/>
          <w:szCs w:val="22"/>
        </w:rPr>
      </w:pPr>
    </w:p>
    <w:p w:rsidR="00485094" w:rsidRPr="00072C64" w:rsidRDefault="00485094" w:rsidP="00692F31">
      <w:pPr>
        <w:rPr>
          <w:rFonts w:ascii="Arial" w:hAnsi="Arial" w:cs="Arial"/>
          <w:sz w:val="22"/>
          <w:szCs w:val="22"/>
        </w:rPr>
      </w:pPr>
      <w:r w:rsidRPr="00072C64">
        <w:rPr>
          <w:rFonts w:ascii="Arial" w:hAnsi="Arial" w:cs="Arial"/>
          <w:snapToGrid w:val="0"/>
          <w:color w:val="000000"/>
          <w:sz w:val="22"/>
          <w:szCs w:val="22"/>
        </w:rPr>
        <w:t>The interpretation of marine and freshwater sediment metals data, which can vary by two orders of magnitude, is not straightforward because metallic elements are natural sediment constituents.  T</w:t>
      </w:r>
      <w:r w:rsidRPr="00072C64">
        <w:rPr>
          <w:rFonts w:ascii="Arial" w:hAnsi="Arial" w:cs="Arial"/>
          <w:sz w:val="22"/>
          <w:szCs w:val="22"/>
        </w:rPr>
        <w:t xml:space="preserve">o interpret sediment metals data, FDEP released two publications:  </w:t>
      </w:r>
      <w:hyperlink r:id="rId83" w:history="1">
        <w:r w:rsidRPr="00072C64">
          <w:rPr>
            <w:rStyle w:val="Hyperlink"/>
            <w:rFonts w:ascii="Arial" w:hAnsi="Arial" w:cs="Arial"/>
            <w:i/>
            <w:sz w:val="22"/>
            <w:szCs w:val="22"/>
          </w:rPr>
          <w:t>A Guide to the Interpretation of Metals Concentrations in Estuarine Sediments</w:t>
        </w:r>
      </w:hyperlink>
      <w:r w:rsidRPr="00072C64">
        <w:rPr>
          <w:rFonts w:ascii="Arial" w:hAnsi="Arial" w:cs="Arial"/>
          <w:sz w:val="22"/>
          <w:szCs w:val="22"/>
          <w:vertAlign w:val="superscript"/>
        </w:rPr>
        <w:t xml:space="preserve"> </w:t>
      </w:r>
      <w:r w:rsidRPr="00072C64">
        <w:rPr>
          <w:rFonts w:ascii="Arial" w:hAnsi="Arial" w:cs="Arial"/>
          <w:sz w:val="22"/>
          <w:szCs w:val="22"/>
        </w:rPr>
        <w:t>(Schropp and Windom, 1988) and</w:t>
      </w:r>
      <w:r w:rsidRPr="00072C64">
        <w:rPr>
          <w:rFonts w:ascii="Arial" w:hAnsi="Arial" w:cs="Arial"/>
          <w:sz w:val="22"/>
          <w:szCs w:val="22"/>
          <w:vertAlign w:val="superscript"/>
        </w:rPr>
        <w:t xml:space="preserve"> </w:t>
      </w:r>
      <w:hyperlink r:id="rId84" w:history="1">
        <w:r w:rsidRPr="00072C64">
          <w:rPr>
            <w:rStyle w:val="Hyperlink"/>
            <w:rFonts w:ascii="Arial" w:hAnsi="Arial" w:cs="Arial"/>
            <w:i/>
            <w:snapToGrid w:val="0"/>
            <w:sz w:val="22"/>
            <w:szCs w:val="22"/>
          </w:rPr>
          <w:t>Development of an Interpretive Tool for the Assessment of Metal Enrichment in Florida Freshwater Sediment</w:t>
        </w:r>
      </w:hyperlink>
      <w:r w:rsidRPr="00072C64">
        <w:rPr>
          <w:rFonts w:ascii="Arial" w:hAnsi="Arial" w:cs="Arial"/>
          <w:i/>
          <w:snapToGrid w:val="0"/>
          <w:sz w:val="22"/>
          <w:szCs w:val="22"/>
        </w:rPr>
        <w:t xml:space="preserve"> </w:t>
      </w:r>
      <w:r w:rsidRPr="00072C64">
        <w:rPr>
          <w:rFonts w:ascii="Arial" w:hAnsi="Arial" w:cs="Arial"/>
          <w:snapToGrid w:val="0"/>
          <w:sz w:val="22"/>
          <w:szCs w:val="22"/>
        </w:rPr>
        <w:t>(Carvalho and Schropp et al., 2003).</w:t>
      </w:r>
      <w:r w:rsidRPr="00072C64">
        <w:rPr>
          <w:rFonts w:ascii="Arial" w:hAnsi="Arial" w:cs="Arial"/>
          <w:sz w:val="22"/>
          <w:szCs w:val="22"/>
          <w:vertAlign w:val="superscript"/>
        </w:rPr>
        <w:t xml:space="preserve">  </w:t>
      </w:r>
      <w:r w:rsidRPr="00072C64">
        <w:rPr>
          <w:rFonts w:ascii="Arial" w:hAnsi="Arial" w:cs="Arial"/>
          <w:sz w:val="22"/>
          <w:szCs w:val="22"/>
        </w:rPr>
        <w:t>These documents use statistical normalization techniques to determine background concentrations of metals in sediments.</w:t>
      </w:r>
    </w:p>
    <w:p w:rsidR="00485094" w:rsidRPr="00072C64" w:rsidRDefault="00485094" w:rsidP="00692F31">
      <w:pPr>
        <w:pStyle w:val="Default"/>
        <w:rPr>
          <w:sz w:val="22"/>
          <w:szCs w:val="22"/>
        </w:rPr>
      </w:pPr>
    </w:p>
    <w:p w:rsidR="00485094" w:rsidRPr="006F0D17" w:rsidRDefault="00485094" w:rsidP="00692F31">
      <w:pPr>
        <w:pStyle w:val="Bodytext"/>
        <w:rPr>
          <w:szCs w:val="22"/>
        </w:rPr>
      </w:pPr>
      <w:r w:rsidRPr="00072C64">
        <w:rPr>
          <w:szCs w:val="22"/>
        </w:rPr>
        <w:t>Additional information was needed to determine whether metals and organic contaminants were associated with biological effects in the benthic environment.  During</w:t>
      </w:r>
      <w:r w:rsidRPr="00072C64">
        <w:rPr>
          <w:rFonts w:cs="Arial"/>
          <w:szCs w:val="22"/>
        </w:rPr>
        <w:t xml:space="preserve"> the 1990s, several state and federal agencies evaluated concentration-based sediment guidelines used in evaluating biological effects from sediment contaminants.  These agencies employed several approaches, including a weight-of-evidence statistical strategy to derive guidelines from studies containing paired sediment chemistry and associated biological responses.  To </w:t>
      </w:r>
      <w:r w:rsidRPr="00072C64">
        <w:rPr>
          <w:szCs w:val="22"/>
        </w:rPr>
        <w:t>provide guidance in the interpretation of sediment contaminant data relating to biological impacts,</w:t>
      </w:r>
      <w:r w:rsidRPr="00072C64">
        <w:rPr>
          <w:rFonts w:cs="Arial"/>
          <w:szCs w:val="22"/>
        </w:rPr>
        <w:t xml:space="preserve"> FDEP published the following documents:  </w:t>
      </w:r>
      <w:hyperlink r:id="rId85" w:history="1">
        <w:r w:rsidRPr="00072C64">
          <w:rPr>
            <w:rStyle w:val="Hyperlink"/>
            <w:rFonts w:cs="Arial"/>
            <w:i/>
            <w:szCs w:val="22"/>
          </w:rPr>
          <w:t>Approach to the Assessment of Sediment Quality in Florida Coastal Waters</w:t>
        </w:r>
      </w:hyperlink>
      <w:r w:rsidRPr="00072C64">
        <w:rPr>
          <w:rFonts w:cs="Arial"/>
          <w:i/>
          <w:szCs w:val="22"/>
        </w:rPr>
        <w:t xml:space="preserve"> </w:t>
      </w:r>
      <w:r w:rsidRPr="00072C64">
        <w:rPr>
          <w:rFonts w:cs="Arial"/>
          <w:szCs w:val="22"/>
        </w:rPr>
        <w:t>(MacDonald, 1994)</w:t>
      </w:r>
      <w:r w:rsidRPr="00072C64">
        <w:rPr>
          <w:rFonts w:cs="Arial"/>
          <w:szCs w:val="22"/>
          <w:vertAlign w:val="superscript"/>
        </w:rPr>
        <w:t xml:space="preserve"> </w:t>
      </w:r>
      <w:r w:rsidRPr="00072C64">
        <w:rPr>
          <w:rFonts w:cs="Arial"/>
          <w:szCs w:val="22"/>
        </w:rPr>
        <w:t xml:space="preserve">and </w:t>
      </w:r>
      <w:hyperlink r:id="rId86" w:history="1">
        <w:r w:rsidRPr="00072C64">
          <w:rPr>
            <w:rStyle w:val="Hyperlink"/>
            <w:i/>
            <w:iCs/>
            <w:szCs w:val="22"/>
          </w:rPr>
          <w:t>Development and Evaluation of Numerical Sediment Quality Assessment Guidelines for Florida Inland Waters</w:t>
        </w:r>
      </w:hyperlink>
      <w:r w:rsidRPr="00072C64">
        <w:rPr>
          <w:i/>
          <w:iCs/>
          <w:szCs w:val="22"/>
        </w:rPr>
        <w:t xml:space="preserve"> (</w:t>
      </w:r>
      <w:r w:rsidRPr="00072C64">
        <w:rPr>
          <w:iCs/>
          <w:szCs w:val="22"/>
        </w:rPr>
        <w:t xml:space="preserve">MacDonald Environmental Sciences Ltd. and USGS, 2003).  </w:t>
      </w:r>
      <w:r w:rsidRPr="00072C64">
        <w:rPr>
          <w:szCs w:val="22"/>
        </w:rPr>
        <w:t xml:space="preserve">Additional information is available on the </w:t>
      </w:r>
      <w:hyperlink r:id="rId87" w:history="1">
        <w:r w:rsidRPr="00072C64">
          <w:rPr>
            <w:rStyle w:val="Hyperlink"/>
            <w:szCs w:val="22"/>
          </w:rPr>
          <w:t>FDEP Sediment Guidelines website</w:t>
        </w:r>
      </w:hyperlink>
      <w:r w:rsidRPr="00072C64">
        <w:t>.</w:t>
      </w:r>
      <w:r>
        <w:t xml:space="preserve"> </w:t>
      </w:r>
    </w:p>
    <w:p w:rsidR="00485094" w:rsidRDefault="00485094" w:rsidP="00692F31">
      <w:pPr>
        <w:pStyle w:val="Bodytext"/>
        <w:rPr>
          <w:rFonts w:cs="Arial"/>
          <w:szCs w:val="22"/>
        </w:rPr>
      </w:pPr>
    </w:p>
    <w:p w:rsidR="00485094" w:rsidRPr="006F0D17" w:rsidRDefault="00485094" w:rsidP="00692F31">
      <w:pPr>
        <w:pStyle w:val="Bodytext"/>
        <w:rPr>
          <w:rFonts w:cs="Arial"/>
          <w:snapToGrid w:val="0"/>
          <w:color w:val="000000"/>
          <w:szCs w:val="22"/>
        </w:rPr>
      </w:pPr>
      <w:r>
        <w:rPr>
          <w:rFonts w:cs="Arial"/>
          <w:szCs w:val="22"/>
        </w:rPr>
        <w:t xml:space="preserve">Rather than traditional pass/fail criteria, the approach uses </w:t>
      </w:r>
      <w:r w:rsidRPr="002D731B">
        <w:rPr>
          <w:rFonts w:cs="Arial"/>
          <w:snapToGrid w:val="0"/>
          <w:color w:val="000000"/>
          <w:szCs w:val="22"/>
        </w:rPr>
        <w:t>two</w:t>
      </w:r>
      <w:r>
        <w:rPr>
          <w:rFonts w:cs="Arial"/>
          <w:snapToGrid w:val="0"/>
          <w:color w:val="000000"/>
          <w:szCs w:val="22"/>
        </w:rPr>
        <w:t xml:space="preserve"> guidelines</w:t>
      </w:r>
      <w:r>
        <w:rPr>
          <w:rFonts w:cs="Arial"/>
          <w:szCs w:val="22"/>
        </w:rPr>
        <w:t xml:space="preserve"> for </w:t>
      </w:r>
      <w:r w:rsidRPr="002D731B">
        <w:rPr>
          <w:rFonts w:cs="Arial"/>
          <w:szCs w:val="22"/>
        </w:rPr>
        <w:t>e</w:t>
      </w:r>
      <w:r w:rsidRPr="002D731B">
        <w:rPr>
          <w:rFonts w:cs="Arial"/>
          <w:snapToGrid w:val="0"/>
          <w:color w:val="000000"/>
          <w:szCs w:val="22"/>
        </w:rPr>
        <w:t xml:space="preserve">ach </w:t>
      </w:r>
      <w:r>
        <w:rPr>
          <w:rFonts w:cs="Arial"/>
          <w:snapToGrid w:val="0"/>
          <w:color w:val="000000"/>
          <w:szCs w:val="22"/>
        </w:rPr>
        <w:t xml:space="preserve">contaminant:  a lower guideline </w:t>
      </w:r>
      <w:r w:rsidRPr="00E43A3F">
        <w:rPr>
          <w:rFonts w:cs="Arial"/>
          <w:snapToGrid w:val="0"/>
          <w:color w:val="000000"/>
          <w:szCs w:val="22"/>
        </w:rPr>
        <w:t>referred to as the Threshold Effects Concentration (TEC)</w:t>
      </w:r>
      <w:r>
        <w:rPr>
          <w:rFonts w:cs="Arial"/>
          <w:snapToGrid w:val="0"/>
          <w:color w:val="000000"/>
          <w:szCs w:val="22"/>
        </w:rPr>
        <w:t xml:space="preserve"> </w:t>
      </w:r>
      <w:r w:rsidRPr="002D731B">
        <w:rPr>
          <w:rFonts w:cs="Arial"/>
          <w:snapToGrid w:val="0"/>
          <w:color w:val="000000"/>
          <w:szCs w:val="22"/>
        </w:rPr>
        <w:t xml:space="preserve">and a higher </w:t>
      </w:r>
      <w:r>
        <w:rPr>
          <w:rFonts w:cs="Arial"/>
          <w:snapToGrid w:val="0"/>
          <w:color w:val="000000"/>
          <w:szCs w:val="22"/>
        </w:rPr>
        <w:t xml:space="preserve">guideline, </w:t>
      </w:r>
      <w:r w:rsidRPr="00E43A3F">
        <w:rPr>
          <w:rFonts w:cs="Arial"/>
          <w:snapToGrid w:val="0"/>
          <w:color w:val="000000"/>
          <w:szCs w:val="22"/>
        </w:rPr>
        <w:t>the Probable Effects Concentration (PEC)</w:t>
      </w:r>
      <w:r>
        <w:rPr>
          <w:rFonts w:cs="Arial"/>
          <w:snapToGrid w:val="0"/>
          <w:color w:val="000000"/>
          <w:szCs w:val="22"/>
        </w:rPr>
        <w:t xml:space="preserve">.  A value below the TEC </w:t>
      </w:r>
      <w:r w:rsidRPr="002D731B">
        <w:rPr>
          <w:rFonts w:cs="Arial"/>
          <w:snapToGrid w:val="0"/>
          <w:color w:val="000000"/>
          <w:szCs w:val="22"/>
        </w:rPr>
        <w:t>in</w:t>
      </w:r>
      <w:r>
        <w:rPr>
          <w:rFonts w:cs="Arial"/>
          <w:snapToGrid w:val="0"/>
          <w:color w:val="000000"/>
          <w:szCs w:val="22"/>
        </w:rPr>
        <w:t xml:space="preserve">dicates a low probability of </w:t>
      </w:r>
      <w:r w:rsidRPr="002D731B">
        <w:rPr>
          <w:rFonts w:cs="Arial"/>
          <w:snapToGrid w:val="0"/>
          <w:color w:val="000000"/>
          <w:szCs w:val="22"/>
        </w:rPr>
        <w:t>harm occur</w:t>
      </w:r>
      <w:r>
        <w:rPr>
          <w:rFonts w:cs="Arial"/>
          <w:snapToGrid w:val="0"/>
          <w:color w:val="000000"/>
          <w:szCs w:val="22"/>
        </w:rPr>
        <w:t xml:space="preserve">ring to sediment-dwelling organisms.  Conversely, values above the PEC have a high probability of causing </w:t>
      </w:r>
      <w:r w:rsidRPr="002D731B">
        <w:rPr>
          <w:rFonts w:cs="Arial"/>
          <w:snapToGrid w:val="0"/>
          <w:color w:val="000000"/>
          <w:szCs w:val="22"/>
        </w:rPr>
        <w:t>biological harm</w:t>
      </w:r>
      <w:r>
        <w:rPr>
          <w:rFonts w:cs="Arial"/>
          <w:snapToGrid w:val="0"/>
          <w:color w:val="000000"/>
          <w:szCs w:val="22"/>
        </w:rPr>
        <w:t xml:space="preserve">.  </w:t>
      </w:r>
      <w:r>
        <w:rPr>
          <w:szCs w:val="22"/>
        </w:rPr>
        <w:t xml:space="preserve">. </w:t>
      </w:r>
    </w:p>
    <w:p w:rsidR="00485094" w:rsidRDefault="00485094" w:rsidP="00692F31">
      <w:pPr>
        <w:rPr>
          <w:rFonts w:ascii="Arial" w:hAnsi="Arial" w:cs="Arial"/>
          <w:color w:val="000000"/>
          <w:sz w:val="22"/>
          <w:szCs w:val="22"/>
        </w:rPr>
      </w:pPr>
    </w:p>
    <w:p w:rsidR="00485094" w:rsidRDefault="00485094" w:rsidP="00692F31">
      <w:pPr>
        <w:rPr>
          <w:rFonts w:ascii="Arial" w:hAnsi="Arial" w:cs="Arial"/>
          <w:color w:val="000000"/>
          <w:sz w:val="22"/>
          <w:szCs w:val="22"/>
        </w:rPr>
      </w:pPr>
      <w:r>
        <w:rPr>
          <w:rFonts w:ascii="Arial" w:hAnsi="Arial" w:cs="Arial"/>
          <w:color w:val="000000"/>
          <w:sz w:val="22"/>
          <w:szCs w:val="22"/>
        </w:rPr>
        <w:t xml:space="preserve">The Status Network monitors several surface water resources.  Since lakes integrate runoff and other discharges within watersheds, small and large lakes were selected as the most appropriate resources to evaluate the occurrence of both metal and organic constituents in sediments.  Rivers and streams also can be depositional areas; however, sediments would likely be carried to downstream receiving waters because of stream flow and the subsequent transport of contaminants.  Both the geochemical-based metals tool and the biological effects guidance values applicable to freshwater environments are used to evaluate results. </w:t>
      </w:r>
    </w:p>
    <w:p w:rsidR="00485094" w:rsidRDefault="00485094" w:rsidP="00692F31">
      <w:pPr>
        <w:pStyle w:val="Bodytext"/>
        <w:rPr>
          <w:rFonts w:cs="Arial"/>
          <w:szCs w:val="22"/>
        </w:rPr>
      </w:pPr>
    </w:p>
    <w:p w:rsidR="00485094" w:rsidRDefault="00485094" w:rsidP="00692F31">
      <w:pPr>
        <w:pStyle w:val="Heading4"/>
        <w:rPr>
          <w:color w:val="000000"/>
          <w:sz w:val="22"/>
          <w:szCs w:val="22"/>
        </w:rPr>
      </w:pPr>
      <w:r>
        <w:t>Small and Large Lakes</w:t>
      </w:r>
    </w:p>
    <w:p w:rsidR="00485094" w:rsidRDefault="00485094" w:rsidP="00692F31">
      <w:pPr>
        <w:rPr>
          <w:rFonts w:ascii="Arial" w:hAnsi="Arial" w:cs="Arial"/>
          <w:sz w:val="22"/>
          <w:szCs w:val="22"/>
        </w:rPr>
      </w:pPr>
      <w:r>
        <w:rPr>
          <w:rFonts w:ascii="Arial" w:hAnsi="Arial" w:cs="Arial"/>
          <w:color w:val="000000"/>
          <w:sz w:val="22"/>
          <w:szCs w:val="22"/>
        </w:rPr>
        <w:t xml:space="preserve">A total of 1,086 samples were collected from the state’s </w:t>
      </w:r>
      <w:r w:rsidR="003D799D">
        <w:rPr>
          <w:rFonts w:ascii="Arial" w:hAnsi="Arial" w:cs="Arial"/>
          <w:color w:val="000000"/>
          <w:sz w:val="22"/>
          <w:szCs w:val="22"/>
        </w:rPr>
        <w:t xml:space="preserve">2 </w:t>
      </w:r>
      <w:r>
        <w:rPr>
          <w:rFonts w:ascii="Arial" w:hAnsi="Arial" w:cs="Arial"/>
          <w:color w:val="000000"/>
          <w:sz w:val="22"/>
          <w:szCs w:val="22"/>
        </w:rPr>
        <w:t xml:space="preserve">lake resources:  459 from small lakes and 627 from large lakes.  Statewide results for each lake resource are reported below.  </w:t>
      </w:r>
      <w:r>
        <w:rPr>
          <w:rFonts w:ascii="Arial" w:hAnsi="Arial" w:cs="Arial"/>
          <w:sz w:val="22"/>
          <w:szCs w:val="22"/>
        </w:rPr>
        <w:t xml:space="preserve">Samples were analyzed </w:t>
      </w:r>
      <w:r w:rsidRPr="002D731B">
        <w:rPr>
          <w:rFonts w:ascii="Arial" w:hAnsi="Arial" w:cs="Arial"/>
          <w:sz w:val="22"/>
          <w:szCs w:val="22"/>
        </w:rPr>
        <w:t>for major elements (</w:t>
      </w:r>
      <w:r>
        <w:rPr>
          <w:rFonts w:ascii="Arial" w:hAnsi="Arial" w:cs="Arial"/>
          <w:sz w:val="22"/>
          <w:szCs w:val="22"/>
        </w:rPr>
        <w:t>aluminum and iron</w:t>
      </w:r>
      <w:r w:rsidRPr="002D731B">
        <w:rPr>
          <w:rFonts w:ascii="Arial" w:hAnsi="Arial" w:cs="Arial"/>
          <w:sz w:val="22"/>
          <w:szCs w:val="22"/>
        </w:rPr>
        <w:t xml:space="preserve">), </w:t>
      </w:r>
      <w:r>
        <w:rPr>
          <w:rFonts w:ascii="Arial" w:hAnsi="Arial" w:cs="Arial"/>
          <w:sz w:val="22"/>
          <w:szCs w:val="22"/>
        </w:rPr>
        <w:t xml:space="preserve">a suite of trace </w:t>
      </w:r>
      <w:r w:rsidRPr="002D731B">
        <w:rPr>
          <w:rFonts w:ascii="Arial" w:hAnsi="Arial" w:cs="Arial"/>
          <w:sz w:val="22"/>
          <w:szCs w:val="22"/>
        </w:rPr>
        <w:t>metals, nutrients</w:t>
      </w:r>
      <w:r>
        <w:rPr>
          <w:rFonts w:ascii="Arial" w:hAnsi="Arial" w:cs="Arial"/>
          <w:sz w:val="22"/>
          <w:szCs w:val="22"/>
        </w:rPr>
        <w:t xml:space="preserve">, and a suite of </w:t>
      </w:r>
      <w:r w:rsidRPr="002D731B">
        <w:rPr>
          <w:rFonts w:ascii="Arial" w:hAnsi="Arial" w:cs="Arial"/>
          <w:sz w:val="22"/>
          <w:szCs w:val="22"/>
        </w:rPr>
        <w:t>organic contaminants</w:t>
      </w:r>
      <w:r>
        <w:rPr>
          <w:rFonts w:ascii="Arial" w:hAnsi="Arial" w:cs="Arial"/>
          <w:sz w:val="22"/>
          <w:szCs w:val="22"/>
        </w:rPr>
        <w:t xml:space="preserve"> (</w:t>
      </w:r>
      <w:r w:rsidRPr="00377936">
        <w:rPr>
          <w:rFonts w:ascii="Arial" w:hAnsi="Arial" w:cs="Arial"/>
          <w:b/>
          <w:i/>
          <w:sz w:val="22"/>
          <w:szCs w:val="22"/>
        </w:rPr>
        <w:t xml:space="preserve">Tables </w:t>
      </w:r>
      <w:r>
        <w:rPr>
          <w:rFonts w:ascii="Arial" w:hAnsi="Arial" w:cs="Arial"/>
          <w:b/>
          <w:i/>
          <w:sz w:val="22"/>
          <w:szCs w:val="22"/>
        </w:rPr>
        <w:t>5.</w:t>
      </w:r>
      <w:r w:rsidRPr="00377936">
        <w:rPr>
          <w:rFonts w:ascii="Arial" w:hAnsi="Arial" w:cs="Arial"/>
          <w:b/>
          <w:i/>
          <w:sz w:val="22"/>
          <w:szCs w:val="22"/>
        </w:rPr>
        <w:t>3a</w:t>
      </w:r>
      <w:r w:rsidRPr="004F197D">
        <w:rPr>
          <w:rFonts w:ascii="Arial" w:hAnsi="Arial" w:cs="Arial"/>
          <w:snapToGrid w:val="0"/>
          <w:color w:val="000000"/>
          <w:sz w:val="22"/>
          <w:szCs w:val="22"/>
        </w:rPr>
        <w:t xml:space="preserve"> through</w:t>
      </w:r>
      <w:r>
        <w:rPr>
          <w:rFonts w:ascii="Arial" w:hAnsi="Arial" w:cs="Arial"/>
          <w:snapToGrid w:val="0"/>
          <w:color w:val="000000"/>
          <w:sz w:val="22"/>
          <w:szCs w:val="22"/>
        </w:rPr>
        <w:t xml:space="preserve"> </w:t>
      </w:r>
      <w:r w:rsidRPr="00AA6D75">
        <w:rPr>
          <w:rFonts w:ascii="Arial" w:hAnsi="Arial" w:cs="Arial"/>
          <w:b/>
          <w:i/>
          <w:snapToGrid w:val="0"/>
          <w:color w:val="000000"/>
          <w:sz w:val="22"/>
          <w:szCs w:val="22"/>
        </w:rPr>
        <w:t>5.3</w:t>
      </w:r>
      <w:r w:rsidRPr="00AA6D75">
        <w:rPr>
          <w:rFonts w:ascii="Arial" w:hAnsi="Arial" w:cs="Arial"/>
          <w:b/>
          <w:i/>
          <w:sz w:val="22"/>
          <w:szCs w:val="22"/>
        </w:rPr>
        <w:t>c</w:t>
      </w:r>
      <w:r>
        <w:rPr>
          <w:rFonts w:ascii="Arial" w:hAnsi="Arial" w:cs="Arial"/>
          <w:sz w:val="22"/>
          <w:szCs w:val="22"/>
        </w:rPr>
        <w:t xml:space="preserve">). </w:t>
      </w:r>
      <w:r>
        <w:rPr>
          <w:rFonts w:ascii="Arial" w:hAnsi="Arial" w:cs="Arial"/>
          <w:color w:val="000000"/>
          <w:sz w:val="22"/>
          <w:szCs w:val="22"/>
        </w:rPr>
        <w:t xml:space="preserve"> </w:t>
      </w:r>
      <w:r>
        <w:rPr>
          <w:rFonts w:ascii="Arial" w:hAnsi="Arial" w:cs="Arial"/>
          <w:sz w:val="22"/>
          <w:szCs w:val="22"/>
        </w:rPr>
        <w:t xml:space="preserve">To ensure </w:t>
      </w:r>
      <w:r w:rsidRPr="002D731B">
        <w:rPr>
          <w:rFonts w:ascii="Arial" w:hAnsi="Arial" w:cs="Arial"/>
          <w:sz w:val="22"/>
          <w:szCs w:val="22"/>
        </w:rPr>
        <w:t xml:space="preserve">accurate </w:t>
      </w:r>
      <w:r>
        <w:rPr>
          <w:rFonts w:ascii="Arial" w:hAnsi="Arial" w:cs="Arial"/>
          <w:sz w:val="22"/>
          <w:szCs w:val="22"/>
        </w:rPr>
        <w:t xml:space="preserve">metals </w:t>
      </w:r>
      <w:r w:rsidRPr="002D731B">
        <w:rPr>
          <w:rFonts w:ascii="Arial" w:hAnsi="Arial" w:cs="Arial"/>
          <w:sz w:val="22"/>
          <w:szCs w:val="22"/>
        </w:rPr>
        <w:t>data</w:t>
      </w:r>
      <w:r>
        <w:rPr>
          <w:rFonts w:ascii="Arial" w:hAnsi="Arial" w:cs="Arial"/>
          <w:sz w:val="22"/>
          <w:szCs w:val="22"/>
        </w:rPr>
        <w:t>, samples were prepared for chemical analysis</w:t>
      </w:r>
      <w:r w:rsidDel="00AA260C">
        <w:rPr>
          <w:rFonts w:ascii="Arial" w:hAnsi="Arial" w:cs="Arial"/>
          <w:sz w:val="22"/>
          <w:szCs w:val="22"/>
        </w:rPr>
        <w:t xml:space="preserve"> </w:t>
      </w:r>
      <w:r>
        <w:rPr>
          <w:rFonts w:ascii="Arial" w:hAnsi="Arial" w:cs="Arial"/>
          <w:sz w:val="22"/>
          <w:szCs w:val="22"/>
        </w:rPr>
        <w:t xml:space="preserve">using </w:t>
      </w:r>
      <w:r w:rsidRPr="002D731B">
        <w:rPr>
          <w:rFonts w:ascii="Arial" w:hAnsi="Arial" w:cs="Arial"/>
          <w:sz w:val="22"/>
          <w:szCs w:val="22"/>
        </w:rPr>
        <w:t xml:space="preserve">EPA </w:t>
      </w:r>
      <w:r>
        <w:rPr>
          <w:rFonts w:ascii="Arial" w:hAnsi="Arial" w:cs="Arial"/>
          <w:sz w:val="22"/>
          <w:szCs w:val="22"/>
        </w:rPr>
        <w:t>M</w:t>
      </w:r>
      <w:r w:rsidRPr="002D731B">
        <w:rPr>
          <w:rFonts w:ascii="Arial" w:hAnsi="Arial" w:cs="Arial"/>
          <w:sz w:val="22"/>
          <w:szCs w:val="22"/>
        </w:rPr>
        <w:t>ethod 305</w:t>
      </w:r>
      <w:r>
        <w:rPr>
          <w:rFonts w:ascii="Arial" w:hAnsi="Arial" w:cs="Arial"/>
          <w:sz w:val="22"/>
          <w:szCs w:val="22"/>
        </w:rPr>
        <w:t>1 (t</w:t>
      </w:r>
      <w:r w:rsidRPr="002D731B">
        <w:rPr>
          <w:rFonts w:ascii="Arial" w:hAnsi="Arial" w:cs="Arial"/>
          <w:sz w:val="22"/>
          <w:szCs w:val="22"/>
        </w:rPr>
        <w:t>otal digestion</w:t>
      </w:r>
      <w:r>
        <w:rPr>
          <w:rFonts w:ascii="Arial" w:hAnsi="Arial" w:cs="Arial"/>
          <w:sz w:val="22"/>
          <w:szCs w:val="22"/>
        </w:rPr>
        <w:t>) rather than with the EPA’s 200.2 method</w:t>
      </w:r>
      <w:r w:rsidR="003D799D">
        <w:rPr>
          <w:rFonts w:ascii="Arial" w:hAnsi="Arial" w:cs="Arial"/>
          <w:sz w:val="22"/>
          <w:szCs w:val="22"/>
        </w:rPr>
        <w:t xml:space="preserve"> (</w:t>
      </w:r>
      <w:r>
        <w:rPr>
          <w:rFonts w:ascii="Arial" w:hAnsi="Arial" w:cs="Arial"/>
          <w:sz w:val="22"/>
          <w:szCs w:val="22"/>
        </w:rPr>
        <w:t xml:space="preserve">referred to as the </w:t>
      </w:r>
      <w:r w:rsidRPr="002D731B">
        <w:rPr>
          <w:rFonts w:ascii="Arial" w:hAnsi="Arial" w:cs="Arial"/>
          <w:sz w:val="22"/>
          <w:szCs w:val="22"/>
        </w:rPr>
        <w:t>total</w:t>
      </w:r>
      <w:r>
        <w:rPr>
          <w:rFonts w:ascii="Arial" w:hAnsi="Arial" w:cs="Arial"/>
          <w:sz w:val="22"/>
          <w:szCs w:val="22"/>
        </w:rPr>
        <w:t xml:space="preserve"> recoverable method</w:t>
      </w:r>
      <w:r w:rsidR="003D799D">
        <w:rPr>
          <w:rFonts w:ascii="Arial" w:hAnsi="Arial" w:cs="Arial"/>
          <w:sz w:val="22"/>
          <w:szCs w:val="22"/>
        </w:rPr>
        <w:t>)</w:t>
      </w:r>
      <w:r>
        <w:rPr>
          <w:rFonts w:ascii="Arial" w:hAnsi="Arial" w:cs="Arial"/>
          <w:sz w:val="22"/>
          <w:szCs w:val="22"/>
        </w:rPr>
        <w:t xml:space="preserve">.  </w:t>
      </w:r>
    </w:p>
    <w:p w:rsidR="00485094" w:rsidRDefault="00485094" w:rsidP="00692F31">
      <w:pPr>
        <w:rPr>
          <w:rFonts w:ascii="Arial" w:hAnsi="Arial" w:cs="Arial"/>
          <w:sz w:val="22"/>
          <w:szCs w:val="22"/>
        </w:rPr>
      </w:pPr>
    </w:p>
    <w:p w:rsidR="00485094" w:rsidRDefault="00485094" w:rsidP="00692F31">
      <w:pPr>
        <w:rPr>
          <w:rFonts w:ascii="Arial" w:hAnsi="Arial" w:cs="Arial"/>
          <w:snapToGrid w:val="0"/>
          <w:color w:val="000000"/>
          <w:sz w:val="22"/>
          <w:szCs w:val="22"/>
        </w:rPr>
      </w:pPr>
      <w:r w:rsidRPr="00E43A3F">
        <w:rPr>
          <w:rFonts w:ascii="Arial" w:hAnsi="Arial" w:cs="Arial"/>
          <w:sz w:val="22"/>
          <w:szCs w:val="22"/>
        </w:rPr>
        <w:t xml:space="preserve">FDEP staff applied the sediment assessment tools to the </w:t>
      </w:r>
      <w:r>
        <w:rPr>
          <w:rFonts w:ascii="Arial" w:hAnsi="Arial" w:cs="Arial"/>
          <w:sz w:val="22"/>
          <w:szCs w:val="22"/>
        </w:rPr>
        <w:t>l</w:t>
      </w:r>
      <w:r w:rsidRPr="00E43A3F">
        <w:rPr>
          <w:rFonts w:ascii="Arial" w:hAnsi="Arial" w:cs="Arial"/>
          <w:sz w:val="22"/>
          <w:szCs w:val="22"/>
        </w:rPr>
        <w:t xml:space="preserve">ake datasets.  </w:t>
      </w:r>
      <w:r w:rsidRPr="00E43A3F">
        <w:rPr>
          <w:rFonts w:ascii="Arial" w:hAnsi="Arial" w:cs="Arial"/>
          <w:snapToGrid w:val="0"/>
          <w:color w:val="000000"/>
          <w:sz w:val="22"/>
          <w:szCs w:val="22"/>
        </w:rPr>
        <w:t>The sediment metal concentration</w:t>
      </w:r>
      <w:r>
        <w:rPr>
          <w:rFonts w:ascii="Arial" w:hAnsi="Arial" w:cs="Arial"/>
          <w:snapToGrid w:val="0"/>
          <w:color w:val="000000"/>
          <w:sz w:val="22"/>
          <w:szCs w:val="22"/>
        </w:rPr>
        <w:t>s were</w:t>
      </w:r>
      <w:r w:rsidRPr="00E43A3F">
        <w:rPr>
          <w:rFonts w:ascii="Arial" w:hAnsi="Arial" w:cs="Arial"/>
          <w:snapToGrid w:val="0"/>
          <w:color w:val="000000"/>
          <w:sz w:val="22"/>
          <w:szCs w:val="22"/>
        </w:rPr>
        <w:t xml:space="preserve"> compare</w:t>
      </w:r>
      <w:r>
        <w:rPr>
          <w:rFonts w:ascii="Arial" w:hAnsi="Arial" w:cs="Arial"/>
          <w:snapToGrid w:val="0"/>
          <w:color w:val="000000"/>
          <w:sz w:val="22"/>
          <w:szCs w:val="22"/>
        </w:rPr>
        <w:t>d with</w:t>
      </w:r>
      <w:r w:rsidRPr="00E43A3F">
        <w:rPr>
          <w:rFonts w:ascii="Arial" w:hAnsi="Arial" w:cs="Arial"/>
          <w:snapToGrid w:val="0"/>
          <w:color w:val="000000"/>
          <w:sz w:val="22"/>
          <w:szCs w:val="22"/>
        </w:rPr>
        <w:t xml:space="preserve"> the </w:t>
      </w:r>
      <w:r>
        <w:rPr>
          <w:rFonts w:ascii="Arial" w:hAnsi="Arial" w:cs="Arial"/>
          <w:snapToGrid w:val="0"/>
          <w:color w:val="000000"/>
          <w:sz w:val="22"/>
          <w:szCs w:val="22"/>
        </w:rPr>
        <w:t>F</w:t>
      </w:r>
      <w:r w:rsidRPr="00E43A3F">
        <w:rPr>
          <w:rFonts w:ascii="Arial" w:hAnsi="Arial" w:cs="Arial"/>
          <w:snapToGrid w:val="0"/>
          <w:color w:val="000000"/>
          <w:sz w:val="22"/>
          <w:szCs w:val="22"/>
        </w:rPr>
        <w:t xml:space="preserve">DEP freshwater </w:t>
      </w:r>
      <w:r>
        <w:rPr>
          <w:rFonts w:ascii="Arial" w:hAnsi="Arial" w:cs="Arial"/>
          <w:snapToGrid w:val="0"/>
          <w:color w:val="000000"/>
          <w:sz w:val="22"/>
          <w:szCs w:val="22"/>
        </w:rPr>
        <w:t xml:space="preserve">biologically based </w:t>
      </w:r>
      <w:r w:rsidRPr="00E43A3F">
        <w:rPr>
          <w:rFonts w:ascii="Arial" w:hAnsi="Arial" w:cs="Arial"/>
          <w:snapToGrid w:val="0"/>
          <w:color w:val="000000"/>
          <w:sz w:val="22"/>
          <w:szCs w:val="22"/>
        </w:rPr>
        <w:t>sediment guidelines</w:t>
      </w:r>
      <w:r>
        <w:rPr>
          <w:rFonts w:ascii="Arial" w:hAnsi="Arial" w:cs="Arial"/>
          <w:snapToGrid w:val="0"/>
          <w:color w:val="000000"/>
          <w:sz w:val="22"/>
          <w:szCs w:val="22"/>
        </w:rPr>
        <w:t xml:space="preserve"> (MacDonald, 1994)</w:t>
      </w:r>
      <w:r>
        <w:rPr>
          <w:rFonts w:ascii="Arial" w:hAnsi="Arial" w:cs="Arial"/>
          <w:sz w:val="22"/>
          <w:szCs w:val="22"/>
          <w:vertAlign w:val="superscript"/>
        </w:rPr>
        <w:t xml:space="preserve"> </w:t>
      </w:r>
      <w:r w:rsidRPr="00E43A3F">
        <w:rPr>
          <w:rFonts w:ascii="Arial" w:hAnsi="Arial" w:cs="Arial"/>
          <w:snapToGrid w:val="0"/>
          <w:color w:val="000000"/>
          <w:sz w:val="22"/>
          <w:szCs w:val="22"/>
        </w:rPr>
        <w:t>(</w:t>
      </w:r>
      <w:r w:rsidRPr="00377936">
        <w:rPr>
          <w:rFonts w:ascii="Arial" w:hAnsi="Arial" w:cs="Arial"/>
          <w:b/>
          <w:i/>
          <w:snapToGrid w:val="0"/>
          <w:color w:val="000000"/>
          <w:sz w:val="22"/>
          <w:szCs w:val="22"/>
        </w:rPr>
        <w:t xml:space="preserve">Tables </w:t>
      </w:r>
      <w:r>
        <w:rPr>
          <w:rFonts w:ascii="Arial" w:hAnsi="Arial" w:cs="Arial"/>
          <w:b/>
          <w:i/>
          <w:snapToGrid w:val="0"/>
          <w:color w:val="000000"/>
          <w:sz w:val="22"/>
          <w:szCs w:val="22"/>
        </w:rPr>
        <w:t xml:space="preserve">6.2c </w:t>
      </w:r>
      <w:r w:rsidRPr="000C661D">
        <w:rPr>
          <w:rFonts w:ascii="Arial" w:hAnsi="Arial" w:cs="Arial"/>
          <w:snapToGrid w:val="0"/>
          <w:color w:val="000000"/>
          <w:sz w:val="22"/>
          <w:szCs w:val="22"/>
        </w:rPr>
        <w:t>and</w:t>
      </w:r>
      <w:r>
        <w:rPr>
          <w:rFonts w:ascii="Arial" w:hAnsi="Arial" w:cs="Arial"/>
          <w:b/>
          <w:i/>
          <w:snapToGrid w:val="0"/>
          <w:color w:val="000000"/>
          <w:sz w:val="22"/>
          <w:szCs w:val="22"/>
        </w:rPr>
        <w:t xml:space="preserve"> 6.2d</w:t>
      </w:r>
      <w:r w:rsidRPr="00E43A3F">
        <w:rPr>
          <w:rFonts w:ascii="Arial" w:hAnsi="Arial" w:cs="Arial"/>
          <w:snapToGrid w:val="0"/>
          <w:color w:val="000000"/>
          <w:sz w:val="22"/>
          <w:szCs w:val="22"/>
        </w:rPr>
        <w:t xml:space="preserve">).  </w:t>
      </w:r>
      <w:r>
        <w:rPr>
          <w:rFonts w:ascii="Arial" w:hAnsi="Arial" w:cs="Arial"/>
          <w:snapToGrid w:val="0"/>
          <w:color w:val="000000"/>
          <w:sz w:val="22"/>
          <w:szCs w:val="22"/>
        </w:rPr>
        <w:t>When</w:t>
      </w:r>
      <w:r w:rsidRPr="00E43A3F">
        <w:rPr>
          <w:rFonts w:ascii="Arial" w:hAnsi="Arial" w:cs="Arial"/>
          <w:snapToGrid w:val="0"/>
          <w:color w:val="000000"/>
          <w:sz w:val="22"/>
          <w:szCs w:val="22"/>
        </w:rPr>
        <w:t xml:space="preserve"> the concentration exceed</w:t>
      </w:r>
      <w:r>
        <w:rPr>
          <w:rFonts w:ascii="Arial" w:hAnsi="Arial" w:cs="Arial"/>
          <w:snapToGrid w:val="0"/>
          <w:color w:val="000000"/>
          <w:sz w:val="22"/>
          <w:szCs w:val="22"/>
        </w:rPr>
        <w:t>ed</w:t>
      </w:r>
      <w:r w:rsidRPr="00E43A3F">
        <w:rPr>
          <w:rFonts w:ascii="Arial" w:hAnsi="Arial" w:cs="Arial"/>
          <w:snapToGrid w:val="0"/>
          <w:color w:val="000000"/>
          <w:sz w:val="22"/>
          <w:szCs w:val="22"/>
        </w:rPr>
        <w:t xml:space="preserve"> </w:t>
      </w:r>
      <w:r w:rsidRPr="00071338">
        <w:rPr>
          <w:rFonts w:ascii="Arial" w:hAnsi="Arial" w:cs="Arial"/>
          <w:snapToGrid w:val="0"/>
          <w:color w:val="000000"/>
          <w:sz w:val="22"/>
          <w:szCs w:val="22"/>
        </w:rPr>
        <w:t xml:space="preserve">either guideline, </w:t>
      </w:r>
      <w:r w:rsidRPr="00E43A3F">
        <w:rPr>
          <w:rFonts w:ascii="Arial" w:hAnsi="Arial" w:cs="Arial"/>
          <w:snapToGrid w:val="0"/>
          <w:color w:val="000000"/>
          <w:sz w:val="22"/>
          <w:szCs w:val="22"/>
        </w:rPr>
        <w:t>the metal concentration was evaluated</w:t>
      </w:r>
      <w:r>
        <w:rPr>
          <w:rFonts w:ascii="Arial" w:hAnsi="Arial" w:cs="Arial"/>
          <w:snapToGrid w:val="0"/>
          <w:color w:val="000000"/>
          <w:sz w:val="22"/>
          <w:szCs w:val="22"/>
        </w:rPr>
        <w:t>.</w:t>
      </w:r>
      <w:r w:rsidRPr="00E43A3F">
        <w:rPr>
          <w:rFonts w:ascii="Arial" w:hAnsi="Arial" w:cs="Arial"/>
          <w:snapToGrid w:val="0"/>
          <w:color w:val="000000"/>
          <w:sz w:val="22"/>
          <w:szCs w:val="22"/>
        </w:rPr>
        <w:t xml:space="preserve"> </w:t>
      </w:r>
      <w:r>
        <w:rPr>
          <w:rFonts w:ascii="Arial" w:hAnsi="Arial" w:cs="Arial"/>
          <w:snapToGrid w:val="0"/>
          <w:color w:val="000000"/>
          <w:sz w:val="22"/>
          <w:szCs w:val="22"/>
        </w:rPr>
        <w:t xml:space="preserve"> </w:t>
      </w:r>
      <w:r w:rsidRPr="00E43A3F">
        <w:rPr>
          <w:rFonts w:ascii="Arial" w:hAnsi="Arial" w:cs="Arial"/>
          <w:snapToGrid w:val="0"/>
          <w:color w:val="000000"/>
          <w:sz w:val="22"/>
          <w:szCs w:val="22"/>
        </w:rPr>
        <w:t xml:space="preserve">If the concentration </w:t>
      </w:r>
      <w:r>
        <w:rPr>
          <w:rFonts w:ascii="Arial" w:hAnsi="Arial" w:cs="Arial"/>
          <w:snapToGrid w:val="0"/>
          <w:color w:val="000000"/>
          <w:sz w:val="22"/>
          <w:szCs w:val="22"/>
        </w:rPr>
        <w:t>was</w:t>
      </w:r>
      <w:r w:rsidRPr="00E43A3F">
        <w:rPr>
          <w:rFonts w:ascii="Arial" w:hAnsi="Arial" w:cs="Arial"/>
          <w:snapToGrid w:val="0"/>
          <w:color w:val="000000"/>
          <w:sz w:val="22"/>
          <w:szCs w:val="22"/>
        </w:rPr>
        <w:t xml:space="preserve"> within the naturally occurring range, the sediment sample </w:t>
      </w:r>
      <w:r>
        <w:rPr>
          <w:rFonts w:ascii="Arial" w:hAnsi="Arial" w:cs="Arial"/>
          <w:snapToGrid w:val="0"/>
          <w:color w:val="000000"/>
          <w:sz w:val="22"/>
          <w:szCs w:val="22"/>
        </w:rPr>
        <w:t>was reclassified as “</w:t>
      </w:r>
      <w:r w:rsidRPr="00E43A3F">
        <w:rPr>
          <w:rFonts w:ascii="Arial" w:hAnsi="Arial" w:cs="Arial"/>
          <w:snapToGrid w:val="0"/>
          <w:color w:val="000000"/>
          <w:sz w:val="22"/>
          <w:szCs w:val="22"/>
        </w:rPr>
        <w:t>not elevated.</w:t>
      </w:r>
      <w:r>
        <w:rPr>
          <w:rFonts w:ascii="Arial" w:hAnsi="Arial" w:cs="Arial"/>
          <w:snapToGrid w:val="0"/>
          <w:color w:val="000000"/>
          <w:sz w:val="22"/>
          <w:szCs w:val="22"/>
        </w:rPr>
        <w:t>”</w:t>
      </w:r>
      <w:r w:rsidRPr="00E43A3F">
        <w:rPr>
          <w:rFonts w:ascii="Arial" w:hAnsi="Arial" w:cs="Arial"/>
          <w:snapToGrid w:val="0"/>
          <w:color w:val="000000"/>
          <w:sz w:val="22"/>
          <w:szCs w:val="22"/>
        </w:rPr>
        <w:t xml:space="preserve">  </w:t>
      </w:r>
      <w:r>
        <w:rPr>
          <w:rFonts w:ascii="Arial" w:hAnsi="Arial" w:cs="Arial"/>
          <w:snapToGrid w:val="0"/>
          <w:color w:val="000000"/>
          <w:sz w:val="22"/>
          <w:szCs w:val="22"/>
        </w:rPr>
        <w:t>Res</w:t>
      </w:r>
      <w:r w:rsidRPr="00E43A3F">
        <w:rPr>
          <w:rFonts w:ascii="Arial" w:hAnsi="Arial" w:cs="Arial"/>
          <w:snapToGrid w:val="0"/>
          <w:color w:val="000000"/>
          <w:sz w:val="22"/>
          <w:szCs w:val="22"/>
        </w:rPr>
        <w:t xml:space="preserve">ults </w:t>
      </w:r>
      <w:r>
        <w:rPr>
          <w:rFonts w:ascii="Arial" w:hAnsi="Arial" w:cs="Arial"/>
          <w:snapToGrid w:val="0"/>
          <w:color w:val="000000"/>
          <w:sz w:val="22"/>
          <w:szCs w:val="22"/>
        </w:rPr>
        <w:t>can be found</w:t>
      </w:r>
      <w:r w:rsidRPr="00E43A3F">
        <w:rPr>
          <w:rFonts w:ascii="Arial" w:hAnsi="Arial" w:cs="Arial"/>
          <w:snapToGrid w:val="0"/>
          <w:color w:val="000000"/>
          <w:sz w:val="22"/>
          <w:szCs w:val="22"/>
        </w:rPr>
        <w:t xml:space="preserve"> in </w:t>
      </w:r>
      <w:r w:rsidRPr="00377936">
        <w:rPr>
          <w:rFonts w:ascii="Arial" w:hAnsi="Arial" w:cs="Arial"/>
          <w:b/>
          <w:i/>
          <w:snapToGrid w:val="0"/>
          <w:color w:val="000000"/>
          <w:sz w:val="22"/>
          <w:szCs w:val="22"/>
        </w:rPr>
        <w:t xml:space="preserve">Figures </w:t>
      </w:r>
      <w:r>
        <w:rPr>
          <w:rFonts w:ascii="Arial" w:hAnsi="Arial" w:cs="Arial"/>
          <w:b/>
          <w:i/>
          <w:snapToGrid w:val="0"/>
          <w:color w:val="000000"/>
          <w:sz w:val="22"/>
          <w:szCs w:val="22"/>
        </w:rPr>
        <w:t xml:space="preserve">6.9 </w:t>
      </w:r>
      <w:r w:rsidRPr="000C661D">
        <w:rPr>
          <w:rFonts w:ascii="Arial" w:hAnsi="Arial" w:cs="Arial"/>
          <w:snapToGrid w:val="0"/>
          <w:color w:val="000000"/>
          <w:sz w:val="22"/>
          <w:szCs w:val="22"/>
        </w:rPr>
        <w:t>and</w:t>
      </w:r>
      <w:r>
        <w:rPr>
          <w:rFonts w:ascii="Arial" w:hAnsi="Arial" w:cs="Arial"/>
          <w:b/>
          <w:i/>
          <w:snapToGrid w:val="0"/>
          <w:color w:val="000000"/>
          <w:sz w:val="22"/>
          <w:szCs w:val="22"/>
        </w:rPr>
        <w:t xml:space="preserve"> 6.10</w:t>
      </w:r>
      <w:r>
        <w:rPr>
          <w:rFonts w:ascii="Arial" w:hAnsi="Arial" w:cs="Arial"/>
          <w:snapToGrid w:val="0"/>
          <w:color w:val="000000"/>
          <w:sz w:val="22"/>
          <w:szCs w:val="22"/>
        </w:rPr>
        <w:t xml:space="preserve">, along with </w:t>
      </w:r>
      <w:r>
        <w:rPr>
          <w:rFonts w:ascii="Arial" w:hAnsi="Arial" w:cs="Arial"/>
          <w:b/>
          <w:i/>
          <w:snapToGrid w:val="0"/>
          <w:color w:val="000000"/>
          <w:sz w:val="22"/>
          <w:szCs w:val="22"/>
        </w:rPr>
        <w:t>Tables 6.4</w:t>
      </w:r>
      <w:r w:rsidRPr="00377936">
        <w:rPr>
          <w:rFonts w:ascii="Arial" w:hAnsi="Arial" w:cs="Arial"/>
          <w:b/>
          <w:i/>
          <w:snapToGrid w:val="0"/>
          <w:color w:val="000000"/>
          <w:sz w:val="22"/>
          <w:szCs w:val="22"/>
        </w:rPr>
        <w:t>a</w:t>
      </w:r>
      <w:r w:rsidRPr="004F197D">
        <w:rPr>
          <w:rFonts w:ascii="Arial" w:hAnsi="Arial" w:cs="Arial"/>
          <w:snapToGrid w:val="0"/>
          <w:color w:val="000000"/>
          <w:sz w:val="22"/>
          <w:szCs w:val="22"/>
        </w:rPr>
        <w:t xml:space="preserve"> </w:t>
      </w:r>
      <w:r>
        <w:rPr>
          <w:rFonts w:ascii="Arial" w:hAnsi="Arial" w:cs="Arial"/>
          <w:snapToGrid w:val="0"/>
          <w:color w:val="000000"/>
          <w:sz w:val="22"/>
          <w:szCs w:val="22"/>
        </w:rPr>
        <w:t>and</w:t>
      </w:r>
      <w:r>
        <w:rPr>
          <w:rFonts w:ascii="Arial" w:hAnsi="Arial" w:cs="Arial"/>
          <w:b/>
          <w:i/>
          <w:snapToGrid w:val="0"/>
          <w:color w:val="000000"/>
          <w:sz w:val="22"/>
          <w:szCs w:val="22"/>
        </w:rPr>
        <w:t xml:space="preserve"> 6.4</w:t>
      </w:r>
      <w:r w:rsidRPr="00377936">
        <w:rPr>
          <w:rFonts w:ascii="Arial" w:hAnsi="Arial" w:cs="Arial"/>
          <w:b/>
          <w:i/>
          <w:snapToGrid w:val="0"/>
          <w:color w:val="000000"/>
          <w:sz w:val="22"/>
          <w:szCs w:val="22"/>
        </w:rPr>
        <w:t>b</w:t>
      </w:r>
      <w:r>
        <w:rPr>
          <w:rFonts w:ascii="Arial" w:hAnsi="Arial" w:cs="Arial"/>
          <w:snapToGrid w:val="0"/>
          <w:color w:val="000000"/>
          <w:sz w:val="22"/>
          <w:szCs w:val="22"/>
        </w:rPr>
        <w:t xml:space="preserve">.  </w:t>
      </w:r>
      <w:r w:rsidRPr="00F729AC">
        <w:rPr>
          <w:rFonts w:ascii="Arial" w:hAnsi="Arial" w:cs="Arial"/>
          <w:b/>
          <w:i/>
          <w:snapToGrid w:val="0"/>
          <w:color w:val="000000"/>
          <w:sz w:val="22"/>
          <w:szCs w:val="22"/>
        </w:rPr>
        <w:t>Tables 6.4a</w:t>
      </w:r>
      <w:r>
        <w:rPr>
          <w:rFonts w:ascii="Arial" w:hAnsi="Arial" w:cs="Arial"/>
          <w:snapToGrid w:val="0"/>
          <w:color w:val="000000"/>
          <w:sz w:val="22"/>
          <w:szCs w:val="22"/>
        </w:rPr>
        <w:t xml:space="preserve"> and </w:t>
      </w:r>
      <w:r w:rsidRPr="00F729AC">
        <w:rPr>
          <w:rFonts w:ascii="Arial" w:hAnsi="Arial" w:cs="Arial"/>
          <w:b/>
          <w:i/>
          <w:snapToGrid w:val="0"/>
          <w:color w:val="000000"/>
          <w:sz w:val="22"/>
          <w:szCs w:val="22"/>
        </w:rPr>
        <w:t>6.4b</w:t>
      </w:r>
      <w:r>
        <w:rPr>
          <w:rFonts w:ascii="Arial" w:hAnsi="Arial" w:cs="Arial"/>
          <w:snapToGrid w:val="0"/>
          <w:color w:val="000000"/>
          <w:sz w:val="22"/>
          <w:szCs w:val="22"/>
        </w:rPr>
        <w:t xml:space="preserve"> have two rows for each metal.  The first row contains the uncorrected metals results, while the second row, with the heading </w:t>
      </w:r>
      <w:r w:rsidR="003D799D">
        <w:rPr>
          <w:rFonts w:ascii="Arial" w:hAnsi="Arial" w:cs="Arial"/>
          <w:snapToGrid w:val="0"/>
          <w:color w:val="000000"/>
          <w:sz w:val="22"/>
          <w:szCs w:val="22"/>
        </w:rPr>
        <w:t>“Corrected M</w:t>
      </w:r>
      <w:r>
        <w:rPr>
          <w:rFonts w:ascii="Arial" w:hAnsi="Arial" w:cs="Arial"/>
          <w:snapToGrid w:val="0"/>
          <w:color w:val="000000"/>
          <w:sz w:val="22"/>
          <w:szCs w:val="22"/>
        </w:rPr>
        <w:t>etals,</w:t>
      </w:r>
      <w:r w:rsidR="003D799D">
        <w:rPr>
          <w:rFonts w:ascii="Arial" w:hAnsi="Arial" w:cs="Arial"/>
          <w:snapToGrid w:val="0"/>
          <w:color w:val="000000"/>
          <w:sz w:val="22"/>
          <w:szCs w:val="22"/>
        </w:rPr>
        <w:t>”</w:t>
      </w:r>
      <w:r>
        <w:rPr>
          <w:rFonts w:ascii="Arial" w:hAnsi="Arial" w:cs="Arial"/>
          <w:snapToGrid w:val="0"/>
          <w:color w:val="000000"/>
          <w:sz w:val="22"/>
          <w:szCs w:val="22"/>
        </w:rPr>
        <w:t xml:space="preserve"> contains the results after applying the metals normalization analysis.</w:t>
      </w:r>
    </w:p>
    <w:p w:rsidR="00485094" w:rsidRDefault="00485094" w:rsidP="00692F31">
      <w:pPr>
        <w:rPr>
          <w:rFonts w:ascii="Arial" w:hAnsi="Arial" w:cs="Arial"/>
          <w:snapToGrid w:val="0"/>
          <w:color w:val="000000"/>
          <w:sz w:val="22"/>
          <w:szCs w:val="22"/>
        </w:rPr>
      </w:pPr>
    </w:p>
    <w:p w:rsidR="00485094" w:rsidRPr="00CF1D85" w:rsidRDefault="00485094" w:rsidP="00692F31">
      <w:pPr>
        <w:rPr>
          <w:rFonts w:ascii="Arial" w:hAnsi="Arial" w:cs="Arial"/>
          <w:sz w:val="22"/>
          <w:szCs w:val="22"/>
        </w:rPr>
      </w:pPr>
      <w:r w:rsidRPr="00CF1D85">
        <w:rPr>
          <w:rFonts w:ascii="Arial" w:hAnsi="Arial" w:cs="Arial"/>
          <w:snapToGrid w:val="0"/>
          <w:color w:val="000000"/>
          <w:sz w:val="22"/>
          <w:szCs w:val="22"/>
        </w:rPr>
        <w:t xml:space="preserve">This evaluation </w:t>
      </w:r>
      <w:r w:rsidR="003D799D" w:rsidRPr="00CF1D85">
        <w:rPr>
          <w:rFonts w:ascii="Arial" w:hAnsi="Arial" w:cs="Arial"/>
          <w:snapToGrid w:val="0"/>
          <w:color w:val="000000"/>
          <w:sz w:val="22"/>
          <w:szCs w:val="22"/>
        </w:rPr>
        <w:t>illustrate</w:t>
      </w:r>
      <w:r w:rsidR="003D799D">
        <w:rPr>
          <w:rFonts w:ascii="Arial" w:hAnsi="Arial" w:cs="Arial"/>
          <w:snapToGrid w:val="0"/>
          <w:color w:val="000000"/>
          <w:sz w:val="22"/>
          <w:szCs w:val="22"/>
        </w:rPr>
        <w:t>s</w:t>
      </w:r>
      <w:r w:rsidR="003D799D" w:rsidRPr="00CF1D85">
        <w:rPr>
          <w:rFonts w:ascii="Arial" w:hAnsi="Arial" w:cs="Arial"/>
          <w:snapToGrid w:val="0"/>
          <w:color w:val="000000"/>
          <w:sz w:val="22"/>
          <w:szCs w:val="22"/>
        </w:rPr>
        <w:t xml:space="preserve"> </w:t>
      </w:r>
      <w:r w:rsidRPr="00CF1D85">
        <w:rPr>
          <w:rFonts w:ascii="Arial" w:hAnsi="Arial" w:cs="Arial"/>
          <w:snapToGrid w:val="0"/>
          <w:color w:val="000000"/>
          <w:sz w:val="22"/>
          <w:szCs w:val="22"/>
        </w:rPr>
        <w:t>that the number of metal exceedances was lower than expected if concentration had been the only measure used to determine bioeffects.  This is true especially for certain metals such as arsenic, cadmium</w:t>
      </w:r>
      <w:r>
        <w:rPr>
          <w:rFonts w:ascii="Arial" w:hAnsi="Arial" w:cs="Arial"/>
          <w:snapToGrid w:val="0"/>
          <w:color w:val="000000"/>
          <w:sz w:val="22"/>
          <w:szCs w:val="22"/>
        </w:rPr>
        <w:t>,</w:t>
      </w:r>
      <w:r w:rsidRPr="00CF1D85">
        <w:rPr>
          <w:rFonts w:ascii="Arial" w:hAnsi="Arial" w:cs="Arial"/>
          <w:snapToGrid w:val="0"/>
          <w:color w:val="000000"/>
          <w:sz w:val="22"/>
          <w:szCs w:val="22"/>
        </w:rPr>
        <w:t xml:space="preserve"> and chromium.  Many sites that appear to be impacted in fact exhibit expected sediment metal concentrations.  </w:t>
      </w:r>
      <w:r w:rsidRPr="00CF1D85">
        <w:rPr>
          <w:rFonts w:ascii="Arial" w:hAnsi="Arial" w:cs="Arial"/>
          <w:sz w:val="22"/>
          <w:szCs w:val="22"/>
        </w:rPr>
        <w:t>Using the bioeffect guidelines, the metals copper, lead</w:t>
      </w:r>
      <w:r>
        <w:rPr>
          <w:rFonts w:ascii="Arial" w:hAnsi="Arial" w:cs="Arial"/>
          <w:sz w:val="22"/>
          <w:szCs w:val="22"/>
        </w:rPr>
        <w:t>,</w:t>
      </w:r>
      <w:r w:rsidRPr="00CF1D85">
        <w:rPr>
          <w:rFonts w:ascii="Arial" w:hAnsi="Arial" w:cs="Arial"/>
          <w:sz w:val="22"/>
          <w:szCs w:val="22"/>
        </w:rPr>
        <w:t xml:space="preserve"> and zinc produce the most exceedances.  Arsenic, cadmium, chromium, and silver rarely exceed guidelines.  Not surprisingly, sediment metals are highest in lakes in urbanized areas, with the highest number of samples having elevated metals in the Tampa Bay a</w:t>
      </w:r>
      <w:r>
        <w:rPr>
          <w:rFonts w:ascii="Arial" w:hAnsi="Arial" w:cs="Arial"/>
          <w:sz w:val="22"/>
          <w:szCs w:val="22"/>
        </w:rPr>
        <w:t>nd southeast Florida regions.</w:t>
      </w:r>
    </w:p>
    <w:p w:rsidR="00485094" w:rsidRPr="00CF1D85" w:rsidRDefault="00485094" w:rsidP="00692F31">
      <w:pPr>
        <w:rPr>
          <w:rFonts w:ascii="Arial" w:hAnsi="Arial" w:cs="Arial"/>
          <w:sz w:val="22"/>
          <w:szCs w:val="22"/>
        </w:rPr>
      </w:pPr>
    </w:p>
    <w:p w:rsidR="00485094" w:rsidRPr="005D6D8F" w:rsidRDefault="00485094" w:rsidP="005D6D8F">
      <w:pPr>
        <w:pStyle w:val="NoSpacing"/>
        <w:rPr>
          <w:rFonts w:ascii="Arial" w:hAnsi="Arial" w:cs="Arial"/>
          <w:sz w:val="22"/>
          <w:szCs w:val="22"/>
        </w:rPr>
      </w:pPr>
      <w:r>
        <w:rPr>
          <w:rFonts w:ascii="Arial" w:hAnsi="Arial" w:cs="Arial"/>
          <w:sz w:val="22"/>
          <w:szCs w:val="22"/>
        </w:rPr>
        <w:t>The e</w:t>
      </w:r>
      <w:r w:rsidRPr="00CF1D85">
        <w:rPr>
          <w:rFonts w:ascii="Arial" w:hAnsi="Arial" w:cs="Arial"/>
          <w:sz w:val="22"/>
          <w:szCs w:val="22"/>
        </w:rPr>
        <w:t>valuation of organic contaminants in the state’s lake sediments is straightforward, as normalization is not used to interpret organic contaminant concentrations.  Pesticides and</w:t>
      </w:r>
      <w:r w:rsidRPr="004C1F19">
        <w:rPr>
          <w:rFonts w:ascii="Arial" w:hAnsi="Arial" w:cs="Arial"/>
          <w:sz w:val="22"/>
          <w:szCs w:val="22"/>
        </w:rPr>
        <w:t xml:space="preserve"> </w:t>
      </w:r>
      <w:r>
        <w:rPr>
          <w:rFonts w:ascii="Arial" w:hAnsi="Arial" w:cs="Arial"/>
          <w:sz w:val="22"/>
          <w:szCs w:val="22"/>
        </w:rPr>
        <w:t>polynuclear aromatic hydrocarbons (</w:t>
      </w:r>
      <w:r w:rsidRPr="004C1F19">
        <w:rPr>
          <w:rFonts w:ascii="Arial" w:hAnsi="Arial" w:cs="Arial"/>
          <w:sz w:val="22"/>
          <w:szCs w:val="22"/>
        </w:rPr>
        <w:t>PAHs</w:t>
      </w:r>
      <w:r>
        <w:rPr>
          <w:rFonts w:ascii="Arial" w:hAnsi="Arial" w:cs="Arial"/>
          <w:sz w:val="22"/>
          <w:szCs w:val="22"/>
        </w:rPr>
        <w:t>)</w:t>
      </w:r>
      <w:r w:rsidRPr="004C1F19">
        <w:rPr>
          <w:rFonts w:ascii="Arial" w:hAnsi="Arial" w:cs="Arial"/>
          <w:sz w:val="22"/>
          <w:szCs w:val="22"/>
        </w:rPr>
        <w:t xml:space="preserve"> were the most frequently detected organic c</w:t>
      </w:r>
      <w:r>
        <w:rPr>
          <w:rFonts w:ascii="Arial" w:hAnsi="Arial" w:cs="Arial"/>
          <w:sz w:val="22"/>
          <w:szCs w:val="22"/>
        </w:rPr>
        <w:t>ontaminants, reported in 34</w:t>
      </w:r>
      <w:r w:rsidRPr="004C1F19">
        <w:rPr>
          <w:rFonts w:ascii="Arial" w:hAnsi="Arial" w:cs="Arial"/>
          <w:sz w:val="22"/>
          <w:szCs w:val="22"/>
        </w:rPr>
        <w:t xml:space="preserve">% of all samples.  </w:t>
      </w:r>
      <w:r>
        <w:rPr>
          <w:rFonts w:ascii="Arial" w:hAnsi="Arial" w:cs="Arial"/>
          <w:sz w:val="22"/>
          <w:szCs w:val="22"/>
        </w:rPr>
        <w:t>Polychlorinated biphenyls (</w:t>
      </w:r>
      <w:r w:rsidRPr="004C1F19">
        <w:rPr>
          <w:rFonts w:ascii="Arial" w:hAnsi="Arial" w:cs="Arial"/>
          <w:sz w:val="22"/>
          <w:szCs w:val="22"/>
        </w:rPr>
        <w:t>PCBs</w:t>
      </w:r>
      <w:r>
        <w:rPr>
          <w:rFonts w:ascii="Arial" w:hAnsi="Arial" w:cs="Arial"/>
          <w:sz w:val="22"/>
          <w:szCs w:val="22"/>
        </w:rPr>
        <w:t>)</w:t>
      </w:r>
      <w:r w:rsidRPr="004C1F19">
        <w:rPr>
          <w:rFonts w:ascii="Arial" w:hAnsi="Arial" w:cs="Arial"/>
          <w:sz w:val="22"/>
          <w:szCs w:val="22"/>
        </w:rPr>
        <w:t xml:space="preserve"> were detected in just </w:t>
      </w:r>
      <w:r>
        <w:rPr>
          <w:rFonts w:ascii="Arial" w:hAnsi="Arial" w:cs="Arial"/>
          <w:sz w:val="22"/>
          <w:szCs w:val="22"/>
        </w:rPr>
        <w:t>4</w:t>
      </w:r>
      <w:r w:rsidRPr="004C1F19">
        <w:rPr>
          <w:rFonts w:ascii="Arial" w:hAnsi="Arial" w:cs="Arial"/>
          <w:sz w:val="22"/>
          <w:szCs w:val="22"/>
        </w:rPr>
        <w:t xml:space="preserve"> </w:t>
      </w:r>
      <w:r>
        <w:rPr>
          <w:rFonts w:ascii="Arial" w:hAnsi="Arial" w:cs="Arial"/>
          <w:sz w:val="22"/>
          <w:szCs w:val="22"/>
        </w:rPr>
        <w:t xml:space="preserve">lake </w:t>
      </w:r>
      <w:r w:rsidRPr="004C1F19">
        <w:rPr>
          <w:rFonts w:ascii="Arial" w:hAnsi="Arial" w:cs="Arial"/>
          <w:sz w:val="22"/>
          <w:szCs w:val="22"/>
        </w:rPr>
        <w:t xml:space="preserve">stations, or </w:t>
      </w:r>
      <w:r>
        <w:rPr>
          <w:rFonts w:ascii="Arial" w:hAnsi="Arial" w:cs="Arial"/>
          <w:sz w:val="22"/>
          <w:szCs w:val="22"/>
        </w:rPr>
        <w:t>fewer</w:t>
      </w:r>
      <w:r w:rsidRPr="004C1F19">
        <w:rPr>
          <w:rFonts w:ascii="Arial" w:hAnsi="Arial" w:cs="Arial"/>
          <w:sz w:val="22"/>
          <w:szCs w:val="22"/>
        </w:rPr>
        <w:t xml:space="preserve"> than 1% of the total samples.</w:t>
      </w:r>
      <w:r>
        <w:rPr>
          <w:rFonts w:cs="Arial"/>
          <w:szCs w:val="22"/>
        </w:rPr>
        <w:t xml:space="preserve">  </w:t>
      </w:r>
      <w:r w:rsidRPr="004C1F19">
        <w:rPr>
          <w:rFonts w:ascii="Arial" w:hAnsi="Arial" w:cs="Arial"/>
          <w:sz w:val="22"/>
          <w:szCs w:val="22"/>
        </w:rPr>
        <w:t>When the organic contaminant concentration in a sample exceed</w:t>
      </w:r>
      <w:r>
        <w:rPr>
          <w:rFonts w:ascii="Arial" w:hAnsi="Arial" w:cs="Arial"/>
          <w:sz w:val="22"/>
          <w:szCs w:val="22"/>
        </w:rPr>
        <w:t>ed</w:t>
      </w:r>
      <w:r w:rsidRPr="004C1F19">
        <w:rPr>
          <w:rFonts w:ascii="Arial" w:hAnsi="Arial" w:cs="Arial"/>
          <w:sz w:val="22"/>
          <w:szCs w:val="22"/>
        </w:rPr>
        <w:t xml:space="preserve"> either </w:t>
      </w:r>
      <w:r>
        <w:rPr>
          <w:rFonts w:ascii="Arial" w:hAnsi="Arial" w:cs="Arial"/>
          <w:sz w:val="22"/>
          <w:szCs w:val="22"/>
        </w:rPr>
        <w:t>guideline (TEC or PEC),</w:t>
      </w:r>
      <w:r w:rsidRPr="004C1F19">
        <w:rPr>
          <w:rFonts w:ascii="Arial" w:hAnsi="Arial" w:cs="Arial"/>
          <w:sz w:val="22"/>
          <w:szCs w:val="22"/>
        </w:rPr>
        <w:t xml:space="preserve"> this exceedance was </w:t>
      </w:r>
      <w:r>
        <w:rPr>
          <w:rFonts w:ascii="Arial" w:hAnsi="Arial" w:cs="Arial"/>
          <w:sz w:val="22"/>
          <w:szCs w:val="22"/>
        </w:rPr>
        <w:t>recorded</w:t>
      </w:r>
      <w:r w:rsidRPr="004C1F19">
        <w:rPr>
          <w:rFonts w:ascii="Arial" w:hAnsi="Arial" w:cs="Arial"/>
          <w:sz w:val="22"/>
          <w:szCs w:val="22"/>
        </w:rPr>
        <w:t>.</w:t>
      </w:r>
      <w:r>
        <w:rPr>
          <w:rFonts w:ascii="Arial" w:hAnsi="Arial" w:cs="Arial"/>
          <w:sz w:val="22"/>
          <w:szCs w:val="22"/>
        </w:rPr>
        <w:t xml:space="preserve">  </w:t>
      </w:r>
      <w:r w:rsidRPr="00B77603">
        <w:rPr>
          <w:rFonts w:ascii="Arial" w:hAnsi="Arial" w:cs="Arial"/>
          <w:sz w:val="22"/>
          <w:szCs w:val="22"/>
        </w:rPr>
        <w:t>Regions of the state that had</w:t>
      </w:r>
      <w:r>
        <w:rPr>
          <w:rFonts w:cs="Arial"/>
          <w:szCs w:val="22"/>
        </w:rPr>
        <w:t xml:space="preserve"> </w:t>
      </w:r>
      <w:r w:rsidRPr="002D731B">
        <w:rPr>
          <w:rFonts w:ascii="Arial" w:hAnsi="Arial" w:cs="Arial"/>
          <w:sz w:val="22"/>
          <w:szCs w:val="22"/>
        </w:rPr>
        <w:t xml:space="preserve">the </w:t>
      </w:r>
      <w:r>
        <w:rPr>
          <w:rFonts w:ascii="Arial" w:hAnsi="Arial" w:cs="Arial"/>
          <w:sz w:val="22"/>
          <w:szCs w:val="22"/>
        </w:rPr>
        <w:t>highest</w:t>
      </w:r>
      <w:r w:rsidRPr="002D731B">
        <w:rPr>
          <w:rFonts w:ascii="Arial" w:hAnsi="Arial" w:cs="Arial"/>
          <w:sz w:val="22"/>
          <w:szCs w:val="22"/>
        </w:rPr>
        <w:t xml:space="preserve"> organic contaminant exceedances were the agricultural Ocklawaha River </w:t>
      </w:r>
      <w:r>
        <w:rPr>
          <w:rFonts w:ascii="Arial" w:hAnsi="Arial" w:cs="Arial"/>
          <w:sz w:val="22"/>
          <w:szCs w:val="22"/>
        </w:rPr>
        <w:t xml:space="preserve">region (for DDT and derivatives), and the </w:t>
      </w:r>
      <w:r w:rsidRPr="002D731B">
        <w:rPr>
          <w:rFonts w:ascii="Arial" w:hAnsi="Arial" w:cs="Arial"/>
          <w:sz w:val="22"/>
          <w:szCs w:val="22"/>
        </w:rPr>
        <w:t>urban</w:t>
      </w:r>
      <w:r>
        <w:rPr>
          <w:rFonts w:ascii="Arial" w:hAnsi="Arial" w:cs="Arial"/>
          <w:sz w:val="22"/>
          <w:szCs w:val="22"/>
        </w:rPr>
        <w:t>ized</w:t>
      </w:r>
      <w:r w:rsidRPr="002D731B">
        <w:rPr>
          <w:rFonts w:ascii="Arial" w:hAnsi="Arial" w:cs="Arial"/>
          <w:sz w:val="22"/>
          <w:szCs w:val="22"/>
        </w:rPr>
        <w:t xml:space="preserve"> Tampa Bay </w:t>
      </w:r>
      <w:r>
        <w:rPr>
          <w:rFonts w:ascii="Arial" w:hAnsi="Arial" w:cs="Arial"/>
          <w:sz w:val="22"/>
          <w:szCs w:val="22"/>
        </w:rPr>
        <w:t>region (for c</w:t>
      </w:r>
      <w:r w:rsidRPr="002D731B">
        <w:rPr>
          <w:rFonts w:ascii="Arial" w:hAnsi="Arial" w:cs="Arial"/>
          <w:sz w:val="22"/>
          <w:szCs w:val="22"/>
        </w:rPr>
        <w:t>hlordane, a formerly widely used termiticide</w:t>
      </w:r>
      <w:r w:rsidRPr="005D6D8F">
        <w:rPr>
          <w:rFonts w:ascii="Arial" w:hAnsi="Arial" w:cs="Arial"/>
          <w:sz w:val="22"/>
          <w:szCs w:val="22"/>
        </w:rPr>
        <w:t>).  Chlordane, a legacy organochlorine pesticide banned in 1988, is still found in many Florida lakes affected by urban stormwater.</w:t>
      </w:r>
      <w:r>
        <w:rPr>
          <w:rFonts w:ascii="Arial" w:hAnsi="Arial" w:cs="Arial"/>
          <w:sz w:val="22"/>
          <w:szCs w:val="22"/>
        </w:rPr>
        <w:t xml:space="preserve"> </w:t>
      </w:r>
      <w:r w:rsidRPr="005D6D8F">
        <w:rPr>
          <w:rFonts w:ascii="Arial" w:hAnsi="Arial" w:cs="Arial"/>
          <w:sz w:val="22"/>
          <w:szCs w:val="22"/>
        </w:rPr>
        <w:t xml:space="preserve"> This widespread occurrence is a reminder that much work remains to protect state waters from pulses of untreated stormwater.  </w:t>
      </w:r>
    </w:p>
    <w:p w:rsidR="00485094" w:rsidRDefault="00485094" w:rsidP="00692F31">
      <w:pPr>
        <w:rPr>
          <w:rFonts w:ascii="Arial" w:hAnsi="Arial" w:cs="Arial"/>
          <w:sz w:val="22"/>
          <w:szCs w:val="22"/>
        </w:rPr>
      </w:pPr>
    </w:p>
    <w:p w:rsidR="00485094" w:rsidRDefault="00485094" w:rsidP="00692F31">
      <w:pPr>
        <w:rPr>
          <w:rFonts w:ascii="Arial" w:hAnsi="Arial" w:cs="Arial"/>
          <w:sz w:val="22"/>
          <w:szCs w:val="22"/>
        </w:rPr>
      </w:pPr>
    </w:p>
    <w:p w:rsidR="00485094" w:rsidRDefault="00485094" w:rsidP="00692F31">
      <w:pPr>
        <w:pStyle w:val="Bodytextreduced"/>
      </w:pPr>
      <w:r>
        <w:br w:type="page"/>
      </w:r>
    </w:p>
    <w:p w:rsidR="00485094" w:rsidRDefault="00485094" w:rsidP="00692F31">
      <w:pPr>
        <w:pStyle w:val="Caption"/>
        <w:rPr>
          <w:sz w:val="22"/>
          <w:szCs w:val="22"/>
        </w:rPr>
      </w:pPr>
      <w:bookmarkStart w:id="408" w:name="_Toc262464302"/>
      <w:bookmarkStart w:id="409" w:name="_Toc271280154"/>
      <w:r>
        <w:rPr>
          <w:sz w:val="22"/>
          <w:szCs w:val="22"/>
        </w:rPr>
        <w:t xml:space="preserve">Figure 6.9.  </w:t>
      </w:r>
      <w:r>
        <w:t>Statewide Summary of Large Lake Sediment Results</w:t>
      </w:r>
      <w:bookmarkEnd w:id="408"/>
      <w:bookmarkEnd w:id="409"/>
    </w:p>
    <w:p w:rsidR="00485094" w:rsidRDefault="00485094" w:rsidP="00216282">
      <w:pPr>
        <w:pStyle w:val="Bodytextreduced"/>
      </w:pPr>
    </w:p>
    <w:p w:rsidR="00485094" w:rsidRDefault="00485094" w:rsidP="00216282">
      <w:pPr>
        <w:pStyle w:val="Bodytextreduced"/>
      </w:pPr>
    </w:p>
    <w:p w:rsidR="00485094" w:rsidRDefault="001717CD" w:rsidP="00216282">
      <w:r>
        <w:rPr>
          <w:noProof/>
        </w:rPr>
        <w:drawing>
          <wp:anchor distT="0" distB="0" distL="114300" distR="114300" simplePos="0" relativeHeight="251672064" behindDoc="0" locked="0" layoutInCell="1" allowOverlap="1">
            <wp:simplePos x="0" y="0"/>
            <wp:positionH relativeFrom="column">
              <wp:align>center</wp:align>
            </wp:positionH>
            <wp:positionV relativeFrom="paragraph">
              <wp:posOffset>89535</wp:posOffset>
            </wp:positionV>
            <wp:extent cx="5102225" cy="5591810"/>
            <wp:effectExtent l="19050" t="0" r="3175" b="0"/>
            <wp:wrapTopAndBottom/>
            <wp:docPr id="31" name="Picture 2" descr="Figure 6.9.  Statewide Summary of Large Lake Sediment Results. This graphic shows statewide results in pie chart format for the large lake sediment indicators.  The results follow in Table 6.4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6.9.  Statewide Summary of Large Lake Sediment Results"/>
                    <pic:cNvPicPr>
                      <a:picLocks noChangeAspect="1" noChangeArrowheads="1"/>
                    </pic:cNvPicPr>
                  </pic:nvPicPr>
                  <pic:blipFill>
                    <a:blip r:embed="rId88"/>
                    <a:srcRect t="7692"/>
                    <a:stretch>
                      <a:fillRect/>
                    </a:stretch>
                  </pic:blipFill>
                  <pic:spPr bwMode="auto">
                    <a:xfrm>
                      <a:off x="0" y="0"/>
                      <a:ext cx="5102225" cy="5591810"/>
                    </a:xfrm>
                    <a:prstGeom prst="rect">
                      <a:avLst/>
                    </a:prstGeom>
                    <a:noFill/>
                    <a:ln w="9525">
                      <a:noFill/>
                      <a:miter lim="800000"/>
                      <a:headEnd/>
                      <a:tailEnd/>
                    </a:ln>
                  </pic:spPr>
                </pic:pic>
              </a:graphicData>
            </a:graphic>
          </wp:anchor>
        </w:drawing>
      </w:r>
    </w:p>
    <w:p w:rsidR="00485094" w:rsidRDefault="00485094" w:rsidP="00216282"/>
    <w:p w:rsidR="00485094" w:rsidRDefault="00485094" w:rsidP="00692F31">
      <w:pPr>
        <w:pStyle w:val="Bodytextreduced"/>
      </w:pPr>
      <w:r>
        <w:br w:type="page"/>
      </w:r>
    </w:p>
    <w:p w:rsidR="00485094" w:rsidRDefault="00485094" w:rsidP="00692F31">
      <w:pPr>
        <w:pStyle w:val="Tableheading"/>
      </w:pPr>
      <w:bookmarkStart w:id="410" w:name="_Toc255482834"/>
      <w:bookmarkStart w:id="411" w:name="_Toc255807492"/>
      <w:bookmarkStart w:id="412" w:name="_Toc262464250"/>
      <w:bookmarkStart w:id="413" w:name="_Toc271280097"/>
      <w:r w:rsidRPr="00FD0860">
        <w:t xml:space="preserve">Table </w:t>
      </w:r>
      <w:r>
        <w:t>6.4a.  Statewide Percentage of Large Lakes Meeting Sediment Contaminant Threshold Values</w:t>
      </w:r>
      <w:bookmarkEnd w:id="410"/>
      <w:bookmarkEnd w:id="411"/>
      <w:bookmarkEnd w:id="412"/>
      <w:bookmarkEnd w:id="413"/>
    </w:p>
    <w:p w:rsidR="00485094" w:rsidRDefault="00485094" w:rsidP="00692F31">
      <w:pPr>
        <w:pStyle w:val="TabledescriptionBF"/>
      </w:pPr>
      <w:r w:rsidRPr="000C661D">
        <w:t xml:space="preserve">This is a six-column table.  Column 1 lists </w:t>
      </w:r>
      <w:r w:rsidR="00F01F27">
        <w:t xml:space="preserve">the </w:t>
      </w:r>
      <w:r w:rsidRPr="000C661D">
        <w:t>metal (uncorrected and corrected), Column 2 lists the percent meeting the TEC threshold, Column 3 lists the percent not meeting the TEC threshold, Column 4 lists the percent not meeting the PEC threshold, Column 5 lists the percent of stations greater than the TEC that include naturally occurring metal concentrations, and Column 6 lists the percent of stations greater than the PEC that include naturally occurring metal concentrations.</w:t>
      </w:r>
    </w:p>
    <w:p w:rsidR="0064329B" w:rsidRDefault="00485094">
      <w:pPr>
        <w:pStyle w:val="Bodytextreduced"/>
      </w:pPr>
      <w:proofErr w:type="spellStart"/>
      <w:r w:rsidRPr="00805B69">
        <w:t>na</w:t>
      </w:r>
      <w:proofErr w:type="spellEnd"/>
      <w:r w:rsidRPr="00805B69">
        <w:t xml:space="preserve"> </w:t>
      </w:r>
      <w:r w:rsidR="00F01F27" w:rsidRPr="00805B69">
        <w:t>= N</w:t>
      </w:r>
      <w:r w:rsidR="008A5E02" w:rsidRPr="008A5E02">
        <w:t>ot applicable</w:t>
      </w:r>
    </w:p>
    <w:tbl>
      <w:tblPr>
        <w:tblW w:w="9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60"/>
        <w:gridCol w:w="1461"/>
        <w:gridCol w:w="1460"/>
        <w:gridCol w:w="1461"/>
        <w:gridCol w:w="1600"/>
        <w:gridCol w:w="1634"/>
      </w:tblGrid>
      <w:tr w:rsidR="00485094" w:rsidRPr="00225579" w:rsidTr="000F2909">
        <w:trPr>
          <w:trHeight w:val="301"/>
          <w:jc w:val="center"/>
        </w:trPr>
        <w:tc>
          <w:tcPr>
            <w:tcW w:w="1460" w:type="dxa"/>
            <w:tcBorders>
              <w:bottom w:val="double" w:sz="4" w:space="0" w:color="auto"/>
            </w:tcBorders>
            <w:shd w:val="clear" w:color="auto" w:fill="BDFFFF"/>
            <w:noWrap/>
            <w:vAlign w:val="bottom"/>
            <w:hideMark/>
          </w:tcPr>
          <w:p w:rsidR="00485094" w:rsidRPr="00225579" w:rsidRDefault="00485094" w:rsidP="00453E80">
            <w:pPr>
              <w:pStyle w:val="TableText"/>
              <w:jc w:val="center"/>
              <w:rPr>
                <w:rFonts w:cs="Arial"/>
                <w:b/>
                <w:i/>
                <w:szCs w:val="18"/>
              </w:rPr>
            </w:pPr>
            <w:r w:rsidRPr="00225579">
              <w:rPr>
                <w:rFonts w:cs="Arial"/>
                <w:b/>
                <w:i/>
                <w:szCs w:val="18"/>
              </w:rPr>
              <w:t>Metal</w:t>
            </w:r>
          </w:p>
        </w:tc>
        <w:tc>
          <w:tcPr>
            <w:tcW w:w="1461" w:type="dxa"/>
            <w:tcBorders>
              <w:bottom w:val="double" w:sz="4" w:space="0" w:color="auto"/>
            </w:tcBorders>
            <w:shd w:val="clear" w:color="auto" w:fill="BDFFFF"/>
            <w:noWrap/>
            <w:vAlign w:val="bottom"/>
            <w:hideMark/>
          </w:tcPr>
          <w:p w:rsidR="00485094" w:rsidRPr="00225579" w:rsidRDefault="00485094" w:rsidP="00453E80">
            <w:pPr>
              <w:pStyle w:val="TableText"/>
              <w:jc w:val="center"/>
              <w:rPr>
                <w:rFonts w:cs="Arial"/>
                <w:b/>
                <w:i/>
                <w:szCs w:val="18"/>
              </w:rPr>
            </w:pPr>
            <w:r w:rsidRPr="00225579">
              <w:rPr>
                <w:rFonts w:cs="Arial"/>
                <w:b/>
                <w:i/>
                <w:szCs w:val="18"/>
              </w:rPr>
              <w:t xml:space="preserve">% Meeting </w:t>
            </w:r>
            <w:r>
              <w:rPr>
                <w:rFonts w:cs="Arial"/>
                <w:b/>
                <w:i/>
                <w:szCs w:val="18"/>
              </w:rPr>
              <w:t xml:space="preserve">TEC </w:t>
            </w:r>
            <w:r w:rsidRPr="00225579">
              <w:rPr>
                <w:rFonts w:cs="Arial"/>
                <w:b/>
                <w:i/>
                <w:szCs w:val="18"/>
              </w:rPr>
              <w:t xml:space="preserve">Threshold </w:t>
            </w:r>
          </w:p>
        </w:tc>
        <w:tc>
          <w:tcPr>
            <w:tcW w:w="1460" w:type="dxa"/>
            <w:tcBorders>
              <w:bottom w:val="double" w:sz="4" w:space="0" w:color="auto"/>
            </w:tcBorders>
            <w:shd w:val="clear" w:color="auto" w:fill="BDFFFF"/>
            <w:noWrap/>
            <w:vAlign w:val="bottom"/>
            <w:hideMark/>
          </w:tcPr>
          <w:p w:rsidR="00485094" w:rsidRPr="00225579" w:rsidRDefault="00485094" w:rsidP="008D3B73">
            <w:pPr>
              <w:pStyle w:val="TableText"/>
              <w:jc w:val="center"/>
              <w:rPr>
                <w:rFonts w:cs="Arial"/>
                <w:b/>
                <w:i/>
                <w:szCs w:val="18"/>
              </w:rPr>
            </w:pPr>
            <w:r w:rsidRPr="00225579">
              <w:rPr>
                <w:rFonts w:cs="Arial"/>
                <w:b/>
                <w:i/>
                <w:szCs w:val="18"/>
                <w:lang w:val="fr-FR"/>
              </w:rPr>
              <w:t xml:space="preserve">% Not Meeting </w:t>
            </w:r>
            <w:r>
              <w:rPr>
                <w:rFonts w:cs="Arial"/>
                <w:b/>
                <w:i/>
                <w:szCs w:val="18"/>
                <w:lang w:val="fr-FR"/>
              </w:rPr>
              <w:t xml:space="preserve">TEC </w:t>
            </w:r>
            <w:r w:rsidRPr="00225579">
              <w:rPr>
                <w:rFonts w:cs="Arial"/>
                <w:b/>
                <w:i/>
                <w:szCs w:val="18"/>
                <w:lang w:val="fr-FR"/>
              </w:rPr>
              <w:t>Threshold</w:t>
            </w:r>
          </w:p>
        </w:tc>
        <w:tc>
          <w:tcPr>
            <w:tcW w:w="1461" w:type="dxa"/>
            <w:tcBorders>
              <w:bottom w:val="double" w:sz="4" w:space="0" w:color="auto"/>
            </w:tcBorders>
            <w:shd w:val="clear" w:color="auto" w:fill="BDFFFF"/>
            <w:noWrap/>
            <w:vAlign w:val="bottom"/>
            <w:hideMark/>
          </w:tcPr>
          <w:p w:rsidR="00485094" w:rsidRPr="00225579" w:rsidRDefault="00485094" w:rsidP="00453E80">
            <w:pPr>
              <w:pStyle w:val="TableText"/>
              <w:jc w:val="center"/>
              <w:rPr>
                <w:rFonts w:cs="Arial"/>
                <w:b/>
                <w:i/>
                <w:szCs w:val="18"/>
              </w:rPr>
            </w:pPr>
            <w:r w:rsidRPr="00225579">
              <w:rPr>
                <w:rFonts w:cs="Arial"/>
                <w:b/>
                <w:i/>
                <w:szCs w:val="18"/>
              </w:rPr>
              <w:t xml:space="preserve">% Not Meeting </w:t>
            </w:r>
            <w:r>
              <w:rPr>
                <w:rFonts w:cs="Arial"/>
                <w:b/>
                <w:i/>
                <w:szCs w:val="18"/>
              </w:rPr>
              <w:t xml:space="preserve">PEC </w:t>
            </w:r>
            <w:r w:rsidRPr="00225579">
              <w:rPr>
                <w:rFonts w:cs="Arial"/>
                <w:b/>
                <w:i/>
                <w:szCs w:val="18"/>
              </w:rPr>
              <w:t>Threshold</w:t>
            </w:r>
          </w:p>
        </w:tc>
        <w:tc>
          <w:tcPr>
            <w:tcW w:w="1600" w:type="dxa"/>
            <w:tcBorders>
              <w:bottom w:val="double" w:sz="4" w:space="0" w:color="auto"/>
            </w:tcBorders>
            <w:shd w:val="clear" w:color="auto" w:fill="BDFFFF"/>
            <w:noWrap/>
            <w:vAlign w:val="bottom"/>
            <w:hideMark/>
          </w:tcPr>
          <w:p w:rsidR="00485094" w:rsidRPr="00225579" w:rsidRDefault="00485094" w:rsidP="008D3B73">
            <w:pPr>
              <w:pStyle w:val="TableText"/>
              <w:jc w:val="center"/>
              <w:rPr>
                <w:rFonts w:cs="Arial"/>
                <w:b/>
                <w:i/>
                <w:szCs w:val="18"/>
              </w:rPr>
            </w:pPr>
            <w:r w:rsidRPr="00225579">
              <w:rPr>
                <w:rFonts w:cs="Arial"/>
                <w:b/>
                <w:i/>
                <w:szCs w:val="18"/>
              </w:rPr>
              <w:t xml:space="preserve">% of Stations &gt;TEC </w:t>
            </w:r>
            <w:r>
              <w:rPr>
                <w:rFonts w:cs="Arial"/>
                <w:b/>
                <w:i/>
                <w:szCs w:val="18"/>
              </w:rPr>
              <w:t>Due to</w:t>
            </w:r>
            <w:r w:rsidRPr="00225579">
              <w:rPr>
                <w:rFonts w:cs="Arial"/>
                <w:b/>
                <w:i/>
                <w:szCs w:val="18"/>
              </w:rPr>
              <w:t xml:space="preserve"> Natural Metal Concentrations</w:t>
            </w:r>
          </w:p>
        </w:tc>
        <w:tc>
          <w:tcPr>
            <w:tcW w:w="1634" w:type="dxa"/>
            <w:tcBorders>
              <w:bottom w:val="double" w:sz="4" w:space="0" w:color="auto"/>
            </w:tcBorders>
            <w:shd w:val="clear" w:color="auto" w:fill="BDFFFF"/>
            <w:noWrap/>
            <w:vAlign w:val="bottom"/>
            <w:hideMark/>
          </w:tcPr>
          <w:p w:rsidR="00485094" w:rsidRPr="00225579" w:rsidRDefault="00485094" w:rsidP="008D3B73">
            <w:pPr>
              <w:pStyle w:val="TableText"/>
              <w:jc w:val="center"/>
              <w:rPr>
                <w:rFonts w:cs="Arial"/>
                <w:b/>
                <w:i/>
                <w:szCs w:val="18"/>
              </w:rPr>
            </w:pPr>
            <w:r w:rsidRPr="00225579">
              <w:rPr>
                <w:rFonts w:cs="Arial"/>
                <w:b/>
                <w:i/>
                <w:szCs w:val="18"/>
              </w:rPr>
              <w:t xml:space="preserve">% of Stations &gt;PEC </w:t>
            </w:r>
            <w:r>
              <w:rPr>
                <w:rFonts w:cs="Arial"/>
                <w:b/>
                <w:i/>
                <w:szCs w:val="18"/>
              </w:rPr>
              <w:t>Due to</w:t>
            </w:r>
            <w:r w:rsidRPr="00225579">
              <w:rPr>
                <w:rFonts w:cs="Arial"/>
                <w:b/>
                <w:i/>
                <w:szCs w:val="18"/>
              </w:rPr>
              <w:t xml:space="preserve"> Natural Metal Concentrations</w:t>
            </w:r>
          </w:p>
        </w:tc>
      </w:tr>
      <w:tr w:rsidR="00485094" w:rsidRPr="00377936" w:rsidTr="00453E80">
        <w:trPr>
          <w:trHeight w:val="299"/>
          <w:jc w:val="center"/>
        </w:trPr>
        <w:tc>
          <w:tcPr>
            <w:tcW w:w="1460" w:type="dxa"/>
            <w:tcBorders>
              <w:top w:val="double" w:sz="4" w:space="0" w:color="auto"/>
              <w:bottom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A</w:t>
            </w:r>
            <w:r>
              <w:rPr>
                <w:rFonts w:cs="Arial"/>
                <w:color w:val="000000"/>
                <w:szCs w:val="18"/>
              </w:rPr>
              <w:t>rsenic</w:t>
            </w:r>
            <w:r w:rsidRPr="00377936">
              <w:rPr>
                <w:rFonts w:cs="Arial"/>
                <w:color w:val="000000"/>
                <w:szCs w:val="18"/>
              </w:rPr>
              <w:t xml:space="preserve"> Uncorrected</w:t>
            </w:r>
          </w:p>
        </w:tc>
        <w:tc>
          <w:tcPr>
            <w:tcW w:w="1461" w:type="dxa"/>
            <w:tcBorders>
              <w:top w:val="double" w:sz="4" w:space="0" w:color="auto"/>
              <w:bottom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89.3</w:t>
            </w:r>
          </w:p>
        </w:tc>
        <w:tc>
          <w:tcPr>
            <w:tcW w:w="1460" w:type="dxa"/>
            <w:tcBorders>
              <w:top w:val="double" w:sz="4" w:space="0" w:color="auto"/>
              <w:bottom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10.7</w:t>
            </w:r>
          </w:p>
        </w:tc>
        <w:tc>
          <w:tcPr>
            <w:tcW w:w="1461" w:type="dxa"/>
            <w:tcBorders>
              <w:top w:val="double" w:sz="4" w:space="0" w:color="auto"/>
              <w:bottom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0.002</w:t>
            </w:r>
          </w:p>
        </w:tc>
        <w:tc>
          <w:tcPr>
            <w:tcW w:w="1600" w:type="dxa"/>
            <w:tcBorders>
              <w:top w:val="double" w:sz="4" w:space="0" w:color="auto"/>
              <w:bottom w:val="single" w:sz="6" w:space="0" w:color="auto"/>
            </w:tcBorders>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34" w:type="dxa"/>
            <w:tcBorders>
              <w:top w:val="double" w:sz="4" w:space="0" w:color="auto"/>
              <w:bottom w:val="single" w:sz="6" w:space="0" w:color="auto"/>
            </w:tcBorders>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377936" w:rsidTr="00453E80">
        <w:trPr>
          <w:trHeight w:val="299"/>
          <w:jc w:val="center"/>
        </w:trPr>
        <w:tc>
          <w:tcPr>
            <w:tcW w:w="1460" w:type="dxa"/>
            <w:tcBorders>
              <w:top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A</w:t>
            </w:r>
            <w:r>
              <w:rPr>
                <w:rFonts w:cs="Arial"/>
                <w:color w:val="000000"/>
                <w:szCs w:val="18"/>
              </w:rPr>
              <w:t>rsenic</w:t>
            </w:r>
            <w:r w:rsidRPr="00377936">
              <w:rPr>
                <w:rFonts w:cs="Arial"/>
                <w:color w:val="000000"/>
                <w:szCs w:val="18"/>
              </w:rPr>
              <w:t xml:space="preserve"> Corrected</w:t>
            </w:r>
          </w:p>
        </w:tc>
        <w:tc>
          <w:tcPr>
            <w:tcW w:w="1461" w:type="dxa"/>
            <w:tcBorders>
              <w:top w:val="single" w:sz="6" w:space="0" w:color="auto"/>
              <w:left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89.33</w:t>
            </w:r>
          </w:p>
        </w:tc>
        <w:tc>
          <w:tcPr>
            <w:tcW w:w="1460" w:type="dxa"/>
            <w:tcBorders>
              <w:top w:val="single" w:sz="6" w:space="0" w:color="auto"/>
              <w:left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0.003</w:t>
            </w:r>
          </w:p>
        </w:tc>
        <w:tc>
          <w:tcPr>
            <w:tcW w:w="1461" w:type="dxa"/>
            <w:tcBorders>
              <w:top w:val="single" w:sz="6" w:space="0" w:color="auto"/>
              <w:left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0.002</w:t>
            </w:r>
          </w:p>
        </w:tc>
        <w:tc>
          <w:tcPr>
            <w:tcW w:w="1600" w:type="dxa"/>
            <w:tcBorders>
              <w:top w:val="single" w:sz="6" w:space="0" w:color="auto"/>
              <w:left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10.67</w:t>
            </w:r>
          </w:p>
        </w:tc>
        <w:tc>
          <w:tcPr>
            <w:tcW w:w="1634" w:type="dxa"/>
            <w:tcBorders>
              <w:top w:val="single" w:sz="6" w:space="0" w:color="auto"/>
              <w:left w:val="single" w:sz="6" w:space="0" w:color="auto"/>
              <w:bottom w:val="double" w:sz="4" w:space="0" w:color="auto"/>
            </w:tcBorders>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377936" w:rsidTr="00453E80">
        <w:trPr>
          <w:trHeight w:val="299"/>
          <w:jc w:val="center"/>
        </w:trPr>
        <w:tc>
          <w:tcPr>
            <w:tcW w:w="1460" w:type="dxa"/>
            <w:tcBorders>
              <w:top w:val="double" w:sz="4"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C</w:t>
            </w:r>
            <w:r>
              <w:rPr>
                <w:rFonts w:cs="Arial"/>
                <w:color w:val="000000"/>
                <w:szCs w:val="18"/>
              </w:rPr>
              <w:t>admium</w:t>
            </w:r>
            <w:r w:rsidRPr="00377936">
              <w:rPr>
                <w:rFonts w:cs="Arial"/>
                <w:color w:val="000000"/>
                <w:szCs w:val="18"/>
              </w:rPr>
              <w:t xml:space="preserve"> Uncorrected</w:t>
            </w:r>
          </w:p>
        </w:tc>
        <w:tc>
          <w:tcPr>
            <w:tcW w:w="1461"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94</w:t>
            </w:r>
          </w:p>
        </w:tc>
        <w:tc>
          <w:tcPr>
            <w:tcW w:w="1460"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5</w:t>
            </w:r>
          </w:p>
        </w:tc>
        <w:tc>
          <w:tcPr>
            <w:tcW w:w="1461"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1</w:t>
            </w:r>
          </w:p>
        </w:tc>
        <w:tc>
          <w:tcPr>
            <w:tcW w:w="1600"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34" w:type="dxa"/>
            <w:tcBorders>
              <w:top w:val="double" w:sz="4" w:space="0" w:color="auto"/>
              <w:left w:val="single" w:sz="6" w:space="0" w:color="auto"/>
              <w:bottom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377936" w:rsidTr="00453E80">
        <w:trPr>
          <w:trHeight w:val="299"/>
          <w:jc w:val="center"/>
        </w:trPr>
        <w:tc>
          <w:tcPr>
            <w:tcW w:w="1460" w:type="dxa"/>
            <w:tcBorders>
              <w:top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C</w:t>
            </w:r>
            <w:r>
              <w:rPr>
                <w:rFonts w:cs="Arial"/>
                <w:color w:val="000000"/>
                <w:szCs w:val="18"/>
              </w:rPr>
              <w:t>admium</w:t>
            </w:r>
            <w:r w:rsidRPr="00377936">
              <w:rPr>
                <w:rFonts w:cs="Arial"/>
                <w:color w:val="000000"/>
                <w:szCs w:val="18"/>
              </w:rPr>
              <w:t xml:space="preserve"> Corrected</w:t>
            </w:r>
          </w:p>
        </w:tc>
        <w:tc>
          <w:tcPr>
            <w:tcW w:w="146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95</w:t>
            </w:r>
          </w:p>
        </w:tc>
        <w:tc>
          <w:tcPr>
            <w:tcW w:w="1460"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46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0.002</w:t>
            </w:r>
          </w:p>
        </w:tc>
        <w:tc>
          <w:tcPr>
            <w:tcW w:w="1600"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5</w:t>
            </w:r>
          </w:p>
        </w:tc>
        <w:tc>
          <w:tcPr>
            <w:tcW w:w="1634" w:type="dxa"/>
            <w:tcBorders>
              <w:top w:val="single" w:sz="6" w:space="0" w:color="auto"/>
              <w:left w:val="single" w:sz="6" w:space="0" w:color="auto"/>
              <w:bottom w:val="double" w:sz="4"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377936" w:rsidTr="00453E80">
        <w:trPr>
          <w:trHeight w:val="299"/>
          <w:jc w:val="center"/>
        </w:trPr>
        <w:tc>
          <w:tcPr>
            <w:tcW w:w="1460" w:type="dxa"/>
            <w:tcBorders>
              <w:top w:val="double" w:sz="4" w:space="0" w:color="auto"/>
              <w:bottom w:val="single" w:sz="6" w:space="0" w:color="auto"/>
              <w:right w:val="single" w:sz="6" w:space="0" w:color="auto"/>
            </w:tcBorders>
            <w:noWrap/>
            <w:vAlign w:val="center"/>
            <w:hideMark/>
          </w:tcPr>
          <w:p w:rsidR="00485094" w:rsidRPr="00377936" w:rsidRDefault="00485094" w:rsidP="008D3B73">
            <w:pPr>
              <w:pStyle w:val="TableText"/>
              <w:jc w:val="center"/>
              <w:rPr>
                <w:rFonts w:cs="Arial"/>
                <w:color w:val="000000"/>
                <w:szCs w:val="18"/>
              </w:rPr>
            </w:pPr>
            <w:r w:rsidRPr="00377936">
              <w:rPr>
                <w:rFonts w:cs="Arial"/>
                <w:color w:val="000000"/>
                <w:szCs w:val="18"/>
              </w:rPr>
              <w:t>C</w:t>
            </w:r>
            <w:r>
              <w:rPr>
                <w:rFonts w:cs="Arial"/>
                <w:color w:val="000000"/>
                <w:szCs w:val="18"/>
              </w:rPr>
              <w:t>hromium</w:t>
            </w:r>
            <w:r w:rsidRPr="00377936">
              <w:rPr>
                <w:rFonts w:cs="Arial"/>
                <w:color w:val="000000"/>
                <w:szCs w:val="18"/>
              </w:rPr>
              <w:t xml:space="preserve"> </w:t>
            </w:r>
            <w:r>
              <w:rPr>
                <w:rFonts w:cs="Arial"/>
                <w:color w:val="000000"/>
                <w:szCs w:val="18"/>
              </w:rPr>
              <w:t>Unc</w:t>
            </w:r>
            <w:r w:rsidRPr="00377936">
              <w:rPr>
                <w:rFonts w:cs="Arial"/>
                <w:color w:val="000000"/>
                <w:szCs w:val="18"/>
              </w:rPr>
              <w:t>orrected</w:t>
            </w:r>
          </w:p>
        </w:tc>
        <w:tc>
          <w:tcPr>
            <w:tcW w:w="1461" w:type="dxa"/>
            <w:tcBorders>
              <w:top w:val="double" w:sz="4" w:space="0" w:color="auto"/>
              <w:left w:val="single" w:sz="6"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75.3</w:t>
            </w:r>
          </w:p>
        </w:tc>
        <w:tc>
          <w:tcPr>
            <w:tcW w:w="1460" w:type="dxa"/>
            <w:tcBorders>
              <w:top w:val="double" w:sz="4" w:space="0" w:color="auto"/>
              <w:left w:val="single" w:sz="6"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23.4</w:t>
            </w:r>
          </w:p>
        </w:tc>
        <w:tc>
          <w:tcPr>
            <w:tcW w:w="1461" w:type="dxa"/>
            <w:tcBorders>
              <w:top w:val="double" w:sz="4" w:space="0" w:color="auto"/>
              <w:left w:val="single" w:sz="6"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1.3</w:t>
            </w:r>
          </w:p>
        </w:tc>
        <w:tc>
          <w:tcPr>
            <w:tcW w:w="1600" w:type="dxa"/>
            <w:tcBorders>
              <w:top w:val="double" w:sz="4" w:space="0" w:color="auto"/>
              <w:left w:val="single" w:sz="6"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34" w:type="dxa"/>
            <w:tcBorders>
              <w:top w:val="double" w:sz="4" w:space="0" w:color="auto"/>
              <w:left w:val="single" w:sz="6" w:space="0" w:color="auto"/>
              <w:bottom w:val="single" w:sz="6" w:space="0" w:color="auto"/>
            </w:tcBorders>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377936" w:rsidTr="00453E80">
        <w:trPr>
          <w:trHeight w:val="299"/>
          <w:jc w:val="center"/>
        </w:trPr>
        <w:tc>
          <w:tcPr>
            <w:tcW w:w="1460" w:type="dxa"/>
            <w:tcBorders>
              <w:top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C</w:t>
            </w:r>
            <w:r>
              <w:rPr>
                <w:rFonts w:cs="Arial"/>
                <w:color w:val="000000"/>
                <w:szCs w:val="18"/>
              </w:rPr>
              <w:t>hromium</w:t>
            </w:r>
            <w:r w:rsidR="003D799D">
              <w:rPr>
                <w:rFonts w:cs="Arial"/>
                <w:color w:val="000000"/>
                <w:szCs w:val="18"/>
              </w:rPr>
              <w:t xml:space="preserve"> </w:t>
            </w:r>
            <w:r>
              <w:rPr>
                <w:rFonts w:cs="Arial"/>
                <w:color w:val="000000"/>
                <w:szCs w:val="18"/>
              </w:rPr>
              <w:t>C</w:t>
            </w:r>
            <w:r w:rsidRPr="00377936">
              <w:rPr>
                <w:rFonts w:cs="Arial"/>
                <w:color w:val="000000"/>
                <w:szCs w:val="18"/>
              </w:rPr>
              <w:t>orrected</w:t>
            </w:r>
          </w:p>
        </w:tc>
        <w:tc>
          <w:tcPr>
            <w:tcW w:w="1461" w:type="dxa"/>
            <w:tcBorders>
              <w:top w:val="single" w:sz="6" w:space="0" w:color="auto"/>
              <w:left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75.3</w:t>
            </w:r>
          </w:p>
        </w:tc>
        <w:tc>
          <w:tcPr>
            <w:tcW w:w="1460" w:type="dxa"/>
            <w:tcBorders>
              <w:top w:val="single" w:sz="6" w:space="0" w:color="auto"/>
              <w:left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1.9</w:t>
            </w:r>
          </w:p>
        </w:tc>
        <w:tc>
          <w:tcPr>
            <w:tcW w:w="1461" w:type="dxa"/>
            <w:tcBorders>
              <w:top w:val="single" w:sz="6" w:space="0" w:color="auto"/>
              <w:left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0.8</w:t>
            </w:r>
          </w:p>
        </w:tc>
        <w:tc>
          <w:tcPr>
            <w:tcW w:w="1600" w:type="dxa"/>
            <w:tcBorders>
              <w:top w:val="single" w:sz="6" w:space="0" w:color="auto"/>
              <w:left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21.53</w:t>
            </w:r>
          </w:p>
        </w:tc>
        <w:tc>
          <w:tcPr>
            <w:tcW w:w="1634" w:type="dxa"/>
            <w:tcBorders>
              <w:top w:val="single" w:sz="6" w:space="0" w:color="auto"/>
              <w:left w:val="single" w:sz="6" w:space="0" w:color="auto"/>
              <w:bottom w:val="double" w:sz="4"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0.47</w:t>
            </w:r>
          </w:p>
        </w:tc>
      </w:tr>
      <w:tr w:rsidR="00485094" w:rsidRPr="00377936" w:rsidTr="00453E80">
        <w:trPr>
          <w:trHeight w:val="299"/>
          <w:jc w:val="center"/>
        </w:trPr>
        <w:tc>
          <w:tcPr>
            <w:tcW w:w="1460" w:type="dxa"/>
            <w:tcBorders>
              <w:top w:val="double" w:sz="4"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Pr>
                <w:rFonts w:cs="Arial"/>
                <w:color w:val="000000"/>
                <w:szCs w:val="18"/>
              </w:rPr>
              <w:t>Copper</w:t>
            </w:r>
            <w:r w:rsidRPr="00377936">
              <w:rPr>
                <w:rFonts w:cs="Arial"/>
                <w:color w:val="000000"/>
                <w:szCs w:val="18"/>
              </w:rPr>
              <w:t xml:space="preserve"> Uncorrected</w:t>
            </w:r>
          </w:p>
        </w:tc>
        <w:tc>
          <w:tcPr>
            <w:tcW w:w="1461"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86.3</w:t>
            </w:r>
          </w:p>
        </w:tc>
        <w:tc>
          <w:tcPr>
            <w:tcW w:w="1460"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11.6</w:t>
            </w:r>
          </w:p>
        </w:tc>
        <w:tc>
          <w:tcPr>
            <w:tcW w:w="1461"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2.1</w:t>
            </w:r>
          </w:p>
        </w:tc>
        <w:tc>
          <w:tcPr>
            <w:tcW w:w="1600"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377936" w:rsidRDefault="00485094" w:rsidP="00612593">
            <w:pPr>
              <w:pStyle w:val="TableText"/>
              <w:jc w:val="center"/>
              <w:rPr>
                <w:rFonts w:cs="Arial"/>
                <w:color w:val="000000"/>
                <w:szCs w:val="18"/>
              </w:rPr>
            </w:pPr>
            <w:proofErr w:type="spellStart"/>
            <w:r>
              <w:rPr>
                <w:rFonts w:cs="Arial"/>
                <w:color w:val="000000"/>
                <w:szCs w:val="18"/>
              </w:rPr>
              <w:t>na</w:t>
            </w:r>
            <w:proofErr w:type="spellEnd"/>
          </w:p>
        </w:tc>
        <w:tc>
          <w:tcPr>
            <w:tcW w:w="1634" w:type="dxa"/>
            <w:tcBorders>
              <w:top w:val="double" w:sz="4" w:space="0" w:color="auto"/>
              <w:left w:val="single" w:sz="6" w:space="0" w:color="auto"/>
              <w:bottom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377936" w:rsidTr="00453E80">
        <w:trPr>
          <w:trHeight w:val="299"/>
          <w:jc w:val="center"/>
        </w:trPr>
        <w:tc>
          <w:tcPr>
            <w:tcW w:w="1460" w:type="dxa"/>
            <w:tcBorders>
              <w:top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Pr>
                <w:rFonts w:cs="Arial"/>
                <w:color w:val="000000"/>
                <w:szCs w:val="18"/>
              </w:rPr>
              <w:t>Copper</w:t>
            </w:r>
            <w:r w:rsidRPr="00377936">
              <w:rPr>
                <w:rFonts w:cs="Arial"/>
                <w:color w:val="000000"/>
                <w:szCs w:val="18"/>
              </w:rPr>
              <w:t xml:space="preserve"> Corrected</w:t>
            </w:r>
          </w:p>
        </w:tc>
        <w:tc>
          <w:tcPr>
            <w:tcW w:w="146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86.3</w:t>
            </w:r>
          </w:p>
        </w:tc>
        <w:tc>
          <w:tcPr>
            <w:tcW w:w="1460"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7.8</w:t>
            </w:r>
          </w:p>
        </w:tc>
        <w:tc>
          <w:tcPr>
            <w:tcW w:w="146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2.1</w:t>
            </w:r>
          </w:p>
        </w:tc>
        <w:tc>
          <w:tcPr>
            <w:tcW w:w="1600"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3.8</w:t>
            </w:r>
          </w:p>
        </w:tc>
        <w:tc>
          <w:tcPr>
            <w:tcW w:w="1634" w:type="dxa"/>
            <w:tcBorders>
              <w:top w:val="single" w:sz="6" w:space="0" w:color="auto"/>
              <w:left w:val="single" w:sz="6" w:space="0" w:color="auto"/>
              <w:bottom w:val="double" w:sz="4"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377936" w:rsidTr="00453E80">
        <w:trPr>
          <w:trHeight w:val="299"/>
          <w:jc w:val="center"/>
        </w:trPr>
        <w:tc>
          <w:tcPr>
            <w:tcW w:w="1460" w:type="dxa"/>
            <w:tcBorders>
              <w:top w:val="double" w:sz="4"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Pr>
                <w:rFonts w:cs="Arial"/>
                <w:color w:val="000000"/>
                <w:szCs w:val="18"/>
              </w:rPr>
              <w:t>Silver</w:t>
            </w:r>
            <w:r w:rsidRPr="00377936">
              <w:rPr>
                <w:rFonts w:cs="Arial"/>
                <w:color w:val="000000"/>
                <w:szCs w:val="18"/>
              </w:rPr>
              <w:t xml:space="preserve"> Uncorrected</w:t>
            </w:r>
          </w:p>
        </w:tc>
        <w:tc>
          <w:tcPr>
            <w:tcW w:w="1461" w:type="dxa"/>
            <w:tcBorders>
              <w:top w:val="double" w:sz="4" w:space="0" w:color="auto"/>
              <w:left w:val="single" w:sz="6"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99.998</w:t>
            </w:r>
          </w:p>
        </w:tc>
        <w:tc>
          <w:tcPr>
            <w:tcW w:w="1460" w:type="dxa"/>
            <w:tcBorders>
              <w:top w:val="double" w:sz="4" w:space="0" w:color="auto"/>
              <w:left w:val="single" w:sz="6"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0.002</w:t>
            </w:r>
          </w:p>
        </w:tc>
        <w:tc>
          <w:tcPr>
            <w:tcW w:w="1461" w:type="dxa"/>
            <w:tcBorders>
              <w:top w:val="double" w:sz="4" w:space="0" w:color="auto"/>
              <w:left w:val="single" w:sz="6"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00" w:type="dxa"/>
            <w:tcBorders>
              <w:top w:val="double" w:sz="4" w:space="0" w:color="auto"/>
              <w:left w:val="single" w:sz="6"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34" w:type="dxa"/>
            <w:tcBorders>
              <w:top w:val="double" w:sz="4" w:space="0" w:color="auto"/>
              <w:left w:val="single" w:sz="6" w:space="0" w:color="auto"/>
              <w:bottom w:val="single" w:sz="6" w:space="0" w:color="auto"/>
            </w:tcBorders>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377936" w:rsidTr="00453E80">
        <w:trPr>
          <w:trHeight w:val="299"/>
          <w:jc w:val="center"/>
        </w:trPr>
        <w:tc>
          <w:tcPr>
            <w:tcW w:w="1460" w:type="dxa"/>
            <w:tcBorders>
              <w:top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Pr>
                <w:rFonts w:cs="Arial"/>
                <w:color w:val="000000"/>
                <w:szCs w:val="18"/>
              </w:rPr>
              <w:t>Silver</w:t>
            </w:r>
            <w:r w:rsidRPr="00377936">
              <w:rPr>
                <w:rFonts w:cs="Arial"/>
                <w:color w:val="000000"/>
                <w:szCs w:val="18"/>
              </w:rPr>
              <w:t xml:space="preserve"> Corrected</w:t>
            </w:r>
          </w:p>
        </w:tc>
        <w:tc>
          <w:tcPr>
            <w:tcW w:w="1461" w:type="dxa"/>
            <w:tcBorders>
              <w:top w:val="single" w:sz="6" w:space="0" w:color="auto"/>
              <w:left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99.998</w:t>
            </w:r>
          </w:p>
        </w:tc>
        <w:tc>
          <w:tcPr>
            <w:tcW w:w="1460" w:type="dxa"/>
            <w:tcBorders>
              <w:top w:val="single" w:sz="6" w:space="0" w:color="auto"/>
              <w:left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0.002</w:t>
            </w:r>
          </w:p>
        </w:tc>
        <w:tc>
          <w:tcPr>
            <w:tcW w:w="1461" w:type="dxa"/>
            <w:tcBorders>
              <w:top w:val="single" w:sz="6" w:space="0" w:color="auto"/>
              <w:left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00" w:type="dxa"/>
            <w:tcBorders>
              <w:top w:val="single" w:sz="6" w:space="0" w:color="auto"/>
              <w:left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34" w:type="dxa"/>
            <w:tcBorders>
              <w:top w:val="single" w:sz="6" w:space="0" w:color="auto"/>
              <w:left w:val="single" w:sz="6" w:space="0" w:color="auto"/>
              <w:bottom w:val="double" w:sz="4" w:space="0" w:color="auto"/>
            </w:tcBorders>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377936" w:rsidTr="00453E80">
        <w:trPr>
          <w:trHeight w:val="299"/>
          <w:jc w:val="center"/>
        </w:trPr>
        <w:tc>
          <w:tcPr>
            <w:tcW w:w="1460" w:type="dxa"/>
            <w:tcBorders>
              <w:top w:val="double" w:sz="4"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Pr>
                <w:rFonts w:cs="Arial"/>
                <w:color w:val="000000"/>
                <w:szCs w:val="18"/>
              </w:rPr>
              <w:t>Nickel</w:t>
            </w:r>
            <w:r w:rsidRPr="00377936">
              <w:rPr>
                <w:rFonts w:cs="Arial"/>
                <w:color w:val="000000"/>
                <w:szCs w:val="18"/>
              </w:rPr>
              <w:t xml:space="preserve"> Uncorrected</w:t>
            </w:r>
          </w:p>
        </w:tc>
        <w:tc>
          <w:tcPr>
            <w:tcW w:w="1461"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89.31</w:t>
            </w:r>
          </w:p>
        </w:tc>
        <w:tc>
          <w:tcPr>
            <w:tcW w:w="1460"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10.05</w:t>
            </w:r>
          </w:p>
        </w:tc>
        <w:tc>
          <w:tcPr>
            <w:tcW w:w="1461"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0.64</w:t>
            </w:r>
          </w:p>
        </w:tc>
        <w:tc>
          <w:tcPr>
            <w:tcW w:w="1600"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34" w:type="dxa"/>
            <w:tcBorders>
              <w:top w:val="double" w:sz="4" w:space="0" w:color="auto"/>
              <w:left w:val="single" w:sz="6" w:space="0" w:color="auto"/>
              <w:bottom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377936" w:rsidTr="00453E80">
        <w:trPr>
          <w:trHeight w:val="299"/>
          <w:jc w:val="center"/>
        </w:trPr>
        <w:tc>
          <w:tcPr>
            <w:tcW w:w="1460" w:type="dxa"/>
            <w:tcBorders>
              <w:top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Pr>
                <w:rFonts w:cs="Arial"/>
                <w:color w:val="000000"/>
                <w:szCs w:val="18"/>
              </w:rPr>
              <w:t>Nickel</w:t>
            </w:r>
            <w:r w:rsidRPr="00377936">
              <w:rPr>
                <w:rFonts w:cs="Arial"/>
                <w:color w:val="000000"/>
                <w:szCs w:val="18"/>
              </w:rPr>
              <w:t xml:space="preserve"> Corrected</w:t>
            </w:r>
          </w:p>
        </w:tc>
        <w:tc>
          <w:tcPr>
            <w:tcW w:w="146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89.31</w:t>
            </w:r>
          </w:p>
        </w:tc>
        <w:tc>
          <w:tcPr>
            <w:tcW w:w="1460"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2.71</w:t>
            </w:r>
          </w:p>
        </w:tc>
        <w:tc>
          <w:tcPr>
            <w:tcW w:w="146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0.64</w:t>
            </w:r>
          </w:p>
        </w:tc>
        <w:tc>
          <w:tcPr>
            <w:tcW w:w="1600"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7.34</w:t>
            </w:r>
          </w:p>
        </w:tc>
        <w:tc>
          <w:tcPr>
            <w:tcW w:w="1634" w:type="dxa"/>
            <w:tcBorders>
              <w:top w:val="single" w:sz="6" w:space="0" w:color="auto"/>
              <w:left w:val="single" w:sz="6" w:space="0" w:color="auto"/>
              <w:bottom w:val="double" w:sz="4"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377936" w:rsidTr="00453E80">
        <w:trPr>
          <w:trHeight w:val="299"/>
          <w:jc w:val="center"/>
        </w:trPr>
        <w:tc>
          <w:tcPr>
            <w:tcW w:w="1460" w:type="dxa"/>
            <w:tcBorders>
              <w:top w:val="double" w:sz="4"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Pr>
                <w:rFonts w:cs="Arial"/>
                <w:color w:val="000000"/>
                <w:szCs w:val="18"/>
              </w:rPr>
              <w:t>Lead</w:t>
            </w:r>
            <w:r w:rsidRPr="00377936">
              <w:rPr>
                <w:rFonts w:cs="Arial"/>
                <w:color w:val="000000"/>
                <w:szCs w:val="18"/>
              </w:rPr>
              <w:t xml:space="preserve"> Uncorrected</w:t>
            </w:r>
          </w:p>
        </w:tc>
        <w:tc>
          <w:tcPr>
            <w:tcW w:w="1461" w:type="dxa"/>
            <w:tcBorders>
              <w:top w:val="double" w:sz="4" w:space="0" w:color="auto"/>
              <w:left w:val="single" w:sz="6"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74.5</w:t>
            </w:r>
          </w:p>
        </w:tc>
        <w:tc>
          <w:tcPr>
            <w:tcW w:w="1460" w:type="dxa"/>
            <w:tcBorders>
              <w:top w:val="double" w:sz="4" w:space="0" w:color="auto"/>
              <w:left w:val="single" w:sz="6"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22.8</w:t>
            </w:r>
          </w:p>
        </w:tc>
        <w:tc>
          <w:tcPr>
            <w:tcW w:w="1461" w:type="dxa"/>
            <w:tcBorders>
              <w:top w:val="double" w:sz="4" w:space="0" w:color="auto"/>
              <w:left w:val="single" w:sz="6"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2.7</w:t>
            </w:r>
          </w:p>
        </w:tc>
        <w:tc>
          <w:tcPr>
            <w:tcW w:w="1600" w:type="dxa"/>
            <w:tcBorders>
              <w:top w:val="double" w:sz="4" w:space="0" w:color="auto"/>
              <w:left w:val="single" w:sz="6"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34" w:type="dxa"/>
            <w:tcBorders>
              <w:top w:val="double" w:sz="4" w:space="0" w:color="auto"/>
              <w:left w:val="single" w:sz="6" w:space="0" w:color="auto"/>
              <w:bottom w:val="single" w:sz="6" w:space="0" w:color="auto"/>
            </w:tcBorders>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377936" w:rsidTr="00453E80">
        <w:trPr>
          <w:trHeight w:val="299"/>
          <w:jc w:val="center"/>
        </w:trPr>
        <w:tc>
          <w:tcPr>
            <w:tcW w:w="1460" w:type="dxa"/>
            <w:tcBorders>
              <w:top w:val="single" w:sz="6" w:space="0" w:color="auto"/>
              <w:bottom w:val="double" w:sz="4" w:space="0" w:color="auto"/>
              <w:right w:val="single" w:sz="6" w:space="0" w:color="auto"/>
            </w:tcBorders>
            <w:noWrap/>
            <w:vAlign w:val="center"/>
            <w:hideMark/>
          </w:tcPr>
          <w:p w:rsidR="00485094" w:rsidRDefault="00485094" w:rsidP="00453E80">
            <w:pPr>
              <w:pStyle w:val="TableText"/>
              <w:jc w:val="center"/>
              <w:rPr>
                <w:rFonts w:cs="Arial"/>
                <w:color w:val="000000"/>
                <w:szCs w:val="18"/>
              </w:rPr>
            </w:pPr>
            <w:r>
              <w:rPr>
                <w:rFonts w:cs="Arial"/>
                <w:color w:val="000000"/>
                <w:szCs w:val="18"/>
              </w:rPr>
              <w:t>Lead</w:t>
            </w:r>
            <w:r w:rsidRPr="00377936">
              <w:rPr>
                <w:rFonts w:cs="Arial"/>
                <w:color w:val="000000"/>
                <w:szCs w:val="18"/>
              </w:rPr>
              <w:t xml:space="preserve"> </w:t>
            </w:r>
          </w:p>
          <w:p w:rsidR="00485094" w:rsidRPr="00377936" w:rsidRDefault="00485094" w:rsidP="00453E80">
            <w:pPr>
              <w:pStyle w:val="TableText"/>
              <w:jc w:val="center"/>
              <w:rPr>
                <w:rFonts w:cs="Arial"/>
                <w:color w:val="000000"/>
                <w:szCs w:val="18"/>
              </w:rPr>
            </w:pPr>
            <w:r w:rsidRPr="00377936">
              <w:rPr>
                <w:rFonts w:cs="Arial"/>
                <w:color w:val="000000"/>
                <w:szCs w:val="18"/>
              </w:rPr>
              <w:t>Corrected</w:t>
            </w:r>
          </w:p>
        </w:tc>
        <w:tc>
          <w:tcPr>
            <w:tcW w:w="1461" w:type="dxa"/>
            <w:tcBorders>
              <w:top w:val="single" w:sz="6" w:space="0" w:color="auto"/>
              <w:left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74.5</w:t>
            </w:r>
          </w:p>
        </w:tc>
        <w:tc>
          <w:tcPr>
            <w:tcW w:w="1460" w:type="dxa"/>
            <w:tcBorders>
              <w:top w:val="single" w:sz="6" w:space="0" w:color="auto"/>
              <w:left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13.24</w:t>
            </w:r>
          </w:p>
        </w:tc>
        <w:tc>
          <w:tcPr>
            <w:tcW w:w="1461" w:type="dxa"/>
            <w:tcBorders>
              <w:top w:val="single" w:sz="6" w:space="0" w:color="auto"/>
              <w:left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2.7</w:t>
            </w:r>
          </w:p>
        </w:tc>
        <w:tc>
          <w:tcPr>
            <w:tcW w:w="1600" w:type="dxa"/>
            <w:tcBorders>
              <w:top w:val="single" w:sz="6" w:space="0" w:color="auto"/>
              <w:left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9.56</w:t>
            </w:r>
          </w:p>
        </w:tc>
        <w:tc>
          <w:tcPr>
            <w:tcW w:w="1634" w:type="dxa"/>
            <w:tcBorders>
              <w:top w:val="single" w:sz="6" w:space="0" w:color="auto"/>
              <w:left w:val="single" w:sz="6" w:space="0" w:color="auto"/>
              <w:bottom w:val="double" w:sz="4" w:space="0" w:color="auto"/>
            </w:tcBorders>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377936" w:rsidTr="00453E80">
        <w:trPr>
          <w:trHeight w:val="299"/>
          <w:jc w:val="center"/>
        </w:trPr>
        <w:tc>
          <w:tcPr>
            <w:tcW w:w="1460" w:type="dxa"/>
            <w:tcBorders>
              <w:top w:val="double" w:sz="4"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Pr>
                <w:rFonts w:cs="Arial"/>
                <w:color w:val="000000"/>
                <w:szCs w:val="18"/>
              </w:rPr>
              <w:t>Mercury</w:t>
            </w:r>
            <w:r w:rsidRPr="00377936">
              <w:rPr>
                <w:rFonts w:cs="Arial"/>
                <w:color w:val="000000"/>
                <w:szCs w:val="18"/>
              </w:rPr>
              <w:t xml:space="preserve"> Uncorrected</w:t>
            </w:r>
          </w:p>
        </w:tc>
        <w:tc>
          <w:tcPr>
            <w:tcW w:w="1461"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71.61</w:t>
            </w:r>
          </w:p>
        </w:tc>
        <w:tc>
          <w:tcPr>
            <w:tcW w:w="1460"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28.38</w:t>
            </w:r>
          </w:p>
        </w:tc>
        <w:tc>
          <w:tcPr>
            <w:tcW w:w="1461"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0.002</w:t>
            </w:r>
          </w:p>
        </w:tc>
        <w:tc>
          <w:tcPr>
            <w:tcW w:w="1600"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34" w:type="dxa"/>
            <w:tcBorders>
              <w:top w:val="double" w:sz="4" w:space="0" w:color="auto"/>
              <w:left w:val="single" w:sz="6" w:space="0" w:color="auto"/>
              <w:bottom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377936" w:rsidTr="00453E80">
        <w:trPr>
          <w:trHeight w:val="299"/>
          <w:jc w:val="center"/>
        </w:trPr>
        <w:tc>
          <w:tcPr>
            <w:tcW w:w="1460" w:type="dxa"/>
            <w:tcBorders>
              <w:top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Pr>
                <w:rFonts w:cs="Arial"/>
                <w:color w:val="000000"/>
                <w:szCs w:val="18"/>
              </w:rPr>
              <w:t>Mercury</w:t>
            </w:r>
            <w:r w:rsidRPr="00377936">
              <w:rPr>
                <w:rFonts w:cs="Arial"/>
                <w:color w:val="000000"/>
                <w:szCs w:val="18"/>
              </w:rPr>
              <w:t xml:space="preserve"> Corrected</w:t>
            </w:r>
          </w:p>
        </w:tc>
        <w:tc>
          <w:tcPr>
            <w:tcW w:w="146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71.61</w:t>
            </w:r>
          </w:p>
        </w:tc>
        <w:tc>
          <w:tcPr>
            <w:tcW w:w="1460"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3.34</w:t>
            </w:r>
          </w:p>
        </w:tc>
        <w:tc>
          <w:tcPr>
            <w:tcW w:w="146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0.002</w:t>
            </w:r>
          </w:p>
        </w:tc>
        <w:tc>
          <w:tcPr>
            <w:tcW w:w="1600"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24.89</w:t>
            </w:r>
          </w:p>
        </w:tc>
        <w:tc>
          <w:tcPr>
            <w:tcW w:w="1634" w:type="dxa"/>
            <w:tcBorders>
              <w:top w:val="single" w:sz="6" w:space="0" w:color="auto"/>
              <w:left w:val="single" w:sz="6" w:space="0" w:color="auto"/>
              <w:bottom w:val="double" w:sz="4"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377936" w:rsidTr="00453E80">
        <w:trPr>
          <w:trHeight w:val="299"/>
          <w:jc w:val="center"/>
        </w:trPr>
        <w:tc>
          <w:tcPr>
            <w:tcW w:w="1460" w:type="dxa"/>
            <w:tcBorders>
              <w:top w:val="double" w:sz="4"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Pr>
                <w:rFonts w:cs="Arial"/>
                <w:color w:val="000000"/>
                <w:szCs w:val="18"/>
              </w:rPr>
              <w:t>Zinc</w:t>
            </w:r>
            <w:r w:rsidRPr="00377936">
              <w:rPr>
                <w:rFonts w:cs="Arial"/>
                <w:color w:val="000000"/>
                <w:szCs w:val="18"/>
              </w:rPr>
              <w:t xml:space="preserve"> Uncorrected</w:t>
            </w:r>
          </w:p>
        </w:tc>
        <w:tc>
          <w:tcPr>
            <w:tcW w:w="1461" w:type="dxa"/>
            <w:tcBorders>
              <w:top w:val="double" w:sz="4" w:space="0" w:color="auto"/>
              <w:left w:val="single" w:sz="6"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93.9</w:t>
            </w:r>
          </w:p>
        </w:tc>
        <w:tc>
          <w:tcPr>
            <w:tcW w:w="1460" w:type="dxa"/>
            <w:tcBorders>
              <w:top w:val="double" w:sz="4" w:space="0" w:color="auto"/>
              <w:left w:val="single" w:sz="6"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6.1</w:t>
            </w:r>
          </w:p>
        </w:tc>
        <w:tc>
          <w:tcPr>
            <w:tcW w:w="1461" w:type="dxa"/>
            <w:tcBorders>
              <w:top w:val="double" w:sz="4" w:space="0" w:color="auto"/>
              <w:left w:val="single" w:sz="6"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0.002</w:t>
            </w:r>
          </w:p>
        </w:tc>
        <w:tc>
          <w:tcPr>
            <w:tcW w:w="1600" w:type="dxa"/>
            <w:tcBorders>
              <w:top w:val="double" w:sz="4" w:space="0" w:color="auto"/>
              <w:left w:val="single" w:sz="6"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34" w:type="dxa"/>
            <w:tcBorders>
              <w:top w:val="double" w:sz="4" w:space="0" w:color="auto"/>
              <w:left w:val="single" w:sz="6" w:space="0" w:color="auto"/>
              <w:bottom w:val="single" w:sz="6" w:space="0" w:color="auto"/>
            </w:tcBorders>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377936" w:rsidTr="00453E80">
        <w:trPr>
          <w:trHeight w:val="299"/>
          <w:jc w:val="center"/>
        </w:trPr>
        <w:tc>
          <w:tcPr>
            <w:tcW w:w="1460" w:type="dxa"/>
            <w:tcBorders>
              <w:top w:val="single" w:sz="6" w:space="0" w:color="auto"/>
              <w:right w:val="single" w:sz="6" w:space="0" w:color="auto"/>
            </w:tcBorders>
            <w:noWrap/>
            <w:vAlign w:val="center"/>
            <w:hideMark/>
          </w:tcPr>
          <w:p w:rsidR="00485094" w:rsidRDefault="00485094" w:rsidP="00453E80">
            <w:pPr>
              <w:pStyle w:val="TableText"/>
              <w:jc w:val="center"/>
              <w:rPr>
                <w:rFonts w:cs="Arial"/>
                <w:color w:val="000000"/>
                <w:szCs w:val="18"/>
              </w:rPr>
            </w:pPr>
            <w:r>
              <w:rPr>
                <w:rFonts w:cs="Arial"/>
                <w:color w:val="000000"/>
                <w:szCs w:val="18"/>
              </w:rPr>
              <w:t>Zinc</w:t>
            </w:r>
            <w:r w:rsidRPr="00377936">
              <w:rPr>
                <w:rFonts w:cs="Arial"/>
                <w:color w:val="000000"/>
                <w:szCs w:val="18"/>
              </w:rPr>
              <w:t xml:space="preserve"> </w:t>
            </w:r>
          </w:p>
          <w:p w:rsidR="00485094" w:rsidRPr="00377936" w:rsidRDefault="00485094" w:rsidP="00453E80">
            <w:pPr>
              <w:pStyle w:val="TableText"/>
              <w:jc w:val="center"/>
              <w:rPr>
                <w:rFonts w:cs="Arial"/>
                <w:color w:val="000000"/>
                <w:szCs w:val="18"/>
              </w:rPr>
            </w:pPr>
            <w:r w:rsidRPr="00377936">
              <w:rPr>
                <w:rFonts w:cs="Arial"/>
                <w:color w:val="000000"/>
                <w:szCs w:val="18"/>
              </w:rPr>
              <w:t>Corrected</w:t>
            </w:r>
          </w:p>
        </w:tc>
        <w:tc>
          <w:tcPr>
            <w:tcW w:w="1461" w:type="dxa"/>
            <w:tcBorders>
              <w:top w:val="single" w:sz="6" w:space="0" w:color="auto"/>
              <w:left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93.9</w:t>
            </w:r>
          </w:p>
        </w:tc>
        <w:tc>
          <w:tcPr>
            <w:tcW w:w="1460" w:type="dxa"/>
            <w:tcBorders>
              <w:top w:val="single" w:sz="6" w:space="0" w:color="auto"/>
              <w:left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3.35</w:t>
            </w:r>
          </w:p>
        </w:tc>
        <w:tc>
          <w:tcPr>
            <w:tcW w:w="1461" w:type="dxa"/>
            <w:tcBorders>
              <w:top w:val="single" w:sz="6" w:space="0" w:color="auto"/>
              <w:left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0.002</w:t>
            </w:r>
          </w:p>
        </w:tc>
        <w:tc>
          <w:tcPr>
            <w:tcW w:w="1600" w:type="dxa"/>
            <w:tcBorders>
              <w:top w:val="single" w:sz="6" w:space="0" w:color="auto"/>
              <w:left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2.75</w:t>
            </w:r>
          </w:p>
        </w:tc>
        <w:tc>
          <w:tcPr>
            <w:tcW w:w="1634" w:type="dxa"/>
            <w:tcBorders>
              <w:top w:val="single" w:sz="6" w:space="0" w:color="auto"/>
              <w:left w:val="single" w:sz="6" w:space="0" w:color="auto"/>
            </w:tcBorders>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r>
    </w:tbl>
    <w:p w:rsidR="00485094" w:rsidRDefault="00485094" w:rsidP="00692F31">
      <w:pPr>
        <w:pStyle w:val="Bodytext"/>
        <w:spacing w:line="360" w:lineRule="auto"/>
        <w:rPr>
          <w:rFonts w:cs="Arial"/>
          <w:szCs w:val="22"/>
        </w:rPr>
      </w:pPr>
    </w:p>
    <w:p w:rsidR="00485094" w:rsidRDefault="00485094" w:rsidP="00692F31">
      <w:pPr>
        <w:pStyle w:val="Bodytextreduced"/>
      </w:pPr>
      <w:r>
        <w:br w:type="page"/>
      </w:r>
    </w:p>
    <w:p w:rsidR="00485094" w:rsidRPr="000C661D" w:rsidRDefault="00485094" w:rsidP="00692F31">
      <w:pPr>
        <w:pStyle w:val="Caption"/>
        <w:rPr>
          <w:szCs w:val="22"/>
        </w:rPr>
      </w:pPr>
      <w:bookmarkStart w:id="414" w:name="_Toc262464303"/>
      <w:bookmarkStart w:id="415" w:name="_Toc271280155"/>
      <w:r w:rsidRPr="000C661D">
        <w:rPr>
          <w:szCs w:val="22"/>
        </w:rPr>
        <w:t xml:space="preserve">Figure 6.10.  </w:t>
      </w:r>
      <w:r w:rsidRPr="000C661D">
        <w:t>Statewide Summary of Small Lake Sediment Results</w:t>
      </w:r>
      <w:bookmarkEnd w:id="414"/>
      <w:bookmarkEnd w:id="415"/>
    </w:p>
    <w:p w:rsidR="00485094" w:rsidRPr="001B6051" w:rsidRDefault="00485094" w:rsidP="00692F31">
      <w:pPr>
        <w:rPr>
          <w:rFonts w:ascii="Arial" w:hAnsi="Arial" w:cs="Arial"/>
          <w:sz w:val="22"/>
          <w:szCs w:val="22"/>
        </w:rPr>
      </w:pPr>
    </w:p>
    <w:p w:rsidR="00485094" w:rsidRDefault="001717CD" w:rsidP="00692F31">
      <w:pPr>
        <w:pStyle w:val="Bodytextreduced"/>
      </w:pPr>
      <w:r>
        <w:rPr>
          <w:noProof/>
        </w:rPr>
        <w:drawing>
          <wp:anchor distT="0" distB="0" distL="114300" distR="114300" simplePos="0" relativeHeight="251665920" behindDoc="0" locked="0" layoutInCell="1" allowOverlap="1">
            <wp:simplePos x="0" y="0"/>
            <wp:positionH relativeFrom="column">
              <wp:align>center</wp:align>
            </wp:positionH>
            <wp:positionV relativeFrom="paragraph">
              <wp:posOffset>74930</wp:posOffset>
            </wp:positionV>
            <wp:extent cx="5017135" cy="5490210"/>
            <wp:effectExtent l="19050" t="0" r="0" b="0"/>
            <wp:wrapTopAndBottom/>
            <wp:docPr id="1" name="Picture 1" descr="Figure 6.10.  Statewide Summary of Small Lake Sediment Results.  This graphic shows statewide results in pie chart format for the small lake sediment indicators.  The results follow in Table 6.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6.10.  Statewide Summary of Small Lake Sediment Results"/>
                    <pic:cNvPicPr>
                      <a:picLocks noChangeAspect="1" noChangeArrowheads="1"/>
                    </pic:cNvPicPr>
                  </pic:nvPicPr>
                  <pic:blipFill>
                    <a:blip r:embed="rId89"/>
                    <a:srcRect t="7692"/>
                    <a:stretch>
                      <a:fillRect/>
                    </a:stretch>
                  </pic:blipFill>
                  <pic:spPr bwMode="auto">
                    <a:xfrm>
                      <a:off x="0" y="0"/>
                      <a:ext cx="5017135" cy="5490210"/>
                    </a:xfrm>
                    <a:prstGeom prst="rect">
                      <a:avLst/>
                    </a:prstGeom>
                    <a:noFill/>
                    <a:ln w="9525">
                      <a:noFill/>
                      <a:miter lim="800000"/>
                      <a:headEnd/>
                      <a:tailEnd/>
                    </a:ln>
                  </pic:spPr>
                </pic:pic>
              </a:graphicData>
            </a:graphic>
          </wp:anchor>
        </w:drawing>
      </w:r>
    </w:p>
    <w:p w:rsidR="00485094" w:rsidRDefault="00485094" w:rsidP="00692F31">
      <w:pPr>
        <w:pStyle w:val="Bodytextreduced"/>
      </w:pPr>
      <w:r>
        <w:br w:type="page"/>
      </w:r>
    </w:p>
    <w:p w:rsidR="00485094" w:rsidRDefault="00485094" w:rsidP="00692F31">
      <w:pPr>
        <w:pStyle w:val="Tableheading"/>
      </w:pPr>
      <w:bookmarkStart w:id="416" w:name="_Toc255482835"/>
      <w:bookmarkStart w:id="417" w:name="_Toc255807493"/>
      <w:bookmarkStart w:id="418" w:name="_Toc262464251"/>
      <w:bookmarkStart w:id="419" w:name="_Toc271280098"/>
      <w:r w:rsidRPr="00FD0860">
        <w:t xml:space="preserve">Table </w:t>
      </w:r>
      <w:r>
        <w:t>6.4b.  Statewide Percentage of Small Lakes Meeting Sediment Contaminant Threshold Values</w:t>
      </w:r>
      <w:bookmarkEnd w:id="416"/>
      <w:bookmarkEnd w:id="417"/>
      <w:bookmarkEnd w:id="418"/>
      <w:bookmarkEnd w:id="419"/>
    </w:p>
    <w:p w:rsidR="00485094" w:rsidRDefault="00485094" w:rsidP="00692F31">
      <w:pPr>
        <w:pStyle w:val="TabledescriptionBF"/>
      </w:pPr>
      <w:r w:rsidRPr="000C661D">
        <w:t>This is a six-column table.  Column 1 lists metal (uncorrected and corrected), Column 2 lists the percent meeting the TEC threshold, Column 3 lists the percent not meeting the TEC threshold, Column 4 lists the percent not meeting the PEC threshold, Column 5 lists the percent of stations greater than the TEC that include naturally occurring metal concentrations, and Column 6 lists the percent of stations greater than the PEC that include naturally occurring metal concentrations.</w:t>
      </w:r>
    </w:p>
    <w:p w:rsidR="003C6692" w:rsidRDefault="00485094">
      <w:pPr>
        <w:pStyle w:val="Bodytextreduced"/>
        <w:rPr>
          <w:bCs/>
          <w:szCs w:val="22"/>
        </w:rPr>
      </w:pPr>
      <w:proofErr w:type="spellStart"/>
      <w:r>
        <w:t>na</w:t>
      </w:r>
      <w:proofErr w:type="spellEnd"/>
      <w:r>
        <w:t xml:space="preserve"> </w:t>
      </w:r>
      <w:r w:rsidR="00F01F27">
        <w:t>= N</w:t>
      </w:r>
      <w:r>
        <w:t>ot applicable</w:t>
      </w:r>
    </w:p>
    <w:tbl>
      <w:tblPr>
        <w:tblW w:w="8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1"/>
        <w:gridCol w:w="1571"/>
        <w:gridCol w:w="1253"/>
        <w:gridCol w:w="1253"/>
        <w:gridCol w:w="1537"/>
        <w:gridCol w:w="1621"/>
      </w:tblGrid>
      <w:tr w:rsidR="00485094" w:rsidRPr="00225579" w:rsidTr="000F2909">
        <w:trPr>
          <w:trHeight w:val="301"/>
          <w:jc w:val="center"/>
        </w:trPr>
        <w:tc>
          <w:tcPr>
            <w:tcW w:w="1681" w:type="dxa"/>
            <w:tcBorders>
              <w:bottom w:val="double" w:sz="4" w:space="0" w:color="auto"/>
            </w:tcBorders>
            <w:shd w:val="clear" w:color="auto" w:fill="BDFFFF"/>
            <w:noWrap/>
            <w:vAlign w:val="bottom"/>
            <w:hideMark/>
          </w:tcPr>
          <w:p w:rsidR="00485094" w:rsidRPr="00225579" w:rsidRDefault="00485094" w:rsidP="00453E80">
            <w:pPr>
              <w:pStyle w:val="TableText"/>
              <w:jc w:val="center"/>
              <w:rPr>
                <w:rFonts w:cs="Arial"/>
                <w:b/>
                <w:i/>
                <w:szCs w:val="18"/>
              </w:rPr>
            </w:pPr>
            <w:r w:rsidRPr="00225579">
              <w:rPr>
                <w:rFonts w:cs="Arial"/>
                <w:b/>
                <w:i/>
                <w:szCs w:val="18"/>
              </w:rPr>
              <w:t>Metal</w:t>
            </w:r>
          </w:p>
        </w:tc>
        <w:tc>
          <w:tcPr>
            <w:tcW w:w="1571" w:type="dxa"/>
            <w:tcBorders>
              <w:bottom w:val="double" w:sz="4" w:space="0" w:color="auto"/>
            </w:tcBorders>
            <w:shd w:val="clear" w:color="auto" w:fill="BDFFFF"/>
            <w:noWrap/>
            <w:vAlign w:val="bottom"/>
            <w:hideMark/>
          </w:tcPr>
          <w:p w:rsidR="00485094" w:rsidRPr="00225579" w:rsidRDefault="00485094" w:rsidP="00453E80">
            <w:pPr>
              <w:pStyle w:val="TableText"/>
              <w:jc w:val="center"/>
              <w:rPr>
                <w:rFonts w:cs="Arial"/>
                <w:b/>
                <w:i/>
                <w:szCs w:val="18"/>
              </w:rPr>
            </w:pPr>
            <w:r w:rsidRPr="00225579">
              <w:rPr>
                <w:rFonts w:cs="Arial"/>
                <w:b/>
                <w:i/>
                <w:szCs w:val="18"/>
              </w:rPr>
              <w:t xml:space="preserve">% Meeting </w:t>
            </w:r>
            <w:r>
              <w:rPr>
                <w:rFonts w:cs="Arial"/>
                <w:b/>
                <w:i/>
                <w:szCs w:val="18"/>
              </w:rPr>
              <w:t xml:space="preserve">TEC </w:t>
            </w:r>
            <w:r w:rsidRPr="00225579">
              <w:rPr>
                <w:rFonts w:cs="Arial"/>
                <w:b/>
                <w:i/>
                <w:szCs w:val="18"/>
              </w:rPr>
              <w:t xml:space="preserve">Threshold </w:t>
            </w:r>
          </w:p>
        </w:tc>
        <w:tc>
          <w:tcPr>
            <w:tcW w:w="1253" w:type="dxa"/>
            <w:tcBorders>
              <w:bottom w:val="double" w:sz="4" w:space="0" w:color="auto"/>
            </w:tcBorders>
            <w:shd w:val="clear" w:color="auto" w:fill="BDFFFF"/>
            <w:vAlign w:val="bottom"/>
          </w:tcPr>
          <w:p w:rsidR="00485094" w:rsidRPr="00225579" w:rsidRDefault="00485094" w:rsidP="00453E80">
            <w:pPr>
              <w:pStyle w:val="TableText"/>
              <w:jc w:val="center"/>
              <w:rPr>
                <w:rFonts w:cs="Arial"/>
                <w:b/>
                <w:i/>
                <w:szCs w:val="18"/>
              </w:rPr>
            </w:pPr>
            <w:r w:rsidRPr="00225579">
              <w:rPr>
                <w:rFonts w:cs="Arial"/>
                <w:b/>
                <w:i/>
                <w:szCs w:val="18"/>
                <w:lang w:val="fr-FR"/>
              </w:rPr>
              <w:t xml:space="preserve">% Not Meeting </w:t>
            </w:r>
            <w:r>
              <w:rPr>
                <w:rFonts w:cs="Arial"/>
                <w:b/>
                <w:i/>
                <w:szCs w:val="18"/>
                <w:lang w:val="fr-FR"/>
              </w:rPr>
              <w:t xml:space="preserve"> TEC </w:t>
            </w:r>
            <w:r w:rsidRPr="00225579">
              <w:rPr>
                <w:rFonts w:cs="Arial"/>
                <w:b/>
                <w:i/>
                <w:szCs w:val="18"/>
                <w:lang w:val="fr-FR"/>
              </w:rPr>
              <w:t>Threshold</w:t>
            </w:r>
          </w:p>
        </w:tc>
        <w:tc>
          <w:tcPr>
            <w:tcW w:w="1253" w:type="dxa"/>
            <w:tcBorders>
              <w:bottom w:val="double" w:sz="4" w:space="0" w:color="auto"/>
            </w:tcBorders>
            <w:shd w:val="clear" w:color="auto" w:fill="BDFFFF"/>
            <w:vAlign w:val="bottom"/>
          </w:tcPr>
          <w:p w:rsidR="00485094" w:rsidRPr="00225579" w:rsidRDefault="00485094" w:rsidP="00453E80">
            <w:pPr>
              <w:pStyle w:val="TableText"/>
              <w:jc w:val="center"/>
              <w:rPr>
                <w:rFonts w:cs="Arial"/>
                <w:b/>
                <w:i/>
                <w:szCs w:val="18"/>
              </w:rPr>
            </w:pPr>
            <w:r w:rsidRPr="00225579">
              <w:rPr>
                <w:rFonts w:cs="Arial"/>
                <w:b/>
                <w:i/>
                <w:szCs w:val="18"/>
              </w:rPr>
              <w:t xml:space="preserve">% Not Meeting </w:t>
            </w:r>
            <w:r>
              <w:rPr>
                <w:rFonts w:cs="Arial"/>
                <w:b/>
                <w:i/>
                <w:szCs w:val="18"/>
              </w:rPr>
              <w:t xml:space="preserve">PEC </w:t>
            </w:r>
            <w:r w:rsidRPr="00225579">
              <w:rPr>
                <w:rFonts w:cs="Arial"/>
                <w:b/>
                <w:i/>
                <w:szCs w:val="18"/>
              </w:rPr>
              <w:t>Threshold</w:t>
            </w:r>
          </w:p>
        </w:tc>
        <w:tc>
          <w:tcPr>
            <w:tcW w:w="1537" w:type="dxa"/>
            <w:tcBorders>
              <w:bottom w:val="double" w:sz="4" w:space="0" w:color="auto"/>
            </w:tcBorders>
            <w:shd w:val="clear" w:color="auto" w:fill="BDFFFF"/>
            <w:noWrap/>
            <w:vAlign w:val="bottom"/>
            <w:hideMark/>
          </w:tcPr>
          <w:p w:rsidR="00485094" w:rsidRPr="00225579" w:rsidRDefault="00485094" w:rsidP="008D3B73">
            <w:pPr>
              <w:pStyle w:val="TableText"/>
              <w:jc w:val="center"/>
              <w:rPr>
                <w:rFonts w:cs="Arial"/>
                <w:b/>
                <w:i/>
                <w:szCs w:val="18"/>
              </w:rPr>
            </w:pPr>
            <w:r w:rsidRPr="00225579">
              <w:rPr>
                <w:rFonts w:cs="Arial"/>
                <w:b/>
                <w:i/>
                <w:szCs w:val="18"/>
              </w:rPr>
              <w:t xml:space="preserve">% of Stations &gt;TEC </w:t>
            </w:r>
            <w:r>
              <w:rPr>
                <w:rFonts w:cs="Arial"/>
                <w:b/>
                <w:i/>
                <w:szCs w:val="18"/>
              </w:rPr>
              <w:t>Due to</w:t>
            </w:r>
            <w:r w:rsidRPr="00225579">
              <w:rPr>
                <w:rFonts w:cs="Arial"/>
                <w:b/>
                <w:i/>
                <w:szCs w:val="18"/>
              </w:rPr>
              <w:t xml:space="preserve"> Natural Metal Concentrations</w:t>
            </w:r>
          </w:p>
        </w:tc>
        <w:tc>
          <w:tcPr>
            <w:tcW w:w="1621" w:type="dxa"/>
            <w:tcBorders>
              <w:bottom w:val="double" w:sz="4" w:space="0" w:color="auto"/>
            </w:tcBorders>
            <w:shd w:val="clear" w:color="auto" w:fill="BDFFFF"/>
            <w:noWrap/>
            <w:vAlign w:val="bottom"/>
            <w:hideMark/>
          </w:tcPr>
          <w:p w:rsidR="00485094" w:rsidRPr="00225579" w:rsidRDefault="00485094" w:rsidP="008D3B73">
            <w:pPr>
              <w:pStyle w:val="TableText"/>
              <w:jc w:val="center"/>
              <w:rPr>
                <w:rFonts w:cs="Arial"/>
                <w:b/>
                <w:i/>
                <w:szCs w:val="18"/>
              </w:rPr>
            </w:pPr>
            <w:r w:rsidRPr="00225579">
              <w:rPr>
                <w:rFonts w:cs="Arial"/>
                <w:b/>
                <w:i/>
                <w:szCs w:val="18"/>
              </w:rPr>
              <w:t xml:space="preserve">% of Stations &gt;PEC </w:t>
            </w:r>
            <w:r>
              <w:rPr>
                <w:rFonts w:cs="Arial"/>
                <w:b/>
                <w:i/>
                <w:szCs w:val="18"/>
              </w:rPr>
              <w:t>Due to</w:t>
            </w:r>
            <w:r w:rsidRPr="00225579">
              <w:rPr>
                <w:rFonts w:cs="Arial"/>
                <w:b/>
                <w:i/>
                <w:szCs w:val="18"/>
              </w:rPr>
              <w:t xml:space="preserve"> Natural Metal Concentrations</w:t>
            </w:r>
          </w:p>
        </w:tc>
      </w:tr>
      <w:tr w:rsidR="00485094" w:rsidRPr="001F3C83" w:rsidTr="00453E80">
        <w:trPr>
          <w:trHeight w:val="301"/>
          <w:jc w:val="center"/>
        </w:trPr>
        <w:tc>
          <w:tcPr>
            <w:tcW w:w="1681" w:type="dxa"/>
            <w:tcBorders>
              <w:top w:val="double" w:sz="4" w:space="0" w:color="auto"/>
              <w:bottom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Arsenic Uncorrected</w:t>
            </w:r>
          </w:p>
        </w:tc>
        <w:tc>
          <w:tcPr>
            <w:tcW w:w="1571" w:type="dxa"/>
            <w:tcBorders>
              <w:top w:val="double" w:sz="4" w:space="0" w:color="auto"/>
              <w:bottom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84.5</w:t>
            </w:r>
          </w:p>
        </w:tc>
        <w:tc>
          <w:tcPr>
            <w:tcW w:w="1253" w:type="dxa"/>
            <w:tcBorders>
              <w:top w:val="double" w:sz="4" w:space="0" w:color="auto"/>
              <w:bottom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15</w:t>
            </w:r>
          </w:p>
        </w:tc>
        <w:tc>
          <w:tcPr>
            <w:tcW w:w="1253" w:type="dxa"/>
            <w:tcBorders>
              <w:top w:val="double" w:sz="4" w:space="0" w:color="auto"/>
              <w:bottom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0.50</w:t>
            </w:r>
          </w:p>
        </w:tc>
        <w:tc>
          <w:tcPr>
            <w:tcW w:w="1537" w:type="dxa"/>
            <w:tcBorders>
              <w:top w:val="double" w:sz="4" w:space="0" w:color="auto"/>
              <w:bottom w:val="single" w:sz="6" w:space="0" w:color="auto"/>
            </w:tcBorders>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21" w:type="dxa"/>
            <w:tcBorders>
              <w:top w:val="double" w:sz="4" w:space="0" w:color="auto"/>
              <w:bottom w:val="single" w:sz="6" w:space="0" w:color="auto"/>
            </w:tcBorders>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1F3C83" w:rsidTr="00453E80">
        <w:trPr>
          <w:trHeight w:val="301"/>
          <w:jc w:val="center"/>
        </w:trPr>
        <w:tc>
          <w:tcPr>
            <w:tcW w:w="1681" w:type="dxa"/>
            <w:tcBorders>
              <w:top w:val="single" w:sz="6" w:space="0" w:color="auto"/>
              <w:bottom w:val="double" w:sz="4" w:space="0" w:color="auto"/>
              <w:right w:val="single" w:sz="6" w:space="0" w:color="auto"/>
            </w:tcBorders>
            <w:noWrap/>
            <w:vAlign w:val="center"/>
            <w:hideMark/>
          </w:tcPr>
          <w:p w:rsidR="00485094" w:rsidRDefault="00485094" w:rsidP="00453E80">
            <w:pPr>
              <w:pStyle w:val="TableText"/>
              <w:jc w:val="center"/>
              <w:rPr>
                <w:rFonts w:cs="Arial"/>
                <w:color w:val="000000"/>
                <w:szCs w:val="18"/>
              </w:rPr>
            </w:pPr>
            <w:r w:rsidRPr="001F3C83">
              <w:rPr>
                <w:rFonts w:cs="Arial"/>
                <w:color w:val="000000"/>
                <w:szCs w:val="18"/>
              </w:rPr>
              <w:t xml:space="preserve">Arsenic </w:t>
            </w:r>
          </w:p>
          <w:p w:rsidR="00485094" w:rsidRPr="001F3C83" w:rsidRDefault="00485094" w:rsidP="00453E80">
            <w:pPr>
              <w:pStyle w:val="TableText"/>
              <w:jc w:val="center"/>
              <w:rPr>
                <w:rFonts w:cs="Arial"/>
                <w:color w:val="000000"/>
                <w:szCs w:val="18"/>
              </w:rPr>
            </w:pPr>
            <w:r w:rsidRPr="001F3C83">
              <w:rPr>
                <w:rFonts w:cs="Arial"/>
                <w:color w:val="000000"/>
                <w:szCs w:val="18"/>
              </w:rPr>
              <w:t>Corrected</w:t>
            </w:r>
          </w:p>
        </w:tc>
        <w:tc>
          <w:tcPr>
            <w:tcW w:w="1571" w:type="dxa"/>
            <w:tcBorders>
              <w:top w:val="single" w:sz="6" w:space="0" w:color="auto"/>
              <w:left w:val="single" w:sz="6" w:space="0" w:color="auto"/>
              <w:bottom w:val="double" w:sz="4"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84.53</w:t>
            </w:r>
          </w:p>
        </w:tc>
        <w:tc>
          <w:tcPr>
            <w:tcW w:w="1253" w:type="dxa"/>
            <w:tcBorders>
              <w:top w:val="single" w:sz="6" w:space="0" w:color="auto"/>
              <w:left w:val="single" w:sz="6" w:space="0" w:color="auto"/>
              <w:bottom w:val="double" w:sz="4"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1.03</w:t>
            </w:r>
          </w:p>
        </w:tc>
        <w:tc>
          <w:tcPr>
            <w:tcW w:w="1253" w:type="dxa"/>
            <w:tcBorders>
              <w:top w:val="single" w:sz="6" w:space="0" w:color="auto"/>
              <w:left w:val="single" w:sz="6" w:space="0" w:color="auto"/>
              <w:bottom w:val="double" w:sz="4"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0.5</w:t>
            </w:r>
          </w:p>
        </w:tc>
        <w:tc>
          <w:tcPr>
            <w:tcW w:w="1537" w:type="dxa"/>
            <w:tcBorders>
              <w:top w:val="single" w:sz="6" w:space="0" w:color="auto"/>
              <w:left w:val="single" w:sz="6" w:space="0" w:color="auto"/>
              <w:bottom w:val="double" w:sz="4"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13.94</w:t>
            </w:r>
          </w:p>
        </w:tc>
        <w:tc>
          <w:tcPr>
            <w:tcW w:w="1621" w:type="dxa"/>
            <w:tcBorders>
              <w:top w:val="single" w:sz="6" w:space="0" w:color="auto"/>
              <w:left w:val="single" w:sz="6" w:space="0" w:color="auto"/>
              <w:bottom w:val="double" w:sz="4" w:space="0" w:color="auto"/>
            </w:tcBorders>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1F3C83" w:rsidTr="00453E80">
        <w:trPr>
          <w:trHeight w:val="301"/>
          <w:jc w:val="center"/>
        </w:trPr>
        <w:tc>
          <w:tcPr>
            <w:tcW w:w="1681" w:type="dxa"/>
            <w:tcBorders>
              <w:top w:val="double" w:sz="4" w:space="0" w:color="auto"/>
              <w:bottom w:val="single" w:sz="6"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Cadmium Uncorrected</w:t>
            </w:r>
          </w:p>
        </w:tc>
        <w:tc>
          <w:tcPr>
            <w:tcW w:w="1571"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88.01</w:t>
            </w:r>
          </w:p>
        </w:tc>
        <w:tc>
          <w:tcPr>
            <w:tcW w:w="1253" w:type="dxa"/>
            <w:tcBorders>
              <w:top w:val="double" w:sz="4" w:space="0" w:color="auto"/>
              <w:left w:val="single" w:sz="6" w:space="0" w:color="auto"/>
              <w:bottom w:val="single" w:sz="6" w:space="0" w:color="auto"/>
              <w:right w:val="single" w:sz="6" w:space="0" w:color="auto"/>
            </w:tcBorders>
            <w:shd w:val="clear" w:color="auto" w:fill="FFFFCC"/>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10.68</w:t>
            </w:r>
          </w:p>
        </w:tc>
        <w:tc>
          <w:tcPr>
            <w:tcW w:w="1253" w:type="dxa"/>
            <w:tcBorders>
              <w:top w:val="double" w:sz="4" w:space="0" w:color="auto"/>
              <w:left w:val="single" w:sz="6" w:space="0" w:color="auto"/>
              <w:bottom w:val="single" w:sz="6" w:space="0" w:color="auto"/>
              <w:right w:val="single" w:sz="6" w:space="0" w:color="auto"/>
            </w:tcBorders>
            <w:shd w:val="clear" w:color="auto" w:fill="FFFFCC"/>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1.31</w:t>
            </w:r>
          </w:p>
        </w:tc>
        <w:tc>
          <w:tcPr>
            <w:tcW w:w="1537"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21" w:type="dxa"/>
            <w:tcBorders>
              <w:top w:val="double" w:sz="4" w:space="0" w:color="auto"/>
              <w:left w:val="single" w:sz="6" w:space="0" w:color="auto"/>
              <w:bottom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1F3C83" w:rsidTr="00453E80">
        <w:trPr>
          <w:trHeight w:val="301"/>
          <w:jc w:val="center"/>
        </w:trPr>
        <w:tc>
          <w:tcPr>
            <w:tcW w:w="1681" w:type="dxa"/>
            <w:tcBorders>
              <w:top w:val="single" w:sz="6" w:space="0" w:color="auto"/>
              <w:bottom w:val="double" w:sz="4"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Cadmium Corrected</w:t>
            </w:r>
          </w:p>
        </w:tc>
        <w:tc>
          <w:tcPr>
            <w:tcW w:w="157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88.01</w:t>
            </w:r>
          </w:p>
        </w:tc>
        <w:tc>
          <w:tcPr>
            <w:tcW w:w="1253" w:type="dxa"/>
            <w:tcBorders>
              <w:top w:val="single" w:sz="6" w:space="0" w:color="auto"/>
              <w:left w:val="single" w:sz="6" w:space="0" w:color="auto"/>
              <w:bottom w:val="double" w:sz="4" w:space="0" w:color="auto"/>
              <w:right w:val="single" w:sz="6" w:space="0" w:color="auto"/>
            </w:tcBorders>
            <w:shd w:val="clear" w:color="auto" w:fill="FFFFCC"/>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0.88</w:t>
            </w:r>
          </w:p>
        </w:tc>
        <w:tc>
          <w:tcPr>
            <w:tcW w:w="1253" w:type="dxa"/>
            <w:tcBorders>
              <w:top w:val="single" w:sz="6" w:space="0" w:color="auto"/>
              <w:left w:val="single" w:sz="6" w:space="0" w:color="auto"/>
              <w:bottom w:val="double" w:sz="4" w:space="0" w:color="auto"/>
              <w:right w:val="single" w:sz="6" w:space="0" w:color="auto"/>
            </w:tcBorders>
            <w:shd w:val="clear" w:color="auto" w:fill="FFFFCC"/>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1.31</w:t>
            </w:r>
          </w:p>
        </w:tc>
        <w:tc>
          <w:tcPr>
            <w:tcW w:w="1537"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9.8</w:t>
            </w:r>
          </w:p>
        </w:tc>
        <w:tc>
          <w:tcPr>
            <w:tcW w:w="1621" w:type="dxa"/>
            <w:tcBorders>
              <w:top w:val="single" w:sz="6" w:space="0" w:color="auto"/>
              <w:left w:val="single" w:sz="6" w:space="0" w:color="auto"/>
              <w:bottom w:val="double" w:sz="4"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1F3C83" w:rsidTr="00453E80">
        <w:trPr>
          <w:trHeight w:val="301"/>
          <w:jc w:val="center"/>
        </w:trPr>
        <w:tc>
          <w:tcPr>
            <w:tcW w:w="1681" w:type="dxa"/>
            <w:tcBorders>
              <w:top w:val="double" w:sz="4" w:space="0" w:color="auto"/>
              <w:bottom w:val="single" w:sz="6"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Chromium Uncorrected</w:t>
            </w:r>
          </w:p>
        </w:tc>
        <w:tc>
          <w:tcPr>
            <w:tcW w:w="1571" w:type="dxa"/>
            <w:tcBorders>
              <w:top w:val="double" w:sz="4" w:space="0" w:color="auto"/>
              <w:left w:val="single" w:sz="6" w:space="0" w:color="auto"/>
              <w:bottom w:val="single" w:sz="6"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63.18</w:t>
            </w:r>
          </w:p>
        </w:tc>
        <w:tc>
          <w:tcPr>
            <w:tcW w:w="1253" w:type="dxa"/>
            <w:tcBorders>
              <w:top w:val="double" w:sz="4" w:space="0" w:color="auto"/>
              <w:left w:val="single" w:sz="6" w:space="0" w:color="auto"/>
              <w:bottom w:val="single" w:sz="6"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33.99</w:t>
            </w:r>
          </w:p>
        </w:tc>
        <w:tc>
          <w:tcPr>
            <w:tcW w:w="1253" w:type="dxa"/>
            <w:tcBorders>
              <w:top w:val="double" w:sz="4" w:space="0" w:color="auto"/>
              <w:left w:val="single" w:sz="6" w:space="0" w:color="auto"/>
              <w:bottom w:val="single" w:sz="6"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2.83</w:t>
            </w:r>
          </w:p>
        </w:tc>
        <w:tc>
          <w:tcPr>
            <w:tcW w:w="1537" w:type="dxa"/>
            <w:tcBorders>
              <w:top w:val="double" w:sz="4" w:space="0" w:color="auto"/>
              <w:left w:val="single" w:sz="6" w:space="0" w:color="auto"/>
              <w:bottom w:val="single" w:sz="6"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21" w:type="dxa"/>
            <w:tcBorders>
              <w:top w:val="double" w:sz="4" w:space="0" w:color="auto"/>
              <w:left w:val="single" w:sz="6" w:space="0" w:color="auto"/>
              <w:bottom w:val="single" w:sz="6" w:space="0" w:color="auto"/>
            </w:tcBorders>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1F3C83" w:rsidTr="00453E80">
        <w:trPr>
          <w:trHeight w:val="301"/>
          <w:jc w:val="center"/>
        </w:trPr>
        <w:tc>
          <w:tcPr>
            <w:tcW w:w="1681" w:type="dxa"/>
            <w:tcBorders>
              <w:top w:val="single" w:sz="6" w:space="0" w:color="auto"/>
              <w:bottom w:val="double" w:sz="4"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Chromium Corrected</w:t>
            </w:r>
          </w:p>
        </w:tc>
        <w:tc>
          <w:tcPr>
            <w:tcW w:w="1571" w:type="dxa"/>
            <w:tcBorders>
              <w:top w:val="single" w:sz="6" w:space="0" w:color="auto"/>
              <w:left w:val="single" w:sz="6" w:space="0" w:color="auto"/>
              <w:bottom w:val="double" w:sz="4"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63.18</w:t>
            </w:r>
          </w:p>
        </w:tc>
        <w:tc>
          <w:tcPr>
            <w:tcW w:w="1253" w:type="dxa"/>
            <w:tcBorders>
              <w:top w:val="single" w:sz="6" w:space="0" w:color="auto"/>
              <w:left w:val="single" w:sz="6" w:space="0" w:color="auto"/>
              <w:bottom w:val="double" w:sz="4"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3.26</w:t>
            </w:r>
          </w:p>
        </w:tc>
        <w:tc>
          <w:tcPr>
            <w:tcW w:w="1253" w:type="dxa"/>
            <w:tcBorders>
              <w:top w:val="single" w:sz="6" w:space="0" w:color="auto"/>
              <w:left w:val="single" w:sz="6" w:space="0" w:color="auto"/>
              <w:bottom w:val="double" w:sz="4"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0.65</w:t>
            </w:r>
          </w:p>
        </w:tc>
        <w:tc>
          <w:tcPr>
            <w:tcW w:w="1537" w:type="dxa"/>
            <w:tcBorders>
              <w:top w:val="single" w:sz="6" w:space="0" w:color="auto"/>
              <w:left w:val="single" w:sz="6" w:space="0" w:color="auto"/>
              <w:bottom w:val="double" w:sz="4"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32.9</w:t>
            </w:r>
          </w:p>
        </w:tc>
        <w:tc>
          <w:tcPr>
            <w:tcW w:w="1621" w:type="dxa"/>
            <w:tcBorders>
              <w:top w:val="single" w:sz="6" w:space="0" w:color="auto"/>
              <w:left w:val="single" w:sz="6" w:space="0" w:color="auto"/>
              <w:bottom w:val="double" w:sz="4"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2.19</w:t>
            </w:r>
          </w:p>
        </w:tc>
      </w:tr>
      <w:tr w:rsidR="00485094" w:rsidRPr="001F3C83" w:rsidTr="00453E80">
        <w:trPr>
          <w:trHeight w:val="301"/>
          <w:jc w:val="center"/>
        </w:trPr>
        <w:tc>
          <w:tcPr>
            <w:tcW w:w="1681" w:type="dxa"/>
            <w:tcBorders>
              <w:top w:val="double" w:sz="4" w:space="0" w:color="auto"/>
              <w:bottom w:val="single" w:sz="6"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Copper Uncorrected</w:t>
            </w:r>
          </w:p>
        </w:tc>
        <w:tc>
          <w:tcPr>
            <w:tcW w:w="1571"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68.19</w:t>
            </w:r>
          </w:p>
        </w:tc>
        <w:tc>
          <w:tcPr>
            <w:tcW w:w="1253" w:type="dxa"/>
            <w:tcBorders>
              <w:top w:val="double" w:sz="4" w:space="0" w:color="auto"/>
              <w:left w:val="single" w:sz="6" w:space="0" w:color="auto"/>
              <w:bottom w:val="single" w:sz="6" w:space="0" w:color="auto"/>
              <w:right w:val="single" w:sz="6" w:space="0" w:color="auto"/>
            </w:tcBorders>
            <w:shd w:val="clear" w:color="auto" w:fill="FFFFCC"/>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23.09</w:t>
            </w:r>
          </w:p>
        </w:tc>
        <w:tc>
          <w:tcPr>
            <w:tcW w:w="1253" w:type="dxa"/>
            <w:tcBorders>
              <w:top w:val="double" w:sz="4" w:space="0" w:color="auto"/>
              <w:left w:val="single" w:sz="6" w:space="0" w:color="auto"/>
              <w:bottom w:val="single" w:sz="6" w:space="0" w:color="auto"/>
              <w:right w:val="single" w:sz="6" w:space="0" w:color="auto"/>
            </w:tcBorders>
            <w:shd w:val="clear" w:color="auto" w:fill="FFFFCC"/>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8.72</w:t>
            </w:r>
          </w:p>
        </w:tc>
        <w:tc>
          <w:tcPr>
            <w:tcW w:w="1537"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21" w:type="dxa"/>
            <w:tcBorders>
              <w:top w:val="double" w:sz="4" w:space="0" w:color="auto"/>
              <w:left w:val="single" w:sz="6" w:space="0" w:color="auto"/>
              <w:bottom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1F3C83" w:rsidTr="00453E80">
        <w:trPr>
          <w:trHeight w:val="301"/>
          <w:jc w:val="center"/>
        </w:trPr>
        <w:tc>
          <w:tcPr>
            <w:tcW w:w="1681" w:type="dxa"/>
            <w:tcBorders>
              <w:top w:val="single" w:sz="6" w:space="0" w:color="auto"/>
              <w:bottom w:val="double" w:sz="4" w:space="0" w:color="auto"/>
              <w:right w:val="single" w:sz="6" w:space="0" w:color="auto"/>
            </w:tcBorders>
            <w:shd w:val="clear" w:color="auto" w:fill="FFFFCC"/>
            <w:noWrap/>
            <w:vAlign w:val="center"/>
            <w:hideMark/>
          </w:tcPr>
          <w:p w:rsidR="00485094" w:rsidRDefault="00485094" w:rsidP="00453E80">
            <w:pPr>
              <w:pStyle w:val="TableText"/>
              <w:jc w:val="center"/>
              <w:rPr>
                <w:rFonts w:cs="Arial"/>
                <w:color w:val="000000"/>
                <w:szCs w:val="18"/>
              </w:rPr>
            </w:pPr>
            <w:r w:rsidRPr="001F3C83">
              <w:rPr>
                <w:rFonts w:cs="Arial"/>
                <w:color w:val="000000"/>
                <w:szCs w:val="18"/>
              </w:rPr>
              <w:t xml:space="preserve">Copper </w:t>
            </w:r>
          </w:p>
          <w:p w:rsidR="00485094" w:rsidRPr="001F3C83" w:rsidRDefault="00485094" w:rsidP="00453E80">
            <w:pPr>
              <w:pStyle w:val="TableText"/>
              <w:jc w:val="center"/>
              <w:rPr>
                <w:rFonts w:cs="Arial"/>
                <w:color w:val="000000"/>
                <w:szCs w:val="18"/>
              </w:rPr>
            </w:pPr>
            <w:r w:rsidRPr="001F3C83">
              <w:rPr>
                <w:rFonts w:cs="Arial"/>
                <w:color w:val="000000"/>
                <w:szCs w:val="18"/>
              </w:rPr>
              <w:t>Corrected</w:t>
            </w:r>
          </w:p>
        </w:tc>
        <w:tc>
          <w:tcPr>
            <w:tcW w:w="157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68.19</w:t>
            </w:r>
          </w:p>
        </w:tc>
        <w:tc>
          <w:tcPr>
            <w:tcW w:w="1253" w:type="dxa"/>
            <w:tcBorders>
              <w:top w:val="single" w:sz="6" w:space="0" w:color="auto"/>
              <w:left w:val="single" w:sz="6" w:space="0" w:color="auto"/>
              <w:bottom w:val="double" w:sz="4" w:space="0" w:color="auto"/>
              <w:right w:val="single" w:sz="6" w:space="0" w:color="auto"/>
            </w:tcBorders>
            <w:shd w:val="clear" w:color="auto" w:fill="FFFFCC"/>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18.3</w:t>
            </w:r>
          </w:p>
        </w:tc>
        <w:tc>
          <w:tcPr>
            <w:tcW w:w="1253" w:type="dxa"/>
            <w:tcBorders>
              <w:top w:val="single" w:sz="6" w:space="0" w:color="auto"/>
              <w:left w:val="single" w:sz="6" w:space="0" w:color="auto"/>
              <w:bottom w:val="double" w:sz="4" w:space="0" w:color="auto"/>
              <w:right w:val="single" w:sz="6" w:space="0" w:color="auto"/>
            </w:tcBorders>
            <w:shd w:val="clear" w:color="auto" w:fill="FFFFCC"/>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8.72</w:t>
            </w:r>
          </w:p>
        </w:tc>
        <w:tc>
          <w:tcPr>
            <w:tcW w:w="1537"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4.79</w:t>
            </w:r>
          </w:p>
        </w:tc>
        <w:tc>
          <w:tcPr>
            <w:tcW w:w="1621" w:type="dxa"/>
            <w:tcBorders>
              <w:top w:val="single" w:sz="6" w:space="0" w:color="auto"/>
              <w:left w:val="single" w:sz="6" w:space="0" w:color="auto"/>
              <w:bottom w:val="double" w:sz="4"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1F3C83" w:rsidTr="00453E80">
        <w:trPr>
          <w:trHeight w:val="301"/>
          <w:jc w:val="center"/>
        </w:trPr>
        <w:tc>
          <w:tcPr>
            <w:tcW w:w="1681" w:type="dxa"/>
            <w:tcBorders>
              <w:top w:val="double" w:sz="4" w:space="0" w:color="auto"/>
              <w:bottom w:val="single" w:sz="6"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Silver Uncorrected</w:t>
            </w:r>
          </w:p>
        </w:tc>
        <w:tc>
          <w:tcPr>
            <w:tcW w:w="1571" w:type="dxa"/>
            <w:tcBorders>
              <w:top w:val="double" w:sz="4" w:space="0" w:color="auto"/>
              <w:left w:val="single" w:sz="6" w:space="0" w:color="auto"/>
              <w:bottom w:val="single" w:sz="6"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98</w:t>
            </w:r>
          </w:p>
        </w:tc>
        <w:tc>
          <w:tcPr>
            <w:tcW w:w="1253" w:type="dxa"/>
            <w:tcBorders>
              <w:top w:val="double" w:sz="4" w:space="0" w:color="auto"/>
              <w:left w:val="single" w:sz="6" w:space="0" w:color="auto"/>
              <w:bottom w:val="single" w:sz="6"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w:t>
            </w:r>
          </w:p>
        </w:tc>
        <w:tc>
          <w:tcPr>
            <w:tcW w:w="1253" w:type="dxa"/>
            <w:tcBorders>
              <w:top w:val="double" w:sz="4" w:space="0" w:color="auto"/>
              <w:left w:val="single" w:sz="6" w:space="0" w:color="auto"/>
              <w:bottom w:val="single" w:sz="6"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w:t>
            </w:r>
          </w:p>
        </w:tc>
        <w:tc>
          <w:tcPr>
            <w:tcW w:w="1537" w:type="dxa"/>
            <w:tcBorders>
              <w:top w:val="double" w:sz="4" w:space="0" w:color="auto"/>
              <w:left w:val="single" w:sz="6" w:space="0" w:color="auto"/>
              <w:bottom w:val="single" w:sz="6"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21" w:type="dxa"/>
            <w:tcBorders>
              <w:top w:val="double" w:sz="4" w:space="0" w:color="auto"/>
              <w:left w:val="single" w:sz="6" w:space="0" w:color="auto"/>
              <w:bottom w:val="single" w:sz="6" w:space="0" w:color="auto"/>
            </w:tcBorders>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1F3C83" w:rsidTr="00453E80">
        <w:trPr>
          <w:trHeight w:val="301"/>
          <w:jc w:val="center"/>
        </w:trPr>
        <w:tc>
          <w:tcPr>
            <w:tcW w:w="1681" w:type="dxa"/>
            <w:tcBorders>
              <w:top w:val="single" w:sz="6" w:space="0" w:color="auto"/>
              <w:bottom w:val="double" w:sz="4" w:space="0" w:color="auto"/>
              <w:right w:val="single" w:sz="6" w:space="0" w:color="auto"/>
            </w:tcBorders>
            <w:noWrap/>
            <w:vAlign w:val="center"/>
            <w:hideMark/>
          </w:tcPr>
          <w:p w:rsidR="00485094" w:rsidRDefault="00485094" w:rsidP="00453E80">
            <w:pPr>
              <w:pStyle w:val="TableText"/>
              <w:jc w:val="center"/>
              <w:rPr>
                <w:rFonts w:cs="Arial"/>
                <w:color w:val="000000"/>
                <w:szCs w:val="18"/>
              </w:rPr>
            </w:pPr>
            <w:r w:rsidRPr="001F3C83">
              <w:rPr>
                <w:rFonts w:cs="Arial"/>
                <w:color w:val="000000"/>
                <w:szCs w:val="18"/>
              </w:rPr>
              <w:t xml:space="preserve">Silver </w:t>
            </w:r>
          </w:p>
          <w:p w:rsidR="00485094" w:rsidRPr="001F3C83" w:rsidRDefault="00485094" w:rsidP="00453E80">
            <w:pPr>
              <w:pStyle w:val="TableText"/>
              <w:jc w:val="center"/>
              <w:rPr>
                <w:rFonts w:cs="Arial"/>
                <w:color w:val="000000"/>
                <w:szCs w:val="18"/>
              </w:rPr>
            </w:pPr>
            <w:r w:rsidRPr="001F3C83">
              <w:rPr>
                <w:rFonts w:cs="Arial"/>
                <w:color w:val="000000"/>
                <w:szCs w:val="18"/>
              </w:rPr>
              <w:t>Corrected</w:t>
            </w:r>
          </w:p>
        </w:tc>
        <w:tc>
          <w:tcPr>
            <w:tcW w:w="1571" w:type="dxa"/>
            <w:tcBorders>
              <w:top w:val="single" w:sz="6" w:space="0" w:color="auto"/>
              <w:left w:val="single" w:sz="6" w:space="0" w:color="auto"/>
              <w:bottom w:val="double" w:sz="4"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98</w:t>
            </w:r>
          </w:p>
        </w:tc>
        <w:tc>
          <w:tcPr>
            <w:tcW w:w="1253" w:type="dxa"/>
            <w:tcBorders>
              <w:top w:val="single" w:sz="6" w:space="0" w:color="auto"/>
              <w:left w:val="single" w:sz="6" w:space="0" w:color="auto"/>
              <w:bottom w:val="double" w:sz="4"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w:t>
            </w:r>
          </w:p>
        </w:tc>
        <w:tc>
          <w:tcPr>
            <w:tcW w:w="1253" w:type="dxa"/>
            <w:tcBorders>
              <w:top w:val="single" w:sz="6" w:space="0" w:color="auto"/>
              <w:left w:val="single" w:sz="6" w:space="0" w:color="auto"/>
              <w:bottom w:val="double" w:sz="4"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w:t>
            </w:r>
          </w:p>
        </w:tc>
        <w:tc>
          <w:tcPr>
            <w:tcW w:w="1537" w:type="dxa"/>
            <w:tcBorders>
              <w:top w:val="single" w:sz="6" w:space="0" w:color="auto"/>
              <w:left w:val="single" w:sz="6" w:space="0" w:color="auto"/>
              <w:bottom w:val="double" w:sz="4"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21" w:type="dxa"/>
            <w:tcBorders>
              <w:top w:val="single" w:sz="6" w:space="0" w:color="auto"/>
              <w:left w:val="single" w:sz="6" w:space="0" w:color="auto"/>
              <w:bottom w:val="double" w:sz="4" w:space="0" w:color="auto"/>
            </w:tcBorders>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1F3C83" w:rsidTr="00453E80">
        <w:trPr>
          <w:trHeight w:val="301"/>
          <w:jc w:val="center"/>
        </w:trPr>
        <w:tc>
          <w:tcPr>
            <w:tcW w:w="1681" w:type="dxa"/>
            <w:tcBorders>
              <w:top w:val="double" w:sz="4" w:space="0" w:color="auto"/>
              <w:bottom w:val="single" w:sz="6"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Nickel Uncorrected</w:t>
            </w:r>
          </w:p>
        </w:tc>
        <w:tc>
          <w:tcPr>
            <w:tcW w:w="1571"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83</w:t>
            </w:r>
          </w:p>
        </w:tc>
        <w:tc>
          <w:tcPr>
            <w:tcW w:w="1253" w:type="dxa"/>
            <w:tcBorders>
              <w:top w:val="double" w:sz="4" w:space="0" w:color="auto"/>
              <w:left w:val="single" w:sz="6" w:space="0" w:color="auto"/>
              <w:bottom w:val="single" w:sz="6" w:space="0" w:color="auto"/>
              <w:right w:val="single" w:sz="6" w:space="0" w:color="auto"/>
            </w:tcBorders>
            <w:shd w:val="clear" w:color="auto" w:fill="FFFFCC"/>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16</w:t>
            </w:r>
          </w:p>
        </w:tc>
        <w:tc>
          <w:tcPr>
            <w:tcW w:w="1253" w:type="dxa"/>
            <w:tcBorders>
              <w:top w:val="double" w:sz="4" w:space="0" w:color="auto"/>
              <w:left w:val="single" w:sz="6" w:space="0" w:color="auto"/>
              <w:bottom w:val="single" w:sz="6" w:space="0" w:color="auto"/>
              <w:right w:val="single" w:sz="6" w:space="0" w:color="auto"/>
            </w:tcBorders>
            <w:shd w:val="clear" w:color="auto" w:fill="FFFFCC"/>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w:t>
            </w:r>
          </w:p>
        </w:tc>
        <w:tc>
          <w:tcPr>
            <w:tcW w:w="1537"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21" w:type="dxa"/>
            <w:tcBorders>
              <w:top w:val="double" w:sz="4" w:space="0" w:color="auto"/>
              <w:left w:val="single" w:sz="6" w:space="0" w:color="auto"/>
              <w:bottom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1F3C83" w:rsidTr="00453E80">
        <w:trPr>
          <w:trHeight w:val="301"/>
          <w:jc w:val="center"/>
        </w:trPr>
        <w:tc>
          <w:tcPr>
            <w:tcW w:w="1681" w:type="dxa"/>
            <w:tcBorders>
              <w:top w:val="single" w:sz="6" w:space="0" w:color="auto"/>
              <w:bottom w:val="double" w:sz="4" w:space="0" w:color="auto"/>
              <w:right w:val="single" w:sz="6" w:space="0" w:color="auto"/>
            </w:tcBorders>
            <w:shd w:val="clear" w:color="auto" w:fill="FFFFCC"/>
            <w:noWrap/>
            <w:vAlign w:val="center"/>
            <w:hideMark/>
          </w:tcPr>
          <w:p w:rsidR="00485094" w:rsidRDefault="00485094" w:rsidP="00453E80">
            <w:pPr>
              <w:pStyle w:val="TableText"/>
              <w:jc w:val="center"/>
              <w:rPr>
                <w:rFonts w:cs="Arial"/>
                <w:color w:val="000000"/>
                <w:szCs w:val="18"/>
              </w:rPr>
            </w:pPr>
            <w:r w:rsidRPr="001F3C83">
              <w:rPr>
                <w:rFonts w:cs="Arial"/>
                <w:color w:val="000000"/>
                <w:szCs w:val="18"/>
              </w:rPr>
              <w:t xml:space="preserve">Nickel </w:t>
            </w:r>
          </w:p>
          <w:p w:rsidR="00485094" w:rsidRPr="001F3C83" w:rsidRDefault="00485094" w:rsidP="00453E80">
            <w:pPr>
              <w:pStyle w:val="TableText"/>
              <w:jc w:val="center"/>
              <w:rPr>
                <w:rFonts w:cs="Arial"/>
                <w:color w:val="000000"/>
                <w:szCs w:val="18"/>
              </w:rPr>
            </w:pPr>
            <w:r w:rsidRPr="001F3C83">
              <w:rPr>
                <w:rFonts w:cs="Arial"/>
                <w:color w:val="000000"/>
                <w:szCs w:val="18"/>
              </w:rPr>
              <w:t>Corrected</w:t>
            </w:r>
          </w:p>
        </w:tc>
        <w:tc>
          <w:tcPr>
            <w:tcW w:w="157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83</w:t>
            </w:r>
          </w:p>
        </w:tc>
        <w:tc>
          <w:tcPr>
            <w:tcW w:w="1253" w:type="dxa"/>
            <w:tcBorders>
              <w:top w:val="single" w:sz="6" w:space="0" w:color="auto"/>
              <w:left w:val="single" w:sz="6" w:space="0" w:color="auto"/>
              <w:bottom w:val="double" w:sz="4" w:space="0" w:color="auto"/>
              <w:right w:val="single" w:sz="6" w:space="0" w:color="auto"/>
            </w:tcBorders>
            <w:shd w:val="clear" w:color="auto" w:fill="FFFFCC"/>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11</w:t>
            </w:r>
          </w:p>
        </w:tc>
        <w:tc>
          <w:tcPr>
            <w:tcW w:w="1253" w:type="dxa"/>
            <w:tcBorders>
              <w:top w:val="single" w:sz="6" w:space="0" w:color="auto"/>
              <w:left w:val="single" w:sz="6" w:space="0" w:color="auto"/>
              <w:bottom w:val="double" w:sz="4" w:space="0" w:color="auto"/>
              <w:right w:val="single" w:sz="6" w:space="0" w:color="auto"/>
            </w:tcBorders>
            <w:shd w:val="clear" w:color="auto" w:fill="FFFFCC"/>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w:t>
            </w:r>
          </w:p>
        </w:tc>
        <w:tc>
          <w:tcPr>
            <w:tcW w:w="1537"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5</w:t>
            </w:r>
          </w:p>
        </w:tc>
        <w:tc>
          <w:tcPr>
            <w:tcW w:w="1621" w:type="dxa"/>
            <w:tcBorders>
              <w:top w:val="single" w:sz="6" w:space="0" w:color="auto"/>
              <w:left w:val="single" w:sz="6" w:space="0" w:color="auto"/>
              <w:bottom w:val="double" w:sz="4"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1F3C83" w:rsidTr="00453E80">
        <w:trPr>
          <w:trHeight w:val="301"/>
          <w:jc w:val="center"/>
        </w:trPr>
        <w:tc>
          <w:tcPr>
            <w:tcW w:w="1681" w:type="dxa"/>
            <w:tcBorders>
              <w:top w:val="double" w:sz="4" w:space="0" w:color="auto"/>
              <w:bottom w:val="single" w:sz="6" w:space="0" w:color="auto"/>
              <w:right w:val="single" w:sz="6" w:space="0" w:color="auto"/>
            </w:tcBorders>
            <w:noWrap/>
            <w:vAlign w:val="center"/>
            <w:hideMark/>
          </w:tcPr>
          <w:p w:rsidR="00485094" w:rsidRDefault="00485094" w:rsidP="00453E80">
            <w:pPr>
              <w:pStyle w:val="TableText"/>
              <w:jc w:val="center"/>
              <w:rPr>
                <w:rFonts w:cs="Arial"/>
                <w:color w:val="000000"/>
                <w:szCs w:val="18"/>
              </w:rPr>
            </w:pPr>
            <w:r w:rsidRPr="001F3C83">
              <w:rPr>
                <w:rFonts w:cs="Arial"/>
                <w:color w:val="000000"/>
                <w:szCs w:val="18"/>
              </w:rPr>
              <w:t xml:space="preserve">Lead </w:t>
            </w:r>
          </w:p>
          <w:p w:rsidR="00485094" w:rsidRPr="001F3C83" w:rsidRDefault="00485094" w:rsidP="00453E80">
            <w:pPr>
              <w:pStyle w:val="TableText"/>
              <w:jc w:val="center"/>
              <w:rPr>
                <w:rFonts w:cs="Arial"/>
                <w:color w:val="000000"/>
                <w:szCs w:val="18"/>
              </w:rPr>
            </w:pPr>
            <w:r w:rsidRPr="001F3C83">
              <w:rPr>
                <w:rFonts w:cs="Arial"/>
                <w:color w:val="000000"/>
                <w:szCs w:val="18"/>
              </w:rPr>
              <w:t>Uncorrected</w:t>
            </w:r>
          </w:p>
        </w:tc>
        <w:tc>
          <w:tcPr>
            <w:tcW w:w="1571" w:type="dxa"/>
            <w:tcBorders>
              <w:top w:val="double" w:sz="4" w:space="0" w:color="auto"/>
              <w:left w:val="single" w:sz="6" w:space="0" w:color="auto"/>
              <w:bottom w:val="single" w:sz="6"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53.8</w:t>
            </w:r>
          </w:p>
        </w:tc>
        <w:tc>
          <w:tcPr>
            <w:tcW w:w="1253" w:type="dxa"/>
            <w:tcBorders>
              <w:top w:val="double" w:sz="4" w:space="0" w:color="auto"/>
              <w:left w:val="single" w:sz="6" w:space="0" w:color="auto"/>
              <w:bottom w:val="single" w:sz="6"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37.7</w:t>
            </w:r>
          </w:p>
        </w:tc>
        <w:tc>
          <w:tcPr>
            <w:tcW w:w="1253" w:type="dxa"/>
            <w:tcBorders>
              <w:top w:val="double" w:sz="4" w:space="0" w:color="auto"/>
              <w:left w:val="single" w:sz="6" w:space="0" w:color="auto"/>
              <w:bottom w:val="single" w:sz="6"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8.5</w:t>
            </w:r>
          </w:p>
        </w:tc>
        <w:tc>
          <w:tcPr>
            <w:tcW w:w="1537" w:type="dxa"/>
            <w:tcBorders>
              <w:top w:val="double" w:sz="4" w:space="0" w:color="auto"/>
              <w:left w:val="single" w:sz="6" w:space="0" w:color="auto"/>
              <w:bottom w:val="single" w:sz="6"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21" w:type="dxa"/>
            <w:tcBorders>
              <w:top w:val="double" w:sz="4" w:space="0" w:color="auto"/>
              <w:left w:val="single" w:sz="6" w:space="0" w:color="auto"/>
              <w:bottom w:val="single" w:sz="6" w:space="0" w:color="auto"/>
            </w:tcBorders>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1F3C83" w:rsidTr="00453E80">
        <w:trPr>
          <w:trHeight w:val="301"/>
          <w:jc w:val="center"/>
        </w:trPr>
        <w:tc>
          <w:tcPr>
            <w:tcW w:w="1681" w:type="dxa"/>
            <w:tcBorders>
              <w:top w:val="single" w:sz="6" w:space="0" w:color="auto"/>
              <w:bottom w:val="double" w:sz="4" w:space="0" w:color="auto"/>
              <w:right w:val="single" w:sz="6" w:space="0" w:color="auto"/>
            </w:tcBorders>
            <w:noWrap/>
            <w:vAlign w:val="center"/>
            <w:hideMark/>
          </w:tcPr>
          <w:p w:rsidR="00485094" w:rsidRDefault="00485094" w:rsidP="00453E80">
            <w:pPr>
              <w:pStyle w:val="TableText"/>
              <w:jc w:val="center"/>
              <w:rPr>
                <w:rFonts w:cs="Arial"/>
                <w:color w:val="000000"/>
                <w:szCs w:val="18"/>
              </w:rPr>
            </w:pPr>
            <w:r w:rsidRPr="001F3C83">
              <w:rPr>
                <w:rFonts w:cs="Arial"/>
                <w:color w:val="000000"/>
                <w:szCs w:val="18"/>
              </w:rPr>
              <w:t xml:space="preserve">Lead </w:t>
            </w:r>
          </w:p>
          <w:p w:rsidR="00485094" w:rsidRPr="001F3C83" w:rsidRDefault="00485094" w:rsidP="00453E80">
            <w:pPr>
              <w:pStyle w:val="TableText"/>
              <w:jc w:val="center"/>
              <w:rPr>
                <w:rFonts w:cs="Arial"/>
                <w:color w:val="000000"/>
                <w:szCs w:val="18"/>
              </w:rPr>
            </w:pPr>
            <w:r w:rsidRPr="001F3C83">
              <w:rPr>
                <w:rFonts w:cs="Arial"/>
                <w:color w:val="000000"/>
                <w:szCs w:val="18"/>
              </w:rPr>
              <w:t>Corrected</w:t>
            </w:r>
          </w:p>
        </w:tc>
        <w:tc>
          <w:tcPr>
            <w:tcW w:w="1571" w:type="dxa"/>
            <w:tcBorders>
              <w:top w:val="single" w:sz="6" w:space="0" w:color="auto"/>
              <w:left w:val="single" w:sz="6" w:space="0" w:color="auto"/>
              <w:bottom w:val="double" w:sz="4"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53.8</w:t>
            </w:r>
          </w:p>
        </w:tc>
        <w:tc>
          <w:tcPr>
            <w:tcW w:w="1253" w:type="dxa"/>
            <w:tcBorders>
              <w:top w:val="single" w:sz="6" w:space="0" w:color="auto"/>
              <w:left w:val="single" w:sz="6" w:space="0" w:color="auto"/>
              <w:bottom w:val="double" w:sz="4"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28.7</w:t>
            </w:r>
          </w:p>
        </w:tc>
        <w:tc>
          <w:tcPr>
            <w:tcW w:w="1253" w:type="dxa"/>
            <w:tcBorders>
              <w:top w:val="single" w:sz="6" w:space="0" w:color="auto"/>
              <w:left w:val="single" w:sz="6" w:space="0" w:color="auto"/>
              <w:bottom w:val="double" w:sz="4"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8.5</w:t>
            </w:r>
          </w:p>
        </w:tc>
        <w:tc>
          <w:tcPr>
            <w:tcW w:w="1537" w:type="dxa"/>
            <w:tcBorders>
              <w:top w:val="single" w:sz="6" w:space="0" w:color="auto"/>
              <w:left w:val="single" w:sz="6" w:space="0" w:color="auto"/>
              <w:bottom w:val="double" w:sz="4"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8.9</w:t>
            </w:r>
          </w:p>
        </w:tc>
        <w:tc>
          <w:tcPr>
            <w:tcW w:w="1621" w:type="dxa"/>
            <w:tcBorders>
              <w:top w:val="single" w:sz="6" w:space="0" w:color="auto"/>
              <w:left w:val="single" w:sz="6" w:space="0" w:color="auto"/>
              <w:bottom w:val="double" w:sz="4" w:space="0" w:color="auto"/>
            </w:tcBorders>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1F3C83" w:rsidTr="00453E80">
        <w:trPr>
          <w:trHeight w:val="301"/>
          <w:jc w:val="center"/>
        </w:trPr>
        <w:tc>
          <w:tcPr>
            <w:tcW w:w="1681" w:type="dxa"/>
            <w:tcBorders>
              <w:top w:val="double" w:sz="4" w:space="0" w:color="auto"/>
              <w:bottom w:val="single" w:sz="6"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Mercury Uncorrected</w:t>
            </w:r>
          </w:p>
        </w:tc>
        <w:tc>
          <w:tcPr>
            <w:tcW w:w="1571"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63</w:t>
            </w:r>
          </w:p>
        </w:tc>
        <w:tc>
          <w:tcPr>
            <w:tcW w:w="1253" w:type="dxa"/>
            <w:tcBorders>
              <w:top w:val="double" w:sz="4" w:space="0" w:color="auto"/>
              <w:left w:val="single" w:sz="6" w:space="0" w:color="auto"/>
              <w:bottom w:val="single" w:sz="6" w:space="0" w:color="auto"/>
              <w:right w:val="single" w:sz="6" w:space="0" w:color="auto"/>
            </w:tcBorders>
            <w:shd w:val="clear" w:color="auto" w:fill="FFFFCC"/>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36</w:t>
            </w:r>
          </w:p>
        </w:tc>
        <w:tc>
          <w:tcPr>
            <w:tcW w:w="1253" w:type="dxa"/>
            <w:tcBorders>
              <w:top w:val="double" w:sz="4" w:space="0" w:color="auto"/>
              <w:left w:val="single" w:sz="6" w:space="0" w:color="auto"/>
              <w:bottom w:val="single" w:sz="6" w:space="0" w:color="auto"/>
              <w:right w:val="single" w:sz="6" w:space="0" w:color="auto"/>
            </w:tcBorders>
            <w:shd w:val="clear" w:color="auto" w:fill="FFFFCC"/>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w:t>
            </w:r>
          </w:p>
        </w:tc>
        <w:tc>
          <w:tcPr>
            <w:tcW w:w="1537"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21" w:type="dxa"/>
            <w:tcBorders>
              <w:top w:val="double" w:sz="4" w:space="0" w:color="auto"/>
              <w:left w:val="single" w:sz="6" w:space="0" w:color="auto"/>
              <w:bottom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1F3C83" w:rsidTr="00453E80">
        <w:trPr>
          <w:trHeight w:val="301"/>
          <w:jc w:val="center"/>
        </w:trPr>
        <w:tc>
          <w:tcPr>
            <w:tcW w:w="1681" w:type="dxa"/>
            <w:tcBorders>
              <w:top w:val="single" w:sz="6" w:space="0" w:color="auto"/>
              <w:bottom w:val="double" w:sz="4"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Mercury Corrected</w:t>
            </w:r>
          </w:p>
        </w:tc>
        <w:tc>
          <w:tcPr>
            <w:tcW w:w="157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63</w:t>
            </w:r>
          </w:p>
        </w:tc>
        <w:tc>
          <w:tcPr>
            <w:tcW w:w="1253" w:type="dxa"/>
            <w:tcBorders>
              <w:top w:val="single" w:sz="6" w:space="0" w:color="auto"/>
              <w:left w:val="single" w:sz="6" w:space="0" w:color="auto"/>
              <w:bottom w:val="double" w:sz="4" w:space="0" w:color="auto"/>
              <w:right w:val="single" w:sz="6" w:space="0" w:color="auto"/>
            </w:tcBorders>
            <w:shd w:val="clear" w:color="auto" w:fill="FFFFCC"/>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10.68</w:t>
            </w:r>
          </w:p>
        </w:tc>
        <w:tc>
          <w:tcPr>
            <w:tcW w:w="1253" w:type="dxa"/>
            <w:tcBorders>
              <w:top w:val="single" w:sz="6" w:space="0" w:color="auto"/>
              <w:left w:val="single" w:sz="6" w:space="0" w:color="auto"/>
              <w:bottom w:val="double" w:sz="4" w:space="0" w:color="auto"/>
              <w:right w:val="single" w:sz="6" w:space="0" w:color="auto"/>
            </w:tcBorders>
            <w:shd w:val="clear" w:color="auto" w:fill="FFFFCC"/>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0.62</w:t>
            </w:r>
          </w:p>
        </w:tc>
        <w:tc>
          <w:tcPr>
            <w:tcW w:w="1537"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25.7</w:t>
            </w:r>
          </w:p>
        </w:tc>
        <w:tc>
          <w:tcPr>
            <w:tcW w:w="1621" w:type="dxa"/>
            <w:tcBorders>
              <w:top w:val="single" w:sz="6" w:space="0" w:color="auto"/>
              <w:left w:val="single" w:sz="6" w:space="0" w:color="auto"/>
              <w:bottom w:val="double" w:sz="4"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1F3C83" w:rsidTr="00453E80">
        <w:trPr>
          <w:trHeight w:val="301"/>
          <w:jc w:val="center"/>
        </w:trPr>
        <w:tc>
          <w:tcPr>
            <w:tcW w:w="1681" w:type="dxa"/>
            <w:tcBorders>
              <w:top w:val="double" w:sz="4" w:space="0" w:color="auto"/>
              <w:bottom w:val="single" w:sz="6" w:space="0" w:color="auto"/>
              <w:right w:val="single" w:sz="6" w:space="0" w:color="auto"/>
            </w:tcBorders>
            <w:noWrap/>
            <w:vAlign w:val="center"/>
            <w:hideMark/>
          </w:tcPr>
          <w:p w:rsidR="00485094" w:rsidRDefault="00485094" w:rsidP="00453E80">
            <w:pPr>
              <w:pStyle w:val="TableText"/>
              <w:jc w:val="center"/>
              <w:rPr>
                <w:rFonts w:cs="Arial"/>
                <w:color w:val="000000"/>
                <w:szCs w:val="18"/>
              </w:rPr>
            </w:pPr>
            <w:r w:rsidRPr="001F3C83">
              <w:rPr>
                <w:rFonts w:cs="Arial"/>
                <w:color w:val="000000"/>
                <w:szCs w:val="18"/>
              </w:rPr>
              <w:t xml:space="preserve">Zinc </w:t>
            </w:r>
          </w:p>
          <w:p w:rsidR="00485094" w:rsidRPr="001F3C83" w:rsidRDefault="00485094" w:rsidP="00453E80">
            <w:pPr>
              <w:pStyle w:val="TableText"/>
              <w:jc w:val="center"/>
              <w:rPr>
                <w:rFonts w:cs="Arial"/>
                <w:color w:val="000000"/>
                <w:szCs w:val="18"/>
              </w:rPr>
            </w:pPr>
            <w:r w:rsidRPr="001F3C83">
              <w:rPr>
                <w:rFonts w:cs="Arial"/>
                <w:color w:val="000000"/>
                <w:szCs w:val="18"/>
              </w:rPr>
              <w:t>Uncorrected</w:t>
            </w:r>
          </w:p>
        </w:tc>
        <w:tc>
          <w:tcPr>
            <w:tcW w:w="1571" w:type="dxa"/>
            <w:tcBorders>
              <w:top w:val="double" w:sz="4" w:space="0" w:color="auto"/>
              <w:left w:val="single" w:sz="6" w:space="0" w:color="auto"/>
              <w:bottom w:val="single" w:sz="6"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74</w:t>
            </w:r>
          </w:p>
        </w:tc>
        <w:tc>
          <w:tcPr>
            <w:tcW w:w="1253" w:type="dxa"/>
            <w:tcBorders>
              <w:top w:val="double" w:sz="4" w:space="0" w:color="auto"/>
              <w:left w:val="single" w:sz="6" w:space="0" w:color="auto"/>
              <w:bottom w:val="single" w:sz="6"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19</w:t>
            </w:r>
          </w:p>
        </w:tc>
        <w:tc>
          <w:tcPr>
            <w:tcW w:w="1253" w:type="dxa"/>
            <w:tcBorders>
              <w:top w:val="double" w:sz="4" w:space="0" w:color="auto"/>
              <w:left w:val="single" w:sz="6" w:space="0" w:color="auto"/>
              <w:bottom w:val="single" w:sz="6"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7</w:t>
            </w:r>
          </w:p>
        </w:tc>
        <w:tc>
          <w:tcPr>
            <w:tcW w:w="1537" w:type="dxa"/>
            <w:tcBorders>
              <w:top w:val="double" w:sz="4" w:space="0" w:color="auto"/>
              <w:left w:val="single" w:sz="6" w:space="0" w:color="auto"/>
              <w:bottom w:val="single" w:sz="6"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21" w:type="dxa"/>
            <w:tcBorders>
              <w:top w:val="double" w:sz="4" w:space="0" w:color="auto"/>
              <w:left w:val="single" w:sz="6" w:space="0" w:color="auto"/>
              <w:bottom w:val="single" w:sz="6" w:space="0" w:color="auto"/>
            </w:tcBorders>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1F3C83" w:rsidTr="00453E80">
        <w:trPr>
          <w:trHeight w:val="301"/>
          <w:jc w:val="center"/>
        </w:trPr>
        <w:tc>
          <w:tcPr>
            <w:tcW w:w="1681" w:type="dxa"/>
            <w:tcBorders>
              <w:top w:val="single" w:sz="6" w:space="0" w:color="auto"/>
              <w:right w:val="single" w:sz="6" w:space="0" w:color="auto"/>
            </w:tcBorders>
            <w:noWrap/>
            <w:vAlign w:val="center"/>
            <w:hideMark/>
          </w:tcPr>
          <w:p w:rsidR="00485094" w:rsidRDefault="00485094" w:rsidP="00453E80">
            <w:pPr>
              <w:pStyle w:val="TableText"/>
              <w:jc w:val="center"/>
              <w:rPr>
                <w:rFonts w:cs="Arial"/>
                <w:color w:val="000000"/>
                <w:szCs w:val="18"/>
              </w:rPr>
            </w:pPr>
            <w:r w:rsidRPr="001F3C83">
              <w:rPr>
                <w:rFonts w:cs="Arial"/>
                <w:color w:val="000000"/>
                <w:szCs w:val="18"/>
              </w:rPr>
              <w:t xml:space="preserve">Zinc </w:t>
            </w:r>
          </w:p>
          <w:p w:rsidR="00485094" w:rsidRPr="001F3C83" w:rsidRDefault="00485094" w:rsidP="00453E80">
            <w:pPr>
              <w:pStyle w:val="TableText"/>
              <w:jc w:val="center"/>
              <w:rPr>
                <w:rFonts w:cs="Arial"/>
                <w:color w:val="000000"/>
                <w:szCs w:val="18"/>
              </w:rPr>
            </w:pPr>
            <w:r w:rsidRPr="001F3C83">
              <w:rPr>
                <w:rFonts w:cs="Arial"/>
                <w:color w:val="000000"/>
                <w:szCs w:val="18"/>
              </w:rPr>
              <w:t>Corrected</w:t>
            </w:r>
          </w:p>
        </w:tc>
        <w:tc>
          <w:tcPr>
            <w:tcW w:w="1571" w:type="dxa"/>
            <w:tcBorders>
              <w:top w:val="single" w:sz="6" w:space="0" w:color="auto"/>
              <w:left w:val="single" w:sz="6"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74.51</w:t>
            </w:r>
          </w:p>
        </w:tc>
        <w:tc>
          <w:tcPr>
            <w:tcW w:w="1253" w:type="dxa"/>
            <w:tcBorders>
              <w:top w:val="single" w:sz="6" w:space="0" w:color="auto"/>
              <w:left w:val="single" w:sz="6"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15.69</w:t>
            </w:r>
          </w:p>
        </w:tc>
        <w:tc>
          <w:tcPr>
            <w:tcW w:w="1253" w:type="dxa"/>
            <w:tcBorders>
              <w:top w:val="single" w:sz="6" w:space="0" w:color="auto"/>
              <w:left w:val="single" w:sz="6"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6.97</w:t>
            </w:r>
          </w:p>
        </w:tc>
        <w:tc>
          <w:tcPr>
            <w:tcW w:w="1537" w:type="dxa"/>
            <w:tcBorders>
              <w:top w:val="single" w:sz="6" w:space="0" w:color="auto"/>
              <w:left w:val="single" w:sz="6"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2.83</w:t>
            </w:r>
          </w:p>
        </w:tc>
        <w:tc>
          <w:tcPr>
            <w:tcW w:w="1621" w:type="dxa"/>
            <w:tcBorders>
              <w:top w:val="single" w:sz="6" w:space="0" w:color="auto"/>
              <w:left w:val="single" w:sz="6" w:space="0" w:color="auto"/>
            </w:tcBorders>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r>
    </w:tbl>
    <w:p w:rsidR="00485094" w:rsidRDefault="00485094" w:rsidP="00692F31">
      <w:pPr>
        <w:pStyle w:val="Bodytextreduced"/>
      </w:pPr>
    </w:p>
    <w:p w:rsidR="00485094" w:rsidRDefault="00485094" w:rsidP="00692F31">
      <w:pPr>
        <w:pStyle w:val="Bodytextreduced"/>
      </w:pPr>
    </w:p>
    <w:p w:rsidR="00485094" w:rsidRDefault="00485094" w:rsidP="00692F31">
      <w:pPr>
        <w:pStyle w:val="Bodytextreduced"/>
      </w:pPr>
      <w:r>
        <w:br w:type="page"/>
      </w:r>
    </w:p>
    <w:p w:rsidR="00485094" w:rsidRPr="00F767F2" w:rsidRDefault="00485094" w:rsidP="00692F31">
      <w:pPr>
        <w:pStyle w:val="Heading2"/>
      </w:pPr>
      <w:bookmarkStart w:id="420" w:name="_Toc255822533"/>
      <w:bookmarkStart w:id="421" w:name="_Toc262464151"/>
      <w:bookmarkStart w:id="422" w:name="_Toc271279975"/>
      <w:r w:rsidRPr="00F767F2">
        <w:t>Summary of Status Network Ground Water Results</w:t>
      </w:r>
      <w:bookmarkEnd w:id="420"/>
      <w:bookmarkEnd w:id="421"/>
      <w:bookmarkEnd w:id="422"/>
      <w:r w:rsidRPr="00F767F2">
        <w:t xml:space="preserve"> </w:t>
      </w:r>
    </w:p>
    <w:p w:rsidR="00485094" w:rsidRDefault="00485094" w:rsidP="00692F31">
      <w:pPr>
        <w:pStyle w:val="Bodytext"/>
        <w:rPr>
          <w:szCs w:val="22"/>
        </w:rPr>
      </w:pPr>
      <w:r>
        <w:rPr>
          <w:szCs w:val="22"/>
        </w:rPr>
        <w:t>FDEP’s</w:t>
      </w:r>
      <w:r w:rsidRPr="006C238F">
        <w:rPr>
          <w:szCs w:val="22"/>
        </w:rPr>
        <w:t xml:space="preserve"> </w:t>
      </w:r>
      <w:hyperlink r:id="rId90" w:history="1">
        <w:r w:rsidRPr="00F933EC">
          <w:rPr>
            <w:rStyle w:val="Hyperlink"/>
            <w:szCs w:val="22"/>
          </w:rPr>
          <w:t>Watershed Monitoring Section</w:t>
        </w:r>
      </w:hyperlink>
      <w:r w:rsidRPr="006C238F">
        <w:rPr>
          <w:szCs w:val="22"/>
        </w:rPr>
        <w:t xml:space="preserve"> has monitored ground water quality since 1986 in both confined and unconfined aquifers.  The current Status Network ground</w:t>
      </w:r>
      <w:r>
        <w:rPr>
          <w:szCs w:val="22"/>
        </w:rPr>
        <w:t xml:space="preserve"> </w:t>
      </w:r>
      <w:r w:rsidRPr="006C238F">
        <w:rPr>
          <w:szCs w:val="22"/>
        </w:rPr>
        <w:t xml:space="preserve">water monitoring program uses a probabilistic monitoring design to estimate confined and unconfined aquifer water quality across the state.  This estimate is, by necessity, based on a subsampling of wells representing both the confined and unconfined aquifers.  The wells used in this evaluation include private, public, monitoring, and agricultural irrigation wells.  </w:t>
      </w:r>
      <w:r w:rsidRPr="001F3C83">
        <w:rPr>
          <w:b/>
          <w:i/>
          <w:szCs w:val="22"/>
        </w:rPr>
        <w:t xml:space="preserve">Figures </w:t>
      </w:r>
      <w:r>
        <w:rPr>
          <w:b/>
          <w:i/>
          <w:szCs w:val="22"/>
        </w:rPr>
        <w:t>6.11</w:t>
      </w:r>
      <w:r>
        <w:rPr>
          <w:szCs w:val="22"/>
        </w:rPr>
        <w:t xml:space="preserve"> and </w:t>
      </w:r>
      <w:r>
        <w:rPr>
          <w:b/>
          <w:i/>
          <w:szCs w:val="22"/>
        </w:rPr>
        <w:t>6.13</w:t>
      </w:r>
      <w:r>
        <w:rPr>
          <w:szCs w:val="22"/>
        </w:rPr>
        <w:t xml:space="preserve"> depict the random wells that were sampled for confined and unconfined aquifers, respectively.</w:t>
      </w:r>
    </w:p>
    <w:p w:rsidR="00485094" w:rsidRDefault="00485094" w:rsidP="00692F31">
      <w:pPr>
        <w:pStyle w:val="Bodytext"/>
        <w:rPr>
          <w:szCs w:val="22"/>
        </w:rPr>
      </w:pPr>
    </w:p>
    <w:p w:rsidR="00485094" w:rsidRDefault="00485094" w:rsidP="00692F31">
      <w:pPr>
        <w:pStyle w:val="Bodytext"/>
        <w:rPr>
          <w:szCs w:val="22"/>
        </w:rPr>
      </w:pPr>
      <w:r w:rsidRPr="006C238F">
        <w:rPr>
          <w:szCs w:val="22"/>
        </w:rPr>
        <w:t>The assessment period</w:t>
      </w:r>
      <w:r>
        <w:rPr>
          <w:szCs w:val="22"/>
        </w:rPr>
        <w:t xml:space="preserve"> for Cycle 2</w:t>
      </w:r>
      <w:r w:rsidRPr="006C238F">
        <w:rPr>
          <w:szCs w:val="22"/>
        </w:rPr>
        <w:t xml:space="preserve"> discussed in this report is January 2004 through December 2008.  </w:t>
      </w:r>
      <w:r w:rsidRPr="001F3C83">
        <w:rPr>
          <w:b/>
          <w:i/>
          <w:szCs w:val="22"/>
        </w:rPr>
        <w:t xml:space="preserve">Table </w:t>
      </w:r>
      <w:r>
        <w:rPr>
          <w:b/>
          <w:i/>
          <w:szCs w:val="22"/>
        </w:rPr>
        <w:t>6.5</w:t>
      </w:r>
      <w:r w:rsidRPr="006C238F">
        <w:rPr>
          <w:szCs w:val="22"/>
        </w:rPr>
        <w:t xml:space="preserve"> describes the ground water indicators used in the analysis and lists primary drinking water standards</w:t>
      </w:r>
      <w:r>
        <w:rPr>
          <w:szCs w:val="22"/>
        </w:rPr>
        <w:t xml:space="preserve"> (thresholds)</w:t>
      </w:r>
      <w:r w:rsidRPr="006C238F">
        <w:rPr>
          <w:szCs w:val="22"/>
        </w:rPr>
        <w:t xml:space="preserve">.  Some of the more important analytes include total coliform, nitrate-nitrite, trace metals such as arsenic and lead, and </w:t>
      </w:r>
      <w:r>
        <w:rPr>
          <w:szCs w:val="22"/>
        </w:rPr>
        <w:t>sodium (</w:t>
      </w:r>
      <w:r w:rsidRPr="006C238F">
        <w:rPr>
          <w:szCs w:val="22"/>
        </w:rPr>
        <w:t>salinity</w:t>
      </w:r>
      <w:r>
        <w:rPr>
          <w:szCs w:val="22"/>
        </w:rPr>
        <w:t>)</w:t>
      </w:r>
      <w:r w:rsidRPr="006C238F">
        <w:rPr>
          <w:szCs w:val="22"/>
        </w:rPr>
        <w:t>, all of which are threats to drinking water quality.</w:t>
      </w:r>
    </w:p>
    <w:p w:rsidR="00485094" w:rsidRDefault="00485094" w:rsidP="00692F31">
      <w:pPr>
        <w:pStyle w:val="Bodytext"/>
        <w:rPr>
          <w:szCs w:val="22"/>
        </w:rPr>
      </w:pPr>
    </w:p>
    <w:p w:rsidR="00485094" w:rsidRDefault="00485094" w:rsidP="00692F31">
      <w:pPr>
        <w:pStyle w:val="Tableheading"/>
      </w:pPr>
      <w:bookmarkStart w:id="423" w:name="_Toc255482836"/>
      <w:bookmarkStart w:id="424" w:name="_Toc255807494"/>
      <w:bookmarkStart w:id="425" w:name="_Toc262464252"/>
      <w:bookmarkStart w:id="426" w:name="_Toc271280099"/>
      <w:r>
        <w:t xml:space="preserve">Table 6.5.  </w:t>
      </w:r>
      <w:r w:rsidRPr="00F52EDE">
        <w:t xml:space="preserve">Status Network </w:t>
      </w:r>
      <w:r>
        <w:t>Physical/Other I</w:t>
      </w:r>
      <w:r w:rsidRPr="00F52EDE">
        <w:t>ndicators</w:t>
      </w:r>
      <w:r>
        <w:t>/Index</w:t>
      </w:r>
      <w:r w:rsidRPr="00F52EDE">
        <w:t xml:space="preserve"> </w:t>
      </w:r>
      <w:r>
        <w:t xml:space="preserve">for Potable Water Supply for Ground Water </w:t>
      </w:r>
      <w:r w:rsidRPr="00F52EDE">
        <w:t xml:space="preserve">with </w:t>
      </w:r>
      <w:r>
        <w:t>W</w:t>
      </w:r>
      <w:r w:rsidRPr="00F52EDE">
        <w:t xml:space="preserve">ater </w:t>
      </w:r>
      <w:r>
        <w:t>Q</w:t>
      </w:r>
      <w:r w:rsidRPr="00F52EDE">
        <w:t xml:space="preserve">uality </w:t>
      </w:r>
      <w:r>
        <w:t>C</w:t>
      </w:r>
      <w:r w:rsidRPr="00F52EDE">
        <w:t>riteria</w:t>
      </w:r>
      <w:r>
        <w:t>/Thresholds</w:t>
      </w:r>
      <w:bookmarkEnd w:id="423"/>
      <w:bookmarkEnd w:id="424"/>
      <w:bookmarkEnd w:id="425"/>
      <w:bookmarkEnd w:id="426"/>
    </w:p>
    <w:p w:rsidR="00485094" w:rsidRDefault="00485094" w:rsidP="00692F31">
      <w:pPr>
        <w:pStyle w:val="TabledescriptionBF"/>
      </w:pPr>
      <w:r>
        <w:t>This is a two-</w:t>
      </w:r>
      <w:r w:rsidRPr="001A77D7">
        <w:t>column table</w:t>
      </w:r>
      <w:r>
        <w:t>.  Column 1</w:t>
      </w:r>
      <w:r w:rsidRPr="001A77D7">
        <w:t xml:space="preserve"> </w:t>
      </w:r>
      <w:r>
        <w:t>lists</w:t>
      </w:r>
      <w:r w:rsidRPr="001A77D7">
        <w:t xml:space="preserve"> the indicator and </w:t>
      </w:r>
      <w:r>
        <w:t>Column 2</w:t>
      </w:r>
      <w:r w:rsidRPr="001A77D7">
        <w:t xml:space="preserve"> </w:t>
      </w:r>
      <w:r>
        <w:t>lists</w:t>
      </w:r>
      <w:r w:rsidRPr="001A77D7">
        <w:t xml:space="preserve"> </w:t>
      </w:r>
      <w:r w:rsidR="00F01F27">
        <w:t xml:space="preserve">the </w:t>
      </w:r>
      <w:r w:rsidRPr="001A77D7">
        <w:t>water quality criteria/threshold</w:t>
      </w:r>
      <w:r w:rsidR="00F01F27">
        <w:t xml:space="preserve"> for that indicator</w:t>
      </w:r>
      <w:r w:rsidRPr="001A77D7">
        <w:t>.</w:t>
      </w:r>
    </w:p>
    <w:p w:rsidR="00485094" w:rsidRDefault="00485094" w:rsidP="00692F31">
      <w:pPr>
        <w:pStyle w:val="Bodytextreduce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0"/>
        <w:gridCol w:w="2698"/>
      </w:tblGrid>
      <w:tr w:rsidR="00485094" w:rsidRPr="000F2909" w:rsidTr="000F2909">
        <w:trPr>
          <w:trHeight w:val="288"/>
          <w:jc w:val="center"/>
        </w:trPr>
        <w:tc>
          <w:tcPr>
            <w:tcW w:w="3330" w:type="dxa"/>
            <w:tcBorders>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 xml:space="preserve">Primary Indicator/Index </w:t>
            </w:r>
          </w:p>
          <w:p w:rsidR="00485094" w:rsidRPr="000F2909" w:rsidRDefault="00485094" w:rsidP="00453E80">
            <w:pPr>
              <w:pStyle w:val="TableText"/>
              <w:jc w:val="center"/>
              <w:rPr>
                <w:b/>
                <w:i/>
              </w:rPr>
            </w:pPr>
            <w:r w:rsidRPr="000F2909">
              <w:rPr>
                <w:b/>
                <w:i/>
              </w:rPr>
              <w:t>for Potable Water Supply</w:t>
            </w:r>
          </w:p>
          <w:p w:rsidR="00485094" w:rsidRPr="000F2909" w:rsidRDefault="00485094" w:rsidP="00453E80">
            <w:pPr>
              <w:pStyle w:val="TableText"/>
              <w:jc w:val="center"/>
              <w:rPr>
                <w:b/>
                <w:i/>
              </w:rPr>
            </w:pPr>
            <w:r w:rsidRPr="000F2909">
              <w:rPr>
                <w:b/>
                <w:i/>
              </w:rPr>
              <w:t>(Ground Water)</w:t>
            </w:r>
          </w:p>
        </w:tc>
        <w:tc>
          <w:tcPr>
            <w:tcW w:w="2698" w:type="dxa"/>
            <w:tcBorders>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Criterion/Threshold</w:t>
            </w:r>
          </w:p>
        </w:tc>
      </w:tr>
      <w:tr w:rsidR="00485094" w:rsidTr="00453E80">
        <w:trPr>
          <w:trHeight w:val="288"/>
          <w:jc w:val="center"/>
        </w:trPr>
        <w:tc>
          <w:tcPr>
            <w:tcW w:w="3330" w:type="dxa"/>
            <w:tcBorders>
              <w:top w:val="double" w:sz="4" w:space="0" w:color="auto"/>
            </w:tcBorders>
            <w:shd w:val="clear" w:color="auto" w:fill="FFFFCC"/>
            <w:vAlign w:val="center"/>
          </w:tcPr>
          <w:p w:rsidR="00485094" w:rsidRPr="003B37D3" w:rsidRDefault="00485094" w:rsidP="00453E80">
            <w:pPr>
              <w:pStyle w:val="TableText"/>
              <w:jc w:val="center"/>
            </w:pPr>
            <w:r w:rsidRPr="003B37D3">
              <w:t>Fluoride</w:t>
            </w:r>
          </w:p>
        </w:tc>
        <w:tc>
          <w:tcPr>
            <w:tcW w:w="2698" w:type="dxa"/>
            <w:tcBorders>
              <w:top w:val="double" w:sz="4" w:space="0" w:color="auto"/>
            </w:tcBorders>
            <w:vAlign w:val="center"/>
          </w:tcPr>
          <w:p w:rsidR="00485094" w:rsidRDefault="00485094" w:rsidP="00453E80">
            <w:pPr>
              <w:pStyle w:val="TableText"/>
              <w:jc w:val="center"/>
            </w:pPr>
            <w:r w:rsidRPr="003B37D3">
              <w:t>≤4 mg/L</w:t>
            </w:r>
          </w:p>
        </w:tc>
      </w:tr>
      <w:tr w:rsidR="00485094" w:rsidRPr="001467A4" w:rsidTr="00453E80">
        <w:trPr>
          <w:trHeight w:val="288"/>
          <w:jc w:val="center"/>
        </w:trPr>
        <w:tc>
          <w:tcPr>
            <w:tcW w:w="3330" w:type="dxa"/>
            <w:shd w:val="clear" w:color="auto" w:fill="FFFFCC"/>
            <w:vAlign w:val="center"/>
          </w:tcPr>
          <w:p w:rsidR="00485094" w:rsidRPr="003B37D3" w:rsidRDefault="00485094" w:rsidP="00453E80">
            <w:pPr>
              <w:pStyle w:val="TableText"/>
              <w:jc w:val="center"/>
            </w:pPr>
            <w:r w:rsidRPr="003B37D3">
              <w:t>Arsenic</w:t>
            </w:r>
          </w:p>
        </w:tc>
        <w:tc>
          <w:tcPr>
            <w:tcW w:w="2698" w:type="dxa"/>
            <w:vAlign w:val="center"/>
          </w:tcPr>
          <w:p w:rsidR="00485094" w:rsidRPr="003B37D3" w:rsidRDefault="00485094" w:rsidP="00453E80">
            <w:pPr>
              <w:pStyle w:val="TableText"/>
              <w:jc w:val="center"/>
            </w:pPr>
            <w:r w:rsidRPr="003B37D3">
              <w:t>≤10 µg/L</w:t>
            </w:r>
          </w:p>
        </w:tc>
      </w:tr>
      <w:tr w:rsidR="00485094" w:rsidRPr="001467A4" w:rsidTr="00453E80">
        <w:trPr>
          <w:trHeight w:val="288"/>
          <w:jc w:val="center"/>
        </w:trPr>
        <w:tc>
          <w:tcPr>
            <w:tcW w:w="3330" w:type="dxa"/>
            <w:shd w:val="clear" w:color="auto" w:fill="FFFFCC"/>
            <w:vAlign w:val="center"/>
          </w:tcPr>
          <w:p w:rsidR="00485094" w:rsidRDefault="00485094" w:rsidP="00453E80">
            <w:pPr>
              <w:pStyle w:val="TableText"/>
              <w:jc w:val="center"/>
            </w:pPr>
            <w:r w:rsidRPr="003B37D3">
              <w:t>Cadmium</w:t>
            </w:r>
          </w:p>
        </w:tc>
        <w:tc>
          <w:tcPr>
            <w:tcW w:w="2698" w:type="dxa"/>
            <w:vAlign w:val="center"/>
          </w:tcPr>
          <w:p w:rsidR="00485094" w:rsidRPr="003B37D3" w:rsidRDefault="00485094" w:rsidP="00453E80">
            <w:pPr>
              <w:pStyle w:val="TableText"/>
              <w:jc w:val="center"/>
            </w:pPr>
            <w:r w:rsidRPr="003B37D3">
              <w:t>≤5 µg/L</w:t>
            </w:r>
          </w:p>
        </w:tc>
      </w:tr>
      <w:tr w:rsidR="00485094" w:rsidRPr="001467A4" w:rsidTr="00453E80">
        <w:trPr>
          <w:trHeight w:val="288"/>
          <w:jc w:val="center"/>
        </w:trPr>
        <w:tc>
          <w:tcPr>
            <w:tcW w:w="3330" w:type="dxa"/>
            <w:shd w:val="clear" w:color="auto" w:fill="FFFFCC"/>
            <w:vAlign w:val="center"/>
          </w:tcPr>
          <w:p w:rsidR="00485094" w:rsidRDefault="00485094" w:rsidP="00453E80">
            <w:pPr>
              <w:pStyle w:val="TableText"/>
              <w:jc w:val="center"/>
            </w:pPr>
            <w:r w:rsidRPr="003B37D3">
              <w:t>Chromium</w:t>
            </w:r>
          </w:p>
        </w:tc>
        <w:tc>
          <w:tcPr>
            <w:tcW w:w="2698" w:type="dxa"/>
            <w:vAlign w:val="center"/>
          </w:tcPr>
          <w:p w:rsidR="00485094" w:rsidRPr="003B37D3" w:rsidRDefault="00485094" w:rsidP="00453E80">
            <w:pPr>
              <w:pStyle w:val="TableText"/>
              <w:jc w:val="center"/>
            </w:pPr>
            <w:r w:rsidRPr="003B37D3">
              <w:t>≤100 µg/L</w:t>
            </w:r>
          </w:p>
        </w:tc>
      </w:tr>
      <w:tr w:rsidR="00485094" w:rsidRPr="001467A4" w:rsidTr="00453E80">
        <w:trPr>
          <w:trHeight w:val="288"/>
          <w:jc w:val="center"/>
        </w:trPr>
        <w:tc>
          <w:tcPr>
            <w:tcW w:w="3330" w:type="dxa"/>
            <w:shd w:val="clear" w:color="auto" w:fill="FFFFCC"/>
            <w:vAlign w:val="center"/>
          </w:tcPr>
          <w:p w:rsidR="00485094" w:rsidRDefault="00485094" w:rsidP="00453E80">
            <w:pPr>
              <w:pStyle w:val="TableText"/>
              <w:jc w:val="center"/>
            </w:pPr>
            <w:r w:rsidRPr="003B37D3">
              <w:t>Lead</w:t>
            </w:r>
          </w:p>
        </w:tc>
        <w:tc>
          <w:tcPr>
            <w:tcW w:w="2698" w:type="dxa"/>
            <w:vAlign w:val="center"/>
          </w:tcPr>
          <w:p w:rsidR="00485094" w:rsidRPr="003B37D3" w:rsidRDefault="00485094" w:rsidP="00453E80">
            <w:pPr>
              <w:pStyle w:val="TableText"/>
              <w:jc w:val="center"/>
            </w:pPr>
            <w:r w:rsidRPr="003B37D3">
              <w:t>≤15 µg/L</w:t>
            </w:r>
          </w:p>
        </w:tc>
      </w:tr>
      <w:tr w:rsidR="00485094" w:rsidRPr="001467A4" w:rsidTr="00453E80">
        <w:trPr>
          <w:trHeight w:val="288"/>
          <w:jc w:val="center"/>
        </w:trPr>
        <w:tc>
          <w:tcPr>
            <w:tcW w:w="3330" w:type="dxa"/>
            <w:shd w:val="clear" w:color="auto" w:fill="FFFFCC"/>
            <w:vAlign w:val="center"/>
          </w:tcPr>
          <w:p w:rsidR="00485094" w:rsidRDefault="00485094" w:rsidP="00453E80">
            <w:pPr>
              <w:pStyle w:val="TableText"/>
              <w:jc w:val="center"/>
            </w:pPr>
            <w:r w:rsidRPr="003B37D3">
              <w:rPr>
                <w:lang w:val="pt-BR"/>
              </w:rPr>
              <w:t>Nitrate-Nitrite</w:t>
            </w:r>
          </w:p>
        </w:tc>
        <w:tc>
          <w:tcPr>
            <w:tcW w:w="2698" w:type="dxa"/>
            <w:vAlign w:val="center"/>
          </w:tcPr>
          <w:p w:rsidR="00485094" w:rsidRPr="003B37D3" w:rsidRDefault="00485094" w:rsidP="00453E80">
            <w:pPr>
              <w:pStyle w:val="TableText"/>
              <w:jc w:val="center"/>
            </w:pPr>
            <w:r w:rsidRPr="003B37D3">
              <w:t>≤10 mg/L</w:t>
            </w:r>
          </w:p>
        </w:tc>
      </w:tr>
      <w:tr w:rsidR="00485094" w:rsidRPr="001467A4" w:rsidTr="00453E80">
        <w:trPr>
          <w:trHeight w:val="288"/>
          <w:jc w:val="center"/>
        </w:trPr>
        <w:tc>
          <w:tcPr>
            <w:tcW w:w="3330" w:type="dxa"/>
            <w:shd w:val="clear" w:color="auto" w:fill="FFFFCC"/>
            <w:vAlign w:val="center"/>
          </w:tcPr>
          <w:p w:rsidR="00485094" w:rsidRDefault="00485094" w:rsidP="00453E80">
            <w:pPr>
              <w:pStyle w:val="TableText"/>
              <w:jc w:val="center"/>
            </w:pPr>
            <w:r w:rsidRPr="003B37D3">
              <w:rPr>
                <w:lang w:val="pt-BR"/>
              </w:rPr>
              <w:t>Sodium</w:t>
            </w:r>
          </w:p>
        </w:tc>
        <w:tc>
          <w:tcPr>
            <w:tcW w:w="2698" w:type="dxa"/>
            <w:vAlign w:val="center"/>
          </w:tcPr>
          <w:p w:rsidR="00485094" w:rsidRPr="003B37D3" w:rsidRDefault="00485094" w:rsidP="00453E80">
            <w:pPr>
              <w:pStyle w:val="TableText"/>
              <w:jc w:val="center"/>
            </w:pPr>
            <w:r w:rsidRPr="003B37D3">
              <w:t>≤160 mg/L</w:t>
            </w:r>
          </w:p>
        </w:tc>
      </w:tr>
      <w:tr w:rsidR="00485094" w:rsidRPr="001467A4" w:rsidTr="00453E80">
        <w:trPr>
          <w:trHeight w:val="288"/>
          <w:jc w:val="center"/>
        </w:trPr>
        <w:tc>
          <w:tcPr>
            <w:tcW w:w="3330" w:type="dxa"/>
            <w:shd w:val="clear" w:color="auto" w:fill="FFFFCC"/>
            <w:vAlign w:val="center"/>
          </w:tcPr>
          <w:p w:rsidR="00485094" w:rsidRPr="003B37D3" w:rsidRDefault="00485094" w:rsidP="00453E80">
            <w:pPr>
              <w:pStyle w:val="TableText"/>
              <w:jc w:val="center"/>
              <w:rPr>
                <w:lang w:val="pt-BR"/>
              </w:rPr>
            </w:pPr>
            <w:r w:rsidRPr="003B37D3">
              <w:rPr>
                <w:lang w:val="pt-BR"/>
              </w:rPr>
              <w:t>Total Coliform Bacteria (#/100mL)</w:t>
            </w:r>
          </w:p>
          <w:p w:rsidR="00485094" w:rsidRPr="003B37D3" w:rsidRDefault="00485094" w:rsidP="00453E80">
            <w:pPr>
              <w:pStyle w:val="TableText"/>
              <w:jc w:val="center"/>
              <w:rPr>
                <w:lang w:val="pt-BR"/>
              </w:rPr>
            </w:pPr>
            <w:r>
              <w:rPr>
                <w:lang w:val="pt-BR"/>
              </w:rPr>
              <w:t xml:space="preserve">Fecal Coliform </w:t>
            </w:r>
            <w:r w:rsidRPr="003B37D3">
              <w:rPr>
                <w:lang w:val="pt-BR"/>
              </w:rPr>
              <w:t>(#/100mL)</w:t>
            </w:r>
          </w:p>
        </w:tc>
        <w:tc>
          <w:tcPr>
            <w:tcW w:w="2698" w:type="dxa"/>
            <w:vAlign w:val="center"/>
          </w:tcPr>
          <w:p w:rsidR="00485094" w:rsidRPr="003B37D3" w:rsidRDefault="00485094" w:rsidP="00453E80">
            <w:pPr>
              <w:pStyle w:val="TableText"/>
              <w:jc w:val="center"/>
            </w:pPr>
            <w:r w:rsidRPr="003B37D3">
              <w:t>≤4</w:t>
            </w:r>
          </w:p>
          <w:p w:rsidR="00485094" w:rsidRPr="003B37D3" w:rsidRDefault="00485094" w:rsidP="00453E80">
            <w:pPr>
              <w:pStyle w:val="TableText"/>
              <w:jc w:val="center"/>
            </w:pPr>
            <w:r w:rsidRPr="003B37D3">
              <w:t>&lt;2</w:t>
            </w:r>
          </w:p>
        </w:tc>
      </w:tr>
    </w:tbl>
    <w:p w:rsidR="00485094" w:rsidRDefault="00485094" w:rsidP="00692F31">
      <w:pPr>
        <w:pStyle w:val="Bodytextreduced"/>
      </w:pPr>
    </w:p>
    <w:p w:rsidR="00485094" w:rsidRDefault="00485094" w:rsidP="00692F31">
      <w:pPr>
        <w:pStyle w:val="Bodytextreduced"/>
      </w:pPr>
    </w:p>
    <w:p w:rsidR="00485094" w:rsidRDefault="00485094" w:rsidP="00692F31">
      <w:pPr>
        <w:rPr>
          <w:rFonts w:ascii="Arial" w:hAnsi="Arial" w:cs="Arial"/>
          <w:sz w:val="22"/>
          <w:szCs w:val="22"/>
        </w:rPr>
      </w:pPr>
      <w:r>
        <w:rPr>
          <w:rFonts w:ascii="Arial" w:hAnsi="Arial" w:cs="Arial"/>
          <w:sz w:val="22"/>
          <w:szCs w:val="22"/>
        </w:rPr>
        <w:t>For each Status Network ground water resource (confined aquifers and unconfined aquifers), there is</w:t>
      </w:r>
      <w:r w:rsidRPr="000D2F61">
        <w:rPr>
          <w:rFonts w:ascii="Arial" w:hAnsi="Arial" w:cs="Arial"/>
          <w:sz w:val="22"/>
          <w:szCs w:val="22"/>
        </w:rPr>
        <w:t xml:space="preserve"> a map showing the sample site locations</w:t>
      </w:r>
      <w:r>
        <w:rPr>
          <w:rFonts w:ascii="Arial" w:hAnsi="Arial" w:cs="Arial"/>
          <w:sz w:val="22"/>
          <w:szCs w:val="22"/>
        </w:rPr>
        <w:t xml:space="preserve"> (</w:t>
      </w:r>
      <w:r w:rsidRPr="000D2F61">
        <w:rPr>
          <w:rFonts w:ascii="Arial" w:hAnsi="Arial" w:cs="Arial"/>
          <w:b/>
          <w:i/>
          <w:sz w:val="22"/>
          <w:szCs w:val="22"/>
        </w:rPr>
        <w:t xml:space="preserve">Figures </w:t>
      </w:r>
      <w:r>
        <w:rPr>
          <w:rFonts w:ascii="Arial" w:hAnsi="Arial" w:cs="Arial"/>
          <w:b/>
          <w:i/>
          <w:sz w:val="22"/>
          <w:szCs w:val="22"/>
        </w:rPr>
        <w:t xml:space="preserve">6.11 </w:t>
      </w:r>
      <w:r w:rsidRPr="00FC4987">
        <w:rPr>
          <w:rFonts w:ascii="Arial" w:hAnsi="Arial" w:cs="Arial"/>
          <w:sz w:val="22"/>
          <w:szCs w:val="22"/>
        </w:rPr>
        <w:t>and</w:t>
      </w:r>
      <w:r>
        <w:rPr>
          <w:rFonts w:ascii="Arial" w:hAnsi="Arial" w:cs="Arial"/>
          <w:b/>
          <w:i/>
          <w:sz w:val="22"/>
          <w:szCs w:val="22"/>
        </w:rPr>
        <w:t xml:space="preserve"> 6.13)</w:t>
      </w:r>
      <w:r w:rsidRPr="000D2F61">
        <w:rPr>
          <w:rFonts w:ascii="Arial" w:hAnsi="Arial" w:cs="Arial"/>
          <w:sz w:val="22"/>
          <w:szCs w:val="22"/>
        </w:rPr>
        <w:t xml:space="preserve">, a figure </w:t>
      </w:r>
      <w:r>
        <w:rPr>
          <w:rFonts w:ascii="Arial" w:hAnsi="Arial" w:cs="Arial"/>
          <w:sz w:val="22"/>
          <w:szCs w:val="22"/>
        </w:rPr>
        <w:t>summarizing</w:t>
      </w:r>
      <w:r w:rsidRPr="000D2F61">
        <w:rPr>
          <w:rFonts w:ascii="Arial" w:hAnsi="Arial" w:cs="Arial"/>
          <w:sz w:val="22"/>
          <w:szCs w:val="22"/>
        </w:rPr>
        <w:t xml:space="preserve"> the statewide results</w:t>
      </w:r>
      <w:r>
        <w:rPr>
          <w:rFonts w:ascii="Arial" w:hAnsi="Arial" w:cs="Arial"/>
          <w:sz w:val="22"/>
          <w:szCs w:val="22"/>
        </w:rPr>
        <w:t xml:space="preserve"> (</w:t>
      </w:r>
      <w:r w:rsidRPr="00FC4987">
        <w:rPr>
          <w:rFonts w:ascii="Arial" w:hAnsi="Arial" w:cs="Arial"/>
          <w:b/>
          <w:i/>
          <w:sz w:val="22"/>
          <w:szCs w:val="22"/>
        </w:rPr>
        <w:t>Figures 6.1</w:t>
      </w:r>
      <w:r>
        <w:rPr>
          <w:rFonts w:ascii="Arial" w:hAnsi="Arial" w:cs="Arial"/>
          <w:b/>
          <w:i/>
          <w:sz w:val="22"/>
          <w:szCs w:val="22"/>
        </w:rPr>
        <w:t>2</w:t>
      </w:r>
      <w:r>
        <w:rPr>
          <w:rFonts w:ascii="Arial" w:hAnsi="Arial" w:cs="Arial"/>
          <w:sz w:val="22"/>
          <w:szCs w:val="22"/>
        </w:rPr>
        <w:t xml:space="preserve"> and </w:t>
      </w:r>
      <w:r w:rsidRPr="00FC4987">
        <w:rPr>
          <w:rFonts w:ascii="Arial" w:hAnsi="Arial" w:cs="Arial"/>
          <w:b/>
          <w:i/>
          <w:sz w:val="22"/>
          <w:szCs w:val="22"/>
        </w:rPr>
        <w:t>6.1</w:t>
      </w:r>
      <w:r>
        <w:rPr>
          <w:rFonts w:ascii="Arial" w:hAnsi="Arial" w:cs="Arial"/>
          <w:b/>
          <w:i/>
          <w:sz w:val="22"/>
          <w:szCs w:val="22"/>
        </w:rPr>
        <w:t>4</w:t>
      </w:r>
      <w:r>
        <w:rPr>
          <w:rFonts w:ascii="Arial" w:hAnsi="Arial" w:cs="Arial"/>
          <w:sz w:val="22"/>
          <w:szCs w:val="22"/>
        </w:rPr>
        <w:t>),</w:t>
      </w:r>
      <w:r w:rsidRPr="000D2F61">
        <w:rPr>
          <w:rFonts w:ascii="Arial" w:hAnsi="Arial" w:cs="Arial"/>
          <w:sz w:val="22"/>
          <w:szCs w:val="22"/>
        </w:rPr>
        <w:t xml:space="preserve"> and a table </w:t>
      </w:r>
      <w:r>
        <w:rPr>
          <w:rFonts w:ascii="Arial" w:hAnsi="Arial" w:cs="Arial"/>
          <w:sz w:val="22"/>
          <w:szCs w:val="22"/>
        </w:rPr>
        <w:t>containing</w:t>
      </w:r>
      <w:r w:rsidRPr="000D2F61">
        <w:rPr>
          <w:rFonts w:ascii="Arial" w:hAnsi="Arial" w:cs="Arial"/>
          <w:sz w:val="22"/>
          <w:szCs w:val="22"/>
        </w:rPr>
        <w:t xml:space="preserve"> the statewide results</w:t>
      </w:r>
      <w:r>
        <w:rPr>
          <w:rFonts w:ascii="Arial" w:hAnsi="Arial" w:cs="Arial"/>
          <w:sz w:val="22"/>
          <w:szCs w:val="22"/>
        </w:rPr>
        <w:t xml:space="preserve"> for each indicator for a particular resource (</w:t>
      </w:r>
      <w:r w:rsidRPr="00FC4987">
        <w:rPr>
          <w:rFonts w:ascii="Arial" w:hAnsi="Arial" w:cs="Arial"/>
          <w:b/>
          <w:i/>
          <w:sz w:val="22"/>
          <w:szCs w:val="22"/>
        </w:rPr>
        <w:t>Table</w:t>
      </w:r>
      <w:r>
        <w:rPr>
          <w:rFonts w:ascii="Arial" w:hAnsi="Arial" w:cs="Arial"/>
          <w:b/>
          <w:i/>
          <w:sz w:val="22"/>
          <w:szCs w:val="22"/>
        </w:rPr>
        <w:t>s</w:t>
      </w:r>
      <w:r w:rsidRPr="00FC4987">
        <w:rPr>
          <w:rFonts w:ascii="Arial" w:hAnsi="Arial" w:cs="Arial"/>
          <w:b/>
          <w:i/>
          <w:sz w:val="22"/>
          <w:szCs w:val="22"/>
        </w:rPr>
        <w:t xml:space="preserve"> 6.</w:t>
      </w:r>
      <w:r>
        <w:rPr>
          <w:rFonts w:ascii="Arial" w:hAnsi="Arial" w:cs="Arial"/>
          <w:b/>
          <w:i/>
          <w:sz w:val="22"/>
          <w:szCs w:val="22"/>
        </w:rPr>
        <w:t>6</w:t>
      </w:r>
      <w:r w:rsidRPr="00FC4987">
        <w:rPr>
          <w:rFonts w:ascii="Arial" w:hAnsi="Arial" w:cs="Arial"/>
          <w:b/>
          <w:i/>
          <w:sz w:val="22"/>
          <w:szCs w:val="22"/>
        </w:rPr>
        <w:t>b</w:t>
      </w:r>
      <w:r>
        <w:rPr>
          <w:rFonts w:ascii="Arial" w:hAnsi="Arial" w:cs="Arial"/>
          <w:sz w:val="22"/>
          <w:szCs w:val="22"/>
        </w:rPr>
        <w:t xml:space="preserve"> and </w:t>
      </w:r>
      <w:r w:rsidRPr="00FC4987">
        <w:rPr>
          <w:rFonts w:ascii="Arial" w:hAnsi="Arial" w:cs="Arial"/>
          <w:b/>
          <w:i/>
          <w:sz w:val="22"/>
          <w:szCs w:val="22"/>
        </w:rPr>
        <w:t>6.</w:t>
      </w:r>
      <w:r>
        <w:rPr>
          <w:rFonts w:ascii="Arial" w:hAnsi="Arial" w:cs="Arial"/>
          <w:b/>
          <w:i/>
          <w:sz w:val="22"/>
          <w:szCs w:val="22"/>
        </w:rPr>
        <w:t>6</w:t>
      </w:r>
      <w:r w:rsidRPr="00FC4987">
        <w:rPr>
          <w:rFonts w:ascii="Arial" w:hAnsi="Arial" w:cs="Arial"/>
          <w:b/>
          <w:i/>
          <w:sz w:val="22"/>
          <w:szCs w:val="22"/>
        </w:rPr>
        <w:t>c</w:t>
      </w:r>
      <w:r>
        <w:rPr>
          <w:rFonts w:ascii="Arial" w:hAnsi="Arial" w:cs="Arial"/>
          <w:sz w:val="22"/>
          <w:szCs w:val="22"/>
        </w:rPr>
        <w:t>), followed by</w:t>
      </w:r>
      <w:r w:rsidRPr="000D2F61">
        <w:rPr>
          <w:rFonts w:ascii="Arial" w:hAnsi="Arial" w:cs="Arial"/>
          <w:sz w:val="22"/>
          <w:szCs w:val="22"/>
        </w:rPr>
        <w:t xml:space="preserve"> a discussion</w:t>
      </w:r>
      <w:r>
        <w:rPr>
          <w:rFonts w:ascii="Arial" w:hAnsi="Arial" w:cs="Arial"/>
          <w:sz w:val="22"/>
          <w:szCs w:val="22"/>
        </w:rPr>
        <w:t xml:space="preserve"> of the highlights</w:t>
      </w:r>
      <w:r w:rsidRPr="000D2F61">
        <w:rPr>
          <w:rFonts w:ascii="Arial" w:hAnsi="Arial" w:cs="Arial"/>
          <w:sz w:val="22"/>
          <w:szCs w:val="22"/>
        </w:rPr>
        <w:t>.</w:t>
      </w:r>
      <w:r>
        <w:rPr>
          <w:rFonts w:ascii="Arial" w:hAnsi="Arial" w:cs="Arial"/>
          <w:sz w:val="22"/>
          <w:szCs w:val="22"/>
        </w:rPr>
        <w:t xml:space="preserve">  </w:t>
      </w:r>
      <w:r w:rsidRPr="00D94E36">
        <w:rPr>
          <w:rFonts w:ascii="Arial" w:hAnsi="Arial" w:cs="Arial"/>
          <w:b/>
          <w:i/>
          <w:sz w:val="22"/>
          <w:szCs w:val="22"/>
        </w:rPr>
        <w:t xml:space="preserve">Table </w:t>
      </w:r>
      <w:r>
        <w:rPr>
          <w:rFonts w:ascii="Arial" w:hAnsi="Arial" w:cs="Arial"/>
          <w:b/>
          <w:i/>
          <w:sz w:val="22"/>
          <w:szCs w:val="22"/>
        </w:rPr>
        <w:t>6.6</w:t>
      </w:r>
      <w:r w:rsidRPr="00D94E36">
        <w:rPr>
          <w:rFonts w:ascii="Arial" w:hAnsi="Arial" w:cs="Arial"/>
          <w:b/>
          <w:i/>
          <w:sz w:val="22"/>
          <w:szCs w:val="22"/>
        </w:rPr>
        <w:t>a</w:t>
      </w:r>
      <w:r w:rsidRPr="001144FE">
        <w:rPr>
          <w:rFonts w:ascii="Arial" w:hAnsi="Arial" w:cs="Arial"/>
        </w:rPr>
        <w:t xml:space="preserve"> </w:t>
      </w:r>
      <w:r w:rsidRPr="00596B06">
        <w:rPr>
          <w:rFonts w:ascii="Arial" w:hAnsi="Arial" w:cs="Arial"/>
          <w:sz w:val="22"/>
          <w:szCs w:val="22"/>
        </w:rPr>
        <w:t xml:space="preserve">contains a legend for the terms used in </w:t>
      </w:r>
      <w:r w:rsidRPr="00F95E78">
        <w:rPr>
          <w:rFonts w:ascii="Arial" w:hAnsi="Arial" w:cs="Arial"/>
          <w:b/>
          <w:i/>
          <w:sz w:val="22"/>
          <w:szCs w:val="22"/>
        </w:rPr>
        <w:t xml:space="preserve">Tables </w:t>
      </w:r>
      <w:r>
        <w:rPr>
          <w:rFonts w:ascii="Arial" w:hAnsi="Arial" w:cs="Arial"/>
          <w:b/>
          <w:i/>
          <w:sz w:val="22"/>
          <w:szCs w:val="22"/>
        </w:rPr>
        <w:t xml:space="preserve">6.6b </w:t>
      </w:r>
      <w:r w:rsidRPr="00FC4987">
        <w:rPr>
          <w:rFonts w:ascii="Arial" w:hAnsi="Arial" w:cs="Arial"/>
          <w:sz w:val="22"/>
          <w:szCs w:val="22"/>
        </w:rPr>
        <w:t>and</w:t>
      </w:r>
      <w:r>
        <w:rPr>
          <w:rFonts w:ascii="Arial" w:hAnsi="Arial" w:cs="Arial"/>
          <w:b/>
          <w:i/>
          <w:sz w:val="22"/>
          <w:szCs w:val="22"/>
        </w:rPr>
        <w:t xml:space="preserve"> 6.6c</w:t>
      </w:r>
      <w:r>
        <w:rPr>
          <w:rFonts w:ascii="Arial" w:hAnsi="Arial" w:cs="Arial"/>
          <w:sz w:val="22"/>
          <w:szCs w:val="22"/>
        </w:rPr>
        <w:t>.</w:t>
      </w:r>
    </w:p>
    <w:p w:rsidR="00485094" w:rsidRDefault="00485094" w:rsidP="00692F31">
      <w:pPr>
        <w:rPr>
          <w:rFonts w:ascii="Arial" w:hAnsi="Arial" w:cs="Arial"/>
          <w:sz w:val="22"/>
          <w:szCs w:val="22"/>
        </w:rPr>
      </w:pPr>
    </w:p>
    <w:p w:rsidR="00485094" w:rsidRPr="000D2F61" w:rsidRDefault="00485094" w:rsidP="00692F31">
      <w:pPr>
        <w:rPr>
          <w:rFonts w:ascii="Arial" w:hAnsi="Arial" w:cs="Arial"/>
          <w:sz w:val="22"/>
          <w:szCs w:val="22"/>
        </w:rPr>
      </w:pPr>
      <w:r>
        <w:rPr>
          <w:rFonts w:ascii="Arial" w:hAnsi="Arial" w:cs="Arial"/>
          <w:sz w:val="22"/>
          <w:szCs w:val="22"/>
        </w:rPr>
        <w:t xml:space="preserve">The rotating basin component of the Status Network design allows for individual basin reports to be completed.  Basin-specific reports are available on the </w:t>
      </w:r>
      <w:hyperlink r:id="rId91" w:history="1">
        <w:r w:rsidRPr="00D94E36">
          <w:rPr>
            <w:rStyle w:val="Hyperlink"/>
            <w:rFonts w:ascii="Arial" w:hAnsi="Arial" w:cs="Arial"/>
            <w:sz w:val="22"/>
            <w:szCs w:val="22"/>
          </w:rPr>
          <w:t xml:space="preserve">FDEP </w:t>
        </w:r>
        <w:r>
          <w:rPr>
            <w:rStyle w:val="Hyperlink"/>
            <w:rFonts w:ascii="Arial" w:hAnsi="Arial" w:cs="Arial"/>
            <w:sz w:val="22"/>
            <w:szCs w:val="22"/>
          </w:rPr>
          <w:t xml:space="preserve">Watershed Monitoring </w:t>
        </w:r>
        <w:r w:rsidRPr="00D94E36">
          <w:rPr>
            <w:rStyle w:val="Hyperlink"/>
            <w:rFonts w:ascii="Arial" w:hAnsi="Arial" w:cs="Arial"/>
            <w:sz w:val="22"/>
            <w:szCs w:val="22"/>
          </w:rPr>
          <w:t>website</w:t>
        </w:r>
      </w:hyperlink>
      <w:r>
        <w:rPr>
          <w:rFonts w:ascii="Arial" w:hAnsi="Arial" w:cs="Arial"/>
          <w:sz w:val="22"/>
          <w:szCs w:val="22"/>
        </w:rPr>
        <w:t xml:space="preserve">.  </w:t>
      </w:r>
      <w:r w:rsidRPr="000D2F61">
        <w:rPr>
          <w:rFonts w:ascii="Arial" w:hAnsi="Arial" w:cs="Arial"/>
          <w:sz w:val="22"/>
          <w:szCs w:val="22"/>
        </w:rPr>
        <w:t xml:space="preserve">Additionally, </w:t>
      </w:r>
      <w:r w:rsidRPr="000D2F61">
        <w:rPr>
          <w:rFonts w:ascii="Arial" w:hAnsi="Arial" w:cs="Arial"/>
          <w:b/>
          <w:sz w:val="22"/>
          <w:szCs w:val="22"/>
        </w:rPr>
        <w:t xml:space="preserve">Appendix </w:t>
      </w:r>
      <w:r>
        <w:rPr>
          <w:rFonts w:ascii="Arial" w:hAnsi="Arial" w:cs="Arial"/>
          <w:b/>
          <w:sz w:val="22"/>
          <w:szCs w:val="22"/>
        </w:rPr>
        <w:t>C</w:t>
      </w:r>
      <w:r w:rsidRPr="000D2F61">
        <w:rPr>
          <w:rFonts w:ascii="Arial" w:hAnsi="Arial" w:cs="Arial"/>
          <w:sz w:val="22"/>
          <w:szCs w:val="22"/>
        </w:rPr>
        <w:t xml:space="preserve"> </w:t>
      </w:r>
      <w:r>
        <w:rPr>
          <w:rFonts w:ascii="Arial" w:hAnsi="Arial" w:cs="Arial"/>
          <w:sz w:val="22"/>
          <w:szCs w:val="22"/>
        </w:rPr>
        <w:t xml:space="preserve">shows </w:t>
      </w:r>
      <w:r w:rsidRPr="000D2F61">
        <w:rPr>
          <w:rFonts w:ascii="Arial" w:hAnsi="Arial" w:cs="Arial"/>
          <w:sz w:val="22"/>
          <w:szCs w:val="22"/>
        </w:rPr>
        <w:t xml:space="preserve">the results for all 29 basins </w:t>
      </w:r>
      <w:r>
        <w:rPr>
          <w:rFonts w:ascii="Arial" w:hAnsi="Arial" w:cs="Arial"/>
          <w:sz w:val="22"/>
          <w:szCs w:val="22"/>
        </w:rPr>
        <w:t>for both</w:t>
      </w:r>
      <w:r w:rsidRPr="000D2F61">
        <w:rPr>
          <w:rFonts w:ascii="Arial" w:hAnsi="Arial" w:cs="Arial"/>
          <w:sz w:val="22"/>
          <w:szCs w:val="22"/>
        </w:rPr>
        <w:t xml:space="preserve"> resource types on maps and in tabular form</w:t>
      </w:r>
      <w:r>
        <w:rPr>
          <w:rFonts w:ascii="Arial" w:hAnsi="Arial" w:cs="Arial"/>
          <w:b/>
          <w:sz w:val="22"/>
          <w:szCs w:val="22"/>
        </w:rPr>
        <w:t xml:space="preserve">, </w:t>
      </w:r>
      <w:r w:rsidRPr="006128BC">
        <w:rPr>
          <w:rFonts w:ascii="Arial" w:hAnsi="Arial" w:cs="Arial"/>
          <w:sz w:val="22"/>
          <w:szCs w:val="22"/>
        </w:rPr>
        <w:t>with an</w:t>
      </w:r>
      <w:r>
        <w:rPr>
          <w:rFonts w:ascii="Arial" w:hAnsi="Arial" w:cs="Arial"/>
          <w:b/>
          <w:sz w:val="22"/>
          <w:szCs w:val="22"/>
        </w:rPr>
        <w:t xml:space="preserve"> </w:t>
      </w:r>
      <w:r w:rsidRPr="000D2F61">
        <w:rPr>
          <w:rFonts w:ascii="Arial" w:hAnsi="Arial" w:cs="Arial"/>
          <w:sz w:val="22"/>
          <w:szCs w:val="22"/>
        </w:rPr>
        <w:t>explan</w:t>
      </w:r>
      <w:r>
        <w:rPr>
          <w:rFonts w:ascii="Arial" w:hAnsi="Arial" w:cs="Arial"/>
          <w:sz w:val="22"/>
          <w:szCs w:val="22"/>
        </w:rPr>
        <w:t>ation of</w:t>
      </w:r>
      <w:r w:rsidRPr="000D2F61">
        <w:rPr>
          <w:rFonts w:ascii="Arial" w:hAnsi="Arial" w:cs="Arial"/>
          <w:sz w:val="22"/>
          <w:szCs w:val="22"/>
        </w:rPr>
        <w:t xml:space="preserve"> </w:t>
      </w:r>
      <w:r>
        <w:rPr>
          <w:rFonts w:ascii="Arial" w:hAnsi="Arial" w:cs="Arial"/>
          <w:sz w:val="22"/>
          <w:szCs w:val="22"/>
        </w:rPr>
        <w:t xml:space="preserve">the </w:t>
      </w:r>
      <w:r w:rsidRPr="000D2F61">
        <w:rPr>
          <w:rFonts w:ascii="Arial" w:hAnsi="Arial" w:cs="Arial"/>
          <w:sz w:val="22"/>
          <w:szCs w:val="22"/>
        </w:rPr>
        <w:t xml:space="preserve">terms used in the assessment and the water quality targets.  </w:t>
      </w:r>
    </w:p>
    <w:p w:rsidR="00485094" w:rsidRDefault="00485094" w:rsidP="00692F31">
      <w:pPr>
        <w:pStyle w:val="Bodytext"/>
        <w:rPr>
          <w:rFonts w:cs="Arial"/>
          <w:szCs w:val="22"/>
        </w:rPr>
      </w:pPr>
    </w:p>
    <w:p w:rsidR="00485094" w:rsidRDefault="00485094" w:rsidP="00692F31">
      <w:r w:rsidRPr="00F30218">
        <w:rPr>
          <w:rFonts w:ascii="Arial" w:hAnsi="Arial" w:cs="Arial"/>
          <w:b/>
          <w:i/>
          <w:sz w:val="22"/>
          <w:szCs w:val="22"/>
        </w:rPr>
        <w:t>Tables 6.</w:t>
      </w:r>
      <w:r>
        <w:rPr>
          <w:rFonts w:ascii="Arial" w:hAnsi="Arial" w:cs="Arial"/>
          <w:b/>
          <w:i/>
          <w:sz w:val="22"/>
          <w:szCs w:val="22"/>
        </w:rPr>
        <w:t>6</w:t>
      </w:r>
      <w:r w:rsidRPr="00F30218">
        <w:rPr>
          <w:rFonts w:ascii="Arial" w:hAnsi="Arial" w:cs="Arial"/>
          <w:b/>
          <w:i/>
          <w:sz w:val="22"/>
          <w:szCs w:val="22"/>
        </w:rPr>
        <w:t>b</w:t>
      </w:r>
      <w:r w:rsidRPr="0019139D">
        <w:rPr>
          <w:rFonts w:ascii="Arial" w:hAnsi="Arial" w:cs="Arial"/>
          <w:sz w:val="22"/>
          <w:szCs w:val="22"/>
        </w:rPr>
        <w:t xml:space="preserve"> and </w:t>
      </w:r>
      <w:r w:rsidRPr="00F30218">
        <w:rPr>
          <w:rFonts w:ascii="Arial" w:hAnsi="Arial" w:cs="Arial"/>
          <w:b/>
          <w:i/>
          <w:sz w:val="22"/>
          <w:szCs w:val="22"/>
        </w:rPr>
        <w:t>6.</w:t>
      </w:r>
      <w:r>
        <w:rPr>
          <w:rFonts w:ascii="Arial" w:hAnsi="Arial" w:cs="Arial"/>
          <w:b/>
          <w:i/>
          <w:sz w:val="22"/>
          <w:szCs w:val="22"/>
        </w:rPr>
        <w:t>6</w:t>
      </w:r>
      <w:r w:rsidRPr="00F30218">
        <w:rPr>
          <w:rFonts w:ascii="Arial" w:hAnsi="Arial" w:cs="Arial"/>
          <w:b/>
          <w:i/>
          <w:sz w:val="22"/>
          <w:szCs w:val="22"/>
        </w:rPr>
        <w:t>c</w:t>
      </w:r>
      <w:r w:rsidRPr="0019139D">
        <w:rPr>
          <w:rFonts w:ascii="Arial" w:hAnsi="Arial" w:cs="Arial"/>
          <w:sz w:val="22"/>
          <w:szCs w:val="22"/>
        </w:rPr>
        <w:t xml:space="preserve"> provide an estimate of the quality of Florida’s confined and unconfined</w:t>
      </w:r>
      <w:r w:rsidRPr="006C238F">
        <w:rPr>
          <w:rFonts w:ascii="Arial" w:hAnsi="Arial" w:cs="Arial"/>
          <w:sz w:val="22"/>
          <w:szCs w:val="22"/>
        </w:rPr>
        <w:t xml:space="preserve"> </w:t>
      </w:r>
      <w:r>
        <w:rPr>
          <w:rFonts w:ascii="Arial" w:hAnsi="Arial" w:cs="Arial"/>
          <w:sz w:val="22"/>
          <w:szCs w:val="22"/>
        </w:rPr>
        <w:t>aquifers</w:t>
      </w:r>
      <w:r w:rsidRPr="006C238F">
        <w:rPr>
          <w:rFonts w:ascii="Arial" w:hAnsi="Arial" w:cs="Arial"/>
          <w:sz w:val="22"/>
          <w:szCs w:val="22"/>
        </w:rPr>
        <w:t xml:space="preserve"> by listing the percentage of samples that meet a potable water </w:t>
      </w:r>
      <w:r>
        <w:rPr>
          <w:rFonts w:ascii="Arial" w:hAnsi="Arial" w:cs="Arial"/>
          <w:sz w:val="22"/>
          <w:szCs w:val="22"/>
        </w:rPr>
        <w:t>threshold</w:t>
      </w:r>
      <w:r w:rsidRPr="006C238F">
        <w:rPr>
          <w:rFonts w:ascii="Arial" w:hAnsi="Arial" w:cs="Arial"/>
          <w:sz w:val="22"/>
          <w:szCs w:val="22"/>
        </w:rPr>
        <w:t xml:space="preserve">.  </w:t>
      </w:r>
      <w:r w:rsidRPr="006C238F">
        <w:rPr>
          <w:rFonts w:ascii="Arial" w:hAnsi="Arial" w:cs="Arial"/>
          <w:color w:val="000000"/>
          <w:sz w:val="22"/>
          <w:szCs w:val="22"/>
        </w:rPr>
        <w:t>Along with the percentage of wells meeting (% meeting) their specific thresholds, the 95% confidence bounds indicate that the percentage that meet</w:t>
      </w:r>
      <w:r>
        <w:rPr>
          <w:rFonts w:ascii="Arial" w:hAnsi="Arial" w:cs="Arial"/>
          <w:color w:val="000000"/>
          <w:sz w:val="22"/>
          <w:szCs w:val="22"/>
        </w:rPr>
        <w:t>s</w:t>
      </w:r>
      <w:r w:rsidRPr="006C238F">
        <w:rPr>
          <w:rFonts w:ascii="Arial" w:hAnsi="Arial" w:cs="Arial"/>
          <w:color w:val="000000"/>
          <w:sz w:val="22"/>
          <w:szCs w:val="22"/>
        </w:rPr>
        <w:t xml:space="preserve"> threshold values accurately depicts the overall statewide well population.</w:t>
      </w:r>
    </w:p>
    <w:p w:rsidR="00485094" w:rsidRDefault="00485094" w:rsidP="00692F31">
      <w:pPr>
        <w:pStyle w:val="Tableheading"/>
      </w:pPr>
      <w:bookmarkStart w:id="427" w:name="_Toc255482837"/>
      <w:bookmarkStart w:id="428" w:name="_Toc255807495"/>
      <w:bookmarkStart w:id="429" w:name="_Toc134347529"/>
      <w:bookmarkStart w:id="430" w:name="_Toc262464253"/>
      <w:bookmarkStart w:id="431" w:name="_Toc271280100"/>
      <w:r>
        <w:t>Table 6.6a.  Legend for Terms Used in Tables</w:t>
      </w:r>
      <w:bookmarkEnd w:id="427"/>
      <w:bookmarkEnd w:id="428"/>
      <w:r>
        <w:t xml:space="preserve"> </w:t>
      </w:r>
      <w:bookmarkEnd w:id="429"/>
      <w:r>
        <w:t>6.6b and 6.6c</w:t>
      </w:r>
      <w:bookmarkEnd w:id="430"/>
      <w:bookmarkEnd w:id="431"/>
    </w:p>
    <w:p w:rsidR="00485094" w:rsidRDefault="00485094" w:rsidP="00692F31">
      <w:pPr>
        <w:pStyle w:val="TabledescriptionBF"/>
      </w:pPr>
      <w:r>
        <w:t>This is a two-column table.  Column 1 lists the terms and Column 2 provides an explanation.</w:t>
      </w:r>
    </w:p>
    <w:p w:rsidR="00485094" w:rsidRDefault="00485094" w:rsidP="00692F31">
      <w:pPr>
        <w:pStyle w:val="Bodytextreduce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96"/>
        <w:gridCol w:w="5372"/>
      </w:tblGrid>
      <w:tr w:rsidR="00485094" w:rsidRPr="000F2909" w:rsidTr="000F2909">
        <w:trPr>
          <w:trHeight w:val="377"/>
          <w:tblHeader/>
          <w:jc w:val="center"/>
        </w:trPr>
        <w:tc>
          <w:tcPr>
            <w:tcW w:w="3196" w:type="dxa"/>
            <w:tcBorders>
              <w:bottom w:val="double" w:sz="4" w:space="0" w:color="auto"/>
            </w:tcBorders>
            <w:shd w:val="clear" w:color="auto" w:fill="BDFFFF"/>
            <w:vAlign w:val="center"/>
          </w:tcPr>
          <w:p w:rsidR="00485094" w:rsidRPr="000F2909" w:rsidRDefault="00485094" w:rsidP="00453E80">
            <w:pPr>
              <w:jc w:val="center"/>
              <w:rPr>
                <w:rFonts w:ascii="Arial" w:hAnsi="Arial"/>
                <w:b/>
                <w:i/>
                <w:sz w:val="18"/>
              </w:rPr>
            </w:pPr>
            <w:r w:rsidRPr="000F2909">
              <w:rPr>
                <w:rFonts w:ascii="Arial" w:hAnsi="Arial"/>
                <w:b/>
                <w:i/>
                <w:sz w:val="18"/>
              </w:rPr>
              <w:t>Term</w:t>
            </w:r>
          </w:p>
        </w:tc>
        <w:tc>
          <w:tcPr>
            <w:tcW w:w="5372" w:type="dxa"/>
            <w:tcBorders>
              <w:bottom w:val="double" w:sz="4" w:space="0" w:color="auto"/>
            </w:tcBorders>
            <w:shd w:val="clear" w:color="auto" w:fill="BDFFFF"/>
            <w:vAlign w:val="center"/>
          </w:tcPr>
          <w:p w:rsidR="00485094" w:rsidRPr="000F2909" w:rsidRDefault="00485094" w:rsidP="00453E80">
            <w:pPr>
              <w:jc w:val="center"/>
              <w:rPr>
                <w:rFonts w:ascii="Arial" w:hAnsi="Arial"/>
                <w:b/>
                <w:i/>
                <w:sz w:val="18"/>
              </w:rPr>
            </w:pPr>
            <w:r w:rsidRPr="000F2909">
              <w:rPr>
                <w:rFonts w:ascii="Arial" w:hAnsi="Arial"/>
                <w:b/>
                <w:i/>
                <w:sz w:val="18"/>
              </w:rPr>
              <w:t>Explanation</w:t>
            </w:r>
          </w:p>
        </w:tc>
      </w:tr>
      <w:tr w:rsidR="00485094" w:rsidTr="00453E80">
        <w:trPr>
          <w:trHeight w:val="432"/>
          <w:jc w:val="center"/>
        </w:trPr>
        <w:tc>
          <w:tcPr>
            <w:tcW w:w="3196" w:type="dxa"/>
            <w:tcBorders>
              <w:top w:val="double" w:sz="4" w:space="0" w:color="auto"/>
            </w:tcBorders>
            <w:shd w:val="clear" w:color="auto" w:fill="FFFFCC"/>
            <w:vAlign w:val="center"/>
          </w:tcPr>
          <w:p w:rsidR="00485094" w:rsidRPr="00D53BE0" w:rsidRDefault="00485094" w:rsidP="00453E80">
            <w:pPr>
              <w:jc w:val="center"/>
              <w:rPr>
                <w:rFonts w:ascii="Arial" w:hAnsi="Arial"/>
                <w:sz w:val="18"/>
              </w:rPr>
            </w:pPr>
            <w:r w:rsidRPr="00D53BE0">
              <w:rPr>
                <w:rFonts w:ascii="Arial" w:hAnsi="Arial"/>
                <w:sz w:val="18"/>
              </w:rPr>
              <w:t>Analyte</w:t>
            </w:r>
          </w:p>
        </w:tc>
        <w:tc>
          <w:tcPr>
            <w:tcW w:w="5372" w:type="dxa"/>
            <w:tcBorders>
              <w:top w:val="double" w:sz="4" w:space="0" w:color="auto"/>
            </w:tcBorders>
            <w:vAlign w:val="center"/>
          </w:tcPr>
          <w:p w:rsidR="00485094" w:rsidRPr="00D53BE0" w:rsidRDefault="00485094" w:rsidP="00453E80">
            <w:pPr>
              <w:pStyle w:val="TableText"/>
              <w:jc w:val="center"/>
            </w:pPr>
            <w:r w:rsidRPr="00D53BE0">
              <w:t>Indicators chosen to base assessment of the condition of waters of the state.</w:t>
            </w:r>
          </w:p>
        </w:tc>
      </w:tr>
      <w:tr w:rsidR="00485094" w:rsidTr="00453E80">
        <w:trPr>
          <w:trHeight w:val="432"/>
          <w:jc w:val="center"/>
        </w:trPr>
        <w:tc>
          <w:tcPr>
            <w:tcW w:w="3196" w:type="dxa"/>
            <w:shd w:val="clear" w:color="auto" w:fill="FFFFCC"/>
            <w:vAlign w:val="center"/>
          </w:tcPr>
          <w:p w:rsidR="00485094" w:rsidRDefault="00485094" w:rsidP="00453E80">
            <w:pPr>
              <w:jc w:val="center"/>
              <w:rPr>
                <w:rFonts w:ascii="Arial" w:hAnsi="Arial"/>
                <w:sz w:val="18"/>
              </w:rPr>
            </w:pPr>
            <w:r>
              <w:rPr>
                <w:rFonts w:ascii="Arial" w:hAnsi="Arial"/>
                <w:sz w:val="18"/>
              </w:rPr>
              <w:t>Target Population</w:t>
            </w:r>
          </w:p>
        </w:tc>
        <w:tc>
          <w:tcPr>
            <w:tcW w:w="5372" w:type="dxa"/>
            <w:vAlign w:val="center"/>
          </w:tcPr>
          <w:p w:rsidR="00485094" w:rsidRDefault="00485094" w:rsidP="00453E80">
            <w:pPr>
              <w:pStyle w:val="TableText"/>
              <w:ind w:left="530" w:hanging="530"/>
              <w:jc w:val="center"/>
            </w:pPr>
            <w:r>
              <w:t>Number of wells from which inferences are based.  Excludes % of resource that was determined to not fit definition of resource</w:t>
            </w:r>
            <w:r w:rsidR="003D799D">
              <w:t>.</w:t>
            </w:r>
          </w:p>
        </w:tc>
      </w:tr>
      <w:tr w:rsidR="00485094" w:rsidTr="00453E80">
        <w:trPr>
          <w:trHeight w:val="432"/>
          <w:jc w:val="center"/>
        </w:trPr>
        <w:tc>
          <w:tcPr>
            <w:tcW w:w="3196" w:type="dxa"/>
            <w:shd w:val="clear" w:color="auto" w:fill="FFFFCC"/>
            <w:vAlign w:val="center"/>
          </w:tcPr>
          <w:p w:rsidR="00485094" w:rsidRDefault="00485094" w:rsidP="00453E80">
            <w:pPr>
              <w:jc w:val="center"/>
              <w:rPr>
                <w:rFonts w:ascii="Arial" w:hAnsi="Arial"/>
                <w:sz w:val="18"/>
              </w:rPr>
            </w:pPr>
            <w:r>
              <w:rPr>
                <w:rFonts w:ascii="Arial" w:hAnsi="Arial"/>
                <w:sz w:val="18"/>
              </w:rPr>
              <w:t>Sampleable</w:t>
            </w:r>
          </w:p>
        </w:tc>
        <w:tc>
          <w:tcPr>
            <w:tcW w:w="5372" w:type="dxa"/>
            <w:vAlign w:val="center"/>
          </w:tcPr>
          <w:p w:rsidR="00485094" w:rsidRPr="007A5C16" w:rsidRDefault="00485094" w:rsidP="00453E80">
            <w:pPr>
              <w:pStyle w:val="TableText"/>
              <w:jc w:val="center"/>
            </w:pPr>
            <w:r w:rsidRPr="007A5C16">
              <w:t>Estimate of the number of wells that staff are able to sample during index period</w:t>
            </w:r>
            <w:r w:rsidR="003D799D">
              <w:t>.</w:t>
            </w:r>
          </w:p>
        </w:tc>
      </w:tr>
      <w:tr w:rsidR="00485094" w:rsidTr="00453E80">
        <w:trPr>
          <w:trHeight w:val="432"/>
          <w:jc w:val="center"/>
        </w:trPr>
        <w:tc>
          <w:tcPr>
            <w:tcW w:w="3196" w:type="dxa"/>
            <w:shd w:val="clear" w:color="auto" w:fill="FFFFCC"/>
            <w:vAlign w:val="center"/>
          </w:tcPr>
          <w:p w:rsidR="00485094" w:rsidRDefault="00485094" w:rsidP="00453E80">
            <w:pPr>
              <w:jc w:val="center"/>
              <w:rPr>
                <w:rFonts w:ascii="Arial" w:hAnsi="Arial"/>
                <w:sz w:val="18"/>
              </w:rPr>
            </w:pPr>
            <w:r>
              <w:rPr>
                <w:rFonts w:ascii="Arial" w:hAnsi="Arial"/>
                <w:sz w:val="18"/>
              </w:rPr>
              <w:t>Inaccessible</w:t>
            </w:r>
          </w:p>
        </w:tc>
        <w:tc>
          <w:tcPr>
            <w:tcW w:w="5372" w:type="dxa"/>
            <w:vAlign w:val="center"/>
          </w:tcPr>
          <w:p w:rsidR="00485094" w:rsidRPr="005875B8" w:rsidRDefault="00485094" w:rsidP="00453E80">
            <w:pPr>
              <w:jc w:val="center"/>
              <w:rPr>
                <w:rFonts w:ascii="Arial" w:hAnsi="Arial"/>
                <w:sz w:val="18"/>
                <w:szCs w:val="18"/>
              </w:rPr>
            </w:pPr>
            <w:r w:rsidRPr="005875B8">
              <w:rPr>
                <w:rFonts w:ascii="Arial" w:hAnsi="Arial" w:cs="Arial"/>
                <w:sz w:val="18"/>
                <w:szCs w:val="18"/>
              </w:rPr>
              <w:t>Estimate of the number of wells that</w:t>
            </w:r>
            <w:r w:rsidRPr="005875B8">
              <w:rPr>
                <w:rFonts w:ascii="Arial" w:hAnsi="Arial"/>
                <w:sz w:val="18"/>
                <w:szCs w:val="18"/>
              </w:rPr>
              <w:t xml:space="preserve"> </w:t>
            </w:r>
            <w:r>
              <w:rPr>
                <w:rFonts w:ascii="Arial" w:hAnsi="Arial"/>
                <w:sz w:val="18"/>
                <w:szCs w:val="18"/>
              </w:rPr>
              <w:t>are</w:t>
            </w:r>
            <w:r w:rsidRPr="005875B8">
              <w:rPr>
                <w:rFonts w:ascii="Arial" w:hAnsi="Arial"/>
                <w:sz w:val="18"/>
                <w:szCs w:val="18"/>
              </w:rPr>
              <w:t xml:space="preserve"> inaccessible due to safety concerns and owner denials</w:t>
            </w:r>
            <w:r w:rsidR="003D799D">
              <w:rPr>
                <w:rFonts w:ascii="Arial" w:hAnsi="Arial"/>
                <w:sz w:val="18"/>
                <w:szCs w:val="18"/>
              </w:rPr>
              <w:t>.</w:t>
            </w:r>
          </w:p>
        </w:tc>
      </w:tr>
      <w:tr w:rsidR="00485094" w:rsidTr="00453E80">
        <w:trPr>
          <w:trHeight w:val="432"/>
          <w:jc w:val="center"/>
        </w:trPr>
        <w:tc>
          <w:tcPr>
            <w:tcW w:w="3196" w:type="dxa"/>
            <w:shd w:val="clear" w:color="auto" w:fill="FFFFCC"/>
            <w:vAlign w:val="center"/>
          </w:tcPr>
          <w:p w:rsidR="00485094" w:rsidRDefault="00485094" w:rsidP="00453E80">
            <w:pPr>
              <w:jc w:val="center"/>
              <w:rPr>
                <w:rFonts w:ascii="Arial" w:hAnsi="Arial"/>
                <w:sz w:val="18"/>
              </w:rPr>
            </w:pPr>
            <w:r>
              <w:rPr>
                <w:rFonts w:ascii="Arial" w:hAnsi="Arial"/>
                <w:sz w:val="18"/>
              </w:rPr>
              <w:t>Number of Samples</w:t>
            </w:r>
          </w:p>
        </w:tc>
        <w:tc>
          <w:tcPr>
            <w:tcW w:w="5372" w:type="dxa"/>
            <w:vAlign w:val="center"/>
          </w:tcPr>
          <w:p w:rsidR="00485094" w:rsidRDefault="00485094" w:rsidP="00453E80">
            <w:pPr>
              <w:jc w:val="center"/>
              <w:rPr>
                <w:rFonts w:ascii="Arial" w:hAnsi="Arial"/>
                <w:sz w:val="18"/>
              </w:rPr>
            </w:pPr>
            <w:r>
              <w:rPr>
                <w:rFonts w:ascii="Arial" w:hAnsi="Arial"/>
                <w:sz w:val="18"/>
              </w:rPr>
              <w:t xml:space="preserve">Number of samples used for statistical analysis after qualified data and resource exclusions are eliminated from the data pool. </w:t>
            </w:r>
          </w:p>
        </w:tc>
      </w:tr>
      <w:tr w:rsidR="00485094" w:rsidTr="00453E80">
        <w:trPr>
          <w:trHeight w:val="432"/>
          <w:jc w:val="center"/>
        </w:trPr>
        <w:tc>
          <w:tcPr>
            <w:tcW w:w="3196" w:type="dxa"/>
            <w:shd w:val="clear" w:color="auto" w:fill="FFFFCC"/>
            <w:vAlign w:val="center"/>
          </w:tcPr>
          <w:p w:rsidR="00485094" w:rsidRDefault="00485094" w:rsidP="00453E80">
            <w:pPr>
              <w:jc w:val="center"/>
              <w:rPr>
                <w:rFonts w:ascii="Arial" w:hAnsi="Arial"/>
                <w:sz w:val="18"/>
              </w:rPr>
            </w:pPr>
            <w:r>
              <w:rPr>
                <w:rFonts w:ascii="Arial" w:hAnsi="Arial"/>
                <w:sz w:val="18"/>
              </w:rPr>
              <w:t>% Meeting Threshold</w:t>
            </w:r>
          </w:p>
        </w:tc>
        <w:tc>
          <w:tcPr>
            <w:tcW w:w="5372" w:type="dxa"/>
            <w:vAlign w:val="center"/>
          </w:tcPr>
          <w:p w:rsidR="00485094" w:rsidRDefault="00485094" w:rsidP="00453E80">
            <w:pPr>
              <w:jc w:val="center"/>
              <w:rPr>
                <w:rFonts w:ascii="Arial" w:hAnsi="Arial"/>
                <w:sz w:val="18"/>
              </w:rPr>
            </w:pPr>
            <w:r>
              <w:rPr>
                <w:rFonts w:ascii="Arial" w:hAnsi="Arial"/>
                <w:sz w:val="18"/>
              </w:rPr>
              <w:t>% estimate of resource extent  that meets a specific indicator’s criterion/threshold value</w:t>
            </w:r>
            <w:r w:rsidR="003D799D">
              <w:rPr>
                <w:rFonts w:ascii="Arial" w:hAnsi="Arial"/>
                <w:sz w:val="18"/>
              </w:rPr>
              <w:t>.</w:t>
            </w:r>
          </w:p>
        </w:tc>
      </w:tr>
      <w:tr w:rsidR="00485094" w:rsidTr="00453E80">
        <w:trPr>
          <w:trHeight w:val="432"/>
          <w:jc w:val="center"/>
        </w:trPr>
        <w:tc>
          <w:tcPr>
            <w:tcW w:w="3196" w:type="dxa"/>
            <w:shd w:val="clear" w:color="auto" w:fill="FFFFCC"/>
            <w:vAlign w:val="center"/>
          </w:tcPr>
          <w:p w:rsidR="00485094" w:rsidRDefault="00485094" w:rsidP="00453E80">
            <w:pPr>
              <w:jc w:val="center"/>
              <w:rPr>
                <w:rFonts w:ascii="Arial" w:hAnsi="Arial"/>
                <w:sz w:val="18"/>
              </w:rPr>
            </w:pPr>
            <w:r>
              <w:rPr>
                <w:rFonts w:ascii="Arial" w:hAnsi="Arial"/>
                <w:sz w:val="18"/>
              </w:rPr>
              <w:t xml:space="preserve">95% Confidence Bounds </w:t>
            </w:r>
          </w:p>
          <w:p w:rsidR="00485094" w:rsidRDefault="00485094" w:rsidP="00453E80">
            <w:pPr>
              <w:jc w:val="center"/>
              <w:rPr>
                <w:rFonts w:ascii="Arial" w:hAnsi="Arial"/>
                <w:sz w:val="18"/>
              </w:rPr>
            </w:pPr>
            <w:r>
              <w:rPr>
                <w:rFonts w:ascii="Arial" w:hAnsi="Arial"/>
                <w:sz w:val="18"/>
              </w:rPr>
              <w:t>(% Meeting Threshold)</w:t>
            </w:r>
          </w:p>
        </w:tc>
        <w:tc>
          <w:tcPr>
            <w:tcW w:w="5372" w:type="dxa"/>
            <w:vAlign w:val="center"/>
          </w:tcPr>
          <w:p w:rsidR="00485094" w:rsidRDefault="00485094" w:rsidP="00453E80">
            <w:pPr>
              <w:jc w:val="center"/>
              <w:rPr>
                <w:rFonts w:ascii="Arial" w:hAnsi="Arial"/>
                <w:sz w:val="18"/>
              </w:rPr>
            </w:pPr>
            <w:r>
              <w:rPr>
                <w:rFonts w:ascii="Arial" w:hAnsi="Arial"/>
                <w:sz w:val="18"/>
              </w:rPr>
              <w:t>Upper and lower bounds for 95% confidence of % meeting a specific indicator’s criterion/threshold value</w:t>
            </w:r>
            <w:r w:rsidR="003D799D">
              <w:rPr>
                <w:rFonts w:ascii="Arial" w:hAnsi="Arial"/>
                <w:sz w:val="18"/>
              </w:rPr>
              <w:t>.</w:t>
            </w:r>
          </w:p>
        </w:tc>
      </w:tr>
      <w:tr w:rsidR="00485094" w:rsidTr="00453E80">
        <w:trPr>
          <w:trHeight w:val="432"/>
          <w:jc w:val="center"/>
        </w:trPr>
        <w:tc>
          <w:tcPr>
            <w:tcW w:w="3196" w:type="dxa"/>
            <w:shd w:val="clear" w:color="auto" w:fill="FFFFCC"/>
            <w:vAlign w:val="center"/>
          </w:tcPr>
          <w:p w:rsidR="00485094" w:rsidRDefault="00485094" w:rsidP="00453E80">
            <w:pPr>
              <w:jc w:val="center"/>
              <w:rPr>
                <w:rFonts w:ascii="Arial" w:hAnsi="Arial"/>
                <w:sz w:val="18"/>
              </w:rPr>
            </w:pPr>
            <w:r>
              <w:rPr>
                <w:rFonts w:ascii="Arial" w:hAnsi="Arial"/>
                <w:sz w:val="18"/>
              </w:rPr>
              <w:t>% Not Meeting Threshold</w:t>
            </w:r>
          </w:p>
        </w:tc>
        <w:tc>
          <w:tcPr>
            <w:tcW w:w="5372" w:type="dxa"/>
            <w:vAlign w:val="center"/>
          </w:tcPr>
          <w:p w:rsidR="00485094" w:rsidRDefault="00485094" w:rsidP="00453E80">
            <w:pPr>
              <w:jc w:val="center"/>
              <w:rPr>
                <w:rFonts w:ascii="Arial" w:hAnsi="Arial"/>
                <w:sz w:val="18"/>
              </w:rPr>
            </w:pPr>
            <w:r>
              <w:rPr>
                <w:rFonts w:ascii="Arial" w:hAnsi="Arial"/>
                <w:sz w:val="18"/>
              </w:rPr>
              <w:t>% of estimate of extent of resource that does not meet a specific indicator’s criterion/threshold value</w:t>
            </w:r>
            <w:r w:rsidR="003D799D">
              <w:rPr>
                <w:rFonts w:ascii="Arial" w:hAnsi="Arial"/>
                <w:sz w:val="18"/>
              </w:rPr>
              <w:t>.</w:t>
            </w:r>
          </w:p>
        </w:tc>
      </w:tr>
      <w:tr w:rsidR="00485094" w:rsidTr="00453E80">
        <w:trPr>
          <w:trHeight w:val="432"/>
          <w:jc w:val="center"/>
        </w:trPr>
        <w:tc>
          <w:tcPr>
            <w:tcW w:w="3196" w:type="dxa"/>
            <w:shd w:val="clear" w:color="auto" w:fill="FFFFCC"/>
            <w:vAlign w:val="center"/>
          </w:tcPr>
          <w:p w:rsidR="00485094" w:rsidRDefault="00485094" w:rsidP="00453E80">
            <w:pPr>
              <w:jc w:val="center"/>
              <w:rPr>
                <w:rFonts w:ascii="Arial" w:hAnsi="Arial"/>
                <w:sz w:val="18"/>
              </w:rPr>
            </w:pPr>
            <w:r>
              <w:rPr>
                <w:rFonts w:ascii="Arial" w:hAnsi="Arial"/>
                <w:sz w:val="18"/>
              </w:rPr>
              <w:t>Assessment Period</w:t>
            </w:r>
          </w:p>
        </w:tc>
        <w:tc>
          <w:tcPr>
            <w:tcW w:w="5372" w:type="dxa"/>
            <w:vAlign w:val="center"/>
          </w:tcPr>
          <w:p w:rsidR="00485094" w:rsidRDefault="00485094" w:rsidP="00453E80">
            <w:pPr>
              <w:jc w:val="center"/>
              <w:rPr>
                <w:rFonts w:ascii="Arial" w:hAnsi="Arial"/>
                <w:sz w:val="18"/>
              </w:rPr>
            </w:pPr>
            <w:r>
              <w:rPr>
                <w:rFonts w:ascii="Arial" w:hAnsi="Arial"/>
                <w:sz w:val="18"/>
              </w:rPr>
              <w:t>Duration of probabilistic survey’s sampling event</w:t>
            </w:r>
            <w:r w:rsidR="003D799D">
              <w:rPr>
                <w:rFonts w:ascii="Arial" w:hAnsi="Arial"/>
                <w:sz w:val="18"/>
              </w:rPr>
              <w:t>.</w:t>
            </w:r>
          </w:p>
        </w:tc>
      </w:tr>
    </w:tbl>
    <w:p w:rsidR="00485094" w:rsidRDefault="00485094" w:rsidP="00692F31">
      <w:pPr>
        <w:autoSpaceDE w:val="0"/>
        <w:autoSpaceDN w:val="0"/>
        <w:adjustRightInd w:val="0"/>
        <w:rPr>
          <w:rFonts w:ascii="Arial" w:hAnsi="Arial" w:cs="Arial"/>
          <w:b/>
          <w:i/>
          <w:sz w:val="20"/>
          <w:szCs w:val="20"/>
        </w:rPr>
      </w:pPr>
    </w:p>
    <w:p w:rsidR="00485094" w:rsidRDefault="00485094" w:rsidP="00692F31">
      <w:pPr>
        <w:autoSpaceDE w:val="0"/>
        <w:autoSpaceDN w:val="0"/>
        <w:adjustRightInd w:val="0"/>
        <w:rPr>
          <w:rFonts w:ascii="Arial" w:hAnsi="Arial" w:cs="Arial"/>
          <w:b/>
          <w:i/>
          <w:sz w:val="20"/>
          <w:szCs w:val="20"/>
        </w:rPr>
      </w:pPr>
      <w:r>
        <w:rPr>
          <w:rFonts w:ascii="Arial" w:hAnsi="Arial" w:cs="Arial"/>
          <w:b/>
          <w:i/>
          <w:sz w:val="20"/>
          <w:szCs w:val="20"/>
        </w:rPr>
        <w:br w:type="page"/>
      </w:r>
    </w:p>
    <w:p w:rsidR="00485094" w:rsidRPr="00491133" w:rsidRDefault="00485094" w:rsidP="00692F31">
      <w:pPr>
        <w:pStyle w:val="Caption"/>
        <w:rPr>
          <w:bCs/>
        </w:rPr>
      </w:pPr>
      <w:bookmarkStart w:id="432" w:name="_Toc262464304"/>
      <w:bookmarkStart w:id="433" w:name="_Toc271280156"/>
      <w:r w:rsidRPr="00491133">
        <w:t xml:space="preserve">Figure </w:t>
      </w:r>
      <w:r>
        <w:t>6.11.  Statewide Confined Aquifer Well Locations by Basin</w:t>
      </w:r>
      <w:bookmarkEnd w:id="432"/>
      <w:bookmarkEnd w:id="433"/>
    </w:p>
    <w:p w:rsidR="00485094" w:rsidRDefault="00485094" w:rsidP="00692F31">
      <w:pPr>
        <w:pStyle w:val="Bodytext"/>
        <w:rPr>
          <w:szCs w:val="22"/>
        </w:rPr>
      </w:pPr>
    </w:p>
    <w:p w:rsidR="00485094" w:rsidRDefault="001717CD" w:rsidP="00692F31">
      <w:pPr>
        <w:jc w:val="center"/>
        <w:rPr>
          <w:rFonts w:ascii="Arial" w:hAnsi="Arial" w:cs="Arial"/>
          <w:sz w:val="22"/>
          <w:szCs w:val="22"/>
        </w:rPr>
      </w:pPr>
      <w:r>
        <w:rPr>
          <w:rFonts w:ascii="Arial" w:hAnsi="Arial" w:cs="Arial"/>
          <w:noProof/>
          <w:sz w:val="22"/>
          <w:szCs w:val="22"/>
        </w:rPr>
        <w:drawing>
          <wp:inline distT="0" distB="0" distL="0" distR="0">
            <wp:extent cx="5115560" cy="5891530"/>
            <wp:effectExtent l="19050" t="0" r="8890" b="0"/>
            <wp:docPr id="7" name="Picture 1" descr="Figure 6.11.  Statewide Confined Aquifer Well Locations by Basin.  This is a map of the state of Florida divided into the 29 basins showing the locations where confined aquifer well samples were col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6.11.  Statewide Confined Aquifer Well Locations by Basin"/>
                    <pic:cNvPicPr>
                      <a:picLocks noChangeAspect="1" noChangeArrowheads="1"/>
                    </pic:cNvPicPr>
                  </pic:nvPicPr>
                  <pic:blipFill>
                    <a:blip r:embed="rId92"/>
                    <a:srcRect/>
                    <a:stretch>
                      <a:fillRect/>
                    </a:stretch>
                  </pic:blipFill>
                  <pic:spPr bwMode="auto">
                    <a:xfrm>
                      <a:off x="0" y="0"/>
                      <a:ext cx="5115560" cy="5891530"/>
                    </a:xfrm>
                    <a:prstGeom prst="rect">
                      <a:avLst/>
                    </a:prstGeom>
                    <a:noFill/>
                    <a:ln w="9525">
                      <a:noFill/>
                      <a:miter lim="800000"/>
                      <a:headEnd/>
                      <a:tailEnd/>
                    </a:ln>
                  </pic:spPr>
                </pic:pic>
              </a:graphicData>
            </a:graphic>
          </wp:inline>
        </w:drawing>
      </w:r>
    </w:p>
    <w:p w:rsidR="00485094" w:rsidRDefault="00485094" w:rsidP="00692F31">
      <w:pPr>
        <w:rPr>
          <w:rFonts w:ascii="Arial" w:hAnsi="Arial" w:cs="Arial"/>
          <w:sz w:val="22"/>
          <w:szCs w:val="22"/>
        </w:rPr>
      </w:pPr>
    </w:p>
    <w:p w:rsidR="00485094" w:rsidRDefault="00485094" w:rsidP="00692F31">
      <w:pPr>
        <w:autoSpaceDE w:val="0"/>
        <w:autoSpaceDN w:val="0"/>
        <w:adjustRightInd w:val="0"/>
        <w:rPr>
          <w:rFonts w:ascii="Arial" w:hAnsi="Arial" w:cs="Arial"/>
          <w:b/>
          <w:i/>
          <w:sz w:val="20"/>
          <w:szCs w:val="20"/>
        </w:rPr>
      </w:pPr>
    </w:p>
    <w:p w:rsidR="00485094" w:rsidRDefault="00485094" w:rsidP="00692F31">
      <w:pPr>
        <w:autoSpaceDE w:val="0"/>
        <w:autoSpaceDN w:val="0"/>
        <w:adjustRightInd w:val="0"/>
        <w:rPr>
          <w:rFonts w:ascii="Arial" w:hAnsi="Arial" w:cs="Arial"/>
          <w:b/>
          <w:i/>
          <w:sz w:val="20"/>
          <w:szCs w:val="20"/>
        </w:rPr>
      </w:pPr>
      <w:r>
        <w:rPr>
          <w:rFonts w:ascii="Arial" w:hAnsi="Arial" w:cs="Arial"/>
          <w:b/>
          <w:i/>
          <w:sz w:val="20"/>
          <w:szCs w:val="20"/>
        </w:rPr>
        <w:br w:type="page"/>
      </w:r>
    </w:p>
    <w:p w:rsidR="00485094" w:rsidRDefault="00485094" w:rsidP="00692F31">
      <w:pPr>
        <w:pStyle w:val="Caption"/>
      </w:pPr>
      <w:bookmarkStart w:id="434" w:name="_Toc262464305"/>
      <w:bookmarkStart w:id="435" w:name="_Toc271280157"/>
      <w:r w:rsidRPr="00491133">
        <w:t xml:space="preserve">Figure </w:t>
      </w:r>
      <w:r>
        <w:t>6.12.  Statewide Summary of Confined Aquifer Results</w:t>
      </w:r>
      <w:bookmarkEnd w:id="434"/>
      <w:bookmarkEnd w:id="435"/>
    </w:p>
    <w:p w:rsidR="00485094" w:rsidRDefault="00485094" w:rsidP="00692F31">
      <w:pPr>
        <w:autoSpaceDE w:val="0"/>
        <w:autoSpaceDN w:val="0"/>
        <w:adjustRightInd w:val="0"/>
        <w:rPr>
          <w:rFonts w:ascii="Arial" w:hAnsi="Arial" w:cs="Arial"/>
          <w:b/>
          <w:i/>
          <w:sz w:val="20"/>
          <w:szCs w:val="20"/>
        </w:rPr>
      </w:pPr>
    </w:p>
    <w:p w:rsidR="00485094" w:rsidRDefault="001717CD" w:rsidP="00692F31">
      <w:pPr>
        <w:autoSpaceDE w:val="0"/>
        <w:autoSpaceDN w:val="0"/>
        <w:adjustRightInd w:val="0"/>
        <w:jc w:val="center"/>
        <w:rPr>
          <w:rFonts w:ascii="Arial" w:hAnsi="Arial" w:cs="Arial"/>
          <w:b/>
          <w:i/>
          <w:sz w:val="20"/>
          <w:szCs w:val="20"/>
        </w:rPr>
      </w:pPr>
      <w:r>
        <w:rPr>
          <w:rFonts w:ascii="Arial" w:hAnsi="Arial" w:cs="Arial"/>
          <w:b/>
          <w:i/>
          <w:noProof/>
          <w:sz w:val="20"/>
          <w:szCs w:val="20"/>
        </w:rPr>
        <w:drawing>
          <wp:inline distT="0" distB="0" distL="0" distR="0">
            <wp:extent cx="5365750" cy="5943600"/>
            <wp:effectExtent l="19050" t="0" r="6350" b="0"/>
            <wp:docPr id="8" name="Picture 3" descr="Figure 6.12.  Statewide Summary of Confined Aquifer Results.  This graphic shows statewide results in pie chart format for the confined aquifer indicators.  The results follow in Table 6.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6.12.  Statewide Summary of Confined Aquifer Results."/>
                    <pic:cNvPicPr>
                      <a:picLocks noChangeAspect="1" noChangeArrowheads="1"/>
                    </pic:cNvPicPr>
                  </pic:nvPicPr>
                  <pic:blipFill>
                    <a:blip r:embed="rId93"/>
                    <a:srcRect/>
                    <a:stretch>
                      <a:fillRect/>
                    </a:stretch>
                  </pic:blipFill>
                  <pic:spPr bwMode="auto">
                    <a:xfrm>
                      <a:off x="0" y="0"/>
                      <a:ext cx="5365750" cy="5943600"/>
                    </a:xfrm>
                    <a:prstGeom prst="rect">
                      <a:avLst/>
                    </a:prstGeom>
                    <a:noFill/>
                    <a:ln w="9525">
                      <a:noFill/>
                      <a:miter lim="800000"/>
                      <a:headEnd/>
                      <a:tailEnd/>
                    </a:ln>
                  </pic:spPr>
                </pic:pic>
              </a:graphicData>
            </a:graphic>
          </wp:inline>
        </w:drawing>
      </w:r>
    </w:p>
    <w:p w:rsidR="00485094" w:rsidRDefault="00485094" w:rsidP="00692F31">
      <w:pPr>
        <w:autoSpaceDE w:val="0"/>
        <w:autoSpaceDN w:val="0"/>
        <w:adjustRightInd w:val="0"/>
        <w:rPr>
          <w:rFonts w:ascii="Arial" w:hAnsi="Arial" w:cs="Arial"/>
          <w:b/>
          <w:i/>
          <w:sz w:val="20"/>
          <w:szCs w:val="20"/>
        </w:rPr>
      </w:pPr>
    </w:p>
    <w:p w:rsidR="00485094" w:rsidRDefault="00485094" w:rsidP="00692F31">
      <w:pPr>
        <w:autoSpaceDE w:val="0"/>
        <w:autoSpaceDN w:val="0"/>
        <w:adjustRightInd w:val="0"/>
        <w:rPr>
          <w:rFonts w:ascii="Arial" w:hAnsi="Arial" w:cs="Arial"/>
          <w:b/>
          <w:i/>
          <w:sz w:val="20"/>
          <w:szCs w:val="20"/>
        </w:rPr>
      </w:pPr>
    </w:p>
    <w:p w:rsidR="00485094" w:rsidRDefault="00485094" w:rsidP="00692F31">
      <w:pPr>
        <w:pStyle w:val="Tableheading"/>
        <w:sectPr w:rsidR="00485094" w:rsidSect="003B37D3">
          <w:pgSz w:w="12240" w:h="15840"/>
          <w:pgMar w:top="1440" w:right="1440" w:bottom="1440" w:left="1440" w:header="720" w:footer="720" w:gutter="0"/>
          <w:cols w:space="720"/>
          <w:docGrid w:linePitch="360"/>
        </w:sectPr>
      </w:pPr>
    </w:p>
    <w:p w:rsidR="00485094" w:rsidRPr="00834414" w:rsidRDefault="00485094" w:rsidP="00692F31">
      <w:pPr>
        <w:pStyle w:val="Bodytextreduced"/>
      </w:pPr>
    </w:p>
    <w:p w:rsidR="00485094" w:rsidRDefault="00485094" w:rsidP="00692F31">
      <w:pPr>
        <w:pStyle w:val="Tableheading"/>
      </w:pPr>
      <w:bookmarkStart w:id="436" w:name="_Toc255482838"/>
      <w:bookmarkStart w:id="437" w:name="_Toc255807496"/>
      <w:bookmarkStart w:id="438" w:name="_Toc262464254"/>
      <w:bookmarkStart w:id="439" w:name="_Toc271280101"/>
      <w:r w:rsidRPr="00FD0860">
        <w:t xml:space="preserve">Table </w:t>
      </w:r>
      <w:r>
        <w:t>6.6b.  Statewide Percentage of Confined Aquifers Meeting Threshold Values</w:t>
      </w:r>
      <w:r w:rsidRPr="00FD0860">
        <w:t xml:space="preserve"> </w:t>
      </w:r>
      <w:r>
        <w:t xml:space="preserve">for Indicators </w:t>
      </w:r>
      <w:r w:rsidRPr="00FD0860">
        <w:t xml:space="preserve">Calculated Using </w:t>
      </w:r>
      <w:r>
        <w:t>Probabilistic Monitoring Design</w:t>
      </w:r>
      <w:bookmarkEnd w:id="436"/>
      <w:bookmarkEnd w:id="437"/>
      <w:bookmarkEnd w:id="438"/>
      <w:bookmarkEnd w:id="439"/>
    </w:p>
    <w:p w:rsidR="00485094" w:rsidRDefault="00485094" w:rsidP="00692F31">
      <w:pPr>
        <w:ind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Primary Drinking Water Standards </w:t>
      </w:r>
      <w:r>
        <w:rPr>
          <w:rFonts w:ascii="Arial" w:hAnsi="Arial" w:cs="Arial"/>
          <w:b/>
          <w:sz w:val="18"/>
          <w:szCs w:val="18"/>
        </w:rPr>
        <w:tab/>
      </w:r>
      <w:r>
        <w:rPr>
          <w:rFonts w:ascii="Arial" w:hAnsi="Arial" w:cs="Arial"/>
          <w:b/>
          <w:sz w:val="18"/>
          <w:szCs w:val="18"/>
        </w:rPr>
        <w:tab/>
        <w:t xml:space="preserve">Units:  Number of wells in list frame </w:t>
      </w:r>
    </w:p>
    <w:p w:rsidR="00485094" w:rsidRDefault="00485094" w:rsidP="00692F31">
      <w:pPr>
        <w:pStyle w:val="TabledescriptionBF"/>
      </w:pPr>
      <w:r>
        <w:t>This is a nine-column table.  Column 1 lists the analyte, Column 2 lists the target population, Column 3 lists the sampleable number of wells, Column 4 lists the inaccessible wells, Column 5 lists the number of samples, Column 6 lists the percent meeting the threshold, Column 7 lists the 95% confidence bounds, Column 8 lists the percent not meeting the threshold, and Column 9 lists the assessment period.</w:t>
      </w:r>
    </w:p>
    <w:p w:rsidR="00485094" w:rsidRPr="006C238F" w:rsidRDefault="00485094" w:rsidP="00692F31">
      <w:pPr>
        <w:pStyle w:val="Tableheading"/>
      </w:pPr>
    </w:p>
    <w:p w:rsidR="00485094" w:rsidRPr="006C1FA8" w:rsidRDefault="00485094" w:rsidP="00692F31">
      <w:pPr>
        <w:pStyle w:val="Bodytextreduced"/>
      </w:pPr>
      <w:r w:rsidRPr="006C1FA8">
        <w:rPr>
          <w:vertAlign w:val="superscript"/>
        </w:rPr>
        <w:t xml:space="preserve">1 </w:t>
      </w:r>
      <w:r w:rsidRPr="006C1FA8">
        <w:t>Wells in list frame</w:t>
      </w:r>
    </w:p>
    <w:p w:rsidR="00485094" w:rsidRPr="006C1FA8" w:rsidRDefault="00485094" w:rsidP="00692F31">
      <w:pPr>
        <w:pStyle w:val="Bodytextreduced"/>
      </w:pPr>
      <w:r w:rsidRPr="006C1FA8">
        <w:rPr>
          <w:vertAlign w:val="superscript"/>
        </w:rPr>
        <w:t xml:space="preserve">2 </w:t>
      </w:r>
      <w:r w:rsidRPr="006C1FA8">
        <w:t>Estimated number of wells</w:t>
      </w:r>
    </w:p>
    <w:tbl>
      <w:tblPr>
        <w:tblW w:w="1327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tblPr>
      <w:tblGrid>
        <w:gridCol w:w="2049"/>
        <w:gridCol w:w="1350"/>
        <w:gridCol w:w="1510"/>
        <w:gridCol w:w="1478"/>
        <w:gridCol w:w="1293"/>
        <w:gridCol w:w="1339"/>
        <w:gridCol w:w="1720"/>
        <w:gridCol w:w="1109"/>
        <w:gridCol w:w="1429"/>
      </w:tblGrid>
      <w:tr w:rsidR="00485094" w:rsidRPr="006C238F" w:rsidTr="000F2909">
        <w:trPr>
          <w:trHeight w:val="851"/>
          <w:tblHeader/>
          <w:jc w:val="center"/>
        </w:trPr>
        <w:tc>
          <w:tcPr>
            <w:tcW w:w="2049" w:type="dxa"/>
            <w:tcBorders>
              <w:bottom w:val="double" w:sz="4" w:space="0" w:color="auto"/>
            </w:tcBorders>
            <w:shd w:val="clear" w:color="auto" w:fill="BDFFFF"/>
            <w:vAlign w:val="bottom"/>
          </w:tcPr>
          <w:p w:rsidR="00485094" w:rsidRPr="006C238F" w:rsidRDefault="00485094" w:rsidP="00453E80">
            <w:pPr>
              <w:pStyle w:val="TableText"/>
              <w:jc w:val="center"/>
              <w:rPr>
                <w:b/>
                <w:i/>
                <w:sz w:val="20"/>
              </w:rPr>
            </w:pPr>
            <w:r w:rsidRPr="006C238F">
              <w:rPr>
                <w:b/>
                <w:i/>
                <w:sz w:val="20"/>
              </w:rPr>
              <w:t>Analyte</w:t>
            </w:r>
          </w:p>
        </w:tc>
        <w:tc>
          <w:tcPr>
            <w:tcW w:w="1350" w:type="dxa"/>
            <w:tcBorders>
              <w:bottom w:val="double" w:sz="4" w:space="0" w:color="auto"/>
            </w:tcBorders>
            <w:shd w:val="clear" w:color="auto" w:fill="BDFFFF"/>
            <w:vAlign w:val="bottom"/>
          </w:tcPr>
          <w:p w:rsidR="00485094" w:rsidRPr="006C238F" w:rsidRDefault="00485094" w:rsidP="00453E80">
            <w:pPr>
              <w:pStyle w:val="TableText"/>
              <w:jc w:val="center"/>
              <w:rPr>
                <w:b/>
                <w:i/>
                <w:sz w:val="20"/>
              </w:rPr>
            </w:pPr>
            <w:r w:rsidRPr="006C238F">
              <w:rPr>
                <w:b/>
                <w:i/>
                <w:sz w:val="20"/>
              </w:rPr>
              <w:t>Target Population</w:t>
            </w:r>
            <w:r w:rsidRPr="006C238F">
              <w:rPr>
                <w:b/>
                <w:i/>
                <w:sz w:val="20"/>
                <w:vertAlign w:val="superscript"/>
              </w:rPr>
              <w:t>1</w:t>
            </w:r>
          </w:p>
        </w:tc>
        <w:tc>
          <w:tcPr>
            <w:tcW w:w="1510" w:type="dxa"/>
            <w:tcBorders>
              <w:bottom w:val="double" w:sz="4" w:space="0" w:color="auto"/>
            </w:tcBorders>
            <w:shd w:val="clear" w:color="auto" w:fill="BDFFFF"/>
            <w:vAlign w:val="bottom"/>
          </w:tcPr>
          <w:p w:rsidR="00485094" w:rsidRPr="006C238F" w:rsidRDefault="00485094" w:rsidP="00453E80">
            <w:pPr>
              <w:pStyle w:val="TableText"/>
              <w:jc w:val="center"/>
              <w:rPr>
                <w:b/>
                <w:i/>
                <w:sz w:val="20"/>
              </w:rPr>
            </w:pPr>
            <w:r w:rsidRPr="006C238F">
              <w:rPr>
                <w:b/>
                <w:i/>
                <w:sz w:val="20"/>
              </w:rPr>
              <w:t>Sampleabl</w:t>
            </w:r>
            <w:r>
              <w:rPr>
                <w:b/>
                <w:i/>
                <w:sz w:val="20"/>
              </w:rPr>
              <w:t>e</w:t>
            </w:r>
            <w:r w:rsidRPr="006C238F">
              <w:rPr>
                <w:b/>
                <w:i/>
                <w:sz w:val="20"/>
                <w:vertAlign w:val="superscript"/>
              </w:rPr>
              <w:t>2</w:t>
            </w:r>
          </w:p>
        </w:tc>
        <w:tc>
          <w:tcPr>
            <w:tcW w:w="1478" w:type="dxa"/>
            <w:tcBorders>
              <w:bottom w:val="double" w:sz="4" w:space="0" w:color="auto"/>
            </w:tcBorders>
            <w:shd w:val="clear" w:color="auto" w:fill="BDFFFF"/>
            <w:vAlign w:val="bottom"/>
          </w:tcPr>
          <w:p w:rsidR="00485094" w:rsidRPr="006C238F" w:rsidRDefault="00485094" w:rsidP="00453E80">
            <w:pPr>
              <w:pStyle w:val="TableText"/>
              <w:jc w:val="center"/>
              <w:rPr>
                <w:b/>
                <w:i/>
                <w:sz w:val="20"/>
              </w:rPr>
            </w:pPr>
            <w:r w:rsidRPr="006C238F">
              <w:rPr>
                <w:b/>
                <w:i/>
                <w:sz w:val="20"/>
              </w:rPr>
              <w:t>Inaccessible</w:t>
            </w:r>
            <w:r w:rsidRPr="006C238F">
              <w:rPr>
                <w:b/>
                <w:i/>
                <w:sz w:val="20"/>
                <w:vertAlign w:val="superscript"/>
              </w:rPr>
              <w:t>2</w:t>
            </w:r>
          </w:p>
        </w:tc>
        <w:tc>
          <w:tcPr>
            <w:tcW w:w="1293" w:type="dxa"/>
            <w:tcBorders>
              <w:bottom w:val="double" w:sz="4" w:space="0" w:color="auto"/>
            </w:tcBorders>
            <w:shd w:val="clear" w:color="auto" w:fill="BDFFFF"/>
            <w:vAlign w:val="bottom"/>
          </w:tcPr>
          <w:p w:rsidR="00485094" w:rsidRPr="006C238F" w:rsidRDefault="00485094" w:rsidP="00453E80">
            <w:pPr>
              <w:pStyle w:val="TableText"/>
              <w:jc w:val="center"/>
              <w:rPr>
                <w:b/>
                <w:i/>
                <w:sz w:val="20"/>
              </w:rPr>
            </w:pPr>
            <w:r w:rsidRPr="006C238F">
              <w:rPr>
                <w:b/>
                <w:i/>
                <w:sz w:val="20"/>
              </w:rPr>
              <w:t>Number of Samples</w:t>
            </w:r>
          </w:p>
        </w:tc>
        <w:tc>
          <w:tcPr>
            <w:tcW w:w="1339" w:type="dxa"/>
            <w:tcBorders>
              <w:bottom w:val="double" w:sz="4" w:space="0" w:color="auto"/>
            </w:tcBorders>
            <w:shd w:val="clear" w:color="auto" w:fill="BDFFFF"/>
            <w:vAlign w:val="bottom"/>
          </w:tcPr>
          <w:p w:rsidR="00485094" w:rsidRPr="006C238F" w:rsidRDefault="00485094" w:rsidP="00453E80">
            <w:pPr>
              <w:pStyle w:val="TableText"/>
              <w:jc w:val="center"/>
              <w:rPr>
                <w:b/>
                <w:i/>
                <w:sz w:val="20"/>
              </w:rPr>
            </w:pPr>
            <w:r w:rsidRPr="006C238F">
              <w:rPr>
                <w:b/>
                <w:i/>
                <w:sz w:val="20"/>
              </w:rPr>
              <w:t>% Meeting</w:t>
            </w:r>
          </w:p>
        </w:tc>
        <w:tc>
          <w:tcPr>
            <w:tcW w:w="1720" w:type="dxa"/>
            <w:tcBorders>
              <w:bottom w:val="double" w:sz="4" w:space="0" w:color="auto"/>
            </w:tcBorders>
            <w:shd w:val="clear" w:color="auto" w:fill="BDFFFF"/>
            <w:vAlign w:val="bottom"/>
          </w:tcPr>
          <w:p w:rsidR="00485094" w:rsidRPr="006C238F" w:rsidRDefault="00485094" w:rsidP="00453E80">
            <w:pPr>
              <w:pStyle w:val="TableText"/>
              <w:jc w:val="center"/>
              <w:rPr>
                <w:b/>
                <w:i/>
                <w:sz w:val="20"/>
              </w:rPr>
            </w:pPr>
            <w:r w:rsidRPr="006C238F">
              <w:rPr>
                <w:b/>
                <w:i/>
                <w:sz w:val="20"/>
              </w:rPr>
              <w:t>95%</w:t>
            </w:r>
          </w:p>
          <w:p w:rsidR="00485094" w:rsidRPr="006C238F" w:rsidRDefault="00485094" w:rsidP="00453E80">
            <w:pPr>
              <w:pStyle w:val="TableText"/>
              <w:jc w:val="center"/>
              <w:rPr>
                <w:b/>
                <w:i/>
                <w:sz w:val="20"/>
              </w:rPr>
            </w:pPr>
            <w:r w:rsidRPr="006C238F">
              <w:rPr>
                <w:b/>
                <w:i/>
                <w:sz w:val="20"/>
              </w:rPr>
              <w:t>Confidence Bounds</w:t>
            </w:r>
          </w:p>
          <w:p w:rsidR="00485094" w:rsidRPr="006C238F" w:rsidRDefault="00485094" w:rsidP="00453E80">
            <w:pPr>
              <w:pStyle w:val="TableText"/>
              <w:jc w:val="center"/>
              <w:rPr>
                <w:b/>
                <w:i/>
                <w:sz w:val="20"/>
              </w:rPr>
            </w:pPr>
            <w:r w:rsidRPr="006C238F">
              <w:rPr>
                <w:b/>
                <w:i/>
                <w:sz w:val="20"/>
              </w:rPr>
              <w:t>(% Meeting)</w:t>
            </w:r>
          </w:p>
        </w:tc>
        <w:tc>
          <w:tcPr>
            <w:tcW w:w="1109" w:type="dxa"/>
            <w:tcBorders>
              <w:bottom w:val="double" w:sz="4" w:space="0" w:color="auto"/>
            </w:tcBorders>
            <w:shd w:val="clear" w:color="auto" w:fill="BDFFFF"/>
            <w:vAlign w:val="bottom"/>
          </w:tcPr>
          <w:p w:rsidR="00485094" w:rsidRPr="006C238F" w:rsidRDefault="00485094" w:rsidP="00453E80">
            <w:pPr>
              <w:pStyle w:val="TableText"/>
              <w:jc w:val="center"/>
              <w:rPr>
                <w:b/>
                <w:i/>
                <w:sz w:val="20"/>
              </w:rPr>
            </w:pPr>
            <w:r w:rsidRPr="006C238F">
              <w:rPr>
                <w:b/>
                <w:i/>
                <w:sz w:val="20"/>
              </w:rPr>
              <w:t>% Not Meeting</w:t>
            </w:r>
          </w:p>
        </w:tc>
        <w:tc>
          <w:tcPr>
            <w:tcW w:w="1429" w:type="dxa"/>
            <w:tcBorders>
              <w:bottom w:val="double" w:sz="4" w:space="0" w:color="auto"/>
            </w:tcBorders>
            <w:shd w:val="clear" w:color="auto" w:fill="BDFFFF"/>
            <w:vAlign w:val="bottom"/>
          </w:tcPr>
          <w:p w:rsidR="00485094" w:rsidRPr="006C238F" w:rsidRDefault="00485094" w:rsidP="00453E80">
            <w:pPr>
              <w:pStyle w:val="TableText"/>
              <w:jc w:val="center"/>
              <w:rPr>
                <w:b/>
                <w:i/>
                <w:sz w:val="20"/>
              </w:rPr>
            </w:pPr>
            <w:r w:rsidRPr="006C238F">
              <w:rPr>
                <w:b/>
                <w:i/>
                <w:sz w:val="20"/>
              </w:rPr>
              <w:t>Assessment Period</w:t>
            </w:r>
          </w:p>
        </w:tc>
      </w:tr>
      <w:tr w:rsidR="00485094" w:rsidRPr="006C238F" w:rsidTr="00453E80">
        <w:trPr>
          <w:cantSplit/>
          <w:trHeight w:val="288"/>
          <w:jc w:val="center"/>
        </w:trPr>
        <w:tc>
          <w:tcPr>
            <w:tcW w:w="2049" w:type="dxa"/>
            <w:tcBorders>
              <w:top w:val="double" w:sz="4" w:space="0" w:color="auto"/>
            </w:tcBorders>
            <w:vAlign w:val="center"/>
          </w:tcPr>
          <w:p w:rsidR="00485094" w:rsidRPr="006C238F" w:rsidRDefault="00485094" w:rsidP="00453E80">
            <w:pPr>
              <w:pStyle w:val="TableText"/>
              <w:jc w:val="center"/>
              <w:rPr>
                <w:sz w:val="20"/>
              </w:rPr>
            </w:pPr>
            <w:r w:rsidRPr="006C238F">
              <w:rPr>
                <w:sz w:val="20"/>
              </w:rPr>
              <w:t>Arsenic</w:t>
            </w:r>
          </w:p>
        </w:tc>
        <w:tc>
          <w:tcPr>
            <w:tcW w:w="1350" w:type="dxa"/>
            <w:tcBorders>
              <w:top w:val="double" w:sz="4" w:space="0" w:color="auto"/>
            </w:tcBorders>
            <w:vAlign w:val="center"/>
          </w:tcPr>
          <w:p w:rsidR="00485094" w:rsidRPr="006C238F" w:rsidRDefault="00485094" w:rsidP="00453E80">
            <w:pPr>
              <w:pStyle w:val="TableText"/>
              <w:jc w:val="center"/>
              <w:rPr>
                <w:sz w:val="20"/>
              </w:rPr>
            </w:pPr>
            <w:r w:rsidRPr="006C238F">
              <w:rPr>
                <w:sz w:val="20"/>
              </w:rPr>
              <w:t>6</w:t>
            </w:r>
            <w:r>
              <w:rPr>
                <w:sz w:val="20"/>
              </w:rPr>
              <w:t>,</w:t>
            </w:r>
            <w:r w:rsidRPr="006C238F">
              <w:rPr>
                <w:sz w:val="20"/>
              </w:rPr>
              <w:t>355</w:t>
            </w:r>
          </w:p>
        </w:tc>
        <w:tc>
          <w:tcPr>
            <w:tcW w:w="1510" w:type="dxa"/>
            <w:tcBorders>
              <w:top w:val="double" w:sz="4" w:space="0" w:color="auto"/>
            </w:tcBorders>
            <w:vAlign w:val="center"/>
          </w:tcPr>
          <w:p w:rsidR="00485094" w:rsidRPr="006C238F" w:rsidRDefault="00485094" w:rsidP="00453E80">
            <w:pPr>
              <w:pStyle w:val="TableText"/>
              <w:jc w:val="center"/>
              <w:rPr>
                <w:sz w:val="20"/>
              </w:rPr>
            </w:pPr>
            <w:r w:rsidRPr="006C238F">
              <w:rPr>
                <w:sz w:val="20"/>
              </w:rPr>
              <w:t>3</w:t>
            </w:r>
            <w:r>
              <w:rPr>
                <w:sz w:val="20"/>
              </w:rPr>
              <w:t>,</w:t>
            </w:r>
            <w:r w:rsidRPr="006C238F">
              <w:rPr>
                <w:sz w:val="20"/>
              </w:rPr>
              <w:t>439</w:t>
            </w:r>
          </w:p>
        </w:tc>
        <w:tc>
          <w:tcPr>
            <w:tcW w:w="1478" w:type="dxa"/>
            <w:tcBorders>
              <w:top w:val="double" w:sz="4" w:space="0" w:color="auto"/>
            </w:tcBorders>
            <w:vAlign w:val="center"/>
          </w:tcPr>
          <w:p w:rsidR="00485094" w:rsidRPr="006C238F" w:rsidRDefault="00485094" w:rsidP="00453E80">
            <w:pPr>
              <w:pStyle w:val="TableText"/>
              <w:jc w:val="center"/>
              <w:rPr>
                <w:sz w:val="20"/>
              </w:rPr>
            </w:pPr>
            <w:r w:rsidRPr="006C238F">
              <w:rPr>
                <w:sz w:val="20"/>
              </w:rPr>
              <w:t>2</w:t>
            </w:r>
            <w:r>
              <w:rPr>
                <w:sz w:val="20"/>
              </w:rPr>
              <w:t>,</w:t>
            </w:r>
            <w:r w:rsidRPr="006C238F">
              <w:rPr>
                <w:sz w:val="20"/>
              </w:rPr>
              <w:t>916</w:t>
            </w:r>
          </w:p>
        </w:tc>
        <w:tc>
          <w:tcPr>
            <w:tcW w:w="1293" w:type="dxa"/>
            <w:tcBorders>
              <w:top w:val="double" w:sz="4" w:space="0" w:color="auto"/>
            </w:tcBorders>
            <w:vAlign w:val="center"/>
          </w:tcPr>
          <w:p w:rsidR="00485094" w:rsidRPr="006C238F" w:rsidRDefault="00485094" w:rsidP="00453E80">
            <w:pPr>
              <w:pStyle w:val="TableText"/>
              <w:jc w:val="center"/>
              <w:rPr>
                <w:sz w:val="20"/>
              </w:rPr>
            </w:pPr>
            <w:r w:rsidRPr="006C238F">
              <w:rPr>
                <w:sz w:val="20"/>
              </w:rPr>
              <w:t>608</w:t>
            </w:r>
          </w:p>
        </w:tc>
        <w:tc>
          <w:tcPr>
            <w:tcW w:w="1339" w:type="dxa"/>
            <w:tcBorders>
              <w:top w:val="double" w:sz="4" w:space="0" w:color="auto"/>
            </w:tcBorders>
            <w:vAlign w:val="center"/>
          </w:tcPr>
          <w:p w:rsidR="00485094" w:rsidRPr="006C238F" w:rsidRDefault="00485094" w:rsidP="00453E80">
            <w:pPr>
              <w:pStyle w:val="TableText"/>
              <w:jc w:val="center"/>
              <w:rPr>
                <w:sz w:val="20"/>
              </w:rPr>
            </w:pPr>
            <w:r w:rsidRPr="006C238F">
              <w:rPr>
                <w:sz w:val="20"/>
              </w:rPr>
              <w:t>98.5</w:t>
            </w:r>
          </w:p>
        </w:tc>
        <w:tc>
          <w:tcPr>
            <w:tcW w:w="1720" w:type="dxa"/>
            <w:tcBorders>
              <w:top w:val="double" w:sz="4" w:space="0" w:color="auto"/>
            </w:tcBorders>
            <w:vAlign w:val="center"/>
          </w:tcPr>
          <w:p w:rsidR="00485094" w:rsidRPr="006C238F" w:rsidRDefault="00485094" w:rsidP="00453E80">
            <w:pPr>
              <w:pStyle w:val="TableText"/>
              <w:jc w:val="center"/>
              <w:rPr>
                <w:sz w:val="20"/>
              </w:rPr>
            </w:pPr>
            <w:r w:rsidRPr="006C238F">
              <w:rPr>
                <w:sz w:val="20"/>
              </w:rPr>
              <w:t>96.9-100.0</w:t>
            </w:r>
          </w:p>
        </w:tc>
        <w:tc>
          <w:tcPr>
            <w:tcW w:w="1109" w:type="dxa"/>
            <w:tcBorders>
              <w:top w:val="double" w:sz="4" w:space="0" w:color="auto"/>
            </w:tcBorders>
            <w:vAlign w:val="center"/>
          </w:tcPr>
          <w:p w:rsidR="00485094" w:rsidRPr="006C238F" w:rsidRDefault="00485094" w:rsidP="00453E80">
            <w:pPr>
              <w:pStyle w:val="TableText"/>
              <w:jc w:val="center"/>
              <w:rPr>
                <w:sz w:val="20"/>
              </w:rPr>
            </w:pPr>
            <w:r w:rsidRPr="006C238F">
              <w:rPr>
                <w:sz w:val="20"/>
              </w:rPr>
              <w:t>1.5</w:t>
            </w:r>
          </w:p>
        </w:tc>
        <w:tc>
          <w:tcPr>
            <w:tcW w:w="1429" w:type="dxa"/>
            <w:tcBorders>
              <w:top w:val="double" w:sz="4" w:space="0" w:color="auto"/>
            </w:tcBorders>
            <w:vAlign w:val="center"/>
          </w:tcPr>
          <w:p w:rsidR="00485094" w:rsidRPr="006C238F" w:rsidRDefault="00485094" w:rsidP="00453E80">
            <w:pPr>
              <w:pStyle w:val="TableText"/>
              <w:jc w:val="center"/>
              <w:rPr>
                <w:sz w:val="20"/>
              </w:rPr>
            </w:pPr>
            <w:r w:rsidRPr="006C238F">
              <w:rPr>
                <w:sz w:val="20"/>
              </w:rPr>
              <w:t>2004-08</w:t>
            </w:r>
          </w:p>
        </w:tc>
      </w:tr>
      <w:tr w:rsidR="00485094" w:rsidRPr="006C238F" w:rsidTr="00453E80">
        <w:trPr>
          <w:cantSplit/>
          <w:trHeight w:val="288"/>
          <w:jc w:val="center"/>
        </w:trPr>
        <w:tc>
          <w:tcPr>
            <w:tcW w:w="2049" w:type="dxa"/>
            <w:shd w:val="clear" w:color="auto" w:fill="FFFFCC"/>
            <w:vAlign w:val="center"/>
          </w:tcPr>
          <w:p w:rsidR="00485094" w:rsidRPr="006C238F" w:rsidRDefault="00485094" w:rsidP="00453E80">
            <w:pPr>
              <w:pStyle w:val="TableText"/>
              <w:jc w:val="center"/>
              <w:rPr>
                <w:sz w:val="20"/>
              </w:rPr>
            </w:pPr>
            <w:r w:rsidRPr="006C238F">
              <w:rPr>
                <w:sz w:val="20"/>
              </w:rPr>
              <w:t>Cadmium</w:t>
            </w:r>
          </w:p>
        </w:tc>
        <w:tc>
          <w:tcPr>
            <w:tcW w:w="1350" w:type="dxa"/>
            <w:shd w:val="clear" w:color="auto" w:fill="FFFFCC"/>
            <w:vAlign w:val="center"/>
          </w:tcPr>
          <w:p w:rsidR="00485094" w:rsidRPr="006C238F" w:rsidRDefault="00485094" w:rsidP="00453E80">
            <w:pPr>
              <w:pStyle w:val="TableText"/>
              <w:jc w:val="center"/>
              <w:rPr>
                <w:sz w:val="20"/>
              </w:rPr>
            </w:pPr>
            <w:r w:rsidRPr="006C238F">
              <w:rPr>
                <w:sz w:val="20"/>
              </w:rPr>
              <w:t>6</w:t>
            </w:r>
            <w:r>
              <w:rPr>
                <w:sz w:val="20"/>
              </w:rPr>
              <w:t>,</w:t>
            </w:r>
            <w:r w:rsidRPr="006C238F">
              <w:rPr>
                <w:sz w:val="20"/>
              </w:rPr>
              <w:t>355</w:t>
            </w:r>
          </w:p>
        </w:tc>
        <w:tc>
          <w:tcPr>
            <w:tcW w:w="1510" w:type="dxa"/>
            <w:shd w:val="clear" w:color="auto" w:fill="FFFFCC"/>
            <w:vAlign w:val="center"/>
          </w:tcPr>
          <w:p w:rsidR="00485094" w:rsidRPr="006C238F" w:rsidRDefault="00485094" w:rsidP="00453E80">
            <w:pPr>
              <w:pStyle w:val="TableText"/>
              <w:jc w:val="center"/>
              <w:rPr>
                <w:sz w:val="20"/>
              </w:rPr>
            </w:pPr>
            <w:r w:rsidRPr="006C238F">
              <w:rPr>
                <w:sz w:val="20"/>
              </w:rPr>
              <w:t>3</w:t>
            </w:r>
            <w:r>
              <w:rPr>
                <w:sz w:val="20"/>
              </w:rPr>
              <w:t>,</w:t>
            </w:r>
            <w:r w:rsidRPr="006C238F">
              <w:rPr>
                <w:sz w:val="20"/>
              </w:rPr>
              <w:t>439</w:t>
            </w:r>
          </w:p>
        </w:tc>
        <w:tc>
          <w:tcPr>
            <w:tcW w:w="1478" w:type="dxa"/>
            <w:shd w:val="clear" w:color="auto" w:fill="FFFFCC"/>
            <w:vAlign w:val="center"/>
          </w:tcPr>
          <w:p w:rsidR="00485094" w:rsidRPr="006C238F" w:rsidRDefault="00485094" w:rsidP="00453E80">
            <w:pPr>
              <w:pStyle w:val="TableText"/>
              <w:jc w:val="center"/>
              <w:rPr>
                <w:sz w:val="20"/>
              </w:rPr>
            </w:pPr>
            <w:r w:rsidRPr="006C238F">
              <w:rPr>
                <w:sz w:val="20"/>
              </w:rPr>
              <w:t>2</w:t>
            </w:r>
            <w:r>
              <w:rPr>
                <w:sz w:val="20"/>
              </w:rPr>
              <w:t>,</w:t>
            </w:r>
            <w:r w:rsidRPr="006C238F">
              <w:rPr>
                <w:sz w:val="20"/>
              </w:rPr>
              <w:t>916</w:t>
            </w:r>
          </w:p>
        </w:tc>
        <w:tc>
          <w:tcPr>
            <w:tcW w:w="1293" w:type="dxa"/>
            <w:shd w:val="clear" w:color="auto" w:fill="FFFFCC"/>
            <w:vAlign w:val="center"/>
          </w:tcPr>
          <w:p w:rsidR="00485094" w:rsidRPr="006C238F" w:rsidRDefault="00485094" w:rsidP="00453E80">
            <w:pPr>
              <w:pStyle w:val="TableText"/>
              <w:jc w:val="center"/>
              <w:rPr>
                <w:sz w:val="20"/>
              </w:rPr>
            </w:pPr>
            <w:r w:rsidRPr="006C238F">
              <w:rPr>
                <w:sz w:val="20"/>
              </w:rPr>
              <w:t>628</w:t>
            </w:r>
          </w:p>
        </w:tc>
        <w:tc>
          <w:tcPr>
            <w:tcW w:w="1339" w:type="dxa"/>
            <w:shd w:val="clear" w:color="auto" w:fill="FFFFCC"/>
            <w:vAlign w:val="center"/>
          </w:tcPr>
          <w:p w:rsidR="00485094" w:rsidRPr="006C238F" w:rsidRDefault="00485094" w:rsidP="00453E80">
            <w:pPr>
              <w:pStyle w:val="TableText"/>
              <w:jc w:val="center"/>
              <w:rPr>
                <w:sz w:val="20"/>
              </w:rPr>
            </w:pPr>
            <w:r w:rsidRPr="006C238F">
              <w:rPr>
                <w:sz w:val="20"/>
              </w:rPr>
              <w:t>100.0</w:t>
            </w:r>
          </w:p>
        </w:tc>
        <w:tc>
          <w:tcPr>
            <w:tcW w:w="1720" w:type="dxa"/>
            <w:shd w:val="clear" w:color="auto" w:fill="FFFFCC"/>
            <w:vAlign w:val="center"/>
          </w:tcPr>
          <w:p w:rsidR="00485094" w:rsidRPr="006C238F" w:rsidRDefault="00485094" w:rsidP="00453E80">
            <w:pPr>
              <w:pStyle w:val="TableText"/>
              <w:jc w:val="center"/>
              <w:rPr>
                <w:sz w:val="20"/>
              </w:rPr>
            </w:pPr>
            <w:r w:rsidRPr="006C238F">
              <w:rPr>
                <w:sz w:val="20"/>
              </w:rPr>
              <w:t>100.0</w:t>
            </w:r>
          </w:p>
        </w:tc>
        <w:tc>
          <w:tcPr>
            <w:tcW w:w="1109" w:type="dxa"/>
            <w:shd w:val="clear" w:color="auto" w:fill="FFFFCC"/>
            <w:vAlign w:val="center"/>
          </w:tcPr>
          <w:p w:rsidR="00485094" w:rsidRPr="006C238F" w:rsidRDefault="00485094" w:rsidP="00453E80">
            <w:pPr>
              <w:pStyle w:val="TableText"/>
              <w:jc w:val="center"/>
              <w:rPr>
                <w:sz w:val="20"/>
              </w:rPr>
            </w:pPr>
            <w:r w:rsidRPr="006C238F">
              <w:rPr>
                <w:sz w:val="20"/>
              </w:rPr>
              <w:t>0.0</w:t>
            </w:r>
          </w:p>
        </w:tc>
        <w:tc>
          <w:tcPr>
            <w:tcW w:w="1429" w:type="dxa"/>
            <w:shd w:val="clear" w:color="auto" w:fill="FFFFCC"/>
            <w:vAlign w:val="center"/>
          </w:tcPr>
          <w:p w:rsidR="00485094" w:rsidRPr="006C238F" w:rsidRDefault="00485094" w:rsidP="00453E80">
            <w:pPr>
              <w:pStyle w:val="TableText"/>
              <w:jc w:val="center"/>
              <w:rPr>
                <w:sz w:val="20"/>
              </w:rPr>
            </w:pPr>
            <w:r w:rsidRPr="006C238F">
              <w:rPr>
                <w:sz w:val="20"/>
              </w:rPr>
              <w:t>2004-08</w:t>
            </w:r>
          </w:p>
        </w:tc>
      </w:tr>
      <w:tr w:rsidR="00485094" w:rsidRPr="006C238F" w:rsidTr="00453E80">
        <w:trPr>
          <w:cantSplit/>
          <w:trHeight w:val="288"/>
          <w:jc w:val="center"/>
        </w:trPr>
        <w:tc>
          <w:tcPr>
            <w:tcW w:w="2049" w:type="dxa"/>
            <w:vAlign w:val="center"/>
          </w:tcPr>
          <w:p w:rsidR="00485094" w:rsidRPr="006C238F" w:rsidRDefault="00485094" w:rsidP="00453E80">
            <w:pPr>
              <w:pStyle w:val="TableText"/>
              <w:jc w:val="center"/>
              <w:rPr>
                <w:sz w:val="20"/>
              </w:rPr>
            </w:pPr>
            <w:r w:rsidRPr="006C238F">
              <w:rPr>
                <w:sz w:val="20"/>
              </w:rPr>
              <w:t>Chromium</w:t>
            </w:r>
          </w:p>
        </w:tc>
        <w:tc>
          <w:tcPr>
            <w:tcW w:w="1350" w:type="dxa"/>
            <w:vAlign w:val="center"/>
          </w:tcPr>
          <w:p w:rsidR="00485094" w:rsidRPr="006C238F" w:rsidRDefault="00485094" w:rsidP="00453E80">
            <w:pPr>
              <w:pStyle w:val="TableText"/>
              <w:jc w:val="center"/>
              <w:rPr>
                <w:sz w:val="20"/>
              </w:rPr>
            </w:pPr>
            <w:r w:rsidRPr="006C238F">
              <w:rPr>
                <w:sz w:val="20"/>
              </w:rPr>
              <w:t>6</w:t>
            </w:r>
            <w:r>
              <w:rPr>
                <w:sz w:val="20"/>
              </w:rPr>
              <w:t>,</w:t>
            </w:r>
            <w:r w:rsidRPr="006C238F">
              <w:rPr>
                <w:sz w:val="20"/>
              </w:rPr>
              <w:t>355</w:t>
            </w:r>
          </w:p>
        </w:tc>
        <w:tc>
          <w:tcPr>
            <w:tcW w:w="1510" w:type="dxa"/>
            <w:vAlign w:val="center"/>
          </w:tcPr>
          <w:p w:rsidR="00485094" w:rsidRPr="006C238F" w:rsidRDefault="00485094" w:rsidP="00453E80">
            <w:pPr>
              <w:pStyle w:val="TableText"/>
              <w:jc w:val="center"/>
              <w:rPr>
                <w:sz w:val="20"/>
              </w:rPr>
            </w:pPr>
            <w:r w:rsidRPr="006C238F">
              <w:rPr>
                <w:sz w:val="20"/>
              </w:rPr>
              <w:t>3</w:t>
            </w:r>
            <w:r>
              <w:rPr>
                <w:sz w:val="20"/>
              </w:rPr>
              <w:t>,</w:t>
            </w:r>
            <w:r w:rsidRPr="006C238F">
              <w:rPr>
                <w:sz w:val="20"/>
              </w:rPr>
              <w:t>439</w:t>
            </w:r>
          </w:p>
        </w:tc>
        <w:tc>
          <w:tcPr>
            <w:tcW w:w="1478" w:type="dxa"/>
            <w:vAlign w:val="center"/>
          </w:tcPr>
          <w:p w:rsidR="00485094" w:rsidRPr="006C238F" w:rsidRDefault="00485094" w:rsidP="00453E80">
            <w:pPr>
              <w:pStyle w:val="TableText"/>
              <w:jc w:val="center"/>
              <w:rPr>
                <w:sz w:val="20"/>
              </w:rPr>
            </w:pPr>
            <w:r w:rsidRPr="006C238F">
              <w:rPr>
                <w:sz w:val="20"/>
              </w:rPr>
              <w:t>2</w:t>
            </w:r>
            <w:r>
              <w:rPr>
                <w:sz w:val="20"/>
              </w:rPr>
              <w:t>,</w:t>
            </w:r>
            <w:r w:rsidRPr="006C238F">
              <w:rPr>
                <w:sz w:val="20"/>
              </w:rPr>
              <w:t>916</w:t>
            </w:r>
          </w:p>
        </w:tc>
        <w:tc>
          <w:tcPr>
            <w:tcW w:w="1293" w:type="dxa"/>
            <w:vAlign w:val="center"/>
          </w:tcPr>
          <w:p w:rsidR="00485094" w:rsidRPr="006C238F" w:rsidRDefault="00485094" w:rsidP="00453E80">
            <w:pPr>
              <w:pStyle w:val="TableText"/>
              <w:jc w:val="center"/>
              <w:rPr>
                <w:sz w:val="20"/>
              </w:rPr>
            </w:pPr>
            <w:r w:rsidRPr="006C238F">
              <w:rPr>
                <w:sz w:val="20"/>
              </w:rPr>
              <w:t>628</w:t>
            </w:r>
          </w:p>
        </w:tc>
        <w:tc>
          <w:tcPr>
            <w:tcW w:w="1339" w:type="dxa"/>
            <w:vAlign w:val="center"/>
          </w:tcPr>
          <w:p w:rsidR="00485094" w:rsidRPr="006C238F" w:rsidRDefault="00485094" w:rsidP="00453E80">
            <w:pPr>
              <w:pStyle w:val="TableText"/>
              <w:jc w:val="center"/>
              <w:rPr>
                <w:sz w:val="20"/>
              </w:rPr>
            </w:pPr>
            <w:r w:rsidRPr="006C238F">
              <w:rPr>
                <w:sz w:val="20"/>
              </w:rPr>
              <w:t>100.0</w:t>
            </w:r>
          </w:p>
        </w:tc>
        <w:tc>
          <w:tcPr>
            <w:tcW w:w="1720" w:type="dxa"/>
            <w:vAlign w:val="center"/>
          </w:tcPr>
          <w:p w:rsidR="00485094" w:rsidRPr="006C238F" w:rsidRDefault="00485094" w:rsidP="00453E80">
            <w:pPr>
              <w:pStyle w:val="TableText"/>
              <w:jc w:val="center"/>
              <w:rPr>
                <w:sz w:val="20"/>
              </w:rPr>
            </w:pPr>
            <w:r w:rsidRPr="006C238F">
              <w:rPr>
                <w:sz w:val="20"/>
              </w:rPr>
              <w:t>100.0</w:t>
            </w:r>
          </w:p>
        </w:tc>
        <w:tc>
          <w:tcPr>
            <w:tcW w:w="1109" w:type="dxa"/>
            <w:vAlign w:val="center"/>
          </w:tcPr>
          <w:p w:rsidR="00485094" w:rsidRPr="006C238F" w:rsidRDefault="00485094" w:rsidP="00453E80">
            <w:pPr>
              <w:pStyle w:val="TableText"/>
              <w:jc w:val="center"/>
              <w:rPr>
                <w:sz w:val="20"/>
              </w:rPr>
            </w:pPr>
            <w:r w:rsidRPr="006C238F">
              <w:rPr>
                <w:sz w:val="20"/>
              </w:rPr>
              <w:t>0.0</w:t>
            </w:r>
          </w:p>
        </w:tc>
        <w:tc>
          <w:tcPr>
            <w:tcW w:w="1429" w:type="dxa"/>
            <w:vAlign w:val="center"/>
          </w:tcPr>
          <w:p w:rsidR="00485094" w:rsidRPr="006C238F" w:rsidRDefault="00485094" w:rsidP="00453E80">
            <w:pPr>
              <w:pStyle w:val="TableText"/>
              <w:jc w:val="center"/>
              <w:rPr>
                <w:sz w:val="20"/>
              </w:rPr>
            </w:pPr>
            <w:r w:rsidRPr="006C238F">
              <w:rPr>
                <w:sz w:val="20"/>
              </w:rPr>
              <w:t>2004-08</w:t>
            </w:r>
          </w:p>
        </w:tc>
      </w:tr>
      <w:tr w:rsidR="00485094" w:rsidRPr="006C238F" w:rsidTr="00453E80">
        <w:trPr>
          <w:cantSplit/>
          <w:trHeight w:val="288"/>
          <w:jc w:val="center"/>
        </w:trPr>
        <w:tc>
          <w:tcPr>
            <w:tcW w:w="2049" w:type="dxa"/>
            <w:shd w:val="clear" w:color="auto" w:fill="FFFFCC"/>
            <w:vAlign w:val="center"/>
          </w:tcPr>
          <w:p w:rsidR="00485094" w:rsidRPr="006C238F" w:rsidRDefault="00485094" w:rsidP="00453E80">
            <w:pPr>
              <w:pStyle w:val="TableText"/>
              <w:jc w:val="center"/>
              <w:rPr>
                <w:sz w:val="20"/>
              </w:rPr>
            </w:pPr>
            <w:r w:rsidRPr="006C238F">
              <w:rPr>
                <w:sz w:val="20"/>
              </w:rPr>
              <w:t>Lead</w:t>
            </w:r>
          </w:p>
        </w:tc>
        <w:tc>
          <w:tcPr>
            <w:tcW w:w="1350" w:type="dxa"/>
            <w:shd w:val="clear" w:color="auto" w:fill="FFFFCC"/>
            <w:vAlign w:val="center"/>
          </w:tcPr>
          <w:p w:rsidR="00485094" w:rsidRPr="006C238F" w:rsidRDefault="00485094" w:rsidP="00453E80">
            <w:pPr>
              <w:pStyle w:val="TableText"/>
              <w:jc w:val="center"/>
              <w:rPr>
                <w:sz w:val="20"/>
              </w:rPr>
            </w:pPr>
            <w:r w:rsidRPr="006C238F">
              <w:rPr>
                <w:sz w:val="20"/>
              </w:rPr>
              <w:t>6</w:t>
            </w:r>
            <w:r>
              <w:rPr>
                <w:sz w:val="20"/>
              </w:rPr>
              <w:t>,</w:t>
            </w:r>
            <w:r w:rsidRPr="006C238F">
              <w:rPr>
                <w:sz w:val="20"/>
              </w:rPr>
              <w:t>355</w:t>
            </w:r>
          </w:p>
        </w:tc>
        <w:tc>
          <w:tcPr>
            <w:tcW w:w="1510" w:type="dxa"/>
            <w:shd w:val="clear" w:color="auto" w:fill="FFFFCC"/>
            <w:vAlign w:val="center"/>
          </w:tcPr>
          <w:p w:rsidR="00485094" w:rsidRPr="006C238F" w:rsidRDefault="00485094" w:rsidP="00453E80">
            <w:pPr>
              <w:pStyle w:val="TableText"/>
              <w:jc w:val="center"/>
              <w:rPr>
                <w:sz w:val="20"/>
              </w:rPr>
            </w:pPr>
            <w:r w:rsidRPr="006C238F">
              <w:rPr>
                <w:sz w:val="20"/>
              </w:rPr>
              <w:t>3</w:t>
            </w:r>
            <w:r>
              <w:rPr>
                <w:sz w:val="20"/>
              </w:rPr>
              <w:t>,</w:t>
            </w:r>
            <w:r w:rsidRPr="006C238F">
              <w:rPr>
                <w:sz w:val="20"/>
              </w:rPr>
              <w:t>439</w:t>
            </w:r>
          </w:p>
        </w:tc>
        <w:tc>
          <w:tcPr>
            <w:tcW w:w="1478" w:type="dxa"/>
            <w:shd w:val="clear" w:color="auto" w:fill="FFFFCC"/>
            <w:vAlign w:val="center"/>
          </w:tcPr>
          <w:p w:rsidR="00485094" w:rsidRPr="006C238F" w:rsidRDefault="00485094" w:rsidP="00453E80">
            <w:pPr>
              <w:pStyle w:val="TableText"/>
              <w:jc w:val="center"/>
              <w:rPr>
                <w:sz w:val="20"/>
              </w:rPr>
            </w:pPr>
            <w:r w:rsidRPr="006C238F">
              <w:rPr>
                <w:sz w:val="20"/>
              </w:rPr>
              <w:t>2</w:t>
            </w:r>
            <w:r>
              <w:rPr>
                <w:sz w:val="20"/>
              </w:rPr>
              <w:t>,</w:t>
            </w:r>
            <w:r w:rsidRPr="006C238F">
              <w:rPr>
                <w:sz w:val="20"/>
              </w:rPr>
              <w:t>916</w:t>
            </w:r>
          </w:p>
        </w:tc>
        <w:tc>
          <w:tcPr>
            <w:tcW w:w="1293" w:type="dxa"/>
            <w:shd w:val="clear" w:color="auto" w:fill="FFFFCC"/>
            <w:vAlign w:val="center"/>
          </w:tcPr>
          <w:p w:rsidR="00485094" w:rsidRPr="006C238F" w:rsidRDefault="00485094" w:rsidP="00453E80">
            <w:pPr>
              <w:pStyle w:val="TableText"/>
              <w:jc w:val="center"/>
              <w:rPr>
                <w:sz w:val="20"/>
              </w:rPr>
            </w:pPr>
            <w:r w:rsidRPr="006C238F">
              <w:rPr>
                <w:sz w:val="20"/>
              </w:rPr>
              <w:t>615</w:t>
            </w:r>
          </w:p>
        </w:tc>
        <w:tc>
          <w:tcPr>
            <w:tcW w:w="1339" w:type="dxa"/>
            <w:shd w:val="clear" w:color="auto" w:fill="FFFFCC"/>
            <w:vAlign w:val="center"/>
          </w:tcPr>
          <w:p w:rsidR="00485094" w:rsidRPr="006C238F" w:rsidRDefault="00485094" w:rsidP="00453E80">
            <w:pPr>
              <w:pStyle w:val="TableText"/>
              <w:jc w:val="center"/>
              <w:rPr>
                <w:sz w:val="20"/>
              </w:rPr>
            </w:pPr>
            <w:r w:rsidRPr="006C238F">
              <w:rPr>
                <w:sz w:val="20"/>
              </w:rPr>
              <w:t>99.4</w:t>
            </w:r>
          </w:p>
        </w:tc>
        <w:tc>
          <w:tcPr>
            <w:tcW w:w="1720" w:type="dxa"/>
            <w:shd w:val="clear" w:color="auto" w:fill="FFFFCC"/>
            <w:vAlign w:val="center"/>
          </w:tcPr>
          <w:p w:rsidR="00485094" w:rsidRPr="006C238F" w:rsidRDefault="00485094" w:rsidP="00453E80">
            <w:pPr>
              <w:pStyle w:val="TableText"/>
              <w:jc w:val="center"/>
              <w:rPr>
                <w:sz w:val="20"/>
              </w:rPr>
            </w:pPr>
            <w:r w:rsidRPr="006C238F">
              <w:rPr>
                <w:sz w:val="20"/>
              </w:rPr>
              <w:t>99.0-99.8</w:t>
            </w:r>
          </w:p>
        </w:tc>
        <w:tc>
          <w:tcPr>
            <w:tcW w:w="1109" w:type="dxa"/>
            <w:shd w:val="clear" w:color="auto" w:fill="FFFFCC"/>
            <w:vAlign w:val="center"/>
          </w:tcPr>
          <w:p w:rsidR="00485094" w:rsidRPr="006C238F" w:rsidRDefault="00485094" w:rsidP="00453E80">
            <w:pPr>
              <w:pStyle w:val="TableText"/>
              <w:jc w:val="center"/>
              <w:rPr>
                <w:sz w:val="20"/>
              </w:rPr>
            </w:pPr>
            <w:r w:rsidRPr="006C238F">
              <w:rPr>
                <w:sz w:val="20"/>
              </w:rPr>
              <w:t>0.6</w:t>
            </w:r>
          </w:p>
        </w:tc>
        <w:tc>
          <w:tcPr>
            <w:tcW w:w="1429" w:type="dxa"/>
            <w:shd w:val="clear" w:color="auto" w:fill="FFFFCC"/>
            <w:vAlign w:val="center"/>
          </w:tcPr>
          <w:p w:rsidR="00485094" w:rsidRPr="006C238F" w:rsidRDefault="00485094" w:rsidP="00453E80">
            <w:pPr>
              <w:pStyle w:val="TableText"/>
              <w:jc w:val="center"/>
              <w:rPr>
                <w:sz w:val="20"/>
              </w:rPr>
            </w:pPr>
            <w:r w:rsidRPr="006C238F">
              <w:rPr>
                <w:sz w:val="20"/>
              </w:rPr>
              <w:t>2004-08</w:t>
            </w:r>
          </w:p>
        </w:tc>
      </w:tr>
      <w:tr w:rsidR="00485094" w:rsidRPr="006C238F" w:rsidTr="00453E80">
        <w:trPr>
          <w:cantSplit/>
          <w:trHeight w:val="288"/>
          <w:jc w:val="center"/>
        </w:trPr>
        <w:tc>
          <w:tcPr>
            <w:tcW w:w="2049" w:type="dxa"/>
            <w:shd w:val="clear" w:color="auto" w:fill="FFFFFF"/>
            <w:vAlign w:val="center"/>
          </w:tcPr>
          <w:p w:rsidR="00485094" w:rsidRPr="006C238F" w:rsidRDefault="00485094" w:rsidP="00453E80">
            <w:pPr>
              <w:pStyle w:val="TableText"/>
              <w:jc w:val="center"/>
              <w:rPr>
                <w:sz w:val="20"/>
              </w:rPr>
            </w:pPr>
            <w:r w:rsidRPr="006C238F">
              <w:rPr>
                <w:sz w:val="20"/>
              </w:rPr>
              <w:t>Nitrate-Nitrite</w:t>
            </w:r>
          </w:p>
        </w:tc>
        <w:tc>
          <w:tcPr>
            <w:tcW w:w="1350" w:type="dxa"/>
            <w:shd w:val="clear" w:color="auto" w:fill="FFFFFF"/>
            <w:vAlign w:val="center"/>
          </w:tcPr>
          <w:p w:rsidR="00485094" w:rsidRPr="006C238F" w:rsidRDefault="00485094" w:rsidP="00453E80">
            <w:pPr>
              <w:pStyle w:val="TableText"/>
              <w:jc w:val="center"/>
              <w:rPr>
                <w:sz w:val="20"/>
              </w:rPr>
            </w:pPr>
            <w:r w:rsidRPr="006C238F">
              <w:rPr>
                <w:sz w:val="20"/>
              </w:rPr>
              <w:t>6</w:t>
            </w:r>
            <w:r>
              <w:rPr>
                <w:sz w:val="20"/>
              </w:rPr>
              <w:t>,</w:t>
            </w:r>
            <w:r w:rsidRPr="006C238F">
              <w:rPr>
                <w:sz w:val="20"/>
              </w:rPr>
              <w:t>355</w:t>
            </w:r>
          </w:p>
        </w:tc>
        <w:tc>
          <w:tcPr>
            <w:tcW w:w="1510" w:type="dxa"/>
            <w:shd w:val="clear" w:color="auto" w:fill="FFFFFF"/>
            <w:vAlign w:val="center"/>
          </w:tcPr>
          <w:p w:rsidR="00485094" w:rsidRPr="006C238F" w:rsidRDefault="00485094" w:rsidP="00453E80">
            <w:pPr>
              <w:pStyle w:val="TableText"/>
              <w:jc w:val="center"/>
              <w:rPr>
                <w:sz w:val="20"/>
              </w:rPr>
            </w:pPr>
            <w:r w:rsidRPr="006C238F">
              <w:rPr>
                <w:sz w:val="20"/>
              </w:rPr>
              <w:t>3</w:t>
            </w:r>
            <w:r>
              <w:rPr>
                <w:sz w:val="20"/>
              </w:rPr>
              <w:t>,</w:t>
            </w:r>
            <w:r w:rsidRPr="006C238F">
              <w:rPr>
                <w:sz w:val="20"/>
              </w:rPr>
              <w:t>439</w:t>
            </w:r>
          </w:p>
        </w:tc>
        <w:tc>
          <w:tcPr>
            <w:tcW w:w="1478" w:type="dxa"/>
            <w:shd w:val="clear" w:color="auto" w:fill="FFFFFF"/>
            <w:vAlign w:val="center"/>
          </w:tcPr>
          <w:p w:rsidR="00485094" w:rsidRPr="006C238F" w:rsidRDefault="00485094" w:rsidP="00453E80">
            <w:pPr>
              <w:pStyle w:val="TableText"/>
              <w:jc w:val="center"/>
              <w:rPr>
                <w:sz w:val="20"/>
              </w:rPr>
            </w:pPr>
            <w:r w:rsidRPr="006C238F">
              <w:rPr>
                <w:sz w:val="20"/>
              </w:rPr>
              <w:t>2</w:t>
            </w:r>
            <w:r>
              <w:rPr>
                <w:sz w:val="20"/>
              </w:rPr>
              <w:t>,</w:t>
            </w:r>
            <w:r w:rsidRPr="006C238F">
              <w:rPr>
                <w:sz w:val="20"/>
              </w:rPr>
              <w:t>916</w:t>
            </w:r>
          </w:p>
        </w:tc>
        <w:tc>
          <w:tcPr>
            <w:tcW w:w="1293" w:type="dxa"/>
            <w:shd w:val="clear" w:color="auto" w:fill="FFFFFF"/>
            <w:vAlign w:val="center"/>
          </w:tcPr>
          <w:p w:rsidR="00485094" w:rsidRPr="006C238F" w:rsidRDefault="00485094" w:rsidP="00453E80">
            <w:pPr>
              <w:pStyle w:val="TableText"/>
              <w:jc w:val="center"/>
              <w:rPr>
                <w:sz w:val="20"/>
              </w:rPr>
            </w:pPr>
            <w:r w:rsidRPr="006C238F">
              <w:rPr>
                <w:sz w:val="20"/>
              </w:rPr>
              <w:t>609</w:t>
            </w:r>
          </w:p>
        </w:tc>
        <w:tc>
          <w:tcPr>
            <w:tcW w:w="1339" w:type="dxa"/>
            <w:shd w:val="clear" w:color="auto" w:fill="FFFFFF"/>
            <w:vAlign w:val="center"/>
          </w:tcPr>
          <w:p w:rsidR="00485094" w:rsidRPr="006C238F" w:rsidRDefault="00485094" w:rsidP="00453E80">
            <w:pPr>
              <w:pStyle w:val="TableText"/>
              <w:jc w:val="center"/>
              <w:rPr>
                <w:sz w:val="20"/>
              </w:rPr>
            </w:pPr>
            <w:r w:rsidRPr="006C238F">
              <w:rPr>
                <w:sz w:val="20"/>
              </w:rPr>
              <w:t>100.0</w:t>
            </w:r>
          </w:p>
        </w:tc>
        <w:tc>
          <w:tcPr>
            <w:tcW w:w="1720" w:type="dxa"/>
            <w:shd w:val="clear" w:color="auto" w:fill="FFFFFF"/>
            <w:vAlign w:val="center"/>
          </w:tcPr>
          <w:p w:rsidR="00485094" w:rsidRPr="006C238F" w:rsidRDefault="00485094" w:rsidP="00453E80">
            <w:pPr>
              <w:pStyle w:val="TableText"/>
              <w:jc w:val="center"/>
              <w:rPr>
                <w:sz w:val="20"/>
              </w:rPr>
            </w:pPr>
            <w:r w:rsidRPr="006C238F">
              <w:rPr>
                <w:sz w:val="20"/>
              </w:rPr>
              <w:t>100.0</w:t>
            </w:r>
          </w:p>
        </w:tc>
        <w:tc>
          <w:tcPr>
            <w:tcW w:w="1109" w:type="dxa"/>
            <w:shd w:val="clear" w:color="auto" w:fill="FFFFFF"/>
            <w:vAlign w:val="center"/>
          </w:tcPr>
          <w:p w:rsidR="00485094" w:rsidRPr="006C238F" w:rsidRDefault="00485094" w:rsidP="00453E80">
            <w:pPr>
              <w:pStyle w:val="TableText"/>
              <w:jc w:val="center"/>
              <w:rPr>
                <w:sz w:val="20"/>
              </w:rPr>
            </w:pPr>
            <w:r w:rsidRPr="006C238F">
              <w:rPr>
                <w:sz w:val="20"/>
              </w:rPr>
              <w:t>0.0</w:t>
            </w:r>
          </w:p>
        </w:tc>
        <w:tc>
          <w:tcPr>
            <w:tcW w:w="1429" w:type="dxa"/>
            <w:shd w:val="clear" w:color="auto" w:fill="FFFFFF"/>
            <w:vAlign w:val="center"/>
          </w:tcPr>
          <w:p w:rsidR="00485094" w:rsidRPr="006C238F" w:rsidRDefault="00485094" w:rsidP="00453E80">
            <w:pPr>
              <w:pStyle w:val="TableText"/>
              <w:jc w:val="center"/>
              <w:rPr>
                <w:sz w:val="20"/>
              </w:rPr>
            </w:pPr>
            <w:r w:rsidRPr="006C238F">
              <w:rPr>
                <w:sz w:val="20"/>
              </w:rPr>
              <w:t>2004-08</w:t>
            </w:r>
          </w:p>
        </w:tc>
      </w:tr>
      <w:tr w:rsidR="00485094" w:rsidRPr="006C238F" w:rsidTr="00453E80">
        <w:trPr>
          <w:cantSplit/>
          <w:trHeight w:val="288"/>
          <w:jc w:val="center"/>
        </w:trPr>
        <w:tc>
          <w:tcPr>
            <w:tcW w:w="2049" w:type="dxa"/>
            <w:shd w:val="clear" w:color="auto" w:fill="FFFFCC"/>
            <w:vAlign w:val="center"/>
          </w:tcPr>
          <w:p w:rsidR="00485094" w:rsidRPr="006C238F" w:rsidRDefault="00485094" w:rsidP="00453E80">
            <w:pPr>
              <w:pStyle w:val="TableText"/>
              <w:jc w:val="center"/>
              <w:rPr>
                <w:sz w:val="20"/>
              </w:rPr>
            </w:pPr>
            <w:r w:rsidRPr="006C238F">
              <w:rPr>
                <w:sz w:val="20"/>
              </w:rPr>
              <w:t>Sodium</w:t>
            </w:r>
          </w:p>
        </w:tc>
        <w:tc>
          <w:tcPr>
            <w:tcW w:w="1350" w:type="dxa"/>
            <w:shd w:val="clear" w:color="auto" w:fill="FFFFCC"/>
            <w:vAlign w:val="center"/>
          </w:tcPr>
          <w:p w:rsidR="00485094" w:rsidRPr="006C238F" w:rsidRDefault="00485094" w:rsidP="00453E80">
            <w:pPr>
              <w:pStyle w:val="TableText"/>
              <w:jc w:val="center"/>
              <w:rPr>
                <w:sz w:val="20"/>
              </w:rPr>
            </w:pPr>
            <w:r w:rsidRPr="006C238F">
              <w:rPr>
                <w:sz w:val="20"/>
              </w:rPr>
              <w:t>6</w:t>
            </w:r>
            <w:r>
              <w:rPr>
                <w:sz w:val="20"/>
              </w:rPr>
              <w:t>,</w:t>
            </w:r>
            <w:r w:rsidRPr="006C238F">
              <w:rPr>
                <w:sz w:val="20"/>
              </w:rPr>
              <w:t>355</w:t>
            </w:r>
          </w:p>
        </w:tc>
        <w:tc>
          <w:tcPr>
            <w:tcW w:w="1510" w:type="dxa"/>
            <w:shd w:val="clear" w:color="auto" w:fill="FFFFCC"/>
            <w:vAlign w:val="center"/>
          </w:tcPr>
          <w:p w:rsidR="00485094" w:rsidRPr="006C238F" w:rsidRDefault="00485094" w:rsidP="00453E80">
            <w:pPr>
              <w:pStyle w:val="TableText"/>
              <w:jc w:val="center"/>
              <w:rPr>
                <w:sz w:val="20"/>
              </w:rPr>
            </w:pPr>
            <w:r w:rsidRPr="006C238F">
              <w:rPr>
                <w:sz w:val="20"/>
              </w:rPr>
              <w:t>3</w:t>
            </w:r>
            <w:r>
              <w:rPr>
                <w:sz w:val="20"/>
              </w:rPr>
              <w:t>,</w:t>
            </w:r>
            <w:r w:rsidRPr="006C238F">
              <w:rPr>
                <w:sz w:val="20"/>
              </w:rPr>
              <w:t>439</w:t>
            </w:r>
          </w:p>
        </w:tc>
        <w:tc>
          <w:tcPr>
            <w:tcW w:w="1478" w:type="dxa"/>
            <w:shd w:val="clear" w:color="auto" w:fill="FFFFCC"/>
            <w:vAlign w:val="center"/>
          </w:tcPr>
          <w:p w:rsidR="00485094" w:rsidRPr="006C238F" w:rsidRDefault="00485094" w:rsidP="00453E80">
            <w:pPr>
              <w:pStyle w:val="TableText"/>
              <w:jc w:val="center"/>
              <w:rPr>
                <w:sz w:val="20"/>
              </w:rPr>
            </w:pPr>
            <w:r w:rsidRPr="006C238F">
              <w:rPr>
                <w:sz w:val="20"/>
              </w:rPr>
              <w:t>2</w:t>
            </w:r>
            <w:r>
              <w:rPr>
                <w:sz w:val="20"/>
              </w:rPr>
              <w:t>,</w:t>
            </w:r>
            <w:r w:rsidRPr="006C238F">
              <w:rPr>
                <w:sz w:val="20"/>
              </w:rPr>
              <w:t>916</w:t>
            </w:r>
          </w:p>
        </w:tc>
        <w:tc>
          <w:tcPr>
            <w:tcW w:w="1293" w:type="dxa"/>
            <w:shd w:val="clear" w:color="auto" w:fill="FFFFCC"/>
            <w:vAlign w:val="center"/>
          </w:tcPr>
          <w:p w:rsidR="00485094" w:rsidRPr="006C238F" w:rsidRDefault="00485094" w:rsidP="00453E80">
            <w:pPr>
              <w:pStyle w:val="TableText"/>
              <w:jc w:val="center"/>
              <w:rPr>
                <w:sz w:val="20"/>
              </w:rPr>
            </w:pPr>
            <w:r w:rsidRPr="006C238F">
              <w:rPr>
                <w:sz w:val="20"/>
              </w:rPr>
              <w:t>628</w:t>
            </w:r>
          </w:p>
        </w:tc>
        <w:tc>
          <w:tcPr>
            <w:tcW w:w="1339" w:type="dxa"/>
            <w:shd w:val="clear" w:color="auto" w:fill="FFFFCC"/>
            <w:vAlign w:val="center"/>
          </w:tcPr>
          <w:p w:rsidR="00485094" w:rsidRPr="006C238F" w:rsidRDefault="00485094" w:rsidP="00453E80">
            <w:pPr>
              <w:pStyle w:val="TableText"/>
              <w:jc w:val="center"/>
              <w:rPr>
                <w:sz w:val="20"/>
              </w:rPr>
            </w:pPr>
            <w:r w:rsidRPr="006C238F">
              <w:rPr>
                <w:sz w:val="20"/>
              </w:rPr>
              <w:t>94.9</w:t>
            </w:r>
          </w:p>
        </w:tc>
        <w:tc>
          <w:tcPr>
            <w:tcW w:w="1720" w:type="dxa"/>
            <w:shd w:val="clear" w:color="auto" w:fill="FFFFCC"/>
            <w:vAlign w:val="center"/>
          </w:tcPr>
          <w:p w:rsidR="00485094" w:rsidRPr="006C238F" w:rsidRDefault="00485094" w:rsidP="00453E80">
            <w:pPr>
              <w:pStyle w:val="TableText"/>
              <w:jc w:val="center"/>
              <w:rPr>
                <w:sz w:val="20"/>
              </w:rPr>
            </w:pPr>
            <w:r w:rsidRPr="006C238F">
              <w:rPr>
                <w:sz w:val="20"/>
              </w:rPr>
              <w:t>93.7-96.2</w:t>
            </w:r>
          </w:p>
        </w:tc>
        <w:tc>
          <w:tcPr>
            <w:tcW w:w="1109" w:type="dxa"/>
            <w:shd w:val="clear" w:color="auto" w:fill="FFFFCC"/>
            <w:vAlign w:val="center"/>
          </w:tcPr>
          <w:p w:rsidR="00485094" w:rsidRPr="006C238F" w:rsidRDefault="00485094" w:rsidP="00453E80">
            <w:pPr>
              <w:pStyle w:val="TableText"/>
              <w:jc w:val="center"/>
              <w:rPr>
                <w:sz w:val="20"/>
              </w:rPr>
            </w:pPr>
            <w:r w:rsidRPr="006C238F">
              <w:rPr>
                <w:sz w:val="20"/>
              </w:rPr>
              <w:t>5.1</w:t>
            </w:r>
          </w:p>
        </w:tc>
        <w:tc>
          <w:tcPr>
            <w:tcW w:w="1429" w:type="dxa"/>
            <w:shd w:val="clear" w:color="auto" w:fill="FFFFCC"/>
            <w:vAlign w:val="center"/>
          </w:tcPr>
          <w:p w:rsidR="00485094" w:rsidRPr="006C238F" w:rsidRDefault="00485094" w:rsidP="00453E80">
            <w:pPr>
              <w:pStyle w:val="TableText"/>
              <w:jc w:val="center"/>
              <w:rPr>
                <w:sz w:val="20"/>
              </w:rPr>
            </w:pPr>
            <w:r w:rsidRPr="006C238F">
              <w:rPr>
                <w:sz w:val="20"/>
              </w:rPr>
              <w:t>2004-08</w:t>
            </w:r>
          </w:p>
        </w:tc>
      </w:tr>
      <w:tr w:rsidR="00485094" w:rsidRPr="006C238F" w:rsidTr="00453E80">
        <w:trPr>
          <w:cantSplit/>
          <w:trHeight w:val="288"/>
          <w:jc w:val="center"/>
        </w:trPr>
        <w:tc>
          <w:tcPr>
            <w:tcW w:w="2049" w:type="dxa"/>
            <w:vAlign w:val="center"/>
          </w:tcPr>
          <w:p w:rsidR="00485094" w:rsidRPr="006C238F" w:rsidRDefault="00485094" w:rsidP="00453E80">
            <w:pPr>
              <w:pStyle w:val="TableText"/>
              <w:jc w:val="center"/>
              <w:rPr>
                <w:sz w:val="20"/>
              </w:rPr>
            </w:pPr>
            <w:r w:rsidRPr="006C238F">
              <w:rPr>
                <w:sz w:val="20"/>
              </w:rPr>
              <w:t>Fluoride</w:t>
            </w:r>
          </w:p>
        </w:tc>
        <w:tc>
          <w:tcPr>
            <w:tcW w:w="1350" w:type="dxa"/>
            <w:vAlign w:val="center"/>
          </w:tcPr>
          <w:p w:rsidR="00485094" w:rsidRPr="006C238F" w:rsidRDefault="00485094" w:rsidP="00453E80">
            <w:pPr>
              <w:pStyle w:val="TableText"/>
              <w:jc w:val="center"/>
              <w:rPr>
                <w:sz w:val="20"/>
              </w:rPr>
            </w:pPr>
            <w:r w:rsidRPr="006C238F">
              <w:rPr>
                <w:sz w:val="20"/>
              </w:rPr>
              <w:t>6</w:t>
            </w:r>
            <w:r>
              <w:rPr>
                <w:sz w:val="20"/>
              </w:rPr>
              <w:t>,</w:t>
            </w:r>
            <w:r w:rsidRPr="006C238F">
              <w:rPr>
                <w:sz w:val="20"/>
              </w:rPr>
              <w:t>355</w:t>
            </w:r>
          </w:p>
        </w:tc>
        <w:tc>
          <w:tcPr>
            <w:tcW w:w="1510" w:type="dxa"/>
            <w:vAlign w:val="center"/>
          </w:tcPr>
          <w:p w:rsidR="00485094" w:rsidRPr="006C238F" w:rsidRDefault="00485094" w:rsidP="00453E80">
            <w:pPr>
              <w:pStyle w:val="TableText"/>
              <w:jc w:val="center"/>
              <w:rPr>
                <w:sz w:val="20"/>
              </w:rPr>
            </w:pPr>
            <w:r w:rsidRPr="006C238F">
              <w:rPr>
                <w:sz w:val="20"/>
              </w:rPr>
              <w:t>3</w:t>
            </w:r>
            <w:r>
              <w:rPr>
                <w:sz w:val="20"/>
              </w:rPr>
              <w:t>,</w:t>
            </w:r>
            <w:r w:rsidRPr="006C238F">
              <w:rPr>
                <w:sz w:val="20"/>
              </w:rPr>
              <w:t>439</w:t>
            </w:r>
          </w:p>
        </w:tc>
        <w:tc>
          <w:tcPr>
            <w:tcW w:w="1478" w:type="dxa"/>
            <w:vAlign w:val="center"/>
          </w:tcPr>
          <w:p w:rsidR="00485094" w:rsidRPr="006C238F" w:rsidRDefault="00485094" w:rsidP="00453E80">
            <w:pPr>
              <w:pStyle w:val="TableText"/>
              <w:jc w:val="center"/>
              <w:rPr>
                <w:sz w:val="20"/>
              </w:rPr>
            </w:pPr>
            <w:r w:rsidRPr="006C238F">
              <w:rPr>
                <w:sz w:val="20"/>
              </w:rPr>
              <w:t>2</w:t>
            </w:r>
            <w:r>
              <w:rPr>
                <w:sz w:val="20"/>
              </w:rPr>
              <w:t>,</w:t>
            </w:r>
            <w:r w:rsidRPr="006C238F">
              <w:rPr>
                <w:sz w:val="20"/>
              </w:rPr>
              <w:t>916</w:t>
            </w:r>
          </w:p>
        </w:tc>
        <w:tc>
          <w:tcPr>
            <w:tcW w:w="1293" w:type="dxa"/>
            <w:vAlign w:val="center"/>
          </w:tcPr>
          <w:p w:rsidR="00485094" w:rsidRPr="006C238F" w:rsidRDefault="00485094" w:rsidP="00453E80">
            <w:pPr>
              <w:pStyle w:val="TableText"/>
              <w:jc w:val="center"/>
              <w:rPr>
                <w:sz w:val="20"/>
              </w:rPr>
            </w:pPr>
            <w:r w:rsidRPr="006C238F">
              <w:rPr>
                <w:sz w:val="20"/>
              </w:rPr>
              <w:t>627</w:t>
            </w:r>
          </w:p>
        </w:tc>
        <w:tc>
          <w:tcPr>
            <w:tcW w:w="1339" w:type="dxa"/>
            <w:vAlign w:val="center"/>
          </w:tcPr>
          <w:p w:rsidR="00485094" w:rsidRPr="006C238F" w:rsidRDefault="00485094" w:rsidP="00453E80">
            <w:pPr>
              <w:pStyle w:val="TableText"/>
              <w:jc w:val="center"/>
              <w:rPr>
                <w:sz w:val="20"/>
              </w:rPr>
            </w:pPr>
            <w:r w:rsidRPr="006C238F">
              <w:rPr>
                <w:sz w:val="20"/>
              </w:rPr>
              <w:t>100.0</w:t>
            </w:r>
          </w:p>
        </w:tc>
        <w:tc>
          <w:tcPr>
            <w:tcW w:w="1720" w:type="dxa"/>
            <w:vAlign w:val="center"/>
          </w:tcPr>
          <w:p w:rsidR="00485094" w:rsidRPr="006C238F" w:rsidRDefault="00485094" w:rsidP="00453E80">
            <w:pPr>
              <w:pStyle w:val="TableText"/>
              <w:jc w:val="center"/>
              <w:rPr>
                <w:sz w:val="20"/>
              </w:rPr>
            </w:pPr>
            <w:r w:rsidRPr="006C238F">
              <w:rPr>
                <w:sz w:val="20"/>
              </w:rPr>
              <w:t>99.9-100.0</w:t>
            </w:r>
          </w:p>
        </w:tc>
        <w:tc>
          <w:tcPr>
            <w:tcW w:w="1109" w:type="dxa"/>
            <w:vAlign w:val="center"/>
          </w:tcPr>
          <w:p w:rsidR="00485094" w:rsidRPr="006C238F" w:rsidRDefault="00485094" w:rsidP="00453E80">
            <w:pPr>
              <w:pStyle w:val="TableText"/>
              <w:jc w:val="center"/>
              <w:rPr>
                <w:sz w:val="20"/>
              </w:rPr>
            </w:pPr>
            <w:r w:rsidRPr="006C238F">
              <w:rPr>
                <w:sz w:val="20"/>
              </w:rPr>
              <w:t>0.0</w:t>
            </w:r>
          </w:p>
        </w:tc>
        <w:tc>
          <w:tcPr>
            <w:tcW w:w="1429" w:type="dxa"/>
            <w:vAlign w:val="center"/>
          </w:tcPr>
          <w:p w:rsidR="00485094" w:rsidRPr="006C238F" w:rsidRDefault="00485094" w:rsidP="00453E80">
            <w:pPr>
              <w:pStyle w:val="TableText"/>
              <w:jc w:val="center"/>
              <w:rPr>
                <w:sz w:val="20"/>
              </w:rPr>
            </w:pPr>
            <w:r w:rsidRPr="006C238F">
              <w:rPr>
                <w:sz w:val="20"/>
              </w:rPr>
              <w:t>2004-08</w:t>
            </w:r>
          </w:p>
        </w:tc>
      </w:tr>
      <w:tr w:rsidR="00485094" w:rsidRPr="006C238F" w:rsidTr="00453E80">
        <w:trPr>
          <w:cantSplit/>
          <w:trHeight w:val="288"/>
          <w:jc w:val="center"/>
        </w:trPr>
        <w:tc>
          <w:tcPr>
            <w:tcW w:w="2049" w:type="dxa"/>
            <w:shd w:val="clear" w:color="auto" w:fill="FFFFCC"/>
            <w:vAlign w:val="center"/>
          </w:tcPr>
          <w:p w:rsidR="00485094" w:rsidRPr="006C238F" w:rsidRDefault="00485094" w:rsidP="00453E80">
            <w:pPr>
              <w:pStyle w:val="TableText"/>
              <w:jc w:val="center"/>
              <w:rPr>
                <w:sz w:val="20"/>
              </w:rPr>
            </w:pPr>
            <w:r w:rsidRPr="006C238F">
              <w:rPr>
                <w:sz w:val="20"/>
              </w:rPr>
              <w:t>Fecal Coliform</w:t>
            </w:r>
          </w:p>
        </w:tc>
        <w:tc>
          <w:tcPr>
            <w:tcW w:w="1350" w:type="dxa"/>
            <w:shd w:val="clear" w:color="auto" w:fill="FFFFCC"/>
            <w:vAlign w:val="center"/>
          </w:tcPr>
          <w:p w:rsidR="00485094" w:rsidRPr="006C238F" w:rsidRDefault="00485094" w:rsidP="00453E80">
            <w:pPr>
              <w:pStyle w:val="TableText"/>
              <w:jc w:val="center"/>
              <w:rPr>
                <w:sz w:val="20"/>
              </w:rPr>
            </w:pPr>
            <w:r w:rsidRPr="006C238F">
              <w:rPr>
                <w:sz w:val="20"/>
              </w:rPr>
              <w:t>6</w:t>
            </w:r>
            <w:r>
              <w:rPr>
                <w:sz w:val="20"/>
              </w:rPr>
              <w:t>,</w:t>
            </w:r>
            <w:r w:rsidRPr="006C238F">
              <w:rPr>
                <w:sz w:val="20"/>
              </w:rPr>
              <w:t>355</w:t>
            </w:r>
          </w:p>
        </w:tc>
        <w:tc>
          <w:tcPr>
            <w:tcW w:w="1510" w:type="dxa"/>
            <w:shd w:val="clear" w:color="auto" w:fill="FFFFCC"/>
            <w:vAlign w:val="center"/>
          </w:tcPr>
          <w:p w:rsidR="00485094" w:rsidRPr="006C238F" w:rsidRDefault="00485094" w:rsidP="00453E80">
            <w:pPr>
              <w:pStyle w:val="TableText"/>
              <w:jc w:val="center"/>
              <w:rPr>
                <w:sz w:val="20"/>
              </w:rPr>
            </w:pPr>
            <w:r w:rsidRPr="006C238F">
              <w:rPr>
                <w:sz w:val="20"/>
              </w:rPr>
              <w:t>3</w:t>
            </w:r>
            <w:r>
              <w:rPr>
                <w:sz w:val="20"/>
              </w:rPr>
              <w:t>,</w:t>
            </w:r>
            <w:r w:rsidRPr="006C238F">
              <w:rPr>
                <w:sz w:val="20"/>
              </w:rPr>
              <w:t>439</w:t>
            </w:r>
          </w:p>
        </w:tc>
        <w:tc>
          <w:tcPr>
            <w:tcW w:w="1478" w:type="dxa"/>
            <w:shd w:val="clear" w:color="auto" w:fill="FFFFCC"/>
            <w:vAlign w:val="center"/>
          </w:tcPr>
          <w:p w:rsidR="00485094" w:rsidRPr="006C238F" w:rsidRDefault="00485094" w:rsidP="00453E80">
            <w:pPr>
              <w:pStyle w:val="TableText"/>
              <w:jc w:val="center"/>
              <w:rPr>
                <w:sz w:val="20"/>
              </w:rPr>
            </w:pPr>
            <w:r w:rsidRPr="006C238F">
              <w:rPr>
                <w:sz w:val="20"/>
              </w:rPr>
              <w:t>2</w:t>
            </w:r>
            <w:r>
              <w:rPr>
                <w:sz w:val="20"/>
              </w:rPr>
              <w:t>,</w:t>
            </w:r>
            <w:r w:rsidRPr="006C238F">
              <w:rPr>
                <w:sz w:val="20"/>
              </w:rPr>
              <w:t>916</w:t>
            </w:r>
          </w:p>
        </w:tc>
        <w:tc>
          <w:tcPr>
            <w:tcW w:w="1293" w:type="dxa"/>
            <w:shd w:val="clear" w:color="auto" w:fill="FFFFCC"/>
            <w:vAlign w:val="center"/>
          </w:tcPr>
          <w:p w:rsidR="00485094" w:rsidRPr="006C238F" w:rsidRDefault="00485094" w:rsidP="00453E80">
            <w:pPr>
              <w:pStyle w:val="TableText"/>
              <w:jc w:val="center"/>
              <w:rPr>
                <w:sz w:val="20"/>
              </w:rPr>
            </w:pPr>
            <w:r w:rsidRPr="006C238F">
              <w:rPr>
                <w:sz w:val="20"/>
              </w:rPr>
              <w:t>622</w:t>
            </w:r>
          </w:p>
        </w:tc>
        <w:tc>
          <w:tcPr>
            <w:tcW w:w="1339" w:type="dxa"/>
            <w:shd w:val="clear" w:color="auto" w:fill="FFFFCC"/>
            <w:vAlign w:val="center"/>
          </w:tcPr>
          <w:p w:rsidR="00485094" w:rsidRPr="006C238F" w:rsidRDefault="00485094" w:rsidP="00453E80">
            <w:pPr>
              <w:pStyle w:val="TableText"/>
              <w:jc w:val="center"/>
              <w:rPr>
                <w:sz w:val="20"/>
              </w:rPr>
            </w:pPr>
            <w:r w:rsidRPr="006C238F">
              <w:rPr>
                <w:sz w:val="20"/>
              </w:rPr>
              <w:t>98.7</w:t>
            </w:r>
          </w:p>
        </w:tc>
        <w:tc>
          <w:tcPr>
            <w:tcW w:w="1720" w:type="dxa"/>
            <w:shd w:val="clear" w:color="auto" w:fill="FFFFCC"/>
            <w:vAlign w:val="center"/>
          </w:tcPr>
          <w:p w:rsidR="00485094" w:rsidRPr="006C238F" w:rsidRDefault="00485094" w:rsidP="00453E80">
            <w:pPr>
              <w:pStyle w:val="TableText"/>
              <w:jc w:val="center"/>
              <w:rPr>
                <w:sz w:val="20"/>
              </w:rPr>
            </w:pPr>
            <w:r w:rsidRPr="006C238F">
              <w:rPr>
                <w:sz w:val="20"/>
              </w:rPr>
              <w:t>97.5-99.8</w:t>
            </w:r>
          </w:p>
        </w:tc>
        <w:tc>
          <w:tcPr>
            <w:tcW w:w="1109" w:type="dxa"/>
            <w:shd w:val="clear" w:color="auto" w:fill="FFFFCC"/>
            <w:vAlign w:val="center"/>
          </w:tcPr>
          <w:p w:rsidR="00485094" w:rsidRPr="006C238F" w:rsidRDefault="00485094" w:rsidP="00453E80">
            <w:pPr>
              <w:pStyle w:val="TableText"/>
              <w:jc w:val="center"/>
              <w:rPr>
                <w:sz w:val="20"/>
              </w:rPr>
            </w:pPr>
            <w:r w:rsidRPr="006C238F">
              <w:rPr>
                <w:sz w:val="20"/>
              </w:rPr>
              <w:t>1.3</w:t>
            </w:r>
          </w:p>
        </w:tc>
        <w:tc>
          <w:tcPr>
            <w:tcW w:w="1429" w:type="dxa"/>
            <w:shd w:val="clear" w:color="auto" w:fill="FFFFCC"/>
            <w:vAlign w:val="center"/>
          </w:tcPr>
          <w:p w:rsidR="00485094" w:rsidRPr="006C238F" w:rsidRDefault="00485094" w:rsidP="00453E80">
            <w:pPr>
              <w:pStyle w:val="TableText"/>
              <w:jc w:val="center"/>
              <w:rPr>
                <w:sz w:val="20"/>
              </w:rPr>
            </w:pPr>
            <w:r w:rsidRPr="006C238F">
              <w:rPr>
                <w:sz w:val="20"/>
              </w:rPr>
              <w:t>2004-2008</w:t>
            </w:r>
          </w:p>
        </w:tc>
      </w:tr>
      <w:tr w:rsidR="00485094" w:rsidRPr="006C238F" w:rsidTr="00453E80">
        <w:trPr>
          <w:cantSplit/>
          <w:trHeight w:val="288"/>
          <w:jc w:val="center"/>
        </w:trPr>
        <w:tc>
          <w:tcPr>
            <w:tcW w:w="2049" w:type="dxa"/>
            <w:vAlign w:val="center"/>
          </w:tcPr>
          <w:p w:rsidR="00485094" w:rsidRPr="006C238F" w:rsidRDefault="00485094" w:rsidP="00453E80">
            <w:pPr>
              <w:pStyle w:val="TableText"/>
              <w:jc w:val="center"/>
              <w:rPr>
                <w:sz w:val="20"/>
              </w:rPr>
            </w:pPr>
            <w:r w:rsidRPr="006C238F">
              <w:rPr>
                <w:sz w:val="20"/>
              </w:rPr>
              <w:t>Total Coliform</w:t>
            </w:r>
          </w:p>
        </w:tc>
        <w:tc>
          <w:tcPr>
            <w:tcW w:w="1350" w:type="dxa"/>
            <w:vAlign w:val="center"/>
          </w:tcPr>
          <w:p w:rsidR="00485094" w:rsidRPr="006C238F" w:rsidRDefault="00485094" w:rsidP="00453E80">
            <w:pPr>
              <w:pStyle w:val="TableText"/>
              <w:jc w:val="center"/>
              <w:rPr>
                <w:sz w:val="20"/>
              </w:rPr>
            </w:pPr>
            <w:r w:rsidRPr="006C238F">
              <w:rPr>
                <w:sz w:val="20"/>
              </w:rPr>
              <w:t>6</w:t>
            </w:r>
            <w:r>
              <w:rPr>
                <w:sz w:val="20"/>
              </w:rPr>
              <w:t>,</w:t>
            </w:r>
            <w:r w:rsidRPr="006C238F">
              <w:rPr>
                <w:sz w:val="20"/>
              </w:rPr>
              <w:t>355</w:t>
            </w:r>
          </w:p>
        </w:tc>
        <w:tc>
          <w:tcPr>
            <w:tcW w:w="1510" w:type="dxa"/>
            <w:vAlign w:val="center"/>
          </w:tcPr>
          <w:p w:rsidR="00485094" w:rsidRPr="006C238F" w:rsidRDefault="00485094" w:rsidP="00453E80">
            <w:pPr>
              <w:pStyle w:val="TableText"/>
              <w:jc w:val="center"/>
              <w:rPr>
                <w:sz w:val="20"/>
              </w:rPr>
            </w:pPr>
            <w:r w:rsidRPr="006C238F">
              <w:rPr>
                <w:sz w:val="20"/>
              </w:rPr>
              <w:t>3</w:t>
            </w:r>
            <w:r>
              <w:rPr>
                <w:sz w:val="20"/>
              </w:rPr>
              <w:t>,</w:t>
            </w:r>
            <w:r w:rsidRPr="006C238F">
              <w:rPr>
                <w:sz w:val="20"/>
              </w:rPr>
              <w:t>439</w:t>
            </w:r>
          </w:p>
        </w:tc>
        <w:tc>
          <w:tcPr>
            <w:tcW w:w="1478" w:type="dxa"/>
            <w:vAlign w:val="center"/>
          </w:tcPr>
          <w:p w:rsidR="00485094" w:rsidRPr="006C238F" w:rsidRDefault="00485094" w:rsidP="00453E80">
            <w:pPr>
              <w:pStyle w:val="TableText"/>
              <w:jc w:val="center"/>
              <w:rPr>
                <w:sz w:val="20"/>
              </w:rPr>
            </w:pPr>
            <w:r w:rsidRPr="006C238F">
              <w:rPr>
                <w:sz w:val="20"/>
              </w:rPr>
              <w:t>2</w:t>
            </w:r>
            <w:r>
              <w:rPr>
                <w:sz w:val="20"/>
              </w:rPr>
              <w:t>,</w:t>
            </w:r>
            <w:r w:rsidRPr="006C238F">
              <w:rPr>
                <w:sz w:val="20"/>
              </w:rPr>
              <w:t>916</w:t>
            </w:r>
          </w:p>
        </w:tc>
        <w:tc>
          <w:tcPr>
            <w:tcW w:w="1293" w:type="dxa"/>
            <w:vAlign w:val="center"/>
          </w:tcPr>
          <w:p w:rsidR="00485094" w:rsidRPr="006C238F" w:rsidRDefault="00485094" w:rsidP="00453E80">
            <w:pPr>
              <w:pStyle w:val="TableText"/>
              <w:jc w:val="center"/>
              <w:rPr>
                <w:sz w:val="20"/>
              </w:rPr>
            </w:pPr>
            <w:r w:rsidRPr="006C238F">
              <w:rPr>
                <w:sz w:val="20"/>
              </w:rPr>
              <w:t>606</w:t>
            </w:r>
          </w:p>
        </w:tc>
        <w:tc>
          <w:tcPr>
            <w:tcW w:w="1339" w:type="dxa"/>
            <w:vAlign w:val="center"/>
          </w:tcPr>
          <w:p w:rsidR="00485094" w:rsidRPr="006C238F" w:rsidRDefault="00485094" w:rsidP="00453E80">
            <w:pPr>
              <w:pStyle w:val="TableText"/>
              <w:jc w:val="center"/>
              <w:rPr>
                <w:sz w:val="20"/>
              </w:rPr>
            </w:pPr>
            <w:r w:rsidRPr="006C238F">
              <w:rPr>
                <w:sz w:val="20"/>
              </w:rPr>
              <w:t>90.0</w:t>
            </w:r>
          </w:p>
        </w:tc>
        <w:tc>
          <w:tcPr>
            <w:tcW w:w="1720" w:type="dxa"/>
            <w:vAlign w:val="center"/>
          </w:tcPr>
          <w:p w:rsidR="00485094" w:rsidRPr="006C238F" w:rsidRDefault="00485094" w:rsidP="00453E80">
            <w:pPr>
              <w:pStyle w:val="TableText"/>
              <w:jc w:val="center"/>
              <w:rPr>
                <w:sz w:val="20"/>
              </w:rPr>
            </w:pPr>
            <w:r w:rsidRPr="006C238F">
              <w:rPr>
                <w:sz w:val="20"/>
              </w:rPr>
              <w:t>85.6-94.4</w:t>
            </w:r>
          </w:p>
        </w:tc>
        <w:tc>
          <w:tcPr>
            <w:tcW w:w="1109" w:type="dxa"/>
            <w:vAlign w:val="center"/>
          </w:tcPr>
          <w:p w:rsidR="00485094" w:rsidRPr="006C238F" w:rsidRDefault="00485094" w:rsidP="00453E80">
            <w:pPr>
              <w:pStyle w:val="TableText"/>
              <w:jc w:val="center"/>
              <w:rPr>
                <w:sz w:val="20"/>
              </w:rPr>
            </w:pPr>
            <w:r w:rsidRPr="006C238F">
              <w:rPr>
                <w:sz w:val="20"/>
              </w:rPr>
              <w:t>10.0</w:t>
            </w:r>
          </w:p>
        </w:tc>
        <w:tc>
          <w:tcPr>
            <w:tcW w:w="1429" w:type="dxa"/>
            <w:vAlign w:val="center"/>
          </w:tcPr>
          <w:p w:rsidR="00485094" w:rsidRPr="006C238F" w:rsidRDefault="00485094" w:rsidP="00453E80">
            <w:pPr>
              <w:pStyle w:val="TableText"/>
              <w:jc w:val="center"/>
              <w:rPr>
                <w:sz w:val="20"/>
              </w:rPr>
            </w:pPr>
            <w:r w:rsidRPr="006C238F">
              <w:rPr>
                <w:sz w:val="20"/>
              </w:rPr>
              <w:t>2004-08</w:t>
            </w:r>
          </w:p>
        </w:tc>
      </w:tr>
    </w:tbl>
    <w:p w:rsidR="00485094" w:rsidRDefault="00485094" w:rsidP="00692F31">
      <w:pPr>
        <w:pStyle w:val="Bodytext"/>
      </w:pPr>
    </w:p>
    <w:p w:rsidR="00485094" w:rsidRPr="00F30218" w:rsidRDefault="00485094" w:rsidP="00692F31">
      <w:pPr>
        <w:pStyle w:val="Bodytext"/>
        <w:rPr>
          <w:b/>
        </w:rPr>
      </w:pPr>
      <w:r w:rsidRPr="00F30218">
        <w:rPr>
          <w:b/>
        </w:rPr>
        <w:t>Highlights:  Confined Aquifers</w:t>
      </w:r>
    </w:p>
    <w:p w:rsidR="00485094" w:rsidRDefault="00485094" w:rsidP="00692F31">
      <w:pPr>
        <w:pStyle w:val="ListBullet"/>
      </w:pPr>
      <w:r>
        <w:t xml:space="preserve">No confined aquifer wells in the Lake Worth Lagoon–Palm Beach Coast and Florida Keys Basins fit the definition of the target population.  </w:t>
      </w:r>
    </w:p>
    <w:p w:rsidR="00485094" w:rsidRDefault="00485094" w:rsidP="00692F31">
      <w:pPr>
        <w:pStyle w:val="ListBullet"/>
      </w:pPr>
      <w:r>
        <w:t>Statewide, t</w:t>
      </w:r>
      <w:r w:rsidRPr="006C238F">
        <w:t>otal coliform, fecal coliform, sodium, arsenic</w:t>
      </w:r>
      <w:r>
        <w:t>,</w:t>
      </w:r>
      <w:r w:rsidRPr="006C238F">
        <w:t xml:space="preserve"> and lead do not fully meet their target threshold</w:t>
      </w:r>
      <w:r>
        <w:t>s</w:t>
      </w:r>
      <w:r w:rsidRPr="006C238F">
        <w:t xml:space="preserve">.  </w:t>
      </w:r>
    </w:p>
    <w:p w:rsidR="00485094" w:rsidRPr="006C238F" w:rsidRDefault="00485094" w:rsidP="00692F31">
      <w:pPr>
        <w:pStyle w:val="ListBullet"/>
      </w:pPr>
      <w:r w:rsidRPr="006C238F">
        <w:t xml:space="preserve">10% of the state’s sampled wells exceeded the potable water </w:t>
      </w:r>
      <w:r>
        <w:t>threshold</w:t>
      </w:r>
      <w:r w:rsidRPr="006C238F">
        <w:t xml:space="preserve"> for total coliform</w:t>
      </w:r>
      <w:r>
        <w:t xml:space="preserve"> (</w:t>
      </w:r>
      <w:r>
        <w:rPr>
          <w:rFonts w:cs="Arial"/>
        </w:rPr>
        <w:t>≤</w:t>
      </w:r>
      <w:r>
        <w:t xml:space="preserve">4 </w:t>
      </w:r>
      <w:r w:rsidRPr="003B37D3">
        <w:rPr>
          <w:rFonts w:cs="Arial"/>
        </w:rPr>
        <w:t>colonies/100mL</w:t>
      </w:r>
      <w:r>
        <w:rPr>
          <w:rFonts w:cs="Arial"/>
        </w:rPr>
        <w:t>)</w:t>
      </w:r>
      <w:r w:rsidRPr="006C238F">
        <w:t>.</w:t>
      </w:r>
      <w:r>
        <w:t xml:space="preserve">  </w:t>
      </w:r>
      <w:r w:rsidRPr="006C238F">
        <w:t>Of the 29 basins (</w:t>
      </w:r>
      <w:r w:rsidRPr="006C1FA8">
        <w:rPr>
          <w:b/>
          <w:sz w:val="20"/>
        </w:rPr>
        <w:t xml:space="preserve">Appendix </w:t>
      </w:r>
      <w:r>
        <w:rPr>
          <w:b/>
          <w:sz w:val="20"/>
        </w:rPr>
        <w:t>C</w:t>
      </w:r>
      <w:r w:rsidRPr="006C238F">
        <w:t>), Caloosahatchee and Tampa Bay Tributar</w:t>
      </w:r>
      <w:r>
        <w:t>ies</w:t>
      </w:r>
      <w:r w:rsidRPr="006C238F">
        <w:t xml:space="preserve"> had the highest exceedance rates, </w:t>
      </w:r>
      <w:r>
        <w:t xml:space="preserve">at </w:t>
      </w:r>
      <w:r w:rsidRPr="006C238F">
        <w:t>53.3% and 30.4%, respectively, for total coliform.  In addition, 1.3% of the state’s wells exceeded the threshold for fecal coliform</w:t>
      </w:r>
      <w:r>
        <w:t xml:space="preserve"> (</w:t>
      </w:r>
      <w:r>
        <w:rPr>
          <w:rFonts w:cs="Arial"/>
        </w:rPr>
        <w:t>&lt;2</w:t>
      </w:r>
      <w:r>
        <w:t xml:space="preserve"> </w:t>
      </w:r>
      <w:r w:rsidRPr="003B37D3">
        <w:rPr>
          <w:rFonts w:cs="Arial"/>
        </w:rPr>
        <w:t>colonies/100mL</w:t>
      </w:r>
      <w:r>
        <w:rPr>
          <w:rFonts w:cs="Arial"/>
        </w:rPr>
        <w:t>)</w:t>
      </w:r>
      <w:r w:rsidRPr="006C238F">
        <w:t xml:space="preserve">.  Wells in the Middle St. Johns and Tampa Bay </w:t>
      </w:r>
      <w:r>
        <w:t>B</w:t>
      </w:r>
      <w:r w:rsidRPr="006C238F">
        <w:t xml:space="preserve">asins had the highest exceedance levels of fecal coliform at </w:t>
      </w:r>
      <w:r>
        <w:t>10.3% and 7.1%, respectively.  The d</w:t>
      </w:r>
      <w:r w:rsidRPr="006C238F">
        <w:t xml:space="preserve">etection of coliform in a confined well may be an indicator of aquifer contamination or may indicate problems with well construction or maintenance.  </w:t>
      </w:r>
    </w:p>
    <w:p w:rsidR="00485094" w:rsidRPr="006C238F" w:rsidRDefault="00485094" w:rsidP="00692F31">
      <w:pPr>
        <w:pStyle w:val="ListBullet"/>
      </w:pPr>
      <w:r w:rsidRPr="006C238F">
        <w:t>Statewide, 5% of the sampled wells exceeded the ground</w:t>
      </w:r>
      <w:r>
        <w:t xml:space="preserve"> </w:t>
      </w:r>
      <w:r w:rsidRPr="006C238F">
        <w:t xml:space="preserve">water </w:t>
      </w:r>
      <w:r>
        <w:t>threshold</w:t>
      </w:r>
      <w:r w:rsidRPr="006C238F">
        <w:t xml:space="preserve"> for so</w:t>
      </w:r>
      <w:r>
        <w:t>dium (</w:t>
      </w:r>
      <w:r>
        <w:rPr>
          <w:rFonts w:cs="Arial"/>
        </w:rPr>
        <w:t>≤</w:t>
      </w:r>
      <w:r>
        <w:t>160 mg/L), an ion used to track salt</w:t>
      </w:r>
      <w:r w:rsidRPr="006C238F">
        <w:t xml:space="preserve">water encroachment.  The highest percentages of confined aquifer wells that exceeded sodium </w:t>
      </w:r>
      <w:r>
        <w:t>threshold</w:t>
      </w:r>
      <w:r w:rsidRPr="006C238F">
        <w:t>s were in the St Lucie</w:t>
      </w:r>
      <w:r>
        <w:t>–</w:t>
      </w:r>
      <w:r w:rsidRPr="006C238F">
        <w:t>Loxahatchee (66.7%) and Charlotte Harbor (50.0%)</w:t>
      </w:r>
      <w:r>
        <w:t xml:space="preserve"> B</w:t>
      </w:r>
      <w:r w:rsidRPr="006C238F">
        <w:t xml:space="preserve">asins.  Some of these aquifers may be naturally elevated in sodium; other aquifers are susceptible to </w:t>
      </w:r>
      <w:r>
        <w:t xml:space="preserve">the </w:t>
      </w:r>
      <w:r w:rsidRPr="006C238F">
        <w:t>upconing of mineralized ground water from deeper aquifers or to s</w:t>
      </w:r>
      <w:r>
        <w:t>alt</w:t>
      </w:r>
      <w:r w:rsidRPr="006C238F">
        <w:t xml:space="preserve">water intrusion resulting from overpumping. </w:t>
      </w:r>
    </w:p>
    <w:p w:rsidR="00485094" w:rsidRDefault="00485094" w:rsidP="00692F31">
      <w:pPr>
        <w:pStyle w:val="ListBullet"/>
      </w:pPr>
      <w:r w:rsidRPr="006C238F">
        <w:t>Overall, 1.5% of sampled wells exce</w:t>
      </w:r>
      <w:r>
        <w:t>eded the state threshold</w:t>
      </w:r>
      <w:r w:rsidRPr="006C238F">
        <w:t xml:space="preserve"> for arsenic</w:t>
      </w:r>
      <w:r>
        <w:t xml:space="preserve"> (</w:t>
      </w:r>
      <w:r>
        <w:rPr>
          <w:rFonts w:cs="Arial"/>
        </w:rPr>
        <w:t>≤</w:t>
      </w:r>
      <w:r>
        <w:t xml:space="preserve">10 </w:t>
      </w:r>
      <w:r>
        <w:rPr>
          <w:rFonts w:cs="Arial"/>
        </w:rPr>
        <w:t>µ</w:t>
      </w:r>
      <w:r>
        <w:t>g/L)</w:t>
      </w:r>
      <w:r w:rsidRPr="006C238F">
        <w:t xml:space="preserve">, and 0.6% exceeded the state </w:t>
      </w:r>
      <w:r>
        <w:t>threshold</w:t>
      </w:r>
      <w:r w:rsidRPr="006C238F">
        <w:t xml:space="preserve"> for lead, both of which are monitored to protect human health.  The Springs Coast has the highest number of arsenic exceedances at 13.3%.  As a result, this basin and the adjacent Tampa Bay Tributaries </w:t>
      </w:r>
      <w:r>
        <w:t>B</w:t>
      </w:r>
      <w:r w:rsidRPr="006C238F">
        <w:t xml:space="preserve">asin are the focus of a current investigation and modeling effort to determine naturally occurring versus anthropogenically elevated arsenic concentrations.  Recent studies (Arthur, Dabous, </w:t>
      </w:r>
      <w:r>
        <w:t>and</w:t>
      </w:r>
      <w:r w:rsidRPr="006C238F">
        <w:t xml:space="preserve"> Cowart, 2002; Jones </w:t>
      </w:r>
      <w:r>
        <w:t>and</w:t>
      </w:r>
      <w:r w:rsidRPr="006C238F">
        <w:t xml:space="preserve"> Pichler, 2007) have indicated that arsenic may be released by exposing arsenic-bearing aquifer rock to air or water, thus contributing to elevated arsenic.  The Everglades</w:t>
      </w:r>
      <w:r>
        <w:t>–</w:t>
      </w:r>
      <w:r w:rsidRPr="006C238F">
        <w:t xml:space="preserve">West Coast </w:t>
      </w:r>
      <w:r>
        <w:t>B</w:t>
      </w:r>
      <w:r w:rsidRPr="006C238F">
        <w:t>asin had the highest exceedance rate for lead (25.5%), potentially attributable to well casing material or lead weights lost during water</w:t>
      </w:r>
      <w:r>
        <w:t>-</w:t>
      </w:r>
      <w:r w:rsidRPr="006C238F">
        <w:t xml:space="preserve">level determinations. </w:t>
      </w:r>
    </w:p>
    <w:p w:rsidR="00485094" w:rsidRPr="006C238F" w:rsidRDefault="00485094" w:rsidP="00692F31">
      <w:pPr>
        <w:pStyle w:val="Bodytext"/>
      </w:pPr>
    </w:p>
    <w:p w:rsidR="00485094" w:rsidRDefault="00485094" w:rsidP="00692F31">
      <w:pPr>
        <w:rPr>
          <w:rFonts w:ascii="Arial" w:hAnsi="Arial" w:cs="Arial"/>
          <w:b/>
          <w:u w:val="single"/>
        </w:rPr>
        <w:sectPr w:rsidR="00485094" w:rsidSect="003B37D3">
          <w:pgSz w:w="15840" w:h="12240" w:orient="landscape"/>
          <w:pgMar w:top="1440" w:right="1440" w:bottom="1440" w:left="1440" w:header="720" w:footer="720" w:gutter="0"/>
          <w:cols w:space="720"/>
          <w:docGrid w:linePitch="360"/>
        </w:sectPr>
      </w:pPr>
    </w:p>
    <w:p w:rsidR="00485094" w:rsidRPr="00491133" w:rsidRDefault="00485094" w:rsidP="00692F31">
      <w:pPr>
        <w:pStyle w:val="Caption"/>
        <w:rPr>
          <w:bCs/>
        </w:rPr>
      </w:pPr>
      <w:bookmarkStart w:id="440" w:name="_Toc262464306"/>
      <w:bookmarkStart w:id="441" w:name="_Toc271280158"/>
      <w:r w:rsidRPr="00491133">
        <w:t xml:space="preserve">Figure </w:t>
      </w:r>
      <w:r>
        <w:t>6.13.  Statewide Unconfined Aquifer Well Locations by Basin</w:t>
      </w:r>
      <w:bookmarkEnd w:id="440"/>
      <w:bookmarkEnd w:id="441"/>
    </w:p>
    <w:p w:rsidR="00485094" w:rsidRDefault="00485094" w:rsidP="00692F31">
      <w:pPr>
        <w:pStyle w:val="Bodytext"/>
        <w:rPr>
          <w:szCs w:val="22"/>
        </w:rPr>
      </w:pPr>
    </w:p>
    <w:p w:rsidR="00485094" w:rsidRDefault="001717CD" w:rsidP="00692F31">
      <w:pPr>
        <w:jc w:val="center"/>
        <w:rPr>
          <w:rFonts w:ascii="Arial" w:hAnsi="Arial" w:cs="Arial"/>
          <w:sz w:val="22"/>
          <w:szCs w:val="22"/>
        </w:rPr>
      </w:pPr>
      <w:r>
        <w:rPr>
          <w:rFonts w:ascii="Arial" w:hAnsi="Arial" w:cs="Arial"/>
          <w:noProof/>
          <w:sz w:val="22"/>
          <w:szCs w:val="22"/>
        </w:rPr>
        <w:drawing>
          <wp:inline distT="0" distB="0" distL="0" distR="0">
            <wp:extent cx="5115560" cy="5891530"/>
            <wp:effectExtent l="19050" t="0" r="8890" b="0"/>
            <wp:docPr id="9" name="Picture 4" descr="Figure 6.13.  Statewide Unconfined Aquifer Well Locations by Basin.  This is a map of the state of Florida divided into the 29 basins showing the locations where unconfined aquifer well samples were col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6.13.  Statewide Unconfined Aquifer Well Locations by Basin"/>
                    <pic:cNvPicPr>
                      <a:picLocks noChangeAspect="1" noChangeArrowheads="1"/>
                    </pic:cNvPicPr>
                  </pic:nvPicPr>
                  <pic:blipFill>
                    <a:blip r:embed="rId94"/>
                    <a:srcRect/>
                    <a:stretch>
                      <a:fillRect/>
                    </a:stretch>
                  </pic:blipFill>
                  <pic:spPr bwMode="auto">
                    <a:xfrm>
                      <a:off x="0" y="0"/>
                      <a:ext cx="5115560" cy="5891530"/>
                    </a:xfrm>
                    <a:prstGeom prst="rect">
                      <a:avLst/>
                    </a:prstGeom>
                    <a:noFill/>
                    <a:ln w="9525">
                      <a:noFill/>
                      <a:miter lim="800000"/>
                      <a:headEnd/>
                      <a:tailEnd/>
                    </a:ln>
                  </pic:spPr>
                </pic:pic>
              </a:graphicData>
            </a:graphic>
          </wp:inline>
        </w:drawing>
      </w:r>
    </w:p>
    <w:p w:rsidR="00485094" w:rsidRDefault="00485094" w:rsidP="00692F31">
      <w:pPr>
        <w:rPr>
          <w:rFonts w:ascii="Arial" w:hAnsi="Arial" w:cs="Arial"/>
          <w:sz w:val="22"/>
          <w:szCs w:val="22"/>
        </w:rPr>
      </w:pPr>
    </w:p>
    <w:p w:rsidR="00485094" w:rsidRDefault="00485094" w:rsidP="00692F31">
      <w:pPr>
        <w:pStyle w:val="Bodytextreduced"/>
      </w:pPr>
      <w:r>
        <w:br w:type="page"/>
      </w:r>
    </w:p>
    <w:p w:rsidR="00485094" w:rsidRDefault="00485094" w:rsidP="00692F31">
      <w:pPr>
        <w:pStyle w:val="Caption"/>
      </w:pPr>
      <w:bookmarkStart w:id="442" w:name="_Toc262464307"/>
      <w:bookmarkStart w:id="443" w:name="_Toc271280159"/>
      <w:r w:rsidRPr="00D4559E">
        <w:t xml:space="preserve">Figure </w:t>
      </w:r>
      <w:r>
        <w:t xml:space="preserve">6.14.  </w:t>
      </w:r>
      <w:r w:rsidRPr="00D4559E">
        <w:t>Statewide Summary of Unconfined Aquifer Results</w:t>
      </w:r>
      <w:bookmarkEnd w:id="442"/>
      <w:bookmarkEnd w:id="443"/>
    </w:p>
    <w:p w:rsidR="00485094" w:rsidRPr="006C1FA8" w:rsidRDefault="00485094" w:rsidP="00692F31">
      <w:pPr>
        <w:rPr>
          <w:rFonts w:ascii="Arial" w:hAnsi="Arial" w:cs="Arial"/>
          <w:i/>
          <w:sz w:val="20"/>
          <w:szCs w:val="20"/>
        </w:rPr>
      </w:pPr>
    </w:p>
    <w:p w:rsidR="00485094" w:rsidRDefault="001717CD" w:rsidP="00692F31">
      <w:pPr>
        <w:jc w:val="center"/>
        <w:rPr>
          <w:rFonts w:ascii="Arial" w:hAnsi="Arial" w:cs="Arial"/>
          <w:b/>
          <w:u w:val="single"/>
        </w:rPr>
        <w:sectPr w:rsidR="00485094" w:rsidSect="003B37D3">
          <w:type w:val="continuous"/>
          <w:pgSz w:w="12240" w:h="15840"/>
          <w:pgMar w:top="1440" w:right="1440" w:bottom="1440" w:left="1440" w:header="720" w:footer="720" w:gutter="0"/>
          <w:cols w:space="720"/>
          <w:docGrid w:linePitch="360"/>
        </w:sectPr>
      </w:pPr>
      <w:r>
        <w:rPr>
          <w:noProof/>
        </w:rPr>
        <w:drawing>
          <wp:inline distT="0" distB="0" distL="0" distR="0">
            <wp:extent cx="5426075" cy="5943600"/>
            <wp:effectExtent l="19050" t="0" r="3175" b="0"/>
            <wp:docPr id="10" name="Picture 7" descr="Figure 6.14.  Statewide Summary of Unconfined Aquifer Results.  This graphic shows statewide results in pie chart format for the unconfined aquifer indicators.  The results follow in Table 6.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6.14.  Statewide Summary of Unconfined Aquifer Results"/>
                    <pic:cNvPicPr>
                      <a:picLocks noChangeAspect="1" noChangeArrowheads="1"/>
                    </pic:cNvPicPr>
                  </pic:nvPicPr>
                  <pic:blipFill>
                    <a:blip r:embed="rId95"/>
                    <a:srcRect/>
                    <a:stretch>
                      <a:fillRect/>
                    </a:stretch>
                  </pic:blipFill>
                  <pic:spPr bwMode="auto">
                    <a:xfrm>
                      <a:off x="0" y="0"/>
                      <a:ext cx="5426075" cy="5943600"/>
                    </a:xfrm>
                    <a:prstGeom prst="rect">
                      <a:avLst/>
                    </a:prstGeom>
                    <a:noFill/>
                    <a:ln w="9525">
                      <a:noFill/>
                      <a:miter lim="800000"/>
                      <a:headEnd/>
                      <a:tailEnd/>
                    </a:ln>
                  </pic:spPr>
                </pic:pic>
              </a:graphicData>
            </a:graphic>
          </wp:inline>
        </w:drawing>
      </w:r>
    </w:p>
    <w:p w:rsidR="00485094" w:rsidRPr="00111A18" w:rsidRDefault="00485094" w:rsidP="00692F31">
      <w:pPr>
        <w:pStyle w:val="TableText"/>
        <w:ind w:left="360"/>
        <w:rPr>
          <w:sz w:val="16"/>
          <w:szCs w:val="16"/>
        </w:rPr>
      </w:pPr>
      <w:bookmarkStart w:id="444" w:name="_Toc255482839"/>
    </w:p>
    <w:p w:rsidR="00485094" w:rsidRPr="006C1FA8" w:rsidRDefault="00485094" w:rsidP="00692F31">
      <w:pPr>
        <w:pStyle w:val="Tableheading"/>
      </w:pPr>
      <w:bookmarkStart w:id="445" w:name="_Toc255807497"/>
      <w:bookmarkStart w:id="446" w:name="_Toc262464255"/>
      <w:bookmarkStart w:id="447" w:name="_Toc271280102"/>
      <w:r w:rsidRPr="006C1FA8">
        <w:t xml:space="preserve">Table </w:t>
      </w:r>
      <w:r>
        <w:t>6.6</w:t>
      </w:r>
      <w:r w:rsidRPr="006C1FA8">
        <w:t>c.  Statewide Percentage of Unconfined Aquifers Meeting Threshold Values for Indicators Calculated Using Probabilistic Monitoring Design</w:t>
      </w:r>
      <w:bookmarkEnd w:id="444"/>
      <w:bookmarkEnd w:id="445"/>
      <w:bookmarkEnd w:id="446"/>
      <w:bookmarkEnd w:id="447"/>
    </w:p>
    <w:p w:rsidR="00485094" w:rsidRDefault="00485094" w:rsidP="00692F31">
      <w:pPr>
        <w:ind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Primary Drinking Water Standards </w:t>
      </w:r>
      <w:r>
        <w:rPr>
          <w:rFonts w:ascii="Arial" w:hAnsi="Arial" w:cs="Arial"/>
          <w:b/>
          <w:sz w:val="18"/>
          <w:szCs w:val="18"/>
        </w:rPr>
        <w:tab/>
      </w:r>
      <w:r>
        <w:rPr>
          <w:rFonts w:ascii="Arial" w:hAnsi="Arial" w:cs="Arial"/>
          <w:b/>
          <w:sz w:val="18"/>
          <w:szCs w:val="18"/>
        </w:rPr>
        <w:tab/>
        <w:t xml:space="preserve">Units:  Number of wells in list frame </w:t>
      </w:r>
    </w:p>
    <w:p w:rsidR="00485094" w:rsidRDefault="00485094" w:rsidP="00692F31">
      <w:pPr>
        <w:pStyle w:val="TabledescriptionBF"/>
      </w:pPr>
      <w:r>
        <w:t>This is a nine-column table.  Column 1 lists the analyte, Column 2 lists the target population, Column 3 lists the sampleable number of wells, Column 4 lists the inaccessible wells, Column 5 lists the number of samples, Column 6 lists the percent meeting the threshold, Column 7 lists the 95% confidence bounds, Column 8 lists the percent not meeting the threshold, and Column 9 lists the assessment period.</w:t>
      </w:r>
    </w:p>
    <w:p w:rsidR="00485094" w:rsidRPr="006C238F" w:rsidRDefault="00485094" w:rsidP="00692F31">
      <w:pPr>
        <w:pStyle w:val="Tableheading"/>
      </w:pPr>
    </w:p>
    <w:p w:rsidR="00485094" w:rsidRPr="006C1FA8" w:rsidRDefault="00485094" w:rsidP="00692F31">
      <w:pPr>
        <w:pStyle w:val="Bodytextreduced"/>
      </w:pPr>
      <w:r w:rsidRPr="006C1FA8">
        <w:rPr>
          <w:vertAlign w:val="superscript"/>
        </w:rPr>
        <w:t xml:space="preserve">1 </w:t>
      </w:r>
      <w:r w:rsidRPr="006C1FA8">
        <w:t>Wells in list frame</w:t>
      </w:r>
    </w:p>
    <w:p w:rsidR="00485094" w:rsidRPr="006C1FA8" w:rsidRDefault="00485094" w:rsidP="00692F31">
      <w:pPr>
        <w:pStyle w:val="Bodytextreduced"/>
        <w:rPr>
          <w:highlight w:val="yellow"/>
        </w:rPr>
      </w:pPr>
      <w:r w:rsidRPr="006C1FA8">
        <w:rPr>
          <w:vertAlign w:val="superscript"/>
        </w:rPr>
        <w:t>2</w:t>
      </w:r>
      <w:r w:rsidRPr="006C1FA8">
        <w:t xml:space="preserve"> Estimated number of wells</w:t>
      </w:r>
    </w:p>
    <w:tbl>
      <w:tblPr>
        <w:tblW w:w="1289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1947"/>
        <w:gridCol w:w="1350"/>
        <w:gridCol w:w="1440"/>
        <w:gridCol w:w="1485"/>
        <w:gridCol w:w="1260"/>
        <w:gridCol w:w="1530"/>
        <w:gridCol w:w="1451"/>
        <w:gridCol w:w="1024"/>
        <w:gridCol w:w="1406"/>
      </w:tblGrid>
      <w:tr w:rsidR="00485094" w:rsidRPr="000F2909" w:rsidTr="000F2909">
        <w:trPr>
          <w:tblHeader/>
          <w:jc w:val="center"/>
        </w:trPr>
        <w:tc>
          <w:tcPr>
            <w:tcW w:w="1947" w:type="dxa"/>
            <w:tcBorders>
              <w:top w:val="single" w:sz="4" w:space="0" w:color="auto"/>
              <w:left w:val="single" w:sz="6" w:space="0" w:color="auto"/>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Analyte</w:t>
            </w:r>
          </w:p>
        </w:tc>
        <w:tc>
          <w:tcPr>
            <w:tcW w:w="1350" w:type="dxa"/>
            <w:tcBorders>
              <w:top w:val="single" w:sz="4" w:space="0" w:color="auto"/>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Target Population</w:t>
            </w:r>
            <w:r w:rsidRPr="000F2909">
              <w:rPr>
                <w:b/>
                <w:i/>
                <w:vertAlign w:val="superscript"/>
              </w:rPr>
              <w:t>1</w:t>
            </w:r>
          </w:p>
        </w:tc>
        <w:tc>
          <w:tcPr>
            <w:tcW w:w="1440" w:type="dxa"/>
            <w:tcBorders>
              <w:top w:val="single" w:sz="4" w:space="0" w:color="auto"/>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Sampleable</w:t>
            </w:r>
            <w:r w:rsidRPr="000F2909">
              <w:rPr>
                <w:b/>
                <w:i/>
                <w:vertAlign w:val="superscript"/>
              </w:rPr>
              <w:t>2</w:t>
            </w:r>
          </w:p>
        </w:tc>
        <w:tc>
          <w:tcPr>
            <w:tcW w:w="1485" w:type="dxa"/>
            <w:tcBorders>
              <w:top w:val="single" w:sz="4" w:space="0" w:color="auto"/>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Inaccessible</w:t>
            </w:r>
            <w:r w:rsidRPr="000F2909">
              <w:rPr>
                <w:b/>
                <w:i/>
                <w:vertAlign w:val="superscript"/>
              </w:rPr>
              <w:t>2</w:t>
            </w:r>
          </w:p>
        </w:tc>
        <w:tc>
          <w:tcPr>
            <w:tcW w:w="1260" w:type="dxa"/>
            <w:tcBorders>
              <w:top w:val="single" w:sz="4" w:space="0" w:color="auto"/>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Number of Samples</w:t>
            </w:r>
          </w:p>
        </w:tc>
        <w:tc>
          <w:tcPr>
            <w:tcW w:w="1530" w:type="dxa"/>
            <w:tcBorders>
              <w:top w:val="single" w:sz="4" w:space="0" w:color="auto"/>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 Meeting</w:t>
            </w:r>
          </w:p>
        </w:tc>
        <w:tc>
          <w:tcPr>
            <w:tcW w:w="1451" w:type="dxa"/>
            <w:tcBorders>
              <w:top w:val="single" w:sz="4" w:space="0" w:color="auto"/>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95%</w:t>
            </w:r>
          </w:p>
          <w:p w:rsidR="00485094" w:rsidRPr="000F2909" w:rsidRDefault="00485094" w:rsidP="00453E80">
            <w:pPr>
              <w:pStyle w:val="TableText"/>
              <w:jc w:val="center"/>
              <w:rPr>
                <w:b/>
                <w:i/>
              </w:rPr>
            </w:pPr>
            <w:r w:rsidRPr="000F2909">
              <w:rPr>
                <w:b/>
                <w:i/>
              </w:rPr>
              <w:t>Confidence Bounds</w:t>
            </w:r>
          </w:p>
          <w:p w:rsidR="00485094" w:rsidRPr="000F2909" w:rsidRDefault="00485094" w:rsidP="00453E80">
            <w:pPr>
              <w:pStyle w:val="TableText"/>
              <w:jc w:val="center"/>
              <w:rPr>
                <w:b/>
                <w:i/>
              </w:rPr>
            </w:pPr>
            <w:r w:rsidRPr="000F2909">
              <w:rPr>
                <w:b/>
                <w:i/>
              </w:rPr>
              <w:t>(% Meeting)</w:t>
            </w:r>
          </w:p>
        </w:tc>
        <w:tc>
          <w:tcPr>
            <w:tcW w:w="1024" w:type="dxa"/>
            <w:tcBorders>
              <w:top w:val="single" w:sz="4" w:space="0" w:color="auto"/>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 Not Meeting</w:t>
            </w:r>
          </w:p>
        </w:tc>
        <w:tc>
          <w:tcPr>
            <w:tcW w:w="1406" w:type="dxa"/>
            <w:tcBorders>
              <w:top w:val="single" w:sz="4" w:space="0" w:color="auto"/>
              <w:bottom w:val="double" w:sz="4" w:space="0" w:color="auto"/>
              <w:right w:val="single" w:sz="6" w:space="0" w:color="auto"/>
            </w:tcBorders>
            <w:shd w:val="clear" w:color="auto" w:fill="BDFFFF"/>
            <w:vAlign w:val="bottom"/>
          </w:tcPr>
          <w:p w:rsidR="00485094" w:rsidRPr="000F2909" w:rsidRDefault="00485094" w:rsidP="00453E80">
            <w:pPr>
              <w:pStyle w:val="TableText"/>
              <w:jc w:val="center"/>
              <w:rPr>
                <w:b/>
                <w:i/>
              </w:rPr>
            </w:pPr>
            <w:r w:rsidRPr="000F2909">
              <w:rPr>
                <w:b/>
                <w:i/>
              </w:rPr>
              <w:t>Assessment Period</w:t>
            </w:r>
          </w:p>
        </w:tc>
      </w:tr>
      <w:tr w:rsidR="00485094" w:rsidRPr="006C1FA8" w:rsidTr="00453E80">
        <w:trPr>
          <w:cantSplit/>
          <w:trHeight w:val="288"/>
          <w:jc w:val="center"/>
        </w:trPr>
        <w:tc>
          <w:tcPr>
            <w:tcW w:w="1947" w:type="dxa"/>
            <w:tcBorders>
              <w:top w:val="double" w:sz="4" w:space="0" w:color="auto"/>
              <w:left w:val="single" w:sz="6" w:space="0" w:color="auto"/>
            </w:tcBorders>
            <w:vAlign w:val="center"/>
          </w:tcPr>
          <w:p w:rsidR="00485094" w:rsidRPr="006C1FA8" w:rsidRDefault="00485094" w:rsidP="00453E80">
            <w:pPr>
              <w:pStyle w:val="TableText"/>
              <w:jc w:val="center"/>
              <w:rPr>
                <w:szCs w:val="24"/>
              </w:rPr>
            </w:pPr>
            <w:r w:rsidRPr="006C1FA8">
              <w:rPr>
                <w:szCs w:val="24"/>
              </w:rPr>
              <w:t>Arsenic</w:t>
            </w:r>
          </w:p>
        </w:tc>
        <w:tc>
          <w:tcPr>
            <w:tcW w:w="1350" w:type="dxa"/>
            <w:tcBorders>
              <w:top w:val="double" w:sz="4" w:space="0" w:color="auto"/>
            </w:tcBorders>
            <w:vAlign w:val="center"/>
          </w:tcPr>
          <w:p w:rsidR="00485094" w:rsidRPr="006C1FA8" w:rsidRDefault="00485094" w:rsidP="00453E80">
            <w:pPr>
              <w:pStyle w:val="TableText"/>
              <w:jc w:val="center"/>
              <w:rPr>
                <w:szCs w:val="24"/>
              </w:rPr>
            </w:pPr>
            <w:r w:rsidRPr="006C1FA8">
              <w:rPr>
                <w:szCs w:val="24"/>
              </w:rPr>
              <w:t>8,203</w:t>
            </w:r>
          </w:p>
        </w:tc>
        <w:tc>
          <w:tcPr>
            <w:tcW w:w="1440" w:type="dxa"/>
            <w:tcBorders>
              <w:top w:val="double" w:sz="4" w:space="0" w:color="auto"/>
            </w:tcBorders>
            <w:vAlign w:val="center"/>
          </w:tcPr>
          <w:p w:rsidR="00485094" w:rsidRPr="006C1FA8" w:rsidRDefault="00485094" w:rsidP="00453E80">
            <w:pPr>
              <w:pStyle w:val="TableText"/>
              <w:jc w:val="center"/>
              <w:rPr>
                <w:szCs w:val="24"/>
              </w:rPr>
            </w:pPr>
            <w:r w:rsidRPr="006C1FA8">
              <w:rPr>
                <w:szCs w:val="24"/>
              </w:rPr>
              <w:t>3,698</w:t>
            </w:r>
          </w:p>
        </w:tc>
        <w:tc>
          <w:tcPr>
            <w:tcW w:w="1485" w:type="dxa"/>
            <w:tcBorders>
              <w:top w:val="double" w:sz="4" w:space="0" w:color="auto"/>
            </w:tcBorders>
            <w:vAlign w:val="center"/>
          </w:tcPr>
          <w:p w:rsidR="00485094" w:rsidRPr="006C1FA8" w:rsidRDefault="00485094" w:rsidP="00453E80">
            <w:pPr>
              <w:pStyle w:val="TableText"/>
              <w:jc w:val="center"/>
              <w:rPr>
                <w:szCs w:val="24"/>
              </w:rPr>
            </w:pPr>
            <w:r w:rsidRPr="006C1FA8">
              <w:rPr>
                <w:szCs w:val="24"/>
              </w:rPr>
              <w:t>4,505</w:t>
            </w:r>
          </w:p>
        </w:tc>
        <w:tc>
          <w:tcPr>
            <w:tcW w:w="1260" w:type="dxa"/>
            <w:tcBorders>
              <w:top w:val="double" w:sz="4" w:space="0" w:color="auto"/>
            </w:tcBorders>
            <w:vAlign w:val="center"/>
          </w:tcPr>
          <w:p w:rsidR="00485094" w:rsidRPr="006C1FA8" w:rsidRDefault="00485094" w:rsidP="00453E80">
            <w:pPr>
              <w:pStyle w:val="TableText"/>
              <w:jc w:val="center"/>
              <w:rPr>
                <w:szCs w:val="24"/>
              </w:rPr>
            </w:pPr>
            <w:r>
              <w:rPr>
                <w:szCs w:val="24"/>
              </w:rPr>
              <w:t>821</w:t>
            </w:r>
          </w:p>
        </w:tc>
        <w:tc>
          <w:tcPr>
            <w:tcW w:w="1530" w:type="dxa"/>
            <w:tcBorders>
              <w:top w:val="double" w:sz="4" w:space="0" w:color="auto"/>
            </w:tcBorders>
            <w:vAlign w:val="center"/>
          </w:tcPr>
          <w:p w:rsidR="00485094" w:rsidRPr="006C1FA8" w:rsidRDefault="00485094" w:rsidP="00453E80">
            <w:pPr>
              <w:pStyle w:val="TableText"/>
              <w:jc w:val="center"/>
              <w:rPr>
                <w:szCs w:val="24"/>
              </w:rPr>
            </w:pPr>
            <w:r w:rsidRPr="006C1FA8">
              <w:rPr>
                <w:szCs w:val="24"/>
              </w:rPr>
              <w:t>96.9</w:t>
            </w:r>
          </w:p>
        </w:tc>
        <w:tc>
          <w:tcPr>
            <w:tcW w:w="1451" w:type="dxa"/>
            <w:tcBorders>
              <w:top w:val="double" w:sz="4" w:space="0" w:color="auto"/>
            </w:tcBorders>
            <w:vAlign w:val="center"/>
          </w:tcPr>
          <w:p w:rsidR="00485094" w:rsidRPr="006C1FA8" w:rsidRDefault="00485094" w:rsidP="00453E80">
            <w:pPr>
              <w:pStyle w:val="TableText"/>
              <w:jc w:val="center"/>
              <w:rPr>
                <w:szCs w:val="24"/>
              </w:rPr>
            </w:pPr>
            <w:r w:rsidRPr="006C1FA8">
              <w:rPr>
                <w:szCs w:val="24"/>
              </w:rPr>
              <w:t>95.9-97.9</w:t>
            </w:r>
          </w:p>
        </w:tc>
        <w:tc>
          <w:tcPr>
            <w:tcW w:w="1024" w:type="dxa"/>
            <w:tcBorders>
              <w:top w:val="double" w:sz="4" w:space="0" w:color="auto"/>
            </w:tcBorders>
            <w:vAlign w:val="center"/>
          </w:tcPr>
          <w:p w:rsidR="00485094" w:rsidRPr="006C1FA8" w:rsidRDefault="00485094" w:rsidP="00453E80">
            <w:pPr>
              <w:pStyle w:val="TableText"/>
              <w:jc w:val="center"/>
              <w:rPr>
                <w:szCs w:val="24"/>
              </w:rPr>
            </w:pPr>
            <w:r w:rsidRPr="006C1FA8">
              <w:rPr>
                <w:szCs w:val="24"/>
              </w:rPr>
              <w:t>3.1</w:t>
            </w:r>
          </w:p>
        </w:tc>
        <w:tc>
          <w:tcPr>
            <w:tcW w:w="1406" w:type="dxa"/>
            <w:tcBorders>
              <w:top w:val="double" w:sz="4" w:space="0" w:color="auto"/>
              <w:right w:val="single" w:sz="6" w:space="0" w:color="auto"/>
            </w:tcBorders>
            <w:vAlign w:val="center"/>
          </w:tcPr>
          <w:p w:rsidR="00485094" w:rsidRPr="006C1FA8" w:rsidRDefault="00485094" w:rsidP="00453E80">
            <w:pPr>
              <w:pStyle w:val="TableText"/>
              <w:jc w:val="center"/>
              <w:rPr>
                <w:szCs w:val="24"/>
              </w:rPr>
            </w:pPr>
            <w:r w:rsidRPr="006C1FA8">
              <w:rPr>
                <w:szCs w:val="24"/>
              </w:rPr>
              <w:t>2004-08</w:t>
            </w:r>
          </w:p>
        </w:tc>
      </w:tr>
      <w:tr w:rsidR="00485094" w:rsidRPr="006C1FA8" w:rsidTr="00453E80">
        <w:trPr>
          <w:cantSplit/>
          <w:trHeight w:val="288"/>
          <w:jc w:val="center"/>
        </w:trPr>
        <w:tc>
          <w:tcPr>
            <w:tcW w:w="1947" w:type="dxa"/>
            <w:tcBorders>
              <w:left w:val="single" w:sz="6" w:space="0" w:color="auto"/>
            </w:tcBorders>
            <w:shd w:val="clear" w:color="auto" w:fill="FFFFCC"/>
            <w:vAlign w:val="center"/>
          </w:tcPr>
          <w:p w:rsidR="00485094" w:rsidRPr="006C1FA8" w:rsidRDefault="00485094" w:rsidP="00453E80">
            <w:pPr>
              <w:pStyle w:val="TableText"/>
              <w:jc w:val="center"/>
              <w:rPr>
                <w:szCs w:val="24"/>
              </w:rPr>
            </w:pPr>
            <w:r w:rsidRPr="006C1FA8">
              <w:rPr>
                <w:szCs w:val="24"/>
              </w:rPr>
              <w:t>Cadmium</w:t>
            </w:r>
          </w:p>
        </w:tc>
        <w:tc>
          <w:tcPr>
            <w:tcW w:w="1350" w:type="dxa"/>
            <w:shd w:val="clear" w:color="auto" w:fill="FFFFCC"/>
            <w:vAlign w:val="center"/>
          </w:tcPr>
          <w:p w:rsidR="00485094" w:rsidRPr="006C1FA8" w:rsidRDefault="00485094" w:rsidP="00453E80">
            <w:pPr>
              <w:pStyle w:val="TableText"/>
              <w:jc w:val="center"/>
              <w:rPr>
                <w:szCs w:val="24"/>
              </w:rPr>
            </w:pPr>
            <w:r w:rsidRPr="006C1FA8">
              <w:rPr>
                <w:szCs w:val="24"/>
              </w:rPr>
              <w:t>8,203</w:t>
            </w:r>
          </w:p>
        </w:tc>
        <w:tc>
          <w:tcPr>
            <w:tcW w:w="1440" w:type="dxa"/>
            <w:shd w:val="clear" w:color="auto" w:fill="FFFFCC"/>
            <w:vAlign w:val="center"/>
          </w:tcPr>
          <w:p w:rsidR="00485094" w:rsidRPr="006C1FA8" w:rsidRDefault="00485094" w:rsidP="00453E80">
            <w:pPr>
              <w:pStyle w:val="TableText"/>
              <w:jc w:val="center"/>
              <w:rPr>
                <w:szCs w:val="24"/>
              </w:rPr>
            </w:pPr>
            <w:r w:rsidRPr="006C1FA8">
              <w:rPr>
                <w:szCs w:val="24"/>
              </w:rPr>
              <w:t>3,698</w:t>
            </w:r>
          </w:p>
        </w:tc>
        <w:tc>
          <w:tcPr>
            <w:tcW w:w="1485" w:type="dxa"/>
            <w:shd w:val="clear" w:color="auto" w:fill="FFFFCC"/>
            <w:vAlign w:val="center"/>
          </w:tcPr>
          <w:p w:rsidR="00485094" w:rsidRPr="006C1FA8" w:rsidRDefault="00485094" w:rsidP="00453E80">
            <w:pPr>
              <w:pStyle w:val="TableText"/>
              <w:jc w:val="center"/>
              <w:rPr>
                <w:szCs w:val="24"/>
              </w:rPr>
            </w:pPr>
            <w:r w:rsidRPr="006C1FA8">
              <w:rPr>
                <w:szCs w:val="24"/>
              </w:rPr>
              <w:t>4,505</w:t>
            </w:r>
          </w:p>
        </w:tc>
        <w:tc>
          <w:tcPr>
            <w:tcW w:w="1260" w:type="dxa"/>
            <w:shd w:val="clear" w:color="auto" w:fill="FFFFCC"/>
            <w:vAlign w:val="center"/>
          </w:tcPr>
          <w:p w:rsidR="00485094" w:rsidRPr="006C1FA8" w:rsidRDefault="00485094" w:rsidP="00453E80">
            <w:pPr>
              <w:pStyle w:val="TableText"/>
              <w:jc w:val="center"/>
              <w:rPr>
                <w:szCs w:val="24"/>
              </w:rPr>
            </w:pPr>
            <w:r>
              <w:rPr>
                <w:szCs w:val="24"/>
              </w:rPr>
              <w:t>808</w:t>
            </w:r>
          </w:p>
        </w:tc>
        <w:tc>
          <w:tcPr>
            <w:tcW w:w="1530" w:type="dxa"/>
            <w:shd w:val="clear" w:color="auto" w:fill="FFFFCC"/>
            <w:vAlign w:val="center"/>
          </w:tcPr>
          <w:p w:rsidR="00485094" w:rsidRPr="006C1FA8" w:rsidRDefault="00485094" w:rsidP="00453E80">
            <w:pPr>
              <w:pStyle w:val="TableText"/>
              <w:jc w:val="center"/>
              <w:rPr>
                <w:szCs w:val="24"/>
              </w:rPr>
            </w:pPr>
            <w:r w:rsidRPr="006C1FA8">
              <w:rPr>
                <w:szCs w:val="24"/>
              </w:rPr>
              <w:t>99.9</w:t>
            </w:r>
          </w:p>
        </w:tc>
        <w:tc>
          <w:tcPr>
            <w:tcW w:w="1451" w:type="dxa"/>
            <w:shd w:val="clear" w:color="auto" w:fill="FFFFCC"/>
            <w:vAlign w:val="center"/>
          </w:tcPr>
          <w:p w:rsidR="00485094" w:rsidRPr="006C1FA8" w:rsidRDefault="00485094" w:rsidP="00453E80">
            <w:pPr>
              <w:pStyle w:val="TableText"/>
              <w:jc w:val="center"/>
              <w:rPr>
                <w:szCs w:val="24"/>
              </w:rPr>
            </w:pPr>
            <w:r w:rsidRPr="006C1FA8">
              <w:rPr>
                <w:szCs w:val="24"/>
              </w:rPr>
              <w:t>99.7-100.0</w:t>
            </w:r>
          </w:p>
        </w:tc>
        <w:tc>
          <w:tcPr>
            <w:tcW w:w="1024" w:type="dxa"/>
            <w:shd w:val="clear" w:color="auto" w:fill="FFFFCC"/>
            <w:vAlign w:val="center"/>
          </w:tcPr>
          <w:p w:rsidR="00485094" w:rsidRPr="006C1FA8" w:rsidRDefault="00485094" w:rsidP="00453E80">
            <w:pPr>
              <w:pStyle w:val="TableText"/>
              <w:jc w:val="center"/>
              <w:rPr>
                <w:szCs w:val="24"/>
              </w:rPr>
            </w:pPr>
            <w:r w:rsidRPr="006C1FA8">
              <w:rPr>
                <w:szCs w:val="24"/>
              </w:rPr>
              <w:t>0.1</w:t>
            </w:r>
          </w:p>
        </w:tc>
        <w:tc>
          <w:tcPr>
            <w:tcW w:w="1406" w:type="dxa"/>
            <w:tcBorders>
              <w:right w:val="single" w:sz="6" w:space="0" w:color="auto"/>
            </w:tcBorders>
            <w:shd w:val="clear" w:color="auto" w:fill="FFFFCC"/>
            <w:vAlign w:val="center"/>
          </w:tcPr>
          <w:p w:rsidR="00485094" w:rsidRPr="006C1FA8" w:rsidRDefault="00485094" w:rsidP="00453E80">
            <w:pPr>
              <w:pStyle w:val="TableText"/>
              <w:jc w:val="center"/>
              <w:rPr>
                <w:szCs w:val="24"/>
              </w:rPr>
            </w:pPr>
            <w:r w:rsidRPr="006C1FA8">
              <w:rPr>
                <w:szCs w:val="24"/>
              </w:rPr>
              <w:t>2004-08</w:t>
            </w:r>
          </w:p>
        </w:tc>
      </w:tr>
      <w:tr w:rsidR="00485094" w:rsidRPr="006C1FA8" w:rsidTr="00453E80">
        <w:trPr>
          <w:cantSplit/>
          <w:trHeight w:val="288"/>
          <w:jc w:val="center"/>
        </w:trPr>
        <w:tc>
          <w:tcPr>
            <w:tcW w:w="1947" w:type="dxa"/>
            <w:tcBorders>
              <w:left w:val="single" w:sz="6" w:space="0" w:color="auto"/>
            </w:tcBorders>
            <w:vAlign w:val="center"/>
          </w:tcPr>
          <w:p w:rsidR="00485094" w:rsidRPr="006C1FA8" w:rsidRDefault="00485094" w:rsidP="00453E80">
            <w:pPr>
              <w:pStyle w:val="TableText"/>
              <w:jc w:val="center"/>
              <w:rPr>
                <w:szCs w:val="24"/>
              </w:rPr>
            </w:pPr>
            <w:r w:rsidRPr="006C1FA8">
              <w:rPr>
                <w:szCs w:val="24"/>
              </w:rPr>
              <w:t>Chromium</w:t>
            </w:r>
          </w:p>
        </w:tc>
        <w:tc>
          <w:tcPr>
            <w:tcW w:w="1350" w:type="dxa"/>
            <w:vAlign w:val="center"/>
          </w:tcPr>
          <w:p w:rsidR="00485094" w:rsidRPr="006C1FA8" w:rsidRDefault="00485094" w:rsidP="00453E80">
            <w:pPr>
              <w:pStyle w:val="TableText"/>
              <w:jc w:val="center"/>
              <w:rPr>
                <w:szCs w:val="24"/>
              </w:rPr>
            </w:pPr>
            <w:r w:rsidRPr="006C1FA8">
              <w:rPr>
                <w:szCs w:val="24"/>
              </w:rPr>
              <w:t>8,203</w:t>
            </w:r>
          </w:p>
        </w:tc>
        <w:tc>
          <w:tcPr>
            <w:tcW w:w="1440" w:type="dxa"/>
            <w:vAlign w:val="center"/>
          </w:tcPr>
          <w:p w:rsidR="00485094" w:rsidRPr="006C1FA8" w:rsidRDefault="00485094" w:rsidP="00453E80">
            <w:pPr>
              <w:pStyle w:val="TableText"/>
              <w:jc w:val="center"/>
              <w:rPr>
                <w:szCs w:val="24"/>
              </w:rPr>
            </w:pPr>
            <w:r w:rsidRPr="006C1FA8">
              <w:rPr>
                <w:szCs w:val="24"/>
              </w:rPr>
              <w:t>3,698</w:t>
            </w:r>
          </w:p>
        </w:tc>
        <w:tc>
          <w:tcPr>
            <w:tcW w:w="1485" w:type="dxa"/>
            <w:vAlign w:val="center"/>
          </w:tcPr>
          <w:p w:rsidR="00485094" w:rsidRPr="006C1FA8" w:rsidRDefault="00485094" w:rsidP="00453E80">
            <w:pPr>
              <w:pStyle w:val="TableText"/>
              <w:jc w:val="center"/>
              <w:rPr>
                <w:szCs w:val="24"/>
              </w:rPr>
            </w:pPr>
            <w:r w:rsidRPr="006C1FA8">
              <w:rPr>
                <w:szCs w:val="24"/>
              </w:rPr>
              <w:t>4,505</w:t>
            </w:r>
          </w:p>
        </w:tc>
        <w:tc>
          <w:tcPr>
            <w:tcW w:w="1260" w:type="dxa"/>
            <w:vAlign w:val="center"/>
          </w:tcPr>
          <w:p w:rsidR="00485094" w:rsidRPr="006C1FA8" w:rsidRDefault="00485094" w:rsidP="00453E80">
            <w:pPr>
              <w:pStyle w:val="TableText"/>
              <w:jc w:val="center"/>
              <w:rPr>
                <w:szCs w:val="24"/>
              </w:rPr>
            </w:pPr>
            <w:r w:rsidRPr="006C1FA8">
              <w:rPr>
                <w:szCs w:val="24"/>
              </w:rPr>
              <w:t>78</w:t>
            </w:r>
            <w:r>
              <w:rPr>
                <w:szCs w:val="24"/>
              </w:rPr>
              <w:t>3</w:t>
            </w:r>
          </w:p>
        </w:tc>
        <w:tc>
          <w:tcPr>
            <w:tcW w:w="1530" w:type="dxa"/>
            <w:vAlign w:val="center"/>
          </w:tcPr>
          <w:p w:rsidR="00485094" w:rsidRPr="006C1FA8" w:rsidRDefault="00485094" w:rsidP="00453E80">
            <w:pPr>
              <w:pStyle w:val="TableText"/>
              <w:jc w:val="center"/>
              <w:rPr>
                <w:szCs w:val="24"/>
              </w:rPr>
            </w:pPr>
            <w:r w:rsidRPr="006C1FA8">
              <w:rPr>
                <w:szCs w:val="24"/>
              </w:rPr>
              <w:t>100.0</w:t>
            </w:r>
          </w:p>
        </w:tc>
        <w:tc>
          <w:tcPr>
            <w:tcW w:w="1451" w:type="dxa"/>
            <w:vAlign w:val="center"/>
          </w:tcPr>
          <w:p w:rsidR="00485094" w:rsidRPr="006C1FA8" w:rsidRDefault="00485094" w:rsidP="00453E80">
            <w:pPr>
              <w:pStyle w:val="TableText"/>
              <w:jc w:val="center"/>
              <w:rPr>
                <w:szCs w:val="24"/>
              </w:rPr>
            </w:pPr>
            <w:r w:rsidRPr="006C1FA8">
              <w:rPr>
                <w:szCs w:val="24"/>
              </w:rPr>
              <w:t>99.9-100.0</w:t>
            </w:r>
          </w:p>
        </w:tc>
        <w:tc>
          <w:tcPr>
            <w:tcW w:w="1024" w:type="dxa"/>
            <w:vAlign w:val="center"/>
          </w:tcPr>
          <w:p w:rsidR="00485094" w:rsidRPr="006C1FA8" w:rsidRDefault="00485094" w:rsidP="00453E80">
            <w:pPr>
              <w:pStyle w:val="TableText"/>
              <w:jc w:val="center"/>
              <w:rPr>
                <w:szCs w:val="24"/>
              </w:rPr>
            </w:pPr>
            <w:r w:rsidRPr="006C1FA8">
              <w:rPr>
                <w:szCs w:val="24"/>
              </w:rPr>
              <w:t>0.0</w:t>
            </w:r>
          </w:p>
        </w:tc>
        <w:tc>
          <w:tcPr>
            <w:tcW w:w="1406" w:type="dxa"/>
            <w:tcBorders>
              <w:right w:val="single" w:sz="6" w:space="0" w:color="auto"/>
            </w:tcBorders>
            <w:vAlign w:val="center"/>
          </w:tcPr>
          <w:p w:rsidR="00485094" w:rsidRPr="006C1FA8" w:rsidRDefault="00485094" w:rsidP="00453E80">
            <w:pPr>
              <w:pStyle w:val="TableText"/>
              <w:jc w:val="center"/>
              <w:rPr>
                <w:szCs w:val="24"/>
              </w:rPr>
            </w:pPr>
            <w:r w:rsidRPr="006C1FA8">
              <w:rPr>
                <w:szCs w:val="24"/>
              </w:rPr>
              <w:t>2004-08</w:t>
            </w:r>
          </w:p>
        </w:tc>
      </w:tr>
      <w:tr w:rsidR="00485094" w:rsidRPr="006C1FA8" w:rsidTr="00453E80">
        <w:trPr>
          <w:cantSplit/>
          <w:trHeight w:val="288"/>
          <w:jc w:val="center"/>
        </w:trPr>
        <w:tc>
          <w:tcPr>
            <w:tcW w:w="1947" w:type="dxa"/>
            <w:tcBorders>
              <w:left w:val="single" w:sz="6" w:space="0" w:color="auto"/>
            </w:tcBorders>
            <w:shd w:val="clear" w:color="auto" w:fill="FFFFCC"/>
            <w:vAlign w:val="center"/>
          </w:tcPr>
          <w:p w:rsidR="00485094" w:rsidRPr="006C1FA8" w:rsidRDefault="00485094" w:rsidP="00453E80">
            <w:pPr>
              <w:pStyle w:val="TableText"/>
              <w:jc w:val="center"/>
              <w:rPr>
                <w:szCs w:val="24"/>
              </w:rPr>
            </w:pPr>
            <w:r w:rsidRPr="006C1FA8">
              <w:rPr>
                <w:szCs w:val="24"/>
              </w:rPr>
              <w:t>Lead</w:t>
            </w:r>
          </w:p>
        </w:tc>
        <w:tc>
          <w:tcPr>
            <w:tcW w:w="1350" w:type="dxa"/>
            <w:shd w:val="clear" w:color="auto" w:fill="FFFFCC"/>
            <w:vAlign w:val="center"/>
          </w:tcPr>
          <w:p w:rsidR="00485094" w:rsidRPr="006C1FA8" w:rsidRDefault="00485094" w:rsidP="00453E80">
            <w:pPr>
              <w:pStyle w:val="TableText"/>
              <w:jc w:val="center"/>
              <w:rPr>
                <w:szCs w:val="24"/>
              </w:rPr>
            </w:pPr>
            <w:r w:rsidRPr="006C1FA8">
              <w:rPr>
                <w:szCs w:val="24"/>
              </w:rPr>
              <w:t>8,203</w:t>
            </w:r>
          </w:p>
        </w:tc>
        <w:tc>
          <w:tcPr>
            <w:tcW w:w="1440" w:type="dxa"/>
            <w:shd w:val="clear" w:color="auto" w:fill="FFFFCC"/>
            <w:vAlign w:val="center"/>
          </w:tcPr>
          <w:p w:rsidR="00485094" w:rsidRPr="006C1FA8" w:rsidRDefault="00485094" w:rsidP="00453E80">
            <w:pPr>
              <w:pStyle w:val="TableText"/>
              <w:jc w:val="center"/>
              <w:rPr>
                <w:szCs w:val="24"/>
              </w:rPr>
            </w:pPr>
            <w:r w:rsidRPr="006C1FA8">
              <w:rPr>
                <w:szCs w:val="24"/>
              </w:rPr>
              <w:t>3,698</w:t>
            </w:r>
          </w:p>
        </w:tc>
        <w:tc>
          <w:tcPr>
            <w:tcW w:w="1485" w:type="dxa"/>
            <w:shd w:val="clear" w:color="auto" w:fill="FFFFCC"/>
            <w:vAlign w:val="center"/>
          </w:tcPr>
          <w:p w:rsidR="00485094" w:rsidRPr="006C1FA8" w:rsidRDefault="00485094" w:rsidP="00453E80">
            <w:pPr>
              <w:pStyle w:val="TableText"/>
              <w:jc w:val="center"/>
              <w:rPr>
                <w:szCs w:val="24"/>
              </w:rPr>
            </w:pPr>
            <w:r w:rsidRPr="006C1FA8">
              <w:rPr>
                <w:szCs w:val="24"/>
              </w:rPr>
              <w:t>4,505</w:t>
            </w:r>
          </w:p>
        </w:tc>
        <w:tc>
          <w:tcPr>
            <w:tcW w:w="1260" w:type="dxa"/>
            <w:shd w:val="clear" w:color="auto" w:fill="FFFFCC"/>
            <w:vAlign w:val="center"/>
          </w:tcPr>
          <w:p w:rsidR="00485094" w:rsidRPr="006C1FA8" w:rsidRDefault="00485094" w:rsidP="00453E80">
            <w:pPr>
              <w:pStyle w:val="TableText"/>
              <w:jc w:val="center"/>
              <w:rPr>
                <w:szCs w:val="24"/>
              </w:rPr>
            </w:pPr>
            <w:r>
              <w:rPr>
                <w:szCs w:val="24"/>
              </w:rPr>
              <w:t>822</w:t>
            </w:r>
          </w:p>
        </w:tc>
        <w:tc>
          <w:tcPr>
            <w:tcW w:w="1530" w:type="dxa"/>
            <w:shd w:val="clear" w:color="auto" w:fill="FFFFCC"/>
            <w:vAlign w:val="center"/>
          </w:tcPr>
          <w:p w:rsidR="00485094" w:rsidRPr="006C1FA8" w:rsidRDefault="00485094" w:rsidP="00453E80">
            <w:pPr>
              <w:pStyle w:val="TableText"/>
              <w:jc w:val="center"/>
              <w:rPr>
                <w:szCs w:val="24"/>
              </w:rPr>
            </w:pPr>
            <w:r w:rsidRPr="006C1FA8">
              <w:rPr>
                <w:szCs w:val="24"/>
              </w:rPr>
              <w:t>97.5</w:t>
            </w:r>
          </w:p>
        </w:tc>
        <w:tc>
          <w:tcPr>
            <w:tcW w:w="1451" w:type="dxa"/>
            <w:shd w:val="clear" w:color="auto" w:fill="FFFFCC"/>
            <w:vAlign w:val="center"/>
          </w:tcPr>
          <w:p w:rsidR="00485094" w:rsidRPr="006C1FA8" w:rsidRDefault="00485094" w:rsidP="00453E80">
            <w:pPr>
              <w:pStyle w:val="TableText"/>
              <w:jc w:val="center"/>
              <w:rPr>
                <w:szCs w:val="24"/>
              </w:rPr>
            </w:pPr>
            <w:r w:rsidRPr="006C1FA8">
              <w:rPr>
                <w:szCs w:val="24"/>
              </w:rPr>
              <w:t>96.3-98.7</w:t>
            </w:r>
          </w:p>
        </w:tc>
        <w:tc>
          <w:tcPr>
            <w:tcW w:w="1024" w:type="dxa"/>
            <w:shd w:val="clear" w:color="auto" w:fill="FFFFCC"/>
            <w:vAlign w:val="center"/>
          </w:tcPr>
          <w:p w:rsidR="00485094" w:rsidRPr="006C1FA8" w:rsidRDefault="00485094" w:rsidP="00453E80">
            <w:pPr>
              <w:pStyle w:val="TableText"/>
              <w:jc w:val="center"/>
              <w:rPr>
                <w:szCs w:val="24"/>
              </w:rPr>
            </w:pPr>
            <w:r w:rsidRPr="006C1FA8">
              <w:rPr>
                <w:szCs w:val="24"/>
              </w:rPr>
              <w:t>2.5</w:t>
            </w:r>
          </w:p>
        </w:tc>
        <w:tc>
          <w:tcPr>
            <w:tcW w:w="1406" w:type="dxa"/>
            <w:tcBorders>
              <w:right w:val="single" w:sz="6" w:space="0" w:color="auto"/>
            </w:tcBorders>
            <w:shd w:val="clear" w:color="auto" w:fill="FFFFCC"/>
            <w:vAlign w:val="center"/>
          </w:tcPr>
          <w:p w:rsidR="00485094" w:rsidRPr="006C1FA8" w:rsidRDefault="00485094" w:rsidP="00453E80">
            <w:pPr>
              <w:pStyle w:val="TableText"/>
              <w:jc w:val="center"/>
              <w:rPr>
                <w:szCs w:val="24"/>
              </w:rPr>
            </w:pPr>
            <w:r w:rsidRPr="006C1FA8">
              <w:rPr>
                <w:szCs w:val="24"/>
              </w:rPr>
              <w:t>2004-08</w:t>
            </w:r>
          </w:p>
        </w:tc>
      </w:tr>
      <w:tr w:rsidR="00485094" w:rsidRPr="006C1FA8" w:rsidTr="00453E80">
        <w:trPr>
          <w:cantSplit/>
          <w:trHeight w:val="288"/>
          <w:jc w:val="center"/>
        </w:trPr>
        <w:tc>
          <w:tcPr>
            <w:tcW w:w="1947" w:type="dxa"/>
            <w:tcBorders>
              <w:left w:val="single" w:sz="6" w:space="0" w:color="auto"/>
            </w:tcBorders>
            <w:shd w:val="clear" w:color="auto" w:fill="FFFFFF"/>
            <w:vAlign w:val="center"/>
          </w:tcPr>
          <w:p w:rsidR="00485094" w:rsidRPr="006C1FA8" w:rsidRDefault="00485094" w:rsidP="00453E80">
            <w:pPr>
              <w:pStyle w:val="TableText"/>
              <w:jc w:val="center"/>
              <w:rPr>
                <w:szCs w:val="24"/>
              </w:rPr>
            </w:pPr>
            <w:r w:rsidRPr="006C1FA8">
              <w:rPr>
                <w:szCs w:val="24"/>
              </w:rPr>
              <w:t>Nitrate-Nitrite</w:t>
            </w:r>
          </w:p>
        </w:tc>
        <w:tc>
          <w:tcPr>
            <w:tcW w:w="1350" w:type="dxa"/>
            <w:shd w:val="clear" w:color="auto" w:fill="FFFFFF"/>
            <w:vAlign w:val="center"/>
          </w:tcPr>
          <w:p w:rsidR="00485094" w:rsidRPr="006C1FA8" w:rsidRDefault="00485094" w:rsidP="00453E80">
            <w:pPr>
              <w:pStyle w:val="TableText"/>
              <w:jc w:val="center"/>
              <w:rPr>
                <w:szCs w:val="24"/>
              </w:rPr>
            </w:pPr>
            <w:r w:rsidRPr="006C1FA8">
              <w:rPr>
                <w:szCs w:val="24"/>
              </w:rPr>
              <w:t>8,203</w:t>
            </w:r>
          </w:p>
        </w:tc>
        <w:tc>
          <w:tcPr>
            <w:tcW w:w="1440" w:type="dxa"/>
            <w:shd w:val="clear" w:color="auto" w:fill="FFFFFF"/>
            <w:vAlign w:val="center"/>
          </w:tcPr>
          <w:p w:rsidR="00485094" w:rsidRPr="006C1FA8" w:rsidRDefault="00485094" w:rsidP="00453E80">
            <w:pPr>
              <w:pStyle w:val="TableText"/>
              <w:jc w:val="center"/>
              <w:rPr>
                <w:szCs w:val="24"/>
              </w:rPr>
            </w:pPr>
            <w:r w:rsidRPr="006C1FA8">
              <w:rPr>
                <w:szCs w:val="24"/>
              </w:rPr>
              <w:t>3,698</w:t>
            </w:r>
          </w:p>
        </w:tc>
        <w:tc>
          <w:tcPr>
            <w:tcW w:w="1485" w:type="dxa"/>
            <w:shd w:val="clear" w:color="auto" w:fill="FFFFFF"/>
            <w:vAlign w:val="center"/>
          </w:tcPr>
          <w:p w:rsidR="00485094" w:rsidRPr="006C1FA8" w:rsidRDefault="00485094" w:rsidP="00453E80">
            <w:pPr>
              <w:pStyle w:val="TableText"/>
              <w:jc w:val="center"/>
              <w:rPr>
                <w:szCs w:val="24"/>
              </w:rPr>
            </w:pPr>
            <w:r w:rsidRPr="006C1FA8">
              <w:rPr>
                <w:szCs w:val="24"/>
              </w:rPr>
              <w:t>4,505</w:t>
            </w:r>
          </w:p>
        </w:tc>
        <w:tc>
          <w:tcPr>
            <w:tcW w:w="1260" w:type="dxa"/>
            <w:shd w:val="clear" w:color="auto" w:fill="FFFFFF"/>
            <w:vAlign w:val="center"/>
          </w:tcPr>
          <w:p w:rsidR="00485094" w:rsidRPr="006C1FA8" w:rsidRDefault="00485094" w:rsidP="00453E80">
            <w:pPr>
              <w:pStyle w:val="TableText"/>
              <w:jc w:val="center"/>
              <w:rPr>
                <w:szCs w:val="24"/>
              </w:rPr>
            </w:pPr>
            <w:r w:rsidRPr="006C1FA8">
              <w:rPr>
                <w:szCs w:val="24"/>
              </w:rPr>
              <w:t>7</w:t>
            </w:r>
            <w:r>
              <w:rPr>
                <w:szCs w:val="24"/>
              </w:rPr>
              <w:t>86</w:t>
            </w:r>
          </w:p>
        </w:tc>
        <w:tc>
          <w:tcPr>
            <w:tcW w:w="1530" w:type="dxa"/>
            <w:shd w:val="clear" w:color="auto" w:fill="FFFFFF"/>
            <w:vAlign w:val="center"/>
          </w:tcPr>
          <w:p w:rsidR="00485094" w:rsidRPr="006C1FA8" w:rsidRDefault="00485094" w:rsidP="00453E80">
            <w:pPr>
              <w:pStyle w:val="TableText"/>
              <w:jc w:val="center"/>
              <w:rPr>
                <w:szCs w:val="24"/>
              </w:rPr>
            </w:pPr>
            <w:r w:rsidRPr="006C1FA8">
              <w:rPr>
                <w:szCs w:val="24"/>
              </w:rPr>
              <w:t>97.7</w:t>
            </w:r>
          </w:p>
        </w:tc>
        <w:tc>
          <w:tcPr>
            <w:tcW w:w="1451" w:type="dxa"/>
            <w:shd w:val="clear" w:color="auto" w:fill="FFFFFF"/>
            <w:vAlign w:val="center"/>
          </w:tcPr>
          <w:p w:rsidR="00485094" w:rsidRPr="006C1FA8" w:rsidRDefault="00485094" w:rsidP="00453E80">
            <w:pPr>
              <w:pStyle w:val="TableText"/>
              <w:jc w:val="center"/>
              <w:rPr>
                <w:szCs w:val="24"/>
              </w:rPr>
            </w:pPr>
            <w:r w:rsidRPr="006C1FA8">
              <w:rPr>
                <w:szCs w:val="24"/>
              </w:rPr>
              <w:t>96.8-98.7</w:t>
            </w:r>
          </w:p>
        </w:tc>
        <w:tc>
          <w:tcPr>
            <w:tcW w:w="1024" w:type="dxa"/>
            <w:shd w:val="clear" w:color="auto" w:fill="FFFFFF"/>
            <w:vAlign w:val="center"/>
          </w:tcPr>
          <w:p w:rsidR="00485094" w:rsidRPr="006C1FA8" w:rsidRDefault="00485094" w:rsidP="00453E80">
            <w:pPr>
              <w:pStyle w:val="TableText"/>
              <w:jc w:val="center"/>
              <w:rPr>
                <w:szCs w:val="24"/>
              </w:rPr>
            </w:pPr>
            <w:r w:rsidRPr="006C1FA8">
              <w:rPr>
                <w:szCs w:val="24"/>
              </w:rPr>
              <w:t>2.3</w:t>
            </w:r>
          </w:p>
        </w:tc>
        <w:tc>
          <w:tcPr>
            <w:tcW w:w="1406" w:type="dxa"/>
            <w:tcBorders>
              <w:right w:val="single" w:sz="6" w:space="0" w:color="auto"/>
            </w:tcBorders>
            <w:shd w:val="clear" w:color="auto" w:fill="FFFFFF"/>
            <w:vAlign w:val="center"/>
          </w:tcPr>
          <w:p w:rsidR="00485094" w:rsidRPr="006C1FA8" w:rsidRDefault="00485094" w:rsidP="00453E80">
            <w:pPr>
              <w:pStyle w:val="TableText"/>
              <w:jc w:val="center"/>
              <w:rPr>
                <w:szCs w:val="24"/>
              </w:rPr>
            </w:pPr>
            <w:r w:rsidRPr="006C1FA8">
              <w:rPr>
                <w:szCs w:val="24"/>
              </w:rPr>
              <w:t>2004-08</w:t>
            </w:r>
          </w:p>
        </w:tc>
      </w:tr>
      <w:tr w:rsidR="00485094" w:rsidRPr="006C1FA8" w:rsidTr="00453E80">
        <w:trPr>
          <w:cantSplit/>
          <w:trHeight w:val="288"/>
          <w:jc w:val="center"/>
        </w:trPr>
        <w:tc>
          <w:tcPr>
            <w:tcW w:w="1947" w:type="dxa"/>
            <w:tcBorders>
              <w:left w:val="single" w:sz="6" w:space="0" w:color="auto"/>
            </w:tcBorders>
            <w:shd w:val="clear" w:color="auto" w:fill="FFFFCC"/>
            <w:vAlign w:val="center"/>
          </w:tcPr>
          <w:p w:rsidR="00485094" w:rsidRPr="006C1FA8" w:rsidRDefault="00485094" w:rsidP="00453E80">
            <w:pPr>
              <w:pStyle w:val="TableText"/>
              <w:jc w:val="center"/>
              <w:rPr>
                <w:szCs w:val="24"/>
              </w:rPr>
            </w:pPr>
            <w:r w:rsidRPr="006C1FA8">
              <w:rPr>
                <w:szCs w:val="24"/>
              </w:rPr>
              <w:t>Sodium</w:t>
            </w:r>
          </w:p>
        </w:tc>
        <w:tc>
          <w:tcPr>
            <w:tcW w:w="1350" w:type="dxa"/>
            <w:shd w:val="clear" w:color="auto" w:fill="FFFFCC"/>
            <w:vAlign w:val="center"/>
          </w:tcPr>
          <w:p w:rsidR="00485094" w:rsidRPr="006C1FA8" w:rsidRDefault="00485094" w:rsidP="00453E80">
            <w:pPr>
              <w:pStyle w:val="TableText"/>
              <w:jc w:val="center"/>
              <w:rPr>
                <w:szCs w:val="24"/>
              </w:rPr>
            </w:pPr>
            <w:r w:rsidRPr="006C1FA8">
              <w:rPr>
                <w:szCs w:val="24"/>
              </w:rPr>
              <w:t>8,203</w:t>
            </w:r>
          </w:p>
        </w:tc>
        <w:tc>
          <w:tcPr>
            <w:tcW w:w="1440" w:type="dxa"/>
            <w:shd w:val="clear" w:color="auto" w:fill="FFFFCC"/>
            <w:vAlign w:val="center"/>
          </w:tcPr>
          <w:p w:rsidR="00485094" w:rsidRPr="006C1FA8" w:rsidRDefault="00485094" w:rsidP="00453E80">
            <w:pPr>
              <w:pStyle w:val="TableText"/>
              <w:jc w:val="center"/>
              <w:rPr>
                <w:szCs w:val="24"/>
              </w:rPr>
            </w:pPr>
            <w:r w:rsidRPr="006C1FA8">
              <w:rPr>
                <w:szCs w:val="24"/>
              </w:rPr>
              <w:t>3,698</w:t>
            </w:r>
          </w:p>
        </w:tc>
        <w:tc>
          <w:tcPr>
            <w:tcW w:w="1485" w:type="dxa"/>
            <w:shd w:val="clear" w:color="auto" w:fill="FFFFCC"/>
            <w:vAlign w:val="center"/>
          </w:tcPr>
          <w:p w:rsidR="00485094" w:rsidRPr="006C1FA8" w:rsidRDefault="00485094" w:rsidP="00453E80">
            <w:pPr>
              <w:pStyle w:val="TableText"/>
              <w:jc w:val="center"/>
              <w:rPr>
                <w:szCs w:val="24"/>
              </w:rPr>
            </w:pPr>
            <w:r w:rsidRPr="006C1FA8">
              <w:rPr>
                <w:szCs w:val="24"/>
              </w:rPr>
              <w:t>4,505</w:t>
            </w:r>
          </w:p>
        </w:tc>
        <w:tc>
          <w:tcPr>
            <w:tcW w:w="1260" w:type="dxa"/>
            <w:shd w:val="clear" w:color="auto" w:fill="FFFFCC"/>
            <w:vAlign w:val="center"/>
          </w:tcPr>
          <w:p w:rsidR="00485094" w:rsidRPr="006C1FA8" w:rsidRDefault="00485094" w:rsidP="00453E80">
            <w:pPr>
              <w:pStyle w:val="TableText"/>
              <w:jc w:val="center"/>
              <w:rPr>
                <w:szCs w:val="24"/>
              </w:rPr>
            </w:pPr>
            <w:r>
              <w:rPr>
                <w:szCs w:val="24"/>
              </w:rPr>
              <w:t>766</w:t>
            </w:r>
          </w:p>
        </w:tc>
        <w:tc>
          <w:tcPr>
            <w:tcW w:w="1530" w:type="dxa"/>
            <w:shd w:val="clear" w:color="auto" w:fill="FFFFCC"/>
            <w:vAlign w:val="center"/>
          </w:tcPr>
          <w:p w:rsidR="00485094" w:rsidRPr="006C1FA8" w:rsidRDefault="00485094" w:rsidP="00453E80">
            <w:pPr>
              <w:pStyle w:val="TableText"/>
              <w:jc w:val="center"/>
              <w:rPr>
                <w:szCs w:val="24"/>
              </w:rPr>
            </w:pPr>
            <w:r w:rsidRPr="006C1FA8">
              <w:rPr>
                <w:szCs w:val="24"/>
              </w:rPr>
              <w:t>95.7</w:t>
            </w:r>
          </w:p>
        </w:tc>
        <w:tc>
          <w:tcPr>
            <w:tcW w:w="1451" w:type="dxa"/>
            <w:shd w:val="clear" w:color="auto" w:fill="FFFFCC"/>
            <w:vAlign w:val="center"/>
          </w:tcPr>
          <w:p w:rsidR="00485094" w:rsidRPr="006C1FA8" w:rsidRDefault="00485094" w:rsidP="00453E80">
            <w:pPr>
              <w:pStyle w:val="TableText"/>
              <w:jc w:val="center"/>
              <w:rPr>
                <w:szCs w:val="24"/>
              </w:rPr>
            </w:pPr>
            <w:r w:rsidRPr="006C1FA8">
              <w:rPr>
                <w:szCs w:val="24"/>
              </w:rPr>
              <w:t>84.5-96.9</w:t>
            </w:r>
          </w:p>
        </w:tc>
        <w:tc>
          <w:tcPr>
            <w:tcW w:w="1024" w:type="dxa"/>
            <w:shd w:val="clear" w:color="auto" w:fill="FFFFCC"/>
            <w:vAlign w:val="center"/>
          </w:tcPr>
          <w:p w:rsidR="00485094" w:rsidRPr="006C1FA8" w:rsidRDefault="00485094" w:rsidP="00453E80">
            <w:pPr>
              <w:pStyle w:val="TableText"/>
              <w:jc w:val="center"/>
              <w:rPr>
                <w:szCs w:val="24"/>
              </w:rPr>
            </w:pPr>
            <w:r w:rsidRPr="006C1FA8">
              <w:rPr>
                <w:szCs w:val="24"/>
              </w:rPr>
              <w:t>4.3</w:t>
            </w:r>
          </w:p>
        </w:tc>
        <w:tc>
          <w:tcPr>
            <w:tcW w:w="1406" w:type="dxa"/>
            <w:tcBorders>
              <w:right w:val="single" w:sz="6" w:space="0" w:color="auto"/>
            </w:tcBorders>
            <w:shd w:val="clear" w:color="auto" w:fill="FFFFCC"/>
            <w:vAlign w:val="center"/>
          </w:tcPr>
          <w:p w:rsidR="00485094" w:rsidRPr="006C1FA8" w:rsidRDefault="00485094" w:rsidP="00453E80">
            <w:pPr>
              <w:pStyle w:val="TableText"/>
              <w:jc w:val="center"/>
              <w:rPr>
                <w:szCs w:val="24"/>
              </w:rPr>
            </w:pPr>
            <w:r w:rsidRPr="006C1FA8">
              <w:rPr>
                <w:szCs w:val="24"/>
              </w:rPr>
              <w:t>2004-08</w:t>
            </w:r>
          </w:p>
        </w:tc>
      </w:tr>
      <w:tr w:rsidR="00485094" w:rsidRPr="006C1FA8" w:rsidTr="00453E80">
        <w:trPr>
          <w:cantSplit/>
          <w:trHeight w:val="288"/>
          <w:jc w:val="center"/>
        </w:trPr>
        <w:tc>
          <w:tcPr>
            <w:tcW w:w="1947" w:type="dxa"/>
            <w:tcBorders>
              <w:left w:val="single" w:sz="6" w:space="0" w:color="auto"/>
            </w:tcBorders>
            <w:vAlign w:val="center"/>
          </w:tcPr>
          <w:p w:rsidR="00485094" w:rsidRPr="006C1FA8" w:rsidRDefault="00485094" w:rsidP="00453E80">
            <w:pPr>
              <w:pStyle w:val="TableText"/>
              <w:jc w:val="center"/>
              <w:rPr>
                <w:szCs w:val="24"/>
              </w:rPr>
            </w:pPr>
            <w:r w:rsidRPr="006C1FA8">
              <w:rPr>
                <w:szCs w:val="24"/>
              </w:rPr>
              <w:t>Fluoride</w:t>
            </w:r>
          </w:p>
        </w:tc>
        <w:tc>
          <w:tcPr>
            <w:tcW w:w="1350" w:type="dxa"/>
            <w:vAlign w:val="center"/>
          </w:tcPr>
          <w:p w:rsidR="00485094" w:rsidRPr="006C1FA8" w:rsidRDefault="00485094" w:rsidP="00453E80">
            <w:pPr>
              <w:pStyle w:val="TableText"/>
              <w:jc w:val="center"/>
              <w:rPr>
                <w:szCs w:val="24"/>
              </w:rPr>
            </w:pPr>
            <w:r w:rsidRPr="006C1FA8">
              <w:rPr>
                <w:szCs w:val="24"/>
              </w:rPr>
              <w:t>8,203</w:t>
            </w:r>
          </w:p>
        </w:tc>
        <w:tc>
          <w:tcPr>
            <w:tcW w:w="1440" w:type="dxa"/>
            <w:vAlign w:val="center"/>
          </w:tcPr>
          <w:p w:rsidR="00485094" w:rsidRPr="006C1FA8" w:rsidRDefault="00485094" w:rsidP="00453E80">
            <w:pPr>
              <w:pStyle w:val="TableText"/>
              <w:jc w:val="center"/>
              <w:rPr>
                <w:szCs w:val="24"/>
              </w:rPr>
            </w:pPr>
            <w:r w:rsidRPr="006C1FA8">
              <w:rPr>
                <w:szCs w:val="24"/>
              </w:rPr>
              <w:t>3,698</w:t>
            </w:r>
          </w:p>
        </w:tc>
        <w:tc>
          <w:tcPr>
            <w:tcW w:w="1485" w:type="dxa"/>
            <w:vAlign w:val="center"/>
          </w:tcPr>
          <w:p w:rsidR="00485094" w:rsidRPr="006C1FA8" w:rsidRDefault="00485094" w:rsidP="00453E80">
            <w:pPr>
              <w:pStyle w:val="TableText"/>
              <w:jc w:val="center"/>
              <w:rPr>
                <w:szCs w:val="24"/>
              </w:rPr>
            </w:pPr>
            <w:r w:rsidRPr="006C1FA8">
              <w:rPr>
                <w:szCs w:val="24"/>
              </w:rPr>
              <w:t>4,505</w:t>
            </w:r>
          </w:p>
        </w:tc>
        <w:tc>
          <w:tcPr>
            <w:tcW w:w="1260" w:type="dxa"/>
            <w:vAlign w:val="center"/>
          </w:tcPr>
          <w:p w:rsidR="00485094" w:rsidRPr="006C1FA8" w:rsidRDefault="00485094" w:rsidP="00453E80">
            <w:pPr>
              <w:pStyle w:val="TableText"/>
              <w:jc w:val="center"/>
              <w:rPr>
                <w:szCs w:val="24"/>
              </w:rPr>
            </w:pPr>
            <w:r>
              <w:rPr>
                <w:szCs w:val="24"/>
              </w:rPr>
              <w:t>822</w:t>
            </w:r>
          </w:p>
        </w:tc>
        <w:tc>
          <w:tcPr>
            <w:tcW w:w="1530" w:type="dxa"/>
            <w:vAlign w:val="center"/>
          </w:tcPr>
          <w:p w:rsidR="00485094" w:rsidRPr="006C1FA8" w:rsidRDefault="00485094" w:rsidP="00453E80">
            <w:pPr>
              <w:pStyle w:val="TableText"/>
              <w:jc w:val="center"/>
              <w:rPr>
                <w:szCs w:val="24"/>
              </w:rPr>
            </w:pPr>
            <w:r w:rsidRPr="006C1FA8">
              <w:rPr>
                <w:szCs w:val="24"/>
              </w:rPr>
              <w:t>99.3</w:t>
            </w:r>
          </w:p>
        </w:tc>
        <w:tc>
          <w:tcPr>
            <w:tcW w:w="1451" w:type="dxa"/>
            <w:vAlign w:val="center"/>
          </w:tcPr>
          <w:p w:rsidR="00485094" w:rsidRPr="006C1FA8" w:rsidRDefault="00485094" w:rsidP="00453E80">
            <w:pPr>
              <w:pStyle w:val="TableText"/>
              <w:jc w:val="center"/>
              <w:rPr>
                <w:szCs w:val="24"/>
              </w:rPr>
            </w:pPr>
            <w:r>
              <w:rPr>
                <w:szCs w:val="24"/>
              </w:rPr>
              <w:t>94.5</w:t>
            </w:r>
            <w:r w:rsidRPr="006C1FA8">
              <w:rPr>
                <w:szCs w:val="24"/>
              </w:rPr>
              <w:t>-100.0</w:t>
            </w:r>
          </w:p>
        </w:tc>
        <w:tc>
          <w:tcPr>
            <w:tcW w:w="1024" w:type="dxa"/>
            <w:vAlign w:val="center"/>
          </w:tcPr>
          <w:p w:rsidR="00485094" w:rsidRPr="006C1FA8" w:rsidRDefault="00485094" w:rsidP="00453E80">
            <w:pPr>
              <w:pStyle w:val="TableText"/>
              <w:jc w:val="center"/>
              <w:rPr>
                <w:szCs w:val="24"/>
              </w:rPr>
            </w:pPr>
            <w:r w:rsidRPr="006C1FA8">
              <w:rPr>
                <w:szCs w:val="24"/>
              </w:rPr>
              <w:t>0.7</w:t>
            </w:r>
          </w:p>
        </w:tc>
        <w:tc>
          <w:tcPr>
            <w:tcW w:w="1406" w:type="dxa"/>
            <w:tcBorders>
              <w:right w:val="single" w:sz="6" w:space="0" w:color="auto"/>
            </w:tcBorders>
            <w:vAlign w:val="center"/>
          </w:tcPr>
          <w:p w:rsidR="00485094" w:rsidRPr="006C1FA8" w:rsidRDefault="00485094" w:rsidP="00453E80">
            <w:pPr>
              <w:pStyle w:val="TableText"/>
              <w:jc w:val="center"/>
              <w:rPr>
                <w:szCs w:val="24"/>
              </w:rPr>
            </w:pPr>
            <w:r w:rsidRPr="006C1FA8">
              <w:rPr>
                <w:szCs w:val="24"/>
              </w:rPr>
              <w:t>2004-08</w:t>
            </w:r>
          </w:p>
        </w:tc>
      </w:tr>
      <w:tr w:rsidR="00485094" w:rsidRPr="006C1FA8" w:rsidTr="00453E80">
        <w:trPr>
          <w:cantSplit/>
          <w:trHeight w:val="288"/>
          <w:jc w:val="center"/>
        </w:trPr>
        <w:tc>
          <w:tcPr>
            <w:tcW w:w="1947" w:type="dxa"/>
            <w:tcBorders>
              <w:left w:val="single" w:sz="6" w:space="0" w:color="auto"/>
            </w:tcBorders>
            <w:shd w:val="clear" w:color="auto" w:fill="FFFFCC"/>
            <w:vAlign w:val="center"/>
          </w:tcPr>
          <w:p w:rsidR="00485094" w:rsidRPr="006C1FA8" w:rsidRDefault="00485094" w:rsidP="00453E80">
            <w:pPr>
              <w:pStyle w:val="TableText"/>
              <w:jc w:val="center"/>
              <w:rPr>
                <w:szCs w:val="24"/>
              </w:rPr>
            </w:pPr>
            <w:r>
              <w:rPr>
                <w:szCs w:val="24"/>
              </w:rPr>
              <w:t>Fecal Coliform</w:t>
            </w:r>
          </w:p>
        </w:tc>
        <w:tc>
          <w:tcPr>
            <w:tcW w:w="1350" w:type="dxa"/>
            <w:shd w:val="clear" w:color="auto" w:fill="FFFFCC"/>
            <w:vAlign w:val="center"/>
          </w:tcPr>
          <w:p w:rsidR="00485094" w:rsidRPr="006C1FA8" w:rsidRDefault="00485094" w:rsidP="00453E80">
            <w:pPr>
              <w:pStyle w:val="TableText"/>
              <w:jc w:val="center"/>
              <w:rPr>
                <w:szCs w:val="24"/>
              </w:rPr>
            </w:pPr>
            <w:r w:rsidRPr="006C1FA8">
              <w:rPr>
                <w:szCs w:val="24"/>
              </w:rPr>
              <w:t>8,203</w:t>
            </w:r>
          </w:p>
        </w:tc>
        <w:tc>
          <w:tcPr>
            <w:tcW w:w="1440" w:type="dxa"/>
            <w:shd w:val="clear" w:color="auto" w:fill="FFFFCC"/>
            <w:vAlign w:val="center"/>
          </w:tcPr>
          <w:p w:rsidR="00485094" w:rsidRPr="006C1FA8" w:rsidRDefault="00485094" w:rsidP="00453E80">
            <w:pPr>
              <w:pStyle w:val="TableText"/>
              <w:jc w:val="center"/>
              <w:rPr>
                <w:szCs w:val="24"/>
              </w:rPr>
            </w:pPr>
            <w:r w:rsidRPr="006C1FA8">
              <w:rPr>
                <w:szCs w:val="24"/>
              </w:rPr>
              <w:t>3,698</w:t>
            </w:r>
          </w:p>
        </w:tc>
        <w:tc>
          <w:tcPr>
            <w:tcW w:w="1485" w:type="dxa"/>
            <w:shd w:val="clear" w:color="auto" w:fill="FFFFCC"/>
            <w:vAlign w:val="center"/>
          </w:tcPr>
          <w:p w:rsidR="00485094" w:rsidRPr="006C1FA8" w:rsidRDefault="00485094" w:rsidP="00453E80">
            <w:pPr>
              <w:pStyle w:val="TableText"/>
              <w:jc w:val="center"/>
              <w:rPr>
                <w:szCs w:val="24"/>
              </w:rPr>
            </w:pPr>
            <w:r w:rsidRPr="006C1FA8">
              <w:rPr>
                <w:szCs w:val="24"/>
              </w:rPr>
              <w:t>4,505</w:t>
            </w:r>
          </w:p>
        </w:tc>
        <w:tc>
          <w:tcPr>
            <w:tcW w:w="1260" w:type="dxa"/>
            <w:shd w:val="clear" w:color="auto" w:fill="FFFFCC"/>
            <w:vAlign w:val="center"/>
          </w:tcPr>
          <w:p w:rsidR="00485094" w:rsidRPr="006C1FA8" w:rsidRDefault="00485094" w:rsidP="00453E80">
            <w:pPr>
              <w:pStyle w:val="TableText"/>
              <w:jc w:val="center"/>
              <w:rPr>
                <w:szCs w:val="24"/>
              </w:rPr>
            </w:pPr>
            <w:r>
              <w:rPr>
                <w:szCs w:val="24"/>
              </w:rPr>
              <w:t>813</w:t>
            </w:r>
          </w:p>
        </w:tc>
        <w:tc>
          <w:tcPr>
            <w:tcW w:w="1530" w:type="dxa"/>
            <w:shd w:val="clear" w:color="auto" w:fill="FFFFCC"/>
            <w:vAlign w:val="center"/>
          </w:tcPr>
          <w:p w:rsidR="00485094" w:rsidRPr="006C1FA8" w:rsidRDefault="00485094" w:rsidP="00453E80">
            <w:pPr>
              <w:pStyle w:val="TableText"/>
              <w:jc w:val="center"/>
              <w:rPr>
                <w:szCs w:val="24"/>
              </w:rPr>
            </w:pPr>
            <w:r w:rsidRPr="006C1FA8">
              <w:rPr>
                <w:szCs w:val="24"/>
              </w:rPr>
              <w:t>96.</w:t>
            </w:r>
            <w:r>
              <w:rPr>
                <w:szCs w:val="24"/>
              </w:rPr>
              <w:t>2</w:t>
            </w:r>
          </w:p>
        </w:tc>
        <w:tc>
          <w:tcPr>
            <w:tcW w:w="1451" w:type="dxa"/>
            <w:shd w:val="clear" w:color="auto" w:fill="FFFFCC"/>
            <w:vAlign w:val="center"/>
          </w:tcPr>
          <w:p w:rsidR="00485094" w:rsidRPr="006C1FA8" w:rsidRDefault="00485094" w:rsidP="00453E80">
            <w:pPr>
              <w:pStyle w:val="TableText"/>
              <w:jc w:val="center"/>
              <w:rPr>
                <w:szCs w:val="24"/>
              </w:rPr>
            </w:pPr>
            <w:r w:rsidRPr="006C1FA8">
              <w:rPr>
                <w:szCs w:val="24"/>
              </w:rPr>
              <w:t>94.</w:t>
            </w:r>
            <w:r>
              <w:rPr>
                <w:szCs w:val="24"/>
              </w:rPr>
              <w:t>2</w:t>
            </w:r>
            <w:r w:rsidRPr="006C1FA8">
              <w:rPr>
                <w:szCs w:val="24"/>
              </w:rPr>
              <w:t>-98.</w:t>
            </w:r>
            <w:r>
              <w:rPr>
                <w:szCs w:val="24"/>
              </w:rPr>
              <w:t>2</w:t>
            </w:r>
          </w:p>
        </w:tc>
        <w:tc>
          <w:tcPr>
            <w:tcW w:w="1024" w:type="dxa"/>
            <w:shd w:val="clear" w:color="auto" w:fill="FFFFCC"/>
            <w:vAlign w:val="center"/>
          </w:tcPr>
          <w:p w:rsidR="00485094" w:rsidRPr="006C1FA8" w:rsidRDefault="00485094" w:rsidP="00453E80">
            <w:pPr>
              <w:pStyle w:val="TableText"/>
              <w:jc w:val="center"/>
              <w:rPr>
                <w:szCs w:val="24"/>
              </w:rPr>
            </w:pPr>
            <w:r w:rsidRPr="006C1FA8">
              <w:rPr>
                <w:szCs w:val="24"/>
              </w:rPr>
              <w:t>3.</w:t>
            </w:r>
            <w:r>
              <w:rPr>
                <w:szCs w:val="24"/>
              </w:rPr>
              <w:t>8</w:t>
            </w:r>
          </w:p>
        </w:tc>
        <w:tc>
          <w:tcPr>
            <w:tcW w:w="1406" w:type="dxa"/>
            <w:tcBorders>
              <w:right w:val="single" w:sz="6" w:space="0" w:color="auto"/>
            </w:tcBorders>
            <w:shd w:val="clear" w:color="auto" w:fill="FFFFCC"/>
            <w:vAlign w:val="center"/>
          </w:tcPr>
          <w:p w:rsidR="00485094" w:rsidRPr="006C1FA8" w:rsidRDefault="00485094" w:rsidP="00453E80">
            <w:pPr>
              <w:pStyle w:val="TableText"/>
              <w:jc w:val="center"/>
              <w:rPr>
                <w:szCs w:val="24"/>
              </w:rPr>
            </w:pPr>
            <w:r w:rsidRPr="006C1FA8">
              <w:rPr>
                <w:szCs w:val="24"/>
              </w:rPr>
              <w:t>2004-08</w:t>
            </w:r>
          </w:p>
        </w:tc>
      </w:tr>
      <w:tr w:rsidR="00485094" w:rsidRPr="006C1FA8" w:rsidTr="00453E80">
        <w:trPr>
          <w:cantSplit/>
          <w:trHeight w:val="288"/>
          <w:jc w:val="center"/>
        </w:trPr>
        <w:tc>
          <w:tcPr>
            <w:tcW w:w="1947" w:type="dxa"/>
            <w:tcBorders>
              <w:left w:val="single" w:sz="6" w:space="0" w:color="auto"/>
            </w:tcBorders>
            <w:vAlign w:val="center"/>
          </w:tcPr>
          <w:p w:rsidR="00485094" w:rsidRPr="006C1FA8" w:rsidRDefault="00485094" w:rsidP="00453E80">
            <w:pPr>
              <w:pStyle w:val="TableText"/>
              <w:jc w:val="center"/>
              <w:rPr>
                <w:szCs w:val="24"/>
              </w:rPr>
            </w:pPr>
            <w:r>
              <w:rPr>
                <w:szCs w:val="24"/>
              </w:rPr>
              <w:t>Total Coliform</w:t>
            </w:r>
          </w:p>
        </w:tc>
        <w:tc>
          <w:tcPr>
            <w:tcW w:w="1350" w:type="dxa"/>
            <w:vAlign w:val="center"/>
          </w:tcPr>
          <w:p w:rsidR="00485094" w:rsidRPr="006C1FA8" w:rsidRDefault="00485094" w:rsidP="00453E80">
            <w:pPr>
              <w:pStyle w:val="TableText"/>
              <w:jc w:val="center"/>
              <w:rPr>
                <w:szCs w:val="24"/>
              </w:rPr>
            </w:pPr>
            <w:r w:rsidRPr="006C1FA8">
              <w:rPr>
                <w:szCs w:val="24"/>
              </w:rPr>
              <w:t>8,203</w:t>
            </w:r>
          </w:p>
        </w:tc>
        <w:tc>
          <w:tcPr>
            <w:tcW w:w="1440" w:type="dxa"/>
            <w:vAlign w:val="center"/>
          </w:tcPr>
          <w:p w:rsidR="00485094" w:rsidRPr="006C1FA8" w:rsidRDefault="00485094" w:rsidP="00453E80">
            <w:pPr>
              <w:pStyle w:val="TableText"/>
              <w:jc w:val="center"/>
              <w:rPr>
                <w:szCs w:val="24"/>
              </w:rPr>
            </w:pPr>
            <w:r w:rsidRPr="006C1FA8">
              <w:rPr>
                <w:szCs w:val="24"/>
              </w:rPr>
              <w:t>3,698</w:t>
            </w:r>
          </w:p>
        </w:tc>
        <w:tc>
          <w:tcPr>
            <w:tcW w:w="1485" w:type="dxa"/>
            <w:vAlign w:val="center"/>
          </w:tcPr>
          <w:p w:rsidR="00485094" w:rsidRPr="006C1FA8" w:rsidRDefault="00485094" w:rsidP="00453E80">
            <w:pPr>
              <w:pStyle w:val="TableText"/>
              <w:jc w:val="center"/>
              <w:rPr>
                <w:szCs w:val="24"/>
              </w:rPr>
            </w:pPr>
            <w:r w:rsidRPr="006C1FA8">
              <w:rPr>
                <w:szCs w:val="24"/>
              </w:rPr>
              <w:t>4,505</w:t>
            </w:r>
          </w:p>
        </w:tc>
        <w:tc>
          <w:tcPr>
            <w:tcW w:w="1260" w:type="dxa"/>
            <w:vAlign w:val="center"/>
          </w:tcPr>
          <w:p w:rsidR="00485094" w:rsidRPr="006C1FA8" w:rsidRDefault="00485094" w:rsidP="00453E80">
            <w:pPr>
              <w:pStyle w:val="TableText"/>
              <w:jc w:val="center"/>
              <w:rPr>
                <w:szCs w:val="24"/>
              </w:rPr>
            </w:pPr>
            <w:r>
              <w:rPr>
                <w:szCs w:val="24"/>
              </w:rPr>
              <w:t>774</w:t>
            </w:r>
          </w:p>
        </w:tc>
        <w:tc>
          <w:tcPr>
            <w:tcW w:w="1530" w:type="dxa"/>
            <w:vAlign w:val="center"/>
          </w:tcPr>
          <w:p w:rsidR="00485094" w:rsidRPr="006C1FA8" w:rsidRDefault="00485094" w:rsidP="00453E80">
            <w:pPr>
              <w:pStyle w:val="TableText"/>
              <w:jc w:val="center"/>
              <w:rPr>
                <w:szCs w:val="24"/>
              </w:rPr>
            </w:pPr>
            <w:r w:rsidRPr="006C1FA8">
              <w:rPr>
                <w:szCs w:val="24"/>
              </w:rPr>
              <w:t>8</w:t>
            </w:r>
            <w:r>
              <w:rPr>
                <w:szCs w:val="24"/>
              </w:rPr>
              <w:t>2</w:t>
            </w:r>
            <w:r w:rsidRPr="006C1FA8">
              <w:rPr>
                <w:szCs w:val="24"/>
              </w:rPr>
              <w:t>.6</w:t>
            </w:r>
          </w:p>
        </w:tc>
        <w:tc>
          <w:tcPr>
            <w:tcW w:w="1451" w:type="dxa"/>
            <w:vAlign w:val="center"/>
          </w:tcPr>
          <w:p w:rsidR="00485094" w:rsidRPr="006C1FA8" w:rsidRDefault="00485094" w:rsidP="00453E80">
            <w:pPr>
              <w:pStyle w:val="TableText"/>
              <w:jc w:val="center"/>
              <w:rPr>
                <w:szCs w:val="24"/>
              </w:rPr>
            </w:pPr>
            <w:r w:rsidRPr="006C1FA8">
              <w:rPr>
                <w:szCs w:val="24"/>
              </w:rPr>
              <w:t>7</w:t>
            </w:r>
            <w:r>
              <w:rPr>
                <w:szCs w:val="24"/>
              </w:rPr>
              <w:t>8.8</w:t>
            </w:r>
            <w:r w:rsidRPr="006C1FA8">
              <w:rPr>
                <w:szCs w:val="24"/>
              </w:rPr>
              <w:t>-8</w:t>
            </w:r>
            <w:r>
              <w:rPr>
                <w:szCs w:val="24"/>
              </w:rPr>
              <w:t>6.5</w:t>
            </w:r>
          </w:p>
        </w:tc>
        <w:tc>
          <w:tcPr>
            <w:tcW w:w="1024" w:type="dxa"/>
            <w:vAlign w:val="center"/>
          </w:tcPr>
          <w:p w:rsidR="00485094" w:rsidRPr="006C1FA8" w:rsidRDefault="00485094" w:rsidP="00453E80">
            <w:pPr>
              <w:pStyle w:val="TableText"/>
              <w:jc w:val="center"/>
              <w:rPr>
                <w:szCs w:val="24"/>
              </w:rPr>
            </w:pPr>
            <w:r w:rsidRPr="006C1FA8">
              <w:rPr>
                <w:szCs w:val="24"/>
              </w:rPr>
              <w:t>1</w:t>
            </w:r>
            <w:r>
              <w:rPr>
                <w:szCs w:val="24"/>
              </w:rPr>
              <w:t>7</w:t>
            </w:r>
            <w:r w:rsidRPr="006C1FA8">
              <w:rPr>
                <w:szCs w:val="24"/>
              </w:rPr>
              <w:t>.4</w:t>
            </w:r>
          </w:p>
        </w:tc>
        <w:tc>
          <w:tcPr>
            <w:tcW w:w="1406" w:type="dxa"/>
            <w:tcBorders>
              <w:right w:val="single" w:sz="6" w:space="0" w:color="auto"/>
            </w:tcBorders>
            <w:vAlign w:val="center"/>
          </w:tcPr>
          <w:p w:rsidR="00485094" w:rsidRPr="006C1FA8" w:rsidRDefault="00485094" w:rsidP="00453E80">
            <w:pPr>
              <w:pStyle w:val="TableText"/>
              <w:jc w:val="center"/>
              <w:rPr>
                <w:szCs w:val="24"/>
              </w:rPr>
            </w:pPr>
            <w:r w:rsidRPr="006C1FA8">
              <w:rPr>
                <w:szCs w:val="24"/>
              </w:rPr>
              <w:t>2004-08</w:t>
            </w:r>
          </w:p>
        </w:tc>
      </w:tr>
    </w:tbl>
    <w:p w:rsidR="00485094" w:rsidRPr="00111A18" w:rsidRDefault="00485094" w:rsidP="00692F31">
      <w:pPr>
        <w:pStyle w:val="TableText"/>
        <w:ind w:left="360"/>
        <w:rPr>
          <w:sz w:val="16"/>
          <w:szCs w:val="16"/>
        </w:rPr>
      </w:pPr>
    </w:p>
    <w:p w:rsidR="00485094" w:rsidRPr="00F30218" w:rsidRDefault="00485094" w:rsidP="00692F31">
      <w:pPr>
        <w:pStyle w:val="Bodytext"/>
        <w:rPr>
          <w:b/>
        </w:rPr>
      </w:pPr>
      <w:r w:rsidRPr="00F30218">
        <w:rPr>
          <w:b/>
        </w:rPr>
        <w:t>Highlights:  Unconfined Aquifers</w:t>
      </w:r>
    </w:p>
    <w:p w:rsidR="00485094" w:rsidRDefault="00485094" w:rsidP="00692F31">
      <w:pPr>
        <w:pStyle w:val="ListBullet"/>
      </w:pPr>
      <w:r>
        <w:t>Unconfined (s</w:t>
      </w:r>
      <w:r w:rsidRPr="00B6382E">
        <w:t>hallow</w:t>
      </w:r>
      <w:r>
        <w:t>)</w:t>
      </w:r>
      <w:r w:rsidRPr="00B6382E">
        <w:t xml:space="preserve"> aquifers are often more susceptible to anthropogenic influences or changing hydrologic conditions.  </w:t>
      </w:r>
      <w:r>
        <w:t>M</w:t>
      </w:r>
      <w:r w:rsidRPr="00B6382E">
        <w:t>ore unconfined aquifer wells exceed</w:t>
      </w:r>
      <w:r>
        <w:t>ed</w:t>
      </w:r>
      <w:r w:rsidRPr="00B6382E">
        <w:t xml:space="preserve"> their target thresholds than d</w:t>
      </w:r>
      <w:r>
        <w:t>id</w:t>
      </w:r>
      <w:r w:rsidRPr="00B6382E">
        <w:t xml:space="preserve"> wells in the confined aquifers.</w:t>
      </w:r>
    </w:p>
    <w:p w:rsidR="00485094" w:rsidRDefault="00485094" w:rsidP="00692F31">
      <w:pPr>
        <w:pStyle w:val="ListBullet"/>
      </w:pPr>
      <w:r>
        <w:t>O</w:t>
      </w:r>
      <w:r w:rsidRPr="00B6382E">
        <w:t>f sampled wells in Florida</w:t>
      </w:r>
      <w:r>
        <w:t>, 19.4%</w:t>
      </w:r>
      <w:r w:rsidRPr="00B6382E">
        <w:t xml:space="preserve"> did not </w:t>
      </w:r>
      <w:r>
        <w:t>meet</w:t>
      </w:r>
      <w:r w:rsidRPr="00B6382E">
        <w:t xml:space="preserve"> the potable water threshold for total coliform</w:t>
      </w:r>
      <w:r>
        <w:t xml:space="preserve"> (</w:t>
      </w:r>
      <w:r>
        <w:rPr>
          <w:rFonts w:cs="Arial"/>
        </w:rPr>
        <w:t>≤</w:t>
      </w:r>
      <w:r>
        <w:t xml:space="preserve">4 </w:t>
      </w:r>
      <w:r w:rsidRPr="003B37D3">
        <w:rPr>
          <w:rFonts w:cs="Arial"/>
        </w:rPr>
        <w:t>colonies/100mL</w:t>
      </w:r>
      <w:r>
        <w:rPr>
          <w:rFonts w:cs="Arial"/>
        </w:rPr>
        <w:t>)</w:t>
      </w:r>
      <w:r w:rsidRPr="00B6382E">
        <w:t>.  Unconfined aquifer wells in the Sarasota Bay</w:t>
      </w:r>
      <w:r>
        <w:t>–</w:t>
      </w:r>
      <w:r w:rsidRPr="00B6382E">
        <w:t>Peace</w:t>
      </w:r>
      <w:r>
        <w:t>–Myakka and Ochlockonee–</w:t>
      </w:r>
      <w:r w:rsidRPr="00B6382E">
        <w:t xml:space="preserve">St. Marks </w:t>
      </w:r>
      <w:r>
        <w:t>B</w:t>
      </w:r>
      <w:r w:rsidRPr="00B6382E">
        <w:t xml:space="preserve">asins had the highest exceedance rates for total coliform, </w:t>
      </w:r>
      <w:r>
        <w:t xml:space="preserve">at </w:t>
      </w:r>
      <w:r w:rsidRPr="00B6382E">
        <w:t xml:space="preserve">52.6% and 52.5%, respectively.  </w:t>
      </w:r>
    </w:p>
    <w:p w:rsidR="00485094" w:rsidRPr="00B6382E" w:rsidRDefault="00485094" w:rsidP="00692F31">
      <w:pPr>
        <w:pStyle w:val="ListBullet"/>
      </w:pPr>
      <w:r>
        <w:t>Statewide, f</w:t>
      </w:r>
      <w:r w:rsidRPr="00B6382E">
        <w:t xml:space="preserve">ecal coliform levels </w:t>
      </w:r>
      <w:r>
        <w:t>(</w:t>
      </w:r>
      <w:r>
        <w:rPr>
          <w:rFonts w:cs="Arial"/>
        </w:rPr>
        <w:t>&lt;2</w:t>
      </w:r>
      <w:r>
        <w:t xml:space="preserve"> </w:t>
      </w:r>
      <w:r w:rsidRPr="003B37D3">
        <w:rPr>
          <w:rFonts w:cs="Arial"/>
        </w:rPr>
        <w:t>colonies/100mL</w:t>
      </w:r>
      <w:r>
        <w:rPr>
          <w:rFonts w:cs="Arial"/>
        </w:rPr>
        <w:t>)</w:t>
      </w:r>
      <w:r w:rsidRPr="00B6382E">
        <w:t xml:space="preserve"> exceeded the potable water threshold in 3.9% of wells</w:t>
      </w:r>
      <w:r>
        <w:t xml:space="preserve"> sampled.  T</w:t>
      </w:r>
      <w:r w:rsidRPr="00B6382E">
        <w:t>he highest exceedance rates were found in the Sarasota Bay</w:t>
      </w:r>
      <w:r>
        <w:t>–</w:t>
      </w:r>
      <w:r w:rsidRPr="00B6382E">
        <w:t>Peace</w:t>
      </w:r>
      <w:r>
        <w:t>–</w:t>
      </w:r>
      <w:r w:rsidRPr="00B6382E">
        <w:t>Myakka (17.1%) and Southeast Coast</w:t>
      </w:r>
      <w:r>
        <w:t>–</w:t>
      </w:r>
      <w:r w:rsidRPr="00B6382E">
        <w:t xml:space="preserve">Biscayne Bay </w:t>
      </w:r>
      <w:r>
        <w:t>(</w:t>
      </w:r>
      <w:r w:rsidRPr="00B6382E">
        <w:t>13.1%</w:t>
      </w:r>
      <w:r>
        <w:t>) Basins</w:t>
      </w:r>
      <w:r w:rsidRPr="00B6382E">
        <w:t xml:space="preserve">. </w:t>
      </w:r>
      <w:r>
        <w:t xml:space="preserve"> </w:t>
      </w:r>
      <w:r w:rsidRPr="00B6382E">
        <w:t xml:space="preserve">As in confined wells, coliform detection in an unconfined well can indicate problems with well construction or maintenance, and can also indicate contamination from surface water or stormwater runoff.  </w:t>
      </w:r>
    </w:p>
    <w:p w:rsidR="00485094" w:rsidRDefault="00485094" w:rsidP="00992855">
      <w:pPr>
        <w:pStyle w:val="ListBullet"/>
      </w:pPr>
      <w:r>
        <w:t>Statewide</w:t>
      </w:r>
      <w:r w:rsidRPr="00B6382E">
        <w:t>, 4.3% of the wells sampled exceeded the state threshold for sodium</w:t>
      </w:r>
      <w:r>
        <w:t xml:space="preserve"> (</w:t>
      </w:r>
      <w:r w:rsidRPr="00992855">
        <w:rPr>
          <w:rFonts w:cs="Arial"/>
        </w:rPr>
        <w:t>≤160</w:t>
      </w:r>
      <w:r>
        <w:t xml:space="preserve"> mg/</w:t>
      </w:r>
      <w:r w:rsidRPr="00992855">
        <w:rPr>
          <w:rFonts w:cs="Arial"/>
        </w:rPr>
        <w:t>L)</w:t>
      </w:r>
      <w:r w:rsidRPr="00B6382E">
        <w:t>.  Wells in the Springs Coast, Everglades</w:t>
      </w:r>
      <w:r>
        <w:t>–W</w:t>
      </w:r>
      <w:r w:rsidRPr="00B6382E">
        <w:t>est Coast</w:t>
      </w:r>
      <w:r>
        <w:t>,</w:t>
      </w:r>
      <w:r w:rsidRPr="00B6382E">
        <w:t xml:space="preserve"> and Indian River Lagoon </w:t>
      </w:r>
      <w:r>
        <w:t>B</w:t>
      </w:r>
      <w:r w:rsidRPr="00B6382E">
        <w:t>asins, all of which are coastal basins, had the highest exceedance rates for sodium,</w:t>
      </w:r>
      <w:r>
        <w:t xml:space="preserve"> at</w:t>
      </w:r>
      <w:r w:rsidRPr="00B6382E">
        <w:t xml:space="preserve"> 22.2%, 19.8%</w:t>
      </w:r>
      <w:r>
        <w:t>,</w:t>
      </w:r>
      <w:r w:rsidRPr="00B6382E">
        <w:t xml:space="preserve"> and 19.8%</w:t>
      </w:r>
      <w:r>
        <w:t>,</w:t>
      </w:r>
      <w:r w:rsidRPr="00B6382E">
        <w:t xml:space="preserve"> respectively.  In unconfined aquifers, sodium levels above the state threshold can be indicative </w:t>
      </w:r>
      <w:r>
        <w:t>of the</w:t>
      </w:r>
      <w:r w:rsidRPr="00B6382E">
        <w:t xml:space="preserve"> upconing of mineralized ground water from deeper aquifers, or saltwater intrusion resulting from overpumping or drought.</w:t>
      </w:r>
    </w:p>
    <w:p w:rsidR="00485094" w:rsidRDefault="00485094" w:rsidP="00992855">
      <w:pPr>
        <w:pStyle w:val="ListBullet"/>
      </w:pPr>
      <w:r>
        <w:t>S</w:t>
      </w:r>
      <w:r w:rsidRPr="00B6382E">
        <w:t>tate</w:t>
      </w:r>
      <w:r>
        <w:t>wide</w:t>
      </w:r>
      <w:r w:rsidRPr="00B6382E">
        <w:t>, 3.1% of sampled wells in unconfined aquifers exceeded the state threshold for arsenic</w:t>
      </w:r>
      <w:r>
        <w:t xml:space="preserve"> (</w:t>
      </w:r>
      <w:r w:rsidRPr="00992855">
        <w:rPr>
          <w:rFonts w:cs="Arial"/>
        </w:rPr>
        <w:t>≤10</w:t>
      </w:r>
      <w:r>
        <w:t xml:space="preserve"> </w:t>
      </w:r>
      <w:r w:rsidRPr="00992855">
        <w:rPr>
          <w:rFonts w:cs="Arial"/>
        </w:rPr>
        <w:t>µ</w:t>
      </w:r>
      <w:r>
        <w:t>g/</w:t>
      </w:r>
      <w:r w:rsidRPr="00992855">
        <w:rPr>
          <w:rFonts w:cs="Arial"/>
        </w:rPr>
        <w:t>L)</w:t>
      </w:r>
      <w:r w:rsidRPr="00B6382E">
        <w:t xml:space="preserve">.  </w:t>
      </w:r>
      <w:r>
        <w:t>W</w:t>
      </w:r>
      <w:r w:rsidRPr="00B6382E">
        <w:t xml:space="preserve">ells in the Tampa Bay Tributaries and Everglades–West Coast </w:t>
      </w:r>
      <w:r>
        <w:t>B</w:t>
      </w:r>
      <w:r w:rsidRPr="00B6382E">
        <w:t xml:space="preserve">asins had the highest exceedance rates, </w:t>
      </w:r>
      <w:r>
        <w:t xml:space="preserve">at </w:t>
      </w:r>
      <w:r w:rsidRPr="00B6382E">
        <w:t>20.4% and 17.2%</w:t>
      </w:r>
      <w:r>
        <w:t>,</w:t>
      </w:r>
      <w:r w:rsidRPr="00B6382E">
        <w:t xml:space="preserve"> respectively.  The source of arsenic in unconfined aquifers may be local geology or pesticides used in groves, golf courses, and cattle-dipping vats.</w:t>
      </w:r>
      <w:r>
        <w:t xml:space="preserve">  </w:t>
      </w:r>
    </w:p>
    <w:p w:rsidR="00485094" w:rsidRDefault="00485094" w:rsidP="00992855">
      <w:pPr>
        <w:pStyle w:val="ListBullet"/>
      </w:pPr>
      <w:r w:rsidRPr="00B6382E">
        <w:t xml:space="preserve">In Florida, 2.5% of the unconfined wells sampled exceeded the state threshold for lead.  </w:t>
      </w:r>
      <w:r>
        <w:t xml:space="preserve">The </w:t>
      </w:r>
      <w:r w:rsidRPr="00B6382E">
        <w:t xml:space="preserve">Lake Worth Lagoon–Palm Beach Coast and Ocklawaha </w:t>
      </w:r>
      <w:r>
        <w:t>B</w:t>
      </w:r>
      <w:r w:rsidRPr="00B6382E">
        <w:t xml:space="preserve">asins had the highest exceedance rates, </w:t>
      </w:r>
      <w:r>
        <w:t xml:space="preserve">at </w:t>
      </w:r>
      <w:r w:rsidRPr="00B6382E">
        <w:t>10.9% and 10.2%</w:t>
      </w:r>
      <w:r>
        <w:t>,</w:t>
      </w:r>
      <w:r w:rsidRPr="00B6382E">
        <w:t xml:space="preserve"> respectively.  Lead levels </w:t>
      </w:r>
      <w:r>
        <w:t>(</w:t>
      </w:r>
      <w:r w:rsidRPr="00992855">
        <w:rPr>
          <w:rFonts w:cs="Arial"/>
        </w:rPr>
        <w:t>≤15</w:t>
      </w:r>
      <w:r>
        <w:t xml:space="preserve"> </w:t>
      </w:r>
      <w:r w:rsidRPr="00992855">
        <w:rPr>
          <w:rFonts w:cs="Arial"/>
        </w:rPr>
        <w:t>µ</w:t>
      </w:r>
      <w:r>
        <w:t>g/</w:t>
      </w:r>
      <w:r w:rsidRPr="00992855">
        <w:rPr>
          <w:rFonts w:cs="Arial"/>
        </w:rPr>
        <w:t xml:space="preserve">L) </w:t>
      </w:r>
      <w:r w:rsidRPr="00B6382E">
        <w:t xml:space="preserve">above the state threshold can be indicative of contamination from land use practices.  Another source of lead may be aging plumbing fixtures associated with wells.  </w:t>
      </w:r>
    </w:p>
    <w:p w:rsidR="00485094" w:rsidRPr="00B6382E" w:rsidRDefault="00485094" w:rsidP="00692F31">
      <w:pPr>
        <w:pStyle w:val="ListBullet"/>
      </w:pPr>
      <w:r w:rsidRPr="00094947">
        <w:t>Statewide</w:t>
      </w:r>
      <w:r>
        <w:t>,</w:t>
      </w:r>
      <w:r w:rsidRPr="00094947">
        <w:t xml:space="preserve"> 0.1% of the wells sampled excee</w:t>
      </w:r>
      <w:r w:rsidRPr="00992855">
        <w:rPr>
          <w:rFonts w:cs="Arial"/>
        </w:rPr>
        <w:t>ded</w:t>
      </w:r>
      <w:r w:rsidRPr="00C81D3C">
        <w:rPr>
          <w:rFonts w:cs="Arial"/>
        </w:rPr>
        <w:t xml:space="preserve"> </w:t>
      </w:r>
      <w:r w:rsidRPr="00992855">
        <w:rPr>
          <w:rFonts w:cs="Arial"/>
        </w:rPr>
        <w:t>t</w:t>
      </w:r>
      <w:r w:rsidRPr="00C81D3C">
        <w:rPr>
          <w:rFonts w:cs="Arial"/>
        </w:rPr>
        <w:t>h</w:t>
      </w:r>
      <w:r w:rsidRPr="00094947">
        <w:t>e</w:t>
      </w:r>
      <w:r w:rsidRPr="00992855">
        <w:rPr>
          <w:rFonts w:cs="Arial"/>
        </w:rPr>
        <w:t xml:space="preserve"> st</w:t>
      </w:r>
      <w:r w:rsidRPr="00C81D3C">
        <w:rPr>
          <w:rFonts w:cs="Arial"/>
        </w:rPr>
        <w:t>a</w:t>
      </w:r>
      <w:r w:rsidRPr="00094947">
        <w:t xml:space="preserve">te threshold for cadmium.  Wells in the St. Lucie–Loxahatchee River and Everglades </w:t>
      </w:r>
      <w:r>
        <w:t>B</w:t>
      </w:r>
      <w:r w:rsidRPr="00094947">
        <w:t>asins had the highest e</w:t>
      </w:r>
      <w:r>
        <w:t>xceedance rates, both at 2.2%.</w:t>
      </w:r>
    </w:p>
    <w:p w:rsidR="00485094" w:rsidRDefault="00485094" w:rsidP="00692F31">
      <w:pPr>
        <w:pStyle w:val="ListBullet"/>
      </w:pPr>
      <w:r w:rsidRPr="00B6382E">
        <w:t xml:space="preserve">The state threshold for nitrate-nitrite </w:t>
      </w:r>
      <w:r>
        <w:t>(</w:t>
      </w:r>
      <w:r>
        <w:rPr>
          <w:rFonts w:cs="Arial"/>
        </w:rPr>
        <w:t>≤10</w:t>
      </w:r>
      <w:r>
        <w:t xml:space="preserve"> </w:t>
      </w:r>
      <w:r>
        <w:rPr>
          <w:rFonts w:cs="Arial"/>
        </w:rPr>
        <w:t>m</w:t>
      </w:r>
      <w:r>
        <w:t>g/</w:t>
      </w:r>
      <w:r>
        <w:rPr>
          <w:rFonts w:cs="Arial"/>
        </w:rPr>
        <w:t xml:space="preserve">L) </w:t>
      </w:r>
      <w:r w:rsidRPr="00B6382E">
        <w:t xml:space="preserve">was exceeded in 2.3% of Florida wells sampled.  The Kissimmee River and Middle St. Johns </w:t>
      </w:r>
      <w:r>
        <w:t>B</w:t>
      </w:r>
      <w:r w:rsidRPr="00B6382E">
        <w:t>asins had the highest exceedance rates,</w:t>
      </w:r>
      <w:r>
        <w:t xml:space="preserve"> at</w:t>
      </w:r>
      <w:r w:rsidRPr="00B6382E">
        <w:t xml:space="preserve"> 34.8% and 11.7%, respectively.  Elevated nitrate detections reflect the presence of nutrient sources such as fertilizers, animal waste, or domestic wastewater.  </w:t>
      </w:r>
    </w:p>
    <w:p w:rsidR="00485094" w:rsidRPr="00B6382E" w:rsidRDefault="00485094" w:rsidP="00692F31">
      <w:pPr>
        <w:pStyle w:val="ListBullet"/>
      </w:pPr>
      <w:r w:rsidRPr="00B6382E">
        <w:t>Statewide, 0.7% of the wells sampled exceeded the state threshold for fluoride</w:t>
      </w:r>
      <w:r>
        <w:t xml:space="preserve"> (</w:t>
      </w:r>
      <w:r>
        <w:rPr>
          <w:rFonts w:cs="Arial"/>
        </w:rPr>
        <w:t>≤4</w:t>
      </w:r>
      <w:r>
        <w:t xml:space="preserve"> mg/</w:t>
      </w:r>
      <w:r>
        <w:rPr>
          <w:rFonts w:cs="Arial"/>
        </w:rPr>
        <w:t>L)</w:t>
      </w:r>
      <w:r w:rsidRPr="00B6382E">
        <w:t xml:space="preserve">.  The Pensacola </w:t>
      </w:r>
      <w:r>
        <w:t>B</w:t>
      </w:r>
      <w:r w:rsidRPr="00B6382E">
        <w:t>asin had the highest exceedance rate</w:t>
      </w:r>
      <w:r>
        <w:t>, at</w:t>
      </w:r>
      <w:r w:rsidRPr="00B6382E">
        <w:t xml:space="preserve"> 6.4%, which may result from the inf</w:t>
      </w:r>
      <w:r>
        <w:t>luence of nearby marine areas</w:t>
      </w:r>
      <w:r w:rsidRPr="00B6382E">
        <w:t>.</w:t>
      </w:r>
    </w:p>
    <w:p w:rsidR="00485094" w:rsidRDefault="00485094" w:rsidP="00692F31">
      <w:pPr>
        <w:rPr>
          <w:rFonts w:ascii="Arial" w:hAnsi="Arial" w:cs="Arial"/>
        </w:rPr>
      </w:pPr>
    </w:p>
    <w:p w:rsidR="00485094" w:rsidRDefault="00485094" w:rsidP="00692F31">
      <w:pPr>
        <w:rPr>
          <w:rFonts w:ascii="Arial" w:hAnsi="Arial" w:cs="Arial"/>
          <w:b/>
          <w:u w:val="single"/>
        </w:rPr>
        <w:sectPr w:rsidR="00485094" w:rsidSect="00F97DA7">
          <w:headerReference w:type="even" r:id="rId96"/>
          <w:headerReference w:type="first" r:id="rId97"/>
          <w:pgSz w:w="15840" w:h="12240" w:orient="landscape" w:code="1"/>
          <w:pgMar w:top="1440" w:right="1440" w:bottom="1440" w:left="1440" w:header="720" w:footer="720" w:gutter="0"/>
          <w:paperSrc w:first="261"/>
          <w:cols w:space="720"/>
          <w:docGrid w:linePitch="360"/>
        </w:sectPr>
      </w:pPr>
    </w:p>
    <w:p w:rsidR="00485094" w:rsidRDefault="00485094" w:rsidP="00692F31">
      <w:pPr>
        <w:pStyle w:val="Heading2"/>
      </w:pPr>
      <w:bookmarkStart w:id="448" w:name="_Toc255822534"/>
      <w:bookmarkStart w:id="449" w:name="_Toc262464152"/>
      <w:bookmarkStart w:id="450" w:name="_Toc271279976"/>
      <w:r>
        <w:t xml:space="preserve">Summary of Status Network </w:t>
      </w:r>
      <w:r w:rsidRPr="000F2735">
        <w:t>Cycle 1 versus Cycle 2</w:t>
      </w:r>
      <w:r>
        <w:t xml:space="preserve"> Results</w:t>
      </w:r>
      <w:bookmarkEnd w:id="448"/>
      <w:bookmarkEnd w:id="449"/>
      <w:bookmarkEnd w:id="450"/>
    </w:p>
    <w:p w:rsidR="00485094" w:rsidRDefault="00485094" w:rsidP="00692F31">
      <w:pPr>
        <w:pStyle w:val="Bodytext"/>
      </w:pPr>
      <w:r>
        <w:t xml:space="preserve">Between 2000 and 2008, the Status Network monitoring program </w:t>
      </w:r>
      <w:r w:rsidRPr="000F2735">
        <w:t>complete</w:t>
      </w:r>
      <w:r>
        <w:t>d two</w:t>
      </w:r>
      <w:r w:rsidRPr="000F2735">
        <w:t xml:space="preserve"> </w:t>
      </w:r>
      <w:r>
        <w:t>statewide assessments</w:t>
      </w:r>
      <w:r w:rsidRPr="000F2735">
        <w:t xml:space="preserve"> of </w:t>
      </w:r>
      <w:r>
        <w:t xml:space="preserve">surface and ground </w:t>
      </w:r>
      <w:r w:rsidRPr="000F2735">
        <w:t>water resources</w:t>
      </w:r>
      <w:r>
        <w:t>:</w:t>
      </w:r>
      <w:r w:rsidRPr="000F2735">
        <w:t xml:space="preserve"> </w:t>
      </w:r>
      <w:r>
        <w:t xml:space="preserve"> </w:t>
      </w:r>
      <w:r w:rsidRPr="000F2735">
        <w:t>Cycle 1</w:t>
      </w:r>
      <w:r>
        <w:t xml:space="preserve"> (2000–03);</w:t>
      </w:r>
      <w:r w:rsidRPr="000F2735">
        <w:t xml:space="preserve"> and Cycle 2</w:t>
      </w:r>
      <w:r>
        <w:t xml:space="preserve"> (2004–08)</w:t>
      </w:r>
      <w:r w:rsidRPr="000F2735">
        <w:t xml:space="preserve">.  </w:t>
      </w:r>
      <w:r>
        <w:t>This section compares the results for Cycles 1 and 2, where possible.  Some</w:t>
      </w:r>
      <w:r w:rsidRPr="000F2735">
        <w:t xml:space="preserve"> resources could not be compared </w:t>
      </w:r>
      <w:r>
        <w:t>between cycles</w:t>
      </w:r>
      <w:r w:rsidRPr="000F2735">
        <w:t>.  Data from ground</w:t>
      </w:r>
      <w:r>
        <w:t xml:space="preserve"> </w:t>
      </w:r>
      <w:r w:rsidRPr="000F2735">
        <w:t>water resources from Cycle 1 were not analyzed and reported in the same manner</w:t>
      </w:r>
      <w:r>
        <w:t xml:space="preserve"> as in Cycle 2,</w:t>
      </w:r>
      <w:r w:rsidRPr="000F2735">
        <w:t xml:space="preserve"> and therefore could not be compared.  </w:t>
      </w:r>
    </w:p>
    <w:p w:rsidR="00485094" w:rsidRDefault="00485094" w:rsidP="00692F31">
      <w:pPr>
        <w:pStyle w:val="Bodytext"/>
      </w:pPr>
    </w:p>
    <w:p w:rsidR="00485094" w:rsidRDefault="00485094" w:rsidP="00692F31">
      <w:pPr>
        <w:pStyle w:val="Bodytext"/>
      </w:pPr>
      <w:r>
        <w:t>Sampling of r</w:t>
      </w:r>
      <w:r w:rsidRPr="000F2735">
        <w:t>iver and stream resource</w:t>
      </w:r>
      <w:r>
        <w:t>s</w:t>
      </w:r>
      <w:r w:rsidRPr="000F2735">
        <w:t xml:space="preserve"> </w:t>
      </w:r>
      <w:r>
        <w:t>was</w:t>
      </w:r>
      <w:r w:rsidRPr="000F2735">
        <w:t xml:space="preserve"> </w:t>
      </w:r>
      <w:r>
        <w:t>comparable</w:t>
      </w:r>
      <w:r w:rsidRPr="000F2735">
        <w:t xml:space="preserve"> between the two </w:t>
      </w:r>
      <w:r>
        <w:t>cycles of statewide assessment for selected analytes</w:t>
      </w:r>
      <w:r w:rsidRPr="000F2735">
        <w:t xml:space="preserve">.  </w:t>
      </w:r>
      <w:r>
        <w:t>D</w:t>
      </w:r>
      <w:r w:rsidRPr="000F2735">
        <w:t xml:space="preserve">uring Cycle 1, rivers and streams could not be differentiated by </w:t>
      </w:r>
      <w:r>
        <w:t>stream</w:t>
      </w:r>
      <w:r w:rsidRPr="000F2735">
        <w:t xml:space="preserve"> order, </w:t>
      </w:r>
      <w:r>
        <w:t xml:space="preserve">and </w:t>
      </w:r>
      <w:r w:rsidRPr="000F2735">
        <w:t>so resources were combined</w:t>
      </w:r>
      <w:r>
        <w:t xml:space="preserve"> for analysis and reporting in the 2006 305(b) report.</w:t>
      </w:r>
      <w:r w:rsidRPr="000F2735">
        <w:t xml:space="preserve"> </w:t>
      </w:r>
      <w:r>
        <w:t xml:space="preserve"> For purposes of comparison with </w:t>
      </w:r>
      <w:r w:rsidRPr="004A7C9F">
        <w:t>the</w:t>
      </w:r>
      <w:r>
        <w:t xml:space="preserve"> Cycle 1 resource, Cycle 2 rivers and streams were </w:t>
      </w:r>
      <w:r w:rsidRPr="000F2735">
        <w:t>combined</w:t>
      </w:r>
      <w:r>
        <w:t xml:space="preserve"> and analyzed</w:t>
      </w:r>
      <w:r w:rsidRPr="000F2735">
        <w:t xml:space="preserve"> </w:t>
      </w:r>
      <w:r>
        <w:t>as one.</w:t>
      </w:r>
    </w:p>
    <w:p w:rsidR="00485094" w:rsidRDefault="00485094" w:rsidP="00692F31">
      <w:pPr>
        <w:pStyle w:val="Bodytext"/>
      </w:pPr>
    </w:p>
    <w:p w:rsidR="00485094" w:rsidRPr="000F2735" w:rsidRDefault="00485094" w:rsidP="00692F31">
      <w:pPr>
        <w:pStyle w:val="Bodytext"/>
      </w:pPr>
      <w:r w:rsidRPr="009008BE">
        <w:t>The two cycles had very similar results for the listed analytes (</w:t>
      </w:r>
      <w:r w:rsidRPr="00B827B3">
        <w:rPr>
          <w:b/>
          <w:i/>
        </w:rPr>
        <w:t>Table 6.</w:t>
      </w:r>
      <w:r>
        <w:rPr>
          <w:b/>
          <w:i/>
        </w:rPr>
        <w:t>7</w:t>
      </w:r>
      <w:r w:rsidRPr="00B827B3">
        <w:rPr>
          <w:b/>
          <w:i/>
        </w:rPr>
        <w:t>a</w:t>
      </w:r>
      <w:r w:rsidRPr="009008BE">
        <w:t xml:space="preserve">).  </w:t>
      </w:r>
      <w:r>
        <w:t>R</w:t>
      </w:r>
      <w:r w:rsidRPr="009008BE">
        <w:t xml:space="preserve">eductions in the percentage of resources meeting thresholds </w:t>
      </w:r>
      <w:r>
        <w:t xml:space="preserve">in Cycle 2 </w:t>
      </w:r>
      <w:r w:rsidRPr="009008BE">
        <w:t xml:space="preserve">could represent an artifact from the </w:t>
      </w:r>
      <w:r>
        <w:t xml:space="preserve">different </w:t>
      </w:r>
      <w:r w:rsidRPr="009008BE">
        <w:t xml:space="preserve">coverages used to determine resource extent.  In Cycle 1, </w:t>
      </w:r>
      <w:r w:rsidR="003D799D">
        <w:t>t</w:t>
      </w:r>
      <w:r w:rsidRPr="009008BE">
        <w:t xml:space="preserve">he </w:t>
      </w:r>
      <w:hyperlink r:id="rId98" w:history="1">
        <w:r w:rsidRPr="00F933EC">
          <w:rPr>
            <w:rStyle w:val="Hyperlink"/>
            <w:szCs w:val="22"/>
          </w:rPr>
          <w:t>Watershed Monitoring Section</w:t>
        </w:r>
      </w:hyperlink>
      <w:r>
        <w:rPr>
          <w:szCs w:val="22"/>
        </w:rPr>
        <w:t xml:space="preserve"> </w:t>
      </w:r>
      <w:r w:rsidRPr="009008BE">
        <w:t>u</w:t>
      </w:r>
      <w:r>
        <w:t>s</w:t>
      </w:r>
      <w:r w:rsidRPr="009008BE">
        <w:t xml:space="preserve">ed the 100K RF3 coverage; in Cycle 2, </w:t>
      </w:r>
      <w:r>
        <w:t>it</w:t>
      </w:r>
      <w:r w:rsidRPr="009008BE">
        <w:t xml:space="preserve"> adopted the NHD 100K coverage</w:t>
      </w:r>
      <w:r>
        <w:t xml:space="preserve">. </w:t>
      </w:r>
      <w:r w:rsidRPr="009008BE">
        <w:t xml:space="preserve"> </w:t>
      </w:r>
      <w:r>
        <w:t>F</w:t>
      </w:r>
      <w:r w:rsidRPr="009008BE">
        <w:t>ewer Cycle 2 rivers and streams me</w:t>
      </w:r>
      <w:r>
        <w:t xml:space="preserve">t the </w:t>
      </w:r>
      <w:r w:rsidRPr="009008BE">
        <w:t xml:space="preserve">thresholds for specific </w:t>
      </w:r>
      <w:r>
        <w:t>indicator</w:t>
      </w:r>
      <w:r w:rsidRPr="009008BE">
        <w:t>s</w:t>
      </w:r>
      <w:r>
        <w:t>.</w:t>
      </w:r>
    </w:p>
    <w:p w:rsidR="00485094" w:rsidRDefault="00485094" w:rsidP="00692F31">
      <w:pPr>
        <w:pStyle w:val="Bodytext"/>
      </w:pPr>
    </w:p>
    <w:p w:rsidR="00485094" w:rsidRPr="007E0146" w:rsidRDefault="00485094" w:rsidP="00692F31">
      <w:pPr>
        <w:pStyle w:val="Tableheading"/>
        <w:rPr>
          <w:bCs/>
        </w:rPr>
      </w:pPr>
      <w:bookmarkStart w:id="451" w:name="_Toc255482844"/>
      <w:bookmarkStart w:id="452" w:name="_Toc255807502"/>
      <w:bookmarkStart w:id="453" w:name="_Toc262464256"/>
      <w:bookmarkStart w:id="454" w:name="_Toc271280103"/>
      <w:r w:rsidRPr="00CE759D">
        <w:t xml:space="preserve">Table </w:t>
      </w:r>
      <w:r>
        <w:t>6.7</w:t>
      </w:r>
      <w:r w:rsidRPr="00CE759D">
        <w:t>a.</w:t>
      </w:r>
      <w:r>
        <w:t xml:space="preserve">  </w:t>
      </w:r>
      <w:r w:rsidRPr="00CE759D">
        <w:t>Percentage of Combined Rivers and Streams Resource Meeting Threshold Values for Statewide Assessment for Cycle</w:t>
      </w:r>
      <w:r>
        <w:t>s</w:t>
      </w:r>
      <w:r w:rsidRPr="00CE759D">
        <w:t xml:space="preserve"> 1 and 2</w:t>
      </w:r>
      <w:bookmarkEnd w:id="451"/>
      <w:bookmarkEnd w:id="452"/>
      <w:bookmarkEnd w:id="453"/>
      <w:bookmarkEnd w:id="454"/>
    </w:p>
    <w:p w:rsidR="00485094" w:rsidRPr="00B827B3" w:rsidRDefault="00485094" w:rsidP="00692F31">
      <w:pPr>
        <w:pStyle w:val="TabledescriptionBF"/>
        <w:rPr>
          <w:b/>
        </w:rPr>
      </w:pPr>
      <w:r w:rsidRPr="00B827B3">
        <w:rPr>
          <w:b/>
        </w:rPr>
        <w:t>Status Network</w:t>
      </w:r>
      <w:r w:rsidRPr="00B827B3">
        <w:rPr>
          <w:b/>
        </w:rPr>
        <w:tab/>
      </w:r>
      <w:r w:rsidRPr="00B827B3">
        <w:rPr>
          <w:b/>
        </w:rPr>
        <w:tab/>
        <w:t xml:space="preserve">Designated Use:  Recreation and Aquatic Life </w:t>
      </w:r>
      <w:r w:rsidRPr="00B827B3">
        <w:rPr>
          <w:b/>
        </w:rPr>
        <w:tab/>
      </w:r>
      <w:r w:rsidRPr="00B827B3">
        <w:rPr>
          <w:b/>
        </w:rPr>
        <w:tab/>
        <w:t>Units:  Miles</w:t>
      </w:r>
    </w:p>
    <w:p w:rsidR="00485094" w:rsidRDefault="00485094" w:rsidP="00692F31">
      <w:pPr>
        <w:pStyle w:val="TabledescriptionBF"/>
      </w:pPr>
    </w:p>
    <w:p w:rsidR="00485094" w:rsidRPr="00B827B3" w:rsidRDefault="00485094" w:rsidP="00692F31">
      <w:pPr>
        <w:pStyle w:val="TabledescriptionBF"/>
      </w:pPr>
      <w:r w:rsidRPr="00B827B3">
        <w:t>This is a five-column table.  Column 1 lists the analytes, Column 2 lists the Cycle 1 target population, Column 3 lists the Cycle 2 target population, Column 4 lists the percent meeting the threshold in Cycle 1, and Column 5 lists the percent meeting the threshold in Cycle 2.</w:t>
      </w:r>
    </w:p>
    <w:p w:rsidR="00485094" w:rsidRPr="00B827B3" w:rsidRDefault="00485094" w:rsidP="00692F31">
      <w:pPr>
        <w:pStyle w:val="TabledescriptionBF"/>
        <w:rPr>
          <w:szCs w:val="22"/>
        </w:rPr>
      </w:pPr>
    </w:p>
    <w:tbl>
      <w:tblPr>
        <w:tblW w:w="867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1584"/>
        <w:gridCol w:w="1890"/>
        <w:gridCol w:w="1890"/>
        <w:gridCol w:w="1656"/>
        <w:gridCol w:w="1656"/>
      </w:tblGrid>
      <w:tr w:rsidR="00485094" w:rsidRPr="000F2909" w:rsidTr="000F2909">
        <w:trPr>
          <w:trHeight w:val="288"/>
          <w:tblHeader/>
          <w:jc w:val="center"/>
        </w:trPr>
        <w:tc>
          <w:tcPr>
            <w:tcW w:w="1584" w:type="dxa"/>
            <w:tcBorders>
              <w:top w:val="single" w:sz="4" w:space="0" w:color="auto"/>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Analyte</w:t>
            </w:r>
          </w:p>
        </w:tc>
        <w:tc>
          <w:tcPr>
            <w:tcW w:w="1890" w:type="dxa"/>
            <w:tcBorders>
              <w:top w:val="single" w:sz="4" w:space="0" w:color="auto"/>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Cycle 1</w:t>
            </w:r>
          </w:p>
          <w:p w:rsidR="00485094" w:rsidRPr="000F2909" w:rsidRDefault="00485094" w:rsidP="00453E80">
            <w:pPr>
              <w:pStyle w:val="TableText"/>
              <w:jc w:val="center"/>
              <w:rPr>
                <w:b/>
                <w:i/>
              </w:rPr>
            </w:pPr>
            <w:r w:rsidRPr="000F2909">
              <w:rPr>
                <w:b/>
                <w:i/>
              </w:rPr>
              <w:t>Target Population</w:t>
            </w:r>
          </w:p>
        </w:tc>
        <w:tc>
          <w:tcPr>
            <w:tcW w:w="1890" w:type="dxa"/>
            <w:tcBorders>
              <w:top w:val="single" w:sz="4" w:space="0" w:color="auto"/>
              <w:bottom w:val="double" w:sz="4" w:space="0" w:color="auto"/>
              <w:right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Cycle 2</w:t>
            </w:r>
          </w:p>
          <w:p w:rsidR="00485094" w:rsidRPr="000F2909" w:rsidRDefault="00485094" w:rsidP="00453E80">
            <w:pPr>
              <w:pStyle w:val="TableText"/>
              <w:jc w:val="center"/>
              <w:rPr>
                <w:b/>
                <w:i/>
              </w:rPr>
            </w:pPr>
            <w:r w:rsidRPr="000F2909">
              <w:rPr>
                <w:b/>
                <w:i/>
              </w:rPr>
              <w:t>Target Population</w:t>
            </w:r>
          </w:p>
        </w:tc>
        <w:tc>
          <w:tcPr>
            <w:tcW w:w="1656" w:type="dxa"/>
            <w:tcBorders>
              <w:top w:val="single" w:sz="4" w:space="0" w:color="auto"/>
              <w:left w:val="double" w:sz="4" w:space="0" w:color="auto"/>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Cycle 1</w:t>
            </w:r>
          </w:p>
          <w:p w:rsidR="00485094" w:rsidRPr="000F2909" w:rsidRDefault="00485094" w:rsidP="00453E80">
            <w:pPr>
              <w:pStyle w:val="TableText"/>
              <w:jc w:val="center"/>
              <w:rPr>
                <w:b/>
                <w:i/>
              </w:rPr>
            </w:pPr>
            <w:r w:rsidRPr="000F2909">
              <w:rPr>
                <w:b/>
                <w:i/>
              </w:rPr>
              <w:t>% Meeting Threshold</w:t>
            </w:r>
          </w:p>
        </w:tc>
        <w:tc>
          <w:tcPr>
            <w:tcW w:w="1656" w:type="dxa"/>
            <w:tcBorders>
              <w:top w:val="single" w:sz="4" w:space="0" w:color="auto"/>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Cycle 2</w:t>
            </w:r>
          </w:p>
          <w:p w:rsidR="00485094" w:rsidRPr="000F2909" w:rsidRDefault="00485094" w:rsidP="00453E80">
            <w:pPr>
              <w:pStyle w:val="TableText"/>
              <w:jc w:val="center"/>
              <w:rPr>
                <w:b/>
                <w:i/>
              </w:rPr>
            </w:pPr>
            <w:r w:rsidRPr="000F2909">
              <w:rPr>
                <w:b/>
                <w:i/>
              </w:rPr>
              <w:t>% Meeting Threshold)</w:t>
            </w:r>
          </w:p>
        </w:tc>
      </w:tr>
      <w:tr w:rsidR="00485094" w:rsidRPr="00662D0D" w:rsidTr="008F1C14">
        <w:trPr>
          <w:cantSplit/>
          <w:trHeight w:val="288"/>
          <w:jc w:val="center"/>
        </w:trPr>
        <w:tc>
          <w:tcPr>
            <w:tcW w:w="1584" w:type="dxa"/>
            <w:tcBorders>
              <w:top w:val="double" w:sz="4" w:space="0" w:color="auto"/>
            </w:tcBorders>
            <w:shd w:val="clear" w:color="auto" w:fill="FFFFCC"/>
            <w:vAlign w:val="center"/>
          </w:tcPr>
          <w:p w:rsidR="00485094" w:rsidRPr="00662D0D" w:rsidRDefault="00485094" w:rsidP="00453E80">
            <w:pPr>
              <w:pStyle w:val="TableText"/>
              <w:jc w:val="center"/>
            </w:pPr>
            <w:r w:rsidRPr="00662D0D">
              <w:t>Chlorophyll a</w:t>
            </w:r>
          </w:p>
        </w:tc>
        <w:tc>
          <w:tcPr>
            <w:tcW w:w="1890" w:type="dxa"/>
            <w:tcBorders>
              <w:top w:val="double" w:sz="4" w:space="0" w:color="auto"/>
            </w:tcBorders>
            <w:vAlign w:val="center"/>
          </w:tcPr>
          <w:p w:rsidR="00485094" w:rsidRPr="00662D0D" w:rsidRDefault="00485094" w:rsidP="00453E80">
            <w:pPr>
              <w:pStyle w:val="TableText"/>
              <w:jc w:val="center"/>
            </w:pPr>
            <w:r w:rsidRPr="00662D0D">
              <w:t>32</w:t>
            </w:r>
            <w:r>
              <w:t>,</w:t>
            </w:r>
            <w:r w:rsidRPr="00662D0D">
              <w:t>929</w:t>
            </w:r>
          </w:p>
        </w:tc>
        <w:tc>
          <w:tcPr>
            <w:tcW w:w="1890" w:type="dxa"/>
            <w:tcBorders>
              <w:top w:val="double" w:sz="4" w:space="0" w:color="auto"/>
              <w:right w:val="double" w:sz="4" w:space="0" w:color="auto"/>
            </w:tcBorders>
            <w:vAlign w:val="center"/>
          </w:tcPr>
          <w:p w:rsidR="00485094" w:rsidRPr="00662D0D" w:rsidRDefault="00485094" w:rsidP="00453E80">
            <w:pPr>
              <w:pStyle w:val="TableText"/>
              <w:jc w:val="center"/>
            </w:pPr>
            <w:r w:rsidRPr="00662D0D">
              <w:t>37</w:t>
            </w:r>
            <w:r>
              <w:t>,</w:t>
            </w:r>
            <w:r w:rsidRPr="00662D0D">
              <w:t>733</w:t>
            </w:r>
          </w:p>
        </w:tc>
        <w:tc>
          <w:tcPr>
            <w:tcW w:w="1656" w:type="dxa"/>
            <w:tcBorders>
              <w:top w:val="double" w:sz="4" w:space="0" w:color="auto"/>
              <w:left w:val="double" w:sz="4" w:space="0" w:color="auto"/>
            </w:tcBorders>
            <w:vAlign w:val="center"/>
          </w:tcPr>
          <w:p w:rsidR="00485094" w:rsidRPr="00662D0D" w:rsidRDefault="00485094" w:rsidP="00453E80">
            <w:pPr>
              <w:pStyle w:val="TableText"/>
              <w:jc w:val="center"/>
            </w:pPr>
            <w:r w:rsidRPr="00662D0D">
              <w:t>80.2</w:t>
            </w:r>
          </w:p>
        </w:tc>
        <w:tc>
          <w:tcPr>
            <w:tcW w:w="1656" w:type="dxa"/>
            <w:tcBorders>
              <w:top w:val="double" w:sz="4" w:space="0" w:color="auto"/>
            </w:tcBorders>
            <w:vAlign w:val="center"/>
          </w:tcPr>
          <w:p w:rsidR="00485094" w:rsidRPr="00662D0D" w:rsidRDefault="00485094" w:rsidP="00453E80">
            <w:pPr>
              <w:pStyle w:val="TableText"/>
              <w:jc w:val="center"/>
            </w:pPr>
            <w:r w:rsidRPr="00662D0D">
              <w:t>75.4</w:t>
            </w:r>
          </w:p>
        </w:tc>
      </w:tr>
      <w:tr w:rsidR="00485094" w:rsidRPr="00662D0D" w:rsidTr="008F1C14">
        <w:trPr>
          <w:cantSplit/>
          <w:trHeight w:val="288"/>
          <w:jc w:val="center"/>
        </w:trPr>
        <w:tc>
          <w:tcPr>
            <w:tcW w:w="1584" w:type="dxa"/>
            <w:shd w:val="clear" w:color="auto" w:fill="FFFFCC"/>
            <w:vAlign w:val="center"/>
          </w:tcPr>
          <w:p w:rsidR="00485094" w:rsidRPr="00662D0D" w:rsidRDefault="00485094" w:rsidP="00453E80">
            <w:pPr>
              <w:pStyle w:val="TableText"/>
              <w:jc w:val="center"/>
            </w:pPr>
            <w:r w:rsidRPr="00662D0D">
              <w:t>Fecal Coliform</w:t>
            </w:r>
          </w:p>
        </w:tc>
        <w:tc>
          <w:tcPr>
            <w:tcW w:w="1890" w:type="dxa"/>
            <w:vAlign w:val="center"/>
          </w:tcPr>
          <w:p w:rsidR="00485094" w:rsidRPr="00662D0D" w:rsidRDefault="00485094" w:rsidP="00453E80">
            <w:pPr>
              <w:pStyle w:val="TableText"/>
              <w:jc w:val="center"/>
            </w:pPr>
            <w:r w:rsidRPr="00662D0D">
              <w:t>32</w:t>
            </w:r>
            <w:r>
              <w:t>,</w:t>
            </w:r>
            <w:r w:rsidRPr="00662D0D">
              <w:t>929</w:t>
            </w:r>
          </w:p>
        </w:tc>
        <w:tc>
          <w:tcPr>
            <w:tcW w:w="1890" w:type="dxa"/>
            <w:tcBorders>
              <w:right w:val="double" w:sz="4" w:space="0" w:color="auto"/>
            </w:tcBorders>
            <w:vAlign w:val="center"/>
          </w:tcPr>
          <w:p w:rsidR="00485094" w:rsidRPr="00662D0D" w:rsidRDefault="00485094" w:rsidP="00453E80">
            <w:pPr>
              <w:pStyle w:val="TableText"/>
              <w:jc w:val="center"/>
            </w:pPr>
            <w:r w:rsidRPr="00662D0D">
              <w:t>37</w:t>
            </w:r>
            <w:r>
              <w:t>,</w:t>
            </w:r>
            <w:r w:rsidRPr="00662D0D">
              <w:t>733</w:t>
            </w:r>
          </w:p>
        </w:tc>
        <w:tc>
          <w:tcPr>
            <w:tcW w:w="1656" w:type="dxa"/>
            <w:tcBorders>
              <w:left w:val="double" w:sz="4" w:space="0" w:color="auto"/>
            </w:tcBorders>
            <w:vAlign w:val="center"/>
          </w:tcPr>
          <w:p w:rsidR="00485094" w:rsidRPr="00662D0D" w:rsidRDefault="00485094" w:rsidP="00453E80">
            <w:pPr>
              <w:pStyle w:val="TableText"/>
              <w:jc w:val="center"/>
            </w:pPr>
            <w:r w:rsidRPr="00662D0D">
              <w:t>73.8</w:t>
            </w:r>
          </w:p>
        </w:tc>
        <w:tc>
          <w:tcPr>
            <w:tcW w:w="1656" w:type="dxa"/>
            <w:vAlign w:val="center"/>
          </w:tcPr>
          <w:p w:rsidR="00485094" w:rsidRPr="00662D0D" w:rsidRDefault="00485094" w:rsidP="00453E80">
            <w:pPr>
              <w:pStyle w:val="TableText"/>
              <w:jc w:val="center"/>
            </w:pPr>
            <w:r w:rsidRPr="00662D0D">
              <w:t>72.3</w:t>
            </w:r>
          </w:p>
        </w:tc>
      </w:tr>
      <w:tr w:rsidR="00485094" w:rsidRPr="00662D0D" w:rsidTr="008F1C14">
        <w:trPr>
          <w:cantSplit/>
          <w:trHeight w:val="288"/>
          <w:jc w:val="center"/>
        </w:trPr>
        <w:tc>
          <w:tcPr>
            <w:tcW w:w="1584" w:type="dxa"/>
            <w:shd w:val="clear" w:color="auto" w:fill="FFFFCC"/>
            <w:vAlign w:val="center"/>
          </w:tcPr>
          <w:p w:rsidR="00485094" w:rsidRPr="00662D0D" w:rsidRDefault="00485094" w:rsidP="00453E80">
            <w:pPr>
              <w:pStyle w:val="TableText"/>
              <w:jc w:val="center"/>
            </w:pPr>
            <w:r w:rsidRPr="00662D0D">
              <w:t>DO</w:t>
            </w:r>
          </w:p>
        </w:tc>
        <w:tc>
          <w:tcPr>
            <w:tcW w:w="1890" w:type="dxa"/>
            <w:shd w:val="clear" w:color="auto" w:fill="FFFFFF"/>
            <w:vAlign w:val="center"/>
          </w:tcPr>
          <w:p w:rsidR="00485094" w:rsidRPr="00662D0D" w:rsidRDefault="00485094" w:rsidP="00453E80">
            <w:pPr>
              <w:pStyle w:val="TableText"/>
              <w:jc w:val="center"/>
            </w:pPr>
            <w:r w:rsidRPr="00662D0D">
              <w:t>32</w:t>
            </w:r>
            <w:r>
              <w:t>,</w:t>
            </w:r>
            <w:r w:rsidRPr="00662D0D">
              <w:t>929</w:t>
            </w:r>
          </w:p>
        </w:tc>
        <w:tc>
          <w:tcPr>
            <w:tcW w:w="1890" w:type="dxa"/>
            <w:tcBorders>
              <w:right w:val="double" w:sz="4" w:space="0" w:color="auto"/>
            </w:tcBorders>
            <w:shd w:val="clear" w:color="auto" w:fill="FFFFFF"/>
            <w:vAlign w:val="center"/>
          </w:tcPr>
          <w:p w:rsidR="00485094" w:rsidRPr="00662D0D" w:rsidRDefault="00485094" w:rsidP="00453E80">
            <w:pPr>
              <w:pStyle w:val="TableText"/>
              <w:jc w:val="center"/>
            </w:pPr>
            <w:r w:rsidRPr="00662D0D">
              <w:t>37</w:t>
            </w:r>
            <w:r>
              <w:t>,</w:t>
            </w:r>
            <w:r w:rsidRPr="00662D0D">
              <w:t>733</w:t>
            </w:r>
          </w:p>
        </w:tc>
        <w:tc>
          <w:tcPr>
            <w:tcW w:w="1656" w:type="dxa"/>
            <w:tcBorders>
              <w:left w:val="double" w:sz="4" w:space="0" w:color="auto"/>
            </w:tcBorders>
            <w:shd w:val="clear" w:color="auto" w:fill="FFFFFF"/>
            <w:vAlign w:val="center"/>
          </w:tcPr>
          <w:p w:rsidR="00485094" w:rsidRPr="00662D0D" w:rsidRDefault="00485094" w:rsidP="00453E80">
            <w:pPr>
              <w:pStyle w:val="TableText"/>
              <w:jc w:val="center"/>
            </w:pPr>
            <w:r w:rsidRPr="00662D0D">
              <w:t>50.1</w:t>
            </w:r>
          </w:p>
        </w:tc>
        <w:tc>
          <w:tcPr>
            <w:tcW w:w="1656" w:type="dxa"/>
            <w:shd w:val="clear" w:color="auto" w:fill="FFFFFF"/>
            <w:vAlign w:val="center"/>
          </w:tcPr>
          <w:p w:rsidR="00485094" w:rsidRPr="00662D0D" w:rsidRDefault="00485094" w:rsidP="00453E80">
            <w:pPr>
              <w:pStyle w:val="TableText"/>
              <w:jc w:val="center"/>
            </w:pPr>
            <w:r w:rsidRPr="00662D0D">
              <w:t>46.8</w:t>
            </w:r>
          </w:p>
        </w:tc>
      </w:tr>
    </w:tbl>
    <w:p w:rsidR="00485094" w:rsidRPr="000F2735" w:rsidRDefault="00485094" w:rsidP="00692F31">
      <w:pPr>
        <w:pStyle w:val="Bodytextreduced"/>
      </w:pPr>
    </w:p>
    <w:p w:rsidR="00485094" w:rsidRDefault="00485094" w:rsidP="00692F31">
      <w:pPr>
        <w:pStyle w:val="Bodytextreduced"/>
      </w:pPr>
    </w:p>
    <w:p w:rsidR="00485094" w:rsidRPr="000F2735" w:rsidRDefault="00485094" w:rsidP="00692F31">
      <w:pPr>
        <w:pStyle w:val="Bodytext"/>
      </w:pPr>
      <w:r>
        <w:t>T</w:t>
      </w:r>
      <w:r w:rsidRPr="000F2735">
        <w:t>he lakes resources, both large and small, were redefined from Cycle 1 to Cycle 2</w:t>
      </w:r>
      <w:r>
        <w:t xml:space="preserve">; however, TSI, fecal coliform, and DO results were suitable for comparison and are shown in </w:t>
      </w:r>
      <w:r w:rsidRPr="00CD64C9">
        <w:rPr>
          <w:b/>
          <w:i/>
        </w:rPr>
        <w:t xml:space="preserve">Tables </w:t>
      </w:r>
      <w:r>
        <w:rPr>
          <w:b/>
          <w:i/>
        </w:rPr>
        <w:t xml:space="preserve">6.7b </w:t>
      </w:r>
      <w:r w:rsidRPr="00B827B3">
        <w:t>and</w:t>
      </w:r>
      <w:r>
        <w:rPr>
          <w:b/>
          <w:i/>
        </w:rPr>
        <w:t xml:space="preserve"> 6.7c</w:t>
      </w:r>
      <w:r>
        <w:t xml:space="preserve"> for small and large lakes, respectively</w:t>
      </w:r>
      <w:r w:rsidRPr="000F2735">
        <w:t>.</w:t>
      </w:r>
    </w:p>
    <w:p w:rsidR="00485094" w:rsidRDefault="00485094" w:rsidP="00692F31">
      <w:pPr>
        <w:pStyle w:val="Bodytext"/>
      </w:pPr>
    </w:p>
    <w:p w:rsidR="00485094" w:rsidRDefault="00485094" w:rsidP="00692F31">
      <w:pPr>
        <w:pStyle w:val="Bodytext"/>
      </w:pPr>
      <w:r w:rsidRPr="000F2735">
        <w:t>The results for small lakes were similar</w:t>
      </w:r>
      <w:r>
        <w:t xml:space="preserve"> </w:t>
      </w:r>
      <w:r w:rsidRPr="000F2735">
        <w:t>between Cycle</w:t>
      </w:r>
      <w:r>
        <w:t>s</w:t>
      </w:r>
      <w:r w:rsidRPr="000F2735">
        <w:t xml:space="preserve"> 1 and 2 (</w:t>
      </w:r>
      <w:r w:rsidRPr="00662D0D">
        <w:rPr>
          <w:b/>
          <w:i/>
        </w:rPr>
        <w:t xml:space="preserve">Table </w:t>
      </w:r>
      <w:r>
        <w:rPr>
          <w:b/>
          <w:i/>
        </w:rPr>
        <w:t>6.7</w:t>
      </w:r>
      <w:r w:rsidRPr="00662D0D">
        <w:rPr>
          <w:b/>
          <w:i/>
        </w:rPr>
        <w:t>b</w:t>
      </w:r>
      <w:r w:rsidRPr="000F2735">
        <w:t>)</w:t>
      </w:r>
      <w:r>
        <w:t xml:space="preserve">, although </w:t>
      </w:r>
      <w:r w:rsidRPr="000F2735">
        <w:t xml:space="preserve">half of the target population from Cycle 1 small lakes was excluded in Cycle 2.  Those lakes that were excluded were considered to be artificial, such as borrow pits or man-made lakes on golf courses.  The results for fecal coliform and </w:t>
      </w:r>
      <w:r>
        <w:t>DO</w:t>
      </w:r>
      <w:r w:rsidRPr="000F2735">
        <w:t xml:space="preserve"> were very similar.  </w:t>
      </w:r>
      <w:r>
        <w:t xml:space="preserve">The percentage of small lakes meeting the TSI threshold </w:t>
      </w:r>
      <w:r w:rsidRPr="000F2735">
        <w:t xml:space="preserve">increased by </w:t>
      </w:r>
      <w:r>
        <w:t xml:space="preserve">nearly </w:t>
      </w:r>
      <w:r w:rsidRPr="000F2735">
        <w:t>10% from Cycle 1 to Cycle 2 and may reflect the removal of artificial lakes that should not have been sampled</w:t>
      </w:r>
      <w:r>
        <w:t xml:space="preserve"> for biological indicators</w:t>
      </w:r>
      <w:r w:rsidRPr="000F2735">
        <w:t>.</w:t>
      </w:r>
    </w:p>
    <w:p w:rsidR="00485094" w:rsidRPr="000F2735" w:rsidRDefault="00485094" w:rsidP="00692F31">
      <w:pPr>
        <w:pStyle w:val="Bodytext"/>
      </w:pPr>
      <w:r>
        <w:br w:type="page"/>
      </w:r>
    </w:p>
    <w:p w:rsidR="00485094" w:rsidRPr="000F2735" w:rsidRDefault="00485094" w:rsidP="00692F31">
      <w:pPr>
        <w:pStyle w:val="Tableheading"/>
        <w:rPr>
          <w:bCs/>
          <w:szCs w:val="22"/>
        </w:rPr>
      </w:pPr>
      <w:bookmarkStart w:id="455" w:name="_Toc255482845"/>
      <w:bookmarkStart w:id="456" w:name="_Toc255807503"/>
      <w:bookmarkStart w:id="457" w:name="_Toc262464257"/>
      <w:bookmarkStart w:id="458" w:name="_Toc271280104"/>
      <w:r w:rsidRPr="000F2735">
        <w:rPr>
          <w:szCs w:val="22"/>
        </w:rPr>
        <w:t xml:space="preserve">Table </w:t>
      </w:r>
      <w:r>
        <w:rPr>
          <w:szCs w:val="22"/>
        </w:rPr>
        <w:t>6.7b</w:t>
      </w:r>
      <w:r w:rsidRPr="000F2735">
        <w:rPr>
          <w:szCs w:val="22"/>
        </w:rPr>
        <w:t>.  Percentage of Small Lakes Resource Meeting Threshold Values for Statewide Assessment for Cycle</w:t>
      </w:r>
      <w:r>
        <w:rPr>
          <w:szCs w:val="22"/>
        </w:rPr>
        <w:t>s</w:t>
      </w:r>
      <w:r w:rsidRPr="000F2735">
        <w:rPr>
          <w:szCs w:val="22"/>
        </w:rPr>
        <w:t xml:space="preserve"> 1 and 2</w:t>
      </w:r>
      <w:bookmarkEnd w:id="455"/>
      <w:bookmarkEnd w:id="456"/>
      <w:bookmarkEnd w:id="457"/>
      <w:bookmarkEnd w:id="458"/>
    </w:p>
    <w:p w:rsidR="00485094" w:rsidRDefault="00485094" w:rsidP="00692F31">
      <w:pPr>
        <w:pStyle w:val="TabledescriptionBF"/>
      </w:pPr>
      <w:r w:rsidRPr="000F2E01">
        <w:rPr>
          <w:b/>
        </w:rPr>
        <w:t>Status Network</w:t>
      </w:r>
      <w:r w:rsidRPr="000F2E01">
        <w:rPr>
          <w:b/>
        </w:rPr>
        <w:tab/>
      </w:r>
      <w:r w:rsidRPr="000F2E01">
        <w:rPr>
          <w:b/>
        </w:rPr>
        <w:tab/>
        <w:t>Designated Use:  Recreation and Aquatic Life</w:t>
      </w:r>
      <w:r w:rsidRPr="000F2E01">
        <w:rPr>
          <w:b/>
          <w:vertAlign w:val="superscript"/>
        </w:rPr>
        <w:t xml:space="preserve"> </w:t>
      </w:r>
      <w:r w:rsidRPr="000F2E01">
        <w:rPr>
          <w:b/>
          <w:vertAlign w:val="superscript"/>
        </w:rPr>
        <w:tab/>
      </w:r>
      <w:r w:rsidRPr="000F2E01">
        <w:rPr>
          <w:b/>
        </w:rPr>
        <w:t>Units:  Lakes</w:t>
      </w:r>
    </w:p>
    <w:p w:rsidR="00485094" w:rsidRDefault="00485094" w:rsidP="00692F31">
      <w:pPr>
        <w:pStyle w:val="TabledescriptionBF"/>
      </w:pPr>
    </w:p>
    <w:p w:rsidR="00485094" w:rsidRPr="00B827B3" w:rsidRDefault="00485094" w:rsidP="00692F31">
      <w:pPr>
        <w:pStyle w:val="TabledescriptionBF"/>
        <w:rPr>
          <w:b/>
        </w:rPr>
      </w:pPr>
      <w:r w:rsidRPr="00B827B3">
        <w:t>This is a five-column table.  Column 1 lists the analytes, Column 2 lists the Cycle 1 target population, Column 3 lists the Cycle 2 target population, Column 4 lists the percent meeting the threshold in Cycle 1, and Column 5 lists the percent meeting the threshold in Cycle 2.</w:t>
      </w:r>
    </w:p>
    <w:p w:rsidR="00485094" w:rsidRPr="000F2735" w:rsidRDefault="00485094" w:rsidP="00692F31">
      <w:pPr>
        <w:pStyle w:val="Bodytextreduced"/>
      </w:pPr>
    </w:p>
    <w:tbl>
      <w:tblPr>
        <w:tblW w:w="86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tblPr>
      <w:tblGrid>
        <w:gridCol w:w="1980"/>
        <w:gridCol w:w="1890"/>
        <w:gridCol w:w="1890"/>
        <w:gridCol w:w="1433"/>
        <w:gridCol w:w="1433"/>
      </w:tblGrid>
      <w:tr w:rsidR="00485094" w:rsidRPr="000F2909" w:rsidTr="000F2909">
        <w:trPr>
          <w:tblHeader/>
          <w:jc w:val="center"/>
        </w:trPr>
        <w:tc>
          <w:tcPr>
            <w:tcW w:w="1980" w:type="dxa"/>
            <w:tcBorders>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Analyte</w:t>
            </w:r>
          </w:p>
        </w:tc>
        <w:tc>
          <w:tcPr>
            <w:tcW w:w="1890" w:type="dxa"/>
            <w:tcBorders>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Cycle 1</w:t>
            </w:r>
          </w:p>
          <w:p w:rsidR="00485094" w:rsidRPr="000F2909" w:rsidRDefault="00485094" w:rsidP="00453E80">
            <w:pPr>
              <w:pStyle w:val="TableText"/>
              <w:jc w:val="center"/>
              <w:rPr>
                <w:b/>
                <w:i/>
              </w:rPr>
            </w:pPr>
            <w:r w:rsidRPr="000F2909">
              <w:rPr>
                <w:b/>
                <w:i/>
              </w:rPr>
              <w:t>Target Population</w:t>
            </w:r>
          </w:p>
        </w:tc>
        <w:tc>
          <w:tcPr>
            <w:tcW w:w="1890" w:type="dxa"/>
            <w:tcBorders>
              <w:bottom w:val="double" w:sz="4" w:space="0" w:color="auto"/>
              <w:right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Cycle 2</w:t>
            </w:r>
          </w:p>
          <w:p w:rsidR="00485094" w:rsidRPr="000F2909" w:rsidRDefault="00485094" w:rsidP="00453E80">
            <w:pPr>
              <w:pStyle w:val="TableText"/>
              <w:jc w:val="center"/>
              <w:rPr>
                <w:b/>
                <w:i/>
              </w:rPr>
            </w:pPr>
            <w:r w:rsidRPr="000F2909">
              <w:rPr>
                <w:b/>
                <w:i/>
              </w:rPr>
              <w:t>Target Population</w:t>
            </w:r>
          </w:p>
        </w:tc>
        <w:tc>
          <w:tcPr>
            <w:tcW w:w="1433" w:type="dxa"/>
            <w:tcBorders>
              <w:left w:val="double" w:sz="4" w:space="0" w:color="auto"/>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Cycle 1</w:t>
            </w:r>
          </w:p>
          <w:p w:rsidR="00485094" w:rsidRPr="000F2909" w:rsidRDefault="00485094" w:rsidP="00453E80">
            <w:pPr>
              <w:pStyle w:val="TableText"/>
              <w:jc w:val="center"/>
              <w:rPr>
                <w:b/>
                <w:i/>
              </w:rPr>
            </w:pPr>
            <w:r w:rsidRPr="000F2909">
              <w:rPr>
                <w:b/>
                <w:i/>
              </w:rPr>
              <w:t>% Meeting Threshold</w:t>
            </w:r>
          </w:p>
        </w:tc>
        <w:tc>
          <w:tcPr>
            <w:tcW w:w="1433" w:type="dxa"/>
            <w:tcBorders>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Cycle 2</w:t>
            </w:r>
          </w:p>
          <w:p w:rsidR="00485094" w:rsidRPr="000F2909" w:rsidRDefault="00485094" w:rsidP="00453E80">
            <w:pPr>
              <w:pStyle w:val="TableText"/>
              <w:jc w:val="center"/>
              <w:rPr>
                <w:b/>
                <w:i/>
              </w:rPr>
            </w:pPr>
            <w:r w:rsidRPr="000F2909">
              <w:rPr>
                <w:b/>
                <w:i/>
              </w:rPr>
              <w:t>% Meeting Threshold</w:t>
            </w:r>
          </w:p>
        </w:tc>
      </w:tr>
      <w:tr w:rsidR="00485094" w:rsidRPr="00D55B27" w:rsidTr="008F1C14">
        <w:trPr>
          <w:cantSplit/>
          <w:trHeight w:val="288"/>
          <w:jc w:val="center"/>
        </w:trPr>
        <w:tc>
          <w:tcPr>
            <w:tcW w:w="1980" w:type="dxa"/>
            <w:tcBorders>
              <w:top w:val="double" w:sz="4" w:space="0" w:color="auto"/>
            </w:tcBorders>
            <w:shd w:val="clear" w:color="auto" w:fill="FFFFCC"/>
            <w:vAlign w:val="center"/>
          </w:tcPr>
          <w:p w:rsidR="00485094" w:rsidRPr="00D55B27" w:rsidRDefault="00485094" w:rsidP="00453E80">
            <w:pPr>
              <w:pStyle w:val="TableText"/>
              <w:jc w:val="center"/>
            </w:pPr>
            <w:r>
              <w:t>TSI</w:t>
            </w:r>
          </w:p>
        </w:tc>
        <w:tc>
          <w:tcPr>
            <w:tcW w:w="1890" w:type="dxa"/>
            <w:tcBorders>
              <w:top w:val="double" w:sz="4" w:space="0" w:color="auto"/>
            </w:tcBorders>
            <w:vAlign w:val="center"/>
          </w:tcPr>
          <w:p w:rsidR="00485094" w:rsidRPr="00D55B27" w:rsidRDefault="00485094" w:rsidP="00453E80">
            <w:pPr>
              <w:pStyle w:val="TableText"/>
              <w:jc w:val="center"/>
            </w:pPr>
            <w:r w:rsidRPr="00D55B27">
              <w:t>10</w:t>
            </w:r>
            <w:r>
              <w:t>,</w:t>
            </w:r>
            <w:r w:rsidRPr="00D55B27">
              <w:t>630</w:t>
            </w:r>
          </w:p>
        </w:tc>
        <w:tc>
          <w:tcPr>
            <w:tcW w:w="1890" w:type="dxa"/>
            <w:tcBorders>
              <w:top w:val="double" w:sz="4" w:space="0" w:color="auto"/>
              <w:right w:val="double" w:sz="4" w:space="0" w:color="auto"/>
            </w:tcBorders>
            <w:vAlign w:val="center"/>
          </w:tcPr>
          <w:p w:rsidR="00485094" w:rsidRPr="00D55B27" w:rsidRDefault="00485094" w:rsidP="00453E80">
            <w:pPr>
              <w:pStyle w:val="TableText"/>
              <w:jc w:val="center"/>
            </w:pPr>
            <w:r w:rsidRPr="00D55B27">
              <w:t>5</w:t>
            </w:r>
            <w:r>
              <w:t>,</w:t>
            </w:r>
            <w:r w:rsidRPr="00D55B27">
              <w:t>882</w:t>
            </w:r>
          </w:p>
        </w:tc>
        <w:tc>
          <w:tcPr>
            <w:tcW w:w="1433" w:type="dxa"/>
            <w:tcBorders>
              <w:top w:val="double" w:sz="4" w:space="0" w:color="auto"/>
              <w:left w:val="double" w:sz="4" w:space="0" w:color="auto"/>
            </w:tcBorders>
            <w:vAlign w:val="center"/>
          </w:tcPr>
          <w:p w:rsidR="00485094" w:rsidRPr="00D55B27" w:rsidRDefault="00485094" w:rsidP="00453E80">
            <w:pPr>
              <w:pStyle w:val="TableText"/>
              <w:jc w:val="center"/>
            </w:pPr>
            <w:r w:rsidRPr="00D55B27">
              <w:t>81.7</w:t>
            </w:r>
          </w:p>
        </w:tc>
        <w:tc>
          <w:tcPr>
            <w:tcW w:w="1433" w:type="dxa"/>
            <w:tcBorders>
              <w:top w:val="double" w:sz="4" w:space="0" w:color="auto"/>
            </w:tcBorders>
            <w:vAlign w:val="center"/>
          </w:tcPr>
          <w:p w:rsidR="00485094" w:rsidRPr="00D55B27" w:rsidRDefault="00485094" w:rsidP="00453E80">
            <w:pPr>
              <w:pStyle w:val="TableText"/>
              <w:jc w:val="center"/>
            </w:pPr>
            <w:r w:rsidRPr="00D55B27">
              <w:t>90.3</w:t>
            </w:r>
          </w:p>
        </w:tc>
      </w:tr>
      <w:tr w:rsidR="00485094" w:rsidRPr="00D55B27" w:rsidTr="008F1C14">
        <w:trPr>
          <w:cantSplit/>
          <w:trHeight w:val="288"/>
          <w:jc w:val="center"/>
        </w:trPr>
        <w:tc>
          <w:tcPr>
            <w:tcW w:w="1980" w:type="dxa"/>
            <w:shd w:val="clear" w:color="auto" w:fill="FFFFCC"/>
            <w:vAlign w:val="center"/>
          </w:tcPr>
          <w:p w:rsidR="00485094" w:rsidRPr="00D55B27" w:rsidRDefault="00485094" w:rsidP="00453E80">
            <w:pPr>
              <w:pStyle w:val="TableText"/>
              <w:jc w:val="center"/>
            </w:pPr>
            <w:r w:rsidRPr="00D55B27">
              <w:t>Fecal Coliform</w:t>
            </w:r>
          </w:p>
        </w:tc>
        <w:tc>
          <w:tcPr>
            <w:tcW w:w="1890" w:type="dxa"/>
            <w:vAlign w:val="center"/>
          </w:tcPr>
          <w:p w:rsidR="00485094" w:rsidRPr="00D55B27" w:rsidRDefault="00485094" w:rsidP="00453E80">
            <w:pPr>
              <w:pStyle w:val="TableText"/>
              <w:jc w:val="center"/>
            </w:pPr>
            <w:r w:rsidRPr="00D55B27">
              <w:t>10</w:t>
            </w:r>
            <w:r>
              <w:t>,</w:t>
            </w:r>
            <w:r w:rsidRPr="00D55B27">
              <w:t>630</w:t>
            </w:r>
          </w:p>
        </w:tc>
        <w:tc>
          <w:tcPr>
            <w:tcW w:w="1890" w:type="dxa"/>
            <w:tcBorders>
              <w:right w:val="double" w:sz="4" w:space="0" w:color="auto"/>
            </w:tcBorders>
            <w:vAlign w:val="center"/>
          </w:tcPr>
          <w:p w:rsidR="00485094" w:rsidRPr="00D55B27" w:rsidRDefault="00485094" w:rsidP="00453E80">
            <w:pPr>
              <w:pStyle w:val="TableText"/>
              <w:jc w:val="center"/>
            </w:pPr>
            <w:r w:rsidRPr="00D55B27">
              <w:t>5</w:t>
            </w:r>
            <w:r>
              <w:t>,</w:t>
            </w:r>
            <w:r w:rsidRPr="00D55B27">
              <w:t>882</w:t>
            </w:r>
          </w:p>
        </w:tc>
        <w:tc>
          <w:tcPr>
            <w:tcW w:w="1433" w:type="dxa"/>
            <w:tcBorders>
              <w:left w:val="double" w:sz="4" w:space="0" w:color="auto"/>
            </w:tcBorders>
            <w:vAlign w:val="center"/>
          </w:tcPr>
          <w:p w:rsidR="00485094" w:rsidRPr="00D55B27" w:rsidRDefault="00485094" w:rsidP="00453E80">
            <w:pPr>
              <w:pStyle w:val="TableText"/>
              <w:jc w:val="center"/>
            </w:pPr>
            <w:r w:rsidRPr="00D55B27">
              <w:t>90.9</w:t>
            </w:r>
          </w:p>
        </w:tc>
        <w:tc>
          <w:tcPr>
            <w:tcW w:w="1433" w:type="dxa"/>
            <w:vAlign w:val="center"/>
          </w:tcPr>
          <w:p w:rsidR="00485094" w:rsidRPr="00D55B27" w:rsidRDefault="00485094" w:rsidP="00453E80">
            <w:pPr>
              <w:pStyle w:val="TableText"/>
              <w:jc w:val="center"/>
            </w:pPr>
            <w:r w:rsidRPr="00D55B27">
              <w:t>90.9</w:t>
            </w:r>
          </w:p>
        </w:tc>
      </w:tr>
      <w:tr w:rsidR="00485094" w:rsidRPr="00D55B27" w:rsidTr="008F1C14">
        <w:trPr>
          <w:cantSplit/>
          <w:trHeight w:val="288"/>
          <w:jc w:val="center"/>
        </w:trPr>
        <w:tc>
          <w:tcPr>
            <w:tcW w:w="1980" w:type="dxa"/>
            <w:shd w:val="clear" w:color="auto" w:fill="FFFFCC"/>
            <w:vAlign w:val="center"/>
          </w:tcPr>
          <w:p w:rsidR="00485094" w:rsidRPr="00D55B27" w:rsidRDefault="00485094" w:rsidP="00453E80">
            <w:pPr>
              <w:pStyle w:val="TableText"/>
              <w:jc w:val="center"/>
            </w:pPr>
            <w:r>
              <w:t>DO</w:t>
            </w:r>
          </w:p>
        </w:tc>
        <w:tc>
          <w:tcPr>
            <w:tcW w:w="1890" w:type="dxa"/>
            <w:shd w:val="clear" w:color="auto" w:fill="FFFFFF"/>
            <w:vAlign w:val="center"/>
          </w:tcPr>
          <w:p w:rsidR="00485094" w:rsidRPr="00D55B27" w:rsidRDefault="00485094" w:rsidP="00453E80">
            <w:pPr>
              <w:pStyle w:val="TableText"/>
              <w:jc w:val="center"/>
            </w:pPr>
            <w:r w:rsidRPr="00D55B27">
              <w:t>10</w:t>
            </w:r>
            <w:r>
              <w:t>,</w:t>
            </w:r>
            <w:r w:rsidRPr="00D55B27">
              <w:t>630</w:t>
            </w:r>
          </w:p>
        </w:tc>
        <w:tc>
          <w:tcPr>
            <w:tcW w:w="1890" w:type="dxa"/>
            <w:tcBorders>
              <w:right w:val="double" w:sz="4" w:space="0" w:color="auto"/>
            </w:tcBorders>
            <w:shd w:val="clear" w:color="auto" w:fill="FFFFFF"/>
            <w:vAlign w:val="center"/>
          </w:tcPr>
          <w:p w:rsidR="00485094" w:rsidRPr="00D55B27" w:rsidRDefault="00485094" w:rsidP="00453E80">
            <w:pPr>
              <w:pStyle w:val="TableText"/>
              <w:jc w:val="center"/>
            </w:pPr>
            <w:r w:rsidRPr="00D55B27">
              <w:t>5</w:t>
            </w:r>
            <w:r>
              <w:t>,</w:t>
            </w:r>
            <w:r w:rsidRPr="00D55B27">
              <w:t>882</w:t>
            </w:r>
          </w:p>
        </w:tc>
        <w:tc>
          <w:tcPr>
            <w:tcW w:w="1433" w:type="dxa"/>
            <w:tcBorders>
              <w:left w:val="double" w:sz="4" w:space="0" w:color="auto"/>
            </w:tcBorders>
            <w:shd w:val="clear" w:color="auto" w:fill="FFFFFF"/>
            <w:vAlign w:val="center"/>
          </w:tcPr>
          <w:p w:rsidR="00485094" w:rsidRPr="00D55B27" w:rsidRDefault="00485094" w:rsidP="00453E80">
            <w:pPr>
              <w:pStyle w:val="TableText"/>
              <w:jc w:val="center"/>
            </w:pPr>
            <w:r w:rsidRPr="00D55B27">
              <w:t>75.1</w:t>
            </w:r>
          </w:p>
        </w:tc>
        <w:tc>
          <w:tcPr>
            <w:tcW w:w="1433" w:type="dxa"/>
            <w:shd w:val="clear" w:color="auto" w:fill="FFFFFF"/>
            <w:vAlign w:val="center"/>
          </w:tcPr>
          <w:p w:rsidR="00485094" w:rsidRPr="00D55B27" w:rsidRDefault="00485094" w:rsidP="00453E80">
            <w:pPr>
              <w:pStyle w:val="TableText"/>
              <w:jc w:val="center"/>
            </w:pPr>
            <w:r w:rsidRPr="00D55B27">
              <w:t>71.2</w:t>
            </w:r>
          </w:p>
        </w:tc>
      </w:tr>
    </w:tbl>
    <w:p w:rsidR="00485094" w:rsidRDefault="00485094" w:rsidP="00692F31">
      <w:pPr>
        <w:pStyle w:val="Bodytextreduced"/>
      </w:pPr>
    </w:p>
    <w:p w:rsidR="003D799D" w:rsidRDefault="003D799D" w:rsidP="00692F31">
      <w:pPr>
        <w:pStyle w:val="Bodytextreduced"/>
      </w:pPr>
    </w:p>
    <w:p w:rsidR="00485094" w:rsidRDefault="00485094" w:rsidP="00692F31">
      <w:pPr>
        <w:pStyle w:val="Bodytext"/>
      </w:pPr>
      <w:r w:rsidRPr="000F2735">
        <w:t>The analyte results for large lakes were similar</w:t>
      </w:r>
      <w:r>
        <w:t xml:space="preserve"> </w:t>
      </w:r>
      <w:r w:rsidRPr="000F2735">
        <w:t>betwee</w:t>
      </w:r>
      <w:r>
        <w:t>n Cycles 1 and 2 (</w:t>
      </w:r>
      <w:r w:rsidRPr="00D55B27">
        <w:rPr>
          <w:b/>
          <w:i/>
        </w:rPr>
        <w:t xml:space="preserve">Table </w:t>
      </w:r>
      <w:r>
        <w:rPr>
          <w:b/>
          <w:i/>
        </w:rPr>
        <w:t>6.7</w:t>
      </w:r>
      <w:r w:rsidRPr="00D55B27">
        <w:rPr>
          <w:b/>
          <w:i/>
        </w:rPr>
        <w:t>c</w:t>
      </w:r>
      <w:r w:rsidRPr="000F2735">
        <w:t xml:space="preserve">).  </w:t>
      </w:r>
      <w:r>
        <w:t>In contrast to small lakes, v</w:t>
      </w:r>
      <w:r w:rsidRPr="000F2735">
        <w:t>ery few large lakes were removed from the targ</w:t>
      </w:r>
      <w:r>
        <w:t>et population from Cycle 1 to C</w:t>
      </w:r>
      <w:r w:rsidRPr="000F2735">
        <w:t>y</w:t>
      </w:r>
      <w:r>
        <w:t>c</w:t>
      </w:r>
      <w:r w:rsidRPr="000F2735">
        <w:t>le</w:t>
      </w:r>
      <w:r>
        <w:t xml:space="preserve"> 2;</w:t>
      </w:r>
      <w:r w:rsidRPr="000F2735">
        <w:t xml:space="preserve"> those that were may have been phosphate</w:t>
      </w:r>
      <w:r>
        <w:t xml:space="preserve"> industry </w:t>
      </w:r>
      <w:r w:rsidRPr="000F2735">
        <w:t>holding ponds.  Overall results were similar to those found in the small lakes.  D</w:t>
      </w:r>
      <w:r>
        <w:t>O</w:t>
      </w:r>
      <w:r w:rsidRPr="000F2735">
        <w:t xml:space="preserve"> and feca</w:t>
      </w:r>
      <w:r>
        <w:t xml:space="preserve">l coliform were very </w:t>
      </w:r>
      <w:r w:rsidRPr="000F2735">
        <w:t xml:space="preserve">similar </w:t>
      </w:r>
      <w:r>
        <w:t>between</w:t>
      </w:r>
      <w:r w:rsidRPr="000F2735">
        <w:t xml:space="preserve"> Cycle</w:t>
      </w:r>
      <w:r>
        <w:t>s</w:t>
      </w:r>
      <w:r w:rsidRPr="000F2735">
        <w:t xml:space="preserve"> 1 </w:t>
      </w:r>
      <w:r>
        <w:t>and</w:t>
      </w:r>
      <w:r w:rsidRPr="000F2735">
        <w:t xml:space="preserve"> 2.  </w:t>
      </w:r>
      <w:r>
        <w:t>A</w:t>
      </w:r>
      <w:r w:rsidRPr="000F2735">
        <w:t xml:space="preserve"> </w:t>
      </w:r>
      <w:r>
        <w:t>16</w:t>
      </w:r>
      <w:r w:rsidRPr="000F2735">
        <w:t>% increase in</w:t>
      </w:r>
      <w:r>
        <w:t xml:space="preserve"> large lakes meeting their </w:t>
      </w:r>
      <w:r w:rsidRPr="000F2735">
        <w:t>TSI</w:t>
      </w:r>
      <w:r>
        <w:t xml:space="preserve"> threshold may be an artifact</w:t>
      </w:r>
      <w:r w:rsidRPr="000F2735">
        <w:t xml:space="preserve"> </w:t>
      </w:r>
      <w:r>
        <w:t xml:space="preserve">of </w:t>
      </w:r>
      <w:r w:rsidRPr="000F2735">
        <w:t>the removal of impacted lakes that should not have been sampled.</w:t>
      </w:r>
    </w:p>
    <w:p w:rsidR="00485094" w:rsidRPr="000F2735" w:rsidRDefault="00485094" w:rsidP="00692F31">
      <w:pPr>
        <w:pStyle w:val="Bodytext"/>
      </w:pPr>
    </w:p>
    <w:p w:rsidR="00485094" w:rsidRPr="000F2735" w:rsidRDefault="00485094" w:rsidP="00692F31">
      <w:pPr>
        <w:pStyle w:val="Tableheading"/>
        <w:rPr>
          <w:bCs/>
          <w:szCs w:val="22"/>
        </w:rPr>
      </w:pPr>
      <w:bookmarkStart w:id="459" w:name="_Toc255482846"/>
      <w:bookmarkStart w:id="460" w:name="_Toc255807504"/>
      <w:bookmarkStart w:id="461" w:name="_Toc262464258"/>
      <w:bookmarkStart w:id="462" w:name="_Toc271280105"/>
      <w:r w:rsidRPr="000F2735">
        <w:rPr>
          <w:szCs w:val="22"/>
        </w:rPr>
        <w:t xml:space="preserve">Table </w:t>
      </w:r>
      <w:r>
        <w:rPr>
          <w:szCs w:val="22"/>
        </w:rPr>
        <w:t>6.7c</w:t>
      </w:r>
      <w:r w:rsidRPr="000F2735">
        <w:rPr>
          <w:szCs w:val="22"/>
        </w:rPr>
        <w:t>.</w:t>
      </w:r>
      <w:r>
        <w:rPr>
          <w:szCs w:val="22"/>
        </w:rPr>
        <w:t xml:space="preserve">  </w:t>
      </w:r>
      <w:r w:rsidRPr="000F2735">
        <w:rPr>
          <w:szCs w:val="22"/>
        </w:rPr>
        <w:t>Percentage of Large Lakes Resource Meeting Threshold Values for Statewide Assessment for Cycle</w:t>
      </w:r>
      <w:r>
        <w:rPr>
          <w:szCs w:val="22"/>
        </w:rPr>
        <w:t>s</w:t>
      </w:r>
      <w:r w:rsidRPr="000F2735">
        <w:rPr>
          <w:szCs w:val="22"/>
        </w:rPr>
        <w:t xml:space="preserve"> 1 and 2</w:t>
      </w:r>
      <w:bookmarkEnd w:id="459"/>
      <w:bookmarkEnd w:id="460"/>
      <w:bookmarkEnd w:id="461"/>
      <w:bookmarkEnd w:id="462"/>
    </w:p>
    <w:p w:rsidR="00485094" w:rsidRDefault="00485094" w:rsidP="00692F31">
      <w:pPr>
        <w:pStyle w:val="TabledescriptionBF"/>
      </w:pPr>
      <w:r w:rsidRPr="00B827B3">
        <w:rPr>
          <w:b/>
        </w:rPr>
        <w:t>Status Network</w:t>
      </w:r>
      <w:r w:rsidRPr="00B827B3">
        <w:rPr>
          <w:b/>
        </w:rPr>
        <w:tab/>
      </w:r>
      <w:r w:rsidRPr="00B827B3">
        <w:rPr>
          <w:b/>
        </w:rPr>
        <w:tab/>
        <w:t xml:space="preserve">Designated Use:  Recreation and Aquatic Life </w:t>
      </w:r>
      <w:r w:rsidRPr="00B827B3">
        <w:rPr>
          <w:b/>
        </w:rPr>
        <w:tab/>
        <w:t>Units:  Acres</w:t>
      </w:r>
    </w:p>
    <w:p w:rsidR="00485094" w:rsidRDefault="00485094" w:rsidP="00692F31">
      <w:pPr>
        <w:pStyle w:val="TabledescriptionBF"/>
      </w:pPr>
    </w:p>
    <w:p w:rsidR="00485094" w:rsidRPr="00B827B3" w:rsidRDefault="00485094" w:rsidP="00692F31">
      <w:pPr>
        <w:pStyle w:val="TabledescriptionBF"/>
        <w:rPr>
          <w:b/>
        </w:rPr>
      </w:pPr>
      <w:r w:rsidRPr="00B827B3">
        <w:t>This is a five-column table.  Column 1 lists the analytes, Column 2 lists the Cycle 1 target population, Column 3 lists the Cycle 2 target population, Column 4 lists the percent meeting the threshold in Cycle 1, and Column 5 lists the percent meeting the threshold in Cycle 2.</w:t>
      </w:r>
    </w:p>
    <w:p w:rsidR="00485094" w:rsidRDefault="00485094" w:rsidP="00692F31">
      <w:pPr>
        <w:pStyle w:val="Bodytextreduced"/>
      </w:pPr>
    </w:p>
    <w:tbl>
      <w:tblPr>
        <w:tblW w:w="859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tblPr>
      <w:tblGrid>
        <w:gridCol w:w="1980"/>
        <w:gridCol w:w="1890"/>
        <w:gridCol w:w="1890"/>
        <w:gridCol w:w="1416"/>
        <w:gridCol w:w="1416"/>
      </w:tblGrid>
      <w:tr w:rsidR="00485094" w:rsidRPr="000F2909" w:rsidTr="000F2909">
        <w:trPr>
          <w:trHeight w:val="288"/>
          <w:tblHeader/>
          <w:jc w:val="center"/>
        </w:trPr>
        <w:tc>
          <w:tcPr>
            <w:tcW w:w="1980" w:type="dxa"/>
            <w:tcBorders>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Analyte</w:t>
            </w:r>
          </w:p>
        </w:tc>
        <w:tc>
          <w:tcPr>
            <w:tcW w:w="1890" w:type="dxa"/>
            <w:tcBorders>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Cycle 1</w:t>
            </w:r>
          </w:p>
          <w:p w:rsidR="00485094" w:rsidRPr="000F2909" w:rsidRDefault="00485094" w:rsidP="00453E80">
            <w:pPr>
              <w:pStyle w:val="TableText"/>
              <w:jc w:val="center"/>
              <w:rPr>
                <w:b/>
                <w:i/>
              </w:rPr>
            </w:pPr>
            <w:r w:rsidRPr="000F2909">
              <w:rPr>
                <w:b/>
                <w:i/>
              </w:rPr>
              <w:t>Target Population</w:t>
            </w:r>
          </w:p>
        </w:tc>
        <w:tc>
          <w:tcPr>
            <w:tcW w:w="1890" w:type="dxa"/>
            <w:tcBorders>
              <w:bottom w:val="double" w:sz="4" w:space="0" w:color="auto"/>
              <w:right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Cycle 2</w:t>
            </w:r>
          </w:p>
          <w:p w:rsidR="00485094" w:rsidRPr="000F2909" w:rsidRDefault="00485094" w:rsidP="00453E80">
            <w:pPr>
              <w:pStyle w:val="TableText"/>
              <w:jc w:val="center"/>
              <w:rPr>
                <w:b/>
                <w:i/>
              </w:rPr>
            </w:pPr>
            <w:r w:rsidRPr="000F2909">
              <w:rPr>
                <w:b/>
                <w:i/>
              </w:rPr>
              <w:t>Target Population</w:t>
            </w:r>
          </w:p>
        </w:tc>
        <w:tc>
          <w:tcPr>
            <w:tcW w:w="1416" w:type="dxa"/>
            <w:tcBorders>
              <w:left w:val="double" w:sz="4" w:space="0" w:color="auto"/>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Cycle 1</w:t>
            </w:r>
          </w:p>
          <w:p w:rsidR="00485094" w:rsidRPr="000F2909" w:rsidRDefault="00485094" w:rsidP="00453E80">
            <w:pPr>
              <w:pStyle w:val="TableText"/>
              <w:jc w:val="center"/>
              <w:rPr>
                <w:b/>
                <w:i/>
              </w:rPr>
            </w:pPr>
            <w:r w:rsidRPr="000F2909">
              <w:rPr>
                <w:b/>
                <w:i/>
              </w:rPr>
              <w:t>% Meeting Threshold</w:t>
            </w:r>
          </w:p>
        </w:tc>
        <w:tc>
          <w:tcPr>
            <w:tcW w:w="1416" w:type="dxa"/>
            <w:tcBorders>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Cycle 2</w:t>
            </w:r>
          </w:p>
          <w:p w:rsidR="00485094" w:rsidRPr="000F2909" w:rsidRDefault="00485094" w:rsidP="00453E80">
            <w:pPr>
              <w:pStyle w:val="TableText"/>
              <w:jc w:val="center"/>
              <w:rPr>
                <w:b/>
                <w:i/>
              </w:rPr>
            </w:pPr>
            <w:r w:rsidRPr="000F2909">
              <w:rPr>
                <w:b/>
                <w:i/>
              </w:rPr>
              <w:t>% Meeting Threshold</w:t>
            </w:r>
          </w:p>
        </w:tc>
      </w:tr>
      <w:tr w:rsidR="00485094" w:rsidRPr="00D55B27" w:rsidTr="008F1C14">
        <w:trPr>
          <w:cantSplit/>
          <w:trHeight w:val="288"/>
          <w:jc w:val="center"/>
        </w:trPr>
        <w:tc>
          <w:tcPr>
            <w:tcW w:w="1980" w:type="dxa"/>
            <w:tcBorders>
              <w:top w:val="double" w:sz="4" w:space="0" w:color="auto"/>
            </w:tcBorders>
            <w:shd w:val="clear" w:color="auto" w:fill="FFFFCC"/>
            <w:vAlign w:val="center"/>
          </w:tcPr>
          <w:p w:rsidR="00485094" w:rsidRPr="00D55B27" w:rsidRDefault="00485094" w:rsidP="00453E80">
            <w:pPr>
              <w:pStyle w:val="TableText"/>
              <w:jc w:val="center"/>
            </w:pPr>
            <w:r>
              <w:t>TSI</w:t>
            </w:r>
          </w:p>
        </w:tc>
        <w:tc>
          <w:tcPr>
            <w:tcW w:w="1890" w:type="dxa"/>
            <w:tcBorders>
              <w:top w:val="double" w:sz="4" w:space="0" w:color="auto"/>
            </w:tcBorders>
            <w:vAlign w:val="center"/>
          </w:tcPr>
          <w:p w:rsidR="00485094" w:rsidRPr="00D55B27" w:rsidRDefault="00485094" w:rsidP="00453E80">
            <w:pPr>
              <w:pStyle w:val="TableText"/>
              <w:jc w:val="center"/>
            </w:pPr>
            <w:r w:rsidRPr="00D55B27">
              <w:t>1</w:t>
            </w:r>
            <w:r>
              <w:t>,</w:t>
            </w:r>
            <w:r w:rsidRPr="00D55B27">
              <w:t>075</w:t>
            </w:r>
            <w:r>
              <w:t>,</w:t>
            </w:r>
            <w:r w:rsidRPr="00D55B27">
              <w:t>200</w:t>
            </w:r>
          </w:p>
        </w:tc>
        <w:tc>
          <w:tcPr>
            <w:tcW w:w="1890" w:type="dxa"/>
            <w:tcBorders>
              <w:top w:val="double" w:sz="4" w:space="0" w:color="auto"/>
              <w:right w:val="double" w:sz="4" w:space="0" w:color="auto"/>
            </w:tcBorders>
            <w:vAlign w:val="center"/>
          </w:tcPr>
          <w:p w:rsidR="00485094" w:rsidRPr="00D55B27" w:rsidRDefault="00485094" w:rsidP="00453E80">
            <w:pPr>
              <w:pStyle w:val="TableText"/>
              <w:jc w:val="center"/>
            </w:pPr>
            <w:r w:rsidRPr="00D55B27">
              <w:t>1</w:t>
            </w:r>
            <w:r>
              <w:t>,</w:t>
            </w:r>
            <w:r w:rsidRPr="00D55B27">
              <w:t>038</w:t>
            </w:r>
            <w:r>
              <w:t>,</w:t>
            </w:r>
            <w:r w:rsidRPr="00D55B27">
              <w:t>899</w:t>
            </w:r>
          </w:p>
        </w:tc>
        <w:tc>
          <w:tcPr>
            <w:tcW w:w="1416" w:type="dxa"/>
            <w:tcBorders>
              <w:top w:val="double" w:sz="4" w:space="0" w:color="auto"/>
              <w:left w:val="double" w:sz="4" w:space="0" w:color="auto"/>
            </w:tcBorders>
            <w:vAlign w:val="center"/>
          </w:tcPr>
          <w:p w:rsidR="00485094" w:rsidRPr="00D55B27" w:rsidRDefault="00485094" w:rsidP="00453E80">
            <w:pPr>
              <w:pStyle w:val="TableText"/>
              <w:jc w:val="center"/>
            </w:pPr>
            <w:r w:rsidRPr="00D55B27">
              <w:t>78.2</w:t>
            </w:r>
          </w:p>
        </w:tc>
        <w:tc>
          <w:tcPr>
            <w:tcW w:w="1416" w:type="dxa"/>
            <w:tcBorders>
              <w:top w:val="double" w:sz="4" w:space="0" w:color="auto"/>
            </w:tcBorders>
            <w:vAlign w:val="center"/>
          </w:tcPr>
          <w:p w:rsidR="00485094" w:rsidRPr="00D55B27" w:rsidRDefault="00485094" w:rsidP="00453E80">
            <w:pPr>
              <w:pStyle w:val="TableText"/>
              <w:jc w:val="center"/>
            </w:pPr>
            <w:r w:rsidRPr="00D55B27">
              <w:t>94.0</w:t>
            </w:r>
          </w:p>
        </w:tc>
      </w:tr>
      <w:tr w:rsidR="00485094" w:rsidRPr="00D55B27" w:rsidTr="008F1C14">
        <w:trPr>
          <w:cantSplit/>
          <w:trHeight w:val="288"/>
          <w:jc w:val="center"/>
        </w:trPr>
        <w:tc>
          <w:tcPr>
            <w:tcW w:w="1980" w:type="dxa"/>
            <w:shd w:val="clear" w:color="auto" w:fill="FFFFCC"/>
            <w:vAlign w:val="center"/>
          </w:tcPr>
          <w:p w:rsidR="00485094" w:rsidRPr="00D55B27" w:rsidRDefault="00485094" w:rsidP="00453E80">
            <w:pPr>
              <w:pStyle w:val="TableText"/>
              <w:jc w:val="center"/>
            </w:pPr>
            <w:r w:rsidRPr="00D55B27">
              <w:t>Fecal Coliform</w:t>
            </w:r>
          </w:p>
        </w:tc>
        <w:tc>
          <w:tcPr>
            <w:tcW w:w="1890" w:type="dxa"/>
            <w:vAlign w:val="center"/>
          </w:tcPr>
          <w:p w:rsidR="00485094" w:rsidRPr="00D55B27" w:rsidRDefault="00485094" w:rsidP="00453E80">
            <w:pPr>
              <w:pStyle w:val="TableText"/>
              <w:jc w:val="center"/>
            </w:pPr>
            <w:r w:rsidRPr="00D55B27">
              <w:t>1</w:t>
            </w:r>
            <w:r>
              <w:t>,</w:t>
            </w:r>
            <w:r w:rsidRPr="00D55B27">
              <w:t>075</w:t>
            </w:r>
            <w:r>
              <w:t>,</w:t>
            </w:r>
            <w:r w:rsidRPr="00D55B27">
              <w:t>200</w:t>
            </w:r>
          </w:p>
        </w:tc>
        <w:tc>
          <w:tcPr>
            <w:tcW w:w="1890" w:type="dxa"/>
            <w:tcBorders>
              <w:right w:val="double" w:sz="4" w:space="0" w:color="auto"/>
            </w:tcBorders>
            <w:vAlign w:val="center"/>
          </w:tcPr>
          <w:p w:rsidR="00485094" w:rsidRPr="00D55B27" w:rsidRDefault="00485094" w:rsidP="00453E80">
            <w:pPr>
              <w:pStyle w:val="TableText"/>
              <w:jc w:val="center"/>
            </w:pPr>
            <w:r w:rsidRPr="00D55B27">
              <w:t>1</w:t>
            </w:r>
            <w:r>
              <w:t>,</w:t>
            </w:r>
            <w:r w:rsidRPr="00D55B27">
              <w:t>038</w:t>
            </w:r>
            <w:r>
              <w:t>,</w:t>
            </w:r>
            <w:r w:rsidRPr="00D55B27">
              <w:t>899</w:t>
            </w:r>
          </w:p>
        </w:tc>
        <w:tc>
          <w:tcPr>
            <w:tcW w:w="1416" w:type="dxa"/>
            <w:tcBorders>
              <w:left w:val="double" w:sz="4" w:space="0" w:color="auto"/>
            </w:tcBorders>
            <w:vAlign w:val="center"/>
          </w:tcPr>
          <w:p w:rsidR="00485094" w:rsidRPr="00D55B27" w:rsidRDefault="00485094" w:rsidP="00453E80">
            <w:pPr>
              <w:pStyle w:val="TableText"/>
              <w:jc w:val="center"/>
            </w:pPr>
            <w:r w:rsidRPr="00D55B27">
              <w:t>96.5</w:t>
            </w:r>
          </w:p>
        </w:tc>
        <w:tc>
          <w:tcPr>
            <w:tcW w:w="1416" w:type="dxa"/>
            <w:vAlign w:val="center"/>
          </w:tcPr>
          <w:p w:rsidR="00485094" w:rsidRPr="00D55B27" w:rsidRDefault="00485094" w:rsidP="00453E80">
            <w:pPr>
              <w:pStyle w:val="TableText"/>
              <w:jc w:val="center"/>
            </w:pPr>
            <w:r w:rsidRPr="00D55B27">
              <w:t>99.7</w:t>
            </w:r>
          </w:p>
        </w:tc>
      </w:tr>
      <w:tr w:rsidR="00485094" w:rsidRPr="00D55B27" w:rsidTr="008F1C14">
        <w:trPr>
          <w:cantSplit/>
          <w:trHeight w:val="288"/>
          <w:jc w:val="center"/>
        </w:trPr>
        <w:tc>
          <w:tcPr>
            <w:tcW w:w="1980" w:type="dxa"/>
            <w:shd w:val="clear" w:color="auto" w:fill="FFFFCC"/>
            <w:vAlign w:val="center"/>
          </w:tcPr>
          <w:p w:rsidR="00485094" w:rsidRPr="00D55B27" w:rsidRDefault="00485094" w:rsidP="00453E80">
            <w:pPr>
              <w:pStyle w:val="TableText"/>
              <w:jc w:val="center"/>
            </w:pPr>
            <w:r>
              <w:t>DO</w:t>
            </w:r>
          </w:p>
        </w:tc>
        <w:tc>
          <w:tcPr>
            <w:tcW w:w="1890" w:type="dxa"/>
            <w:shd w:val="clear" w:color="auto" w:fill="FFFFFF"/>
            <w:vAlign w:val="center"/>
          </w:tcPr>
          <w:p w:rsidR="00485094" w:rsidRPr="00D55B27" w:rsidRDefault="00485094" w:rsidP="00453E80">
            <w:pPr>
              <w:pStyle w:val="TableText"/>
              <w:jc w:val="center"/>
            </w:pPr>
            <w:r w:rsidRPr="00D55B27">
              <w:t>1</w:t>
            </w:r>
            <w:r>
              <w:t>,</w:t>
            </w:r>
            <w:r w:rsidRPr="00D55B27">
              <w:t>075</w:t>
            </w:r>
            <w:r>
              <w:t>,</w:t>
            </w:r>
            <w:r w:rsidRPr="00D55B27">
              <w:t>200</w:t>
            </w:r>
          </w:p>
        </w:tc>
        <w:tc>
          <w:tcPr>
            <w:tcW w:w="1890" w:type="dxa"/>
            <w:tcBorders>
              <w:right w:val="double" w:sz="4" w:space="0" w:color="auto"/>
            </w:tcBorders>
            <w:shd w:val="clear" w:color="auto" w:fill="FFFFFF"/>
            <w:vAlign w:val="center"/>
          </w:tcPr>
          <w:p w:rsidR="00485094" w:rsidRPr="00D55B27" w:rsidRDefault="00485094" w:rsidP="00453E80">
            <w:pPr>
              <w:pStyle w:val="TableText"/>
              <w:jc w:val="center"/>
            </w:pPr>
            <w:r w:rsidRPr="00D55B27">
              <w:t>1</w:t>
            </w:r>
            <w:r>
              <w:t>,</w:t>
            </w:r>
            <w:r w:rsidRPr="00D55B27">
              <w:t>038</w:t>
            </w:r>
            <w:r>
              <w:t>,</w:t>
            </w:r>
            <w:r w:rsidRPr="00D55B27">
              <w:t>899</w:t>
            </w:r>
          </w:p>
        </w:tc>
        <w:tc>
          <w:tcPr>
            <w:tcW w:w="1416" w:type="dxa"/>
            <w:tcBorders>
              <w:left w:val="double" w:sz="4" w:space="0" w:color="auto"/>
            </w:tcBorders>
            <w:shd w:val="clear" w:color="auto" w:fill="FFFFFF"/>
            <w:vAlign w:val="center"/>
          </w:tcPr>
          <w:p w:rsidR="00485094" w:rsidRPr="00D55B27" w:rsidRDefault="00485094" w:rsidP="00453E80">
            <w:pPr>
              <w:pStyle w:val="TableText"/>
              <w:jc w:val="center"/>
            </w:pPr>
            <w:r w:rsidRPr="00D55B27">
              <w:t>93.6</w:t>
            </w:r>
          </w:p>
        </w:tc>
        <w:tc>
          <w:tcPr>
            <w:tcW w:w="1416" w:type="dxa"/>
            <w:shd w:val="clear" w:color="auto" w:fill="FFFFFF"/>
            <w:vAlign w:val="center"/>
          </w:tcPr>
          <w:p w:rsidR="00485094" w:rsidRPr="00D55B27" w:rsidRDefault="00485094" w:rsidP="00453E80">
            <w:pPr>
              <w:pStyle w:val="TableText"/>
              <w:jc w:val="center"/>
            </w:pPr>
            <w:r w:rsidRPr="00D55B27">
              <w:t>95.0</w:t>
            </w:r>
          </w:p>
        </w:tc>
      </w:tr>
    </w:tbl>
    <w:p w:rsidR="00485094" w:rsidRDefault="00485094" w:rsidP="00692F31">
      <w:pPr>
        <w:pStyle w:val="Bodytextreduced"/>
      </w:pPr>
    </w:p>
    <w:p w:rsidR="00485094" w:rsidRDefault="00485094" w:rsidP="00225579">
      <w:pPr>
        <w:pStyle w:val="Bodytextreduced"/>
      </w:pPr>
    </w:p>
    <w:p w:rsidR="00837545" w:rsidRDefault="00837545" w:rsidP="00837545">
      <w:pPr>
        <w:pStyle w:val="Heading2"/>
      </w:pPr>
      <w:bookmarkStart w:id="463" w:name="_Chapter_7._"/>
      <w:bookmarkStart w:id="464" w:name="_Toc271279977"/>
      <w:bookmarkStart w:id="465" w:name="_Toc262464153"/>
      <w:bookmarkStart w:id="466" w:name="_Toc255822538"/>
      <w:bookmarkEnd w:id="334"/>
      <w:bookmarkEnd w:id="463"/>
      <w:r>
        <w:t xml:space="preserve">Summary of Surface and Ground Water </w:t>
      </w:r>
      <w:r w:rsidRPr="00F30D85">
        <w:t xml:space="preserve">Trend </w:t>
      </w:r>
      <w:r>
        <w:t>Network R</w:t>
      </w:r>
      <w:r w:rsidRPr="00F30D85">
        <w:t>esults</w:t>
      </w:r>
      <w:bookmarkEnd w:id="464"/>
    </w:p>
    <w:p w:rsidR="00837545" w:rsidRDefault="00837545" w:rsidP="00837545">
      <w:pPr>
        <w:pStyle w:val="Heading3"/>
      </w:pPr>
      <w:bookmarkStart w:id="467" w:name="_Toc271279978"/>
      <w:r w:rsidRPr="009261A6">
        <w:t>Surface Water Trends</w:t>
      </w:r>
      <w:bookmarkEnd w:id="467"/>
    </w:p>
    <w:p w:rsidR="00837545" w:rsidRPr="00A85933" w:rsidRDefault="00837545" w:rsidP="00837545">
      <w:pPr>
        <w:pStyle w:val="Bodytext"/>
        <w:rPr>
          <w:b/>
        </w:rPr>
      </w:pPr>
      <w:r>
        <w:t>The f</w:t>
      </w:r>
      <w:r w:rsidRPr="00A85933">
        <w:t>low rate of rivers can be thought of as cyclic</w:t>
      </w:r>
      <w:r>
        <w:t>al</w:t>
      </w:r>
      <w:r w:rsidRPr="00A85933">
        <w:t xml:space="preserve"> and can </w:t>
      </w:r>
      <w:r>
        <w:t xml:space="preserve">complicate </w:t>
      </w:r>
      <w:r w:rsidRPr="00A85933">
        <w:t xml:space="preserve">data </w:t>
      </w:r>
      <w:r>
        <w:t xml:space="preserve">analysis </w:t>
      </w:r>
      <w:r w:rsidRPr="00A85933">
        <w:t xml:space="preserve">unless taken into consideration.  </w:t>
      </w:r>
      <w:r>
        <w:t>Where available, f</w:t>
      </w:r>
      <w:r w:rsidRPr="00A85933">
        <w:t>low rates from associated USGS ga</w:t>
      </w:r>
      <w:r>
        <w:t>u</w:t>
      </w:r>
      <w:r w:rsidRPr="00A85933">
        <w:t xml:space="preserve">ging stations were collected at the same time as </w:t>
      </w:r>
      <w:r>
        <w:t xml:space="preserve">surface </w:t>
      </w:r>
      <w:r w:rsidRPr="00A85933">
        <w:t xml:space="preserve">water </w:t>
      </w:r>
      <w:r w:rsidRPr="00C43EF5">
        <w:t>samples.  The</w:t>
      </w:r>
      <w:r w:rsidRPr="00A85933">
        <w:t xml:space="preserve"> </w:t>
      </w:r>
      <w:r>
        <w:t xml:space="preserve">surface </w:t>
      </w:r>
      <w:r w:rsidRPr="00A85933">
        <w:t xml:space="preserve">water quality data were </w:t>
      </w:r>
      <w:r>
        <w:t xml:space="preserve">then </w:t>
      </w:r>
      <w:r w:rsidRPr="00A85933">
        <w:t>adjusted for flow</w:t>
      </w:r>
      <w:r>
        <w:t xml:space="preserve"> and </w:t>
      </w:r>
      <w:r w:rsidRPr="00A85933">
        <w:t>deseasonaliz</w:t>
      </w:r>
      <w:r>
        <w:t>ed</w:t>
      </w:r>
      <w:r w:rsidRPr="00A85933">
        <w:t xml:space="preserve">, </w:t>
      </w:r>
      <w:r>
        <w:t>before the data were analyzed</w:t>
      </w:r>
      <w:r w:rsidRPr="00A85933">
        <w:t>.  Since ground</w:t>
      </w:r>
      <w:r>
        <w:t xml:space="preserve"> </w:t>
      </w:r>
      <w:r w:rsidRPr="00A85933">
        <w:t>water flows very slow</w:t>
      </w:r>
      <w:r>
        <w:t>ly</w:t>
      </w:r>
      <w:r w:rsidRPr="00A85933">
        <w:t xml:space="preserve">, there is little to no cyclicity to the data.  Therefore, no adjustment to the </w:t>
      </w:r>
      <w:r>
        <w:t xml:space="preserve">ground water </w:t>
      </w:r>
      <w:r w:rsidRPr="00A85933">
        <w:t xml:space="preserve">data was necessary prior to performing any analysis. </w:t>
      </w:r>
    </w:p>
    <w:p w:rsidR="00837545" w:rsidRDefault="00837545" w:rsidP="00837545">
      <w:pPr>
        <w:pStyle w:val="Bodytext"/>
      </w:pPr>
    </w:p>
    <w:p w:rsidR="00837545" w:rsidRDefault="00837545" w:rsidP="00837545">
      <w:pPr>
        <w:pStyle w:val="Bodytext"/>
      </w:pPr>
      <w:r w:rsidRPr="00F30D85">
        <w:t xml:space="preserve">Forty-one </w:t>
      </w:r>
      <w:r>
        <w:t xml:space="preserve">surface water </w:t>
      </w:r>
      <w:r w:rsidRPr="00F30D85">
        <w:t>stations were adjusted for flow</w:t>
      </w:r>
      <w:r>
        <w:t>,</w:t>
      </w:r>
      <w:r w:rsidRPr="00F30D85">
        <w:t xml:space="preserve"> while the remaining </w:t>
      </w:r>
      <w:r>
        <w:t xml:space="preserve">35 </w:t>
      </w:r>
      <w:r w:rsidRPr="00F30D85">
        <w:t>stations</w:t>
      </w:r>
      <w:r>
        <w:t xml:space="preserve"> </w:t>
      </w:r>
      <w:r w:rsidRPr="00F30D85">
        <w:t xml:space="preserve">were not flow adjusted.  </w:t>
      </w:r>
      <w:r w:rsidRPr="00301CDF">
        <w:rPr>
          <w:b/>
          <w:i/>
        </w:rPr>
        <w:t>T</w:t>
      </w:r>
      <w:r w:rsidRPr="00AD78DE">
        <w:rPr>
          <w:b/>
          <w:i/>
        </w:rPr>
        <w:t>ables 6.</w:t>
      </w:r>
      <w:r>
        <w:rPr>
          <w:b/>
          <w:i/>
        </w:rPr>
        <w:t>8</w:t>
      </w:r>
      <w:r w:rsidRPr="00AD78DE">
        <w:rPr>
          <w:b/>
          <w:i/>
        </w:rPr>
        <w:t>a</w:t>
      </w:r>
      <w:r>
        <w:t xml:space="preserve"> and </w:t>
      </w:r>
      <w:r w:rsidRPr="00AD78DE">
        <w:rPr>
          <w:b/>
          <w:i/>
        </w:rPr>
        <w:t>6.</w:t>
      </w:r>
      <w:r>
        <w:rPr>
          <w:b/>
          <w:i/>
        </w:rPr>
        <w:t>8</w:t>
      </w:r>
      <w:r w:rsidRPr="00AD78DE">
        <w:rPr>
          <w:b/>
          <w:i/>
        </w:rPr>
        <w:t>b</w:t>
      </w:r>
      <w:r>
        <w:t xml:space="preserve"> present the r</w:t>
      </w:r>
      <w:r w:rsidRPr="00F30D85">
        <w:t>esults of the trend analyses</w:t>
      </w:r>
      <w:r>
        <w:t xml:space="preserve">, and </w:t>
      </w:r>
      <w:r w:rsidRPr="00AD78DE">
        <w:rPr>
          <w:b/>
          <w:i/>
        </w:rPr>
        <w:t>Figures 6.1</w:t>
      </w:r>
      <w:r>
        <w:rPr>
          <w:b/>
          <w:i/>
        </w:rPr>
        <w:t>5</w:t>
      </w:r>
      <w:r>
        <w:t xml:space="preserve"> through </w:t>
      </w:r>
      <w:r w:rsidRPr="00AD78DE">
        <w:rPr>
          <w:b/>
          <w:i/>
        </w:rPr>
        <w:t>6.2</w:t>
      </w:r>
      <w:r>
        <w:rPr>
          <w:b/>
          <w:i/>
        </w:rPr>
        <w:t>1</w:t>
      </w:r>
      <w:r>
        <w:t xml:space="preserve"> show the results graphically for each indicator</w:t>
      </w:r>
      <w:r w:rsidRPr="00F30D85">
        <w:t>.</w:t>
      </w:r>
    </w:p>
    <w:p w:rsidR="00485094" w:rsidRDefault="000D13CF" w:rsidP="00692F31">
      <w:pPr>
        <w:pStyle w:val="Tableheading"/>
      </w:pPr>
      <w:bookmarkStart w:id="468" w:name="_Toc255482840"/>
      <w:bookmarkStart w:id="469" w:name="_Toc255807498"/>
      <w:bookmarkStart w:id="470" w:name="_Toc262464259"/>
      <w:bookmarkEnd w:id="465"/>
      <w:r>
        <w:br w:type="page"/>
      </w:r>
      <w:bookmarkStart w:id="471" w:name="_Toc271280106"/>
      <w:r w:rsidR="00485094" w:rsidRPr="009355D6">
        <w:t xml:space="preserve">Table </w:t>
      </w:r>
      <w:r w:rsidR="00485094">
        <w:t>6.8a</w:t>
      </w:r>
      <w:r w:rsidR="00485094" w:rsidRPr="009355D6">
        <w:t>.</w:t>
      </w:r>
      <w:r w:rsidR="00485094">
        <w:t xml:space="preserve">  </w:t>
      </w:r>
      <w:r w:rsidR="00485094" w:rsidRPr="009355D6">
        <w:t xml:space="preserve">Trends for </w:t>
      </w:r>
      <w:r w:rsidR="00485094">
        <w:t>S</w:t>
      </w:r>
      <w:r w:rsidR="00485094" w:rsidRPr="009355D6">
        <w:t xml:space="preserve">pecified </w:t>
      </w:r>
      <w:r w:rsidR="00485094">
        <w:t>A</w:t>
      </w:r>
      <w:r w:rsidR="00485094" w:rsidRPr="009355D6">
        <w:t xml:space="preserve">nalytes for </w:t>
      </w:r>
      <w:r w:rsidR="00485094">
        <w:t xml:space="preserve">Surface Water </w:t>
      </w:r>
      <w:r w:rsidR="00485094" w:rsidRPr="009355D6">
        <w:t xml:space="preserve">Trend Network </w:t>
      </w:r>
      <w:r w:rsidR="00485094">
        <w:t xml:space="preserve">Stations </w:t>
      </w:r>
      <w:r w:rsidR="00485094" w:rsidRPr="009355D6">
        <w:t xml:space="preserve">that </w:t>
      </w:r>
      <w:r w:rsidR="00485094">
        <w:t>A</w:t>
      </w:r>
      <w:r w:rsidR="00485094" w:rsidRPr="009355D6">
        <w:t xml:space="preserve">re </w:t>
      </w:r>
      <w:r w:rsidR="00485094">
        <w:t>A</w:t>
      </w:r>
      <w:r w:rsidR="00485094" w:rsidRPr="009355D6">
        <w:t xml:space="preserve">ssociated with a USGS </w:t>
      </w:r>
      <w:r w:rsidR="00485094">
        <w:t>G</w:t>
      </w:r>
      <w:r w:rsidR="00485094" w:rsidRPr="009355D6">
        <w:t>a</w:t>
      </w:r>
      <w:r w:rsidR="00485094">
        <w:t>u</w:t>
      </w:r>
      <w:r w:rsidR="00485094" w:rsidRPr="009355D6">
        <w:t xml:space="preserve">ging </w:t>
      </w:r>
      <w:r w:rsidR="00485094">
        <w:t>S</w:t>
      </w:r>
      <w:r w:rsidR="00485094" w:rsidRPr="009355D6">
        <w:t xml:space="preserve">tation and </w:t>
      </w:r>
      <w:r w:rsidR="00485094">
        <w:t>A</w:t>
      </w:r>
      <w:r w:rsidR="00485094" w:rsidRPr="009355D6">
        <w:t xml:space="preserve">djusted for </w:t>
      </w:r>
      <w:r w:rsidR="00485094">
        <w:t>R</w:t>
      </w:r>
      <w:r w:rsidR="00485094" w:rsidRPr="009355D6">
        <w:t xml:space="preserve">iver </w:t>
      </w:r>
      <w:r w:rsidR="00485094">
        <w:t>F</w:t>
      </w:r>
      <w:r w:rsidR="00485094" w:rsidRPr="009355D6">
        <w:t>low</w:t>
      </w:r>
      <w:bookmarkEnd w:id="468"/>
      <w:bookmarkEnd w:id="469"/>
      <w:bookmarkEnd w:id="470"/>
      <w:bookmarkEnd w:id="471"/>
    </w:p>
    <w:p w:rsidR="00485094" w:rsidRDefault="00485094" w:rsidP="00692F31">
      <w:pPr>
        <w:pStyle w:val="TabledescriptionBF"/>
      </w:pPr>
      <w:r>
        <w:t xml:space="preserve">This is a </w:t>
      </w:r>
      <w:r w:rsidR="000D13CF">
        <w:t>nine</w:t>
      </w:r>
      <w:r>
        <w:t>-column table.  Column 1 lists the station</w:t>
      </w:r>
      <w:r w:rsidR="000D13CF">
        <w:t xml:space="preserve">, Column 2 lists the river, </w:t>
      </w:r>
      <w:r>
        <w:t xml:space="preserve">and Columns </w:t>
      </w:r>
      <w:r w:rsidR="000D13CF">
        <w:t>3</w:t>
      </w:r>
      <w:r>
        <w:t xml:space="preserve"> through </w:t>
      </w:r>
      <w:r w:rsidR="000D13CF">
        <w:t>9</w:t>
      </w:r>
      <w:r>
        <w:t xml:space="preserve"> list the analytes.</w:t>
      </w:r>
    </w:p>
    <w:p w:rsidR="00485094" w:rsidRPr="00F25CEA" w:rsidRDefault="00485094" w:rsidP="00F25CEA">
      <w:pPr>
        <w:rPr>
          <w:rFonts w:ascii="Arial" w:hAnsi="Arial" w:cs="Arial"/>
          <w:sz w:val="16"/>
          <w:szCs w:val="16"/>
        </w:rPr>
      </w:pPr>
    </w:p>
    <w:p w:rsidR="00485094" w:rsidRPr="009355D6" w:rsidRDefault="00485094" w:rsidP="00692F31">
      <w:pPr>
        <w:pStyle w:val="Bodytextreduced"/>
      </w:pPr>
      <w:r w:rsidRPr="009355D6">
        <w:t>Positive trends are indicated with a plus sign (+), negative trends are indicated with a minus sign (-)</w:t>
      </w:r>
      <w:r>
        <w:t>, and no trends are indicated by</w:t>
      </w:r>
      <w:r w:rsidRPr="009355D6">
        <w:t xml:space="preserve"> zero (o).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09"/>
        <w:gridCol w:w="1611"/>
        <w:gridCol w:w="819"/>
        <w:gridCol w:w="990"/>
        <w:gridCol w:w="1350"/>
        <w:gridCol w:w="990"/>
        <w:gridCol w:w="1290"/>
        <w:gridCol w:w="956"/>
        <w:gridCol w:w="1003"/>
      </w:tblGrid>
      <w:tr w:rsidR="00485094" w:rsidRPr="00225579" w:rsidTr="000F2909">
        <w:trPr>
          <w:trHeight w:val="144"/>
          <w:jc w:val="center"/>
        </w:trPr>
        <w:tc>
          <w:tcPr>
            <w:tcW w:w="909" w:type="dxa"/>
            <w:tcBorders>
              <w:bottom w:val="double" w:sz="4" w:space="0" w:color="auto"/>
            </w:tcBorders>
            <w:shd w:val="clear" w:color="auto" w:fill="BDFFFF"/>
            <w:vAlign w:val="bottom"/>
          </w:tcPr>
          <w:p w:rsidR="00485094" w:rsidRPr="00225579" w:rsidRDefault="00485094" w:rsidP="000F2909">
            <w:pPr>
              <w:pStyle w:val="TableText"/>
              <w:jc w:val="center"/>
              <w:rPr>
                <w:b/>
                <w:i/>
                <w:szCs w:val="18"/>
              </w:rPr>
            </w:pPr>
            <w:r w:rsidRPr="00225579">
              <w:rPr>
                <w:b/>
                <w:i/>
                <w:szCs w:val="18"/>
              </w:rPr>
              <w:t>Station</w:t>
            </w:r>
          </w:p>
        </w:tc>
        <w:tc>
          <w:tcPr>
            <w:tcW w:w="1611" w:type="dxa"/>
            <w:tcBorders>
              <w:bottom w:val="double" w:sz="4" w:space="0" w:color="auto"/>
            </w:tcBorders>
            <w:shd w:val="clear" w:color="auto" w:fill="BDFFFF"/>
            <w:vAlign w:val="bottom"/>
          </w:tcPr>
          <w:p w:rsidR="00485094" w:rsidRPr="00225579" w:rsidRDefault="00485094" w:rsidP="000F2909">
            <w:pPr>
              <w:pStyle w:val="TableText"/>
              <w:jc w:val="center"/>
              <w:rPr>
                <w:b/>
                <w:i/>
                <w:szCs w:val="18"/>
              </w:rPr>
            </w:pPr>
            <w:r>
              <w:rPr>
                <w:b/>
                <w:i/>
                <w:szCs w:val="18"/>
              </w:rPr>
              <w:t>River</w:t>
            </w:r>
          </w:p>
        </w:tc>
        <w:tc>
          <w:tcPr>
            <w:tcW w:w="819" w:type="dxa"/>
            <w:tcBorders>
              <w:bottom w:val="double" w:sz="4" w:space="0" w:color="auto"/>
            </w:tcBorders>
            <w:shd w:val="clear" w:color="auto" w:fill="BDFFFF"/>
            <w:vAlign w:val="bottom"/>
          </w:tcPr>
          <w:p w:rsidR="00485094" w:rsidRPr="00225579" w:rsidRDefault="00485094" w:rsidP="000F2909">
            <w:pPr>
              <w:pStyle w:val="TableText"/>
              <w:jc w:val="center"/>
              <w:rPr>
                <w:b/>
                <w:i/>
                <w:szCs w:val="18"/>
              </w:rPr>
            </w:pPr>
            <w:r w:rsidRPr="00225579">
              <w:rPr>
                <w:b/>
                <w:i/>
                <w:szCs w:val="18"/>
              </w:rPr>
              <w:t>Nitrate + Nitrite</w:t>
            </w:r>
          </w:p>
        </w:tc>
        <w:tc>
          <w:tcPr>
            <w:tcW w:w="990" w:type="dxa"/>
            <w:tcBorders>
              <w:bottom w:val="double" w:sz="4" w:space="0" w:color="auto"/>
            </w:tcBorders>
            <w:shd w:val="clear" w:color="auto" w:fill="BDFFFF"/>
            <w:vAlign w:val="bottom"/>
          </w:tcPr>
          <w:p w:rsidR="00485094" w:rsidRPr="00225579" w:rsidRDefault="008C37FA" w:rsidP="000F2909">
            <w:pPr>
              <w:pStyle w:val="TableText"/>
              <w:jc w:val="center"/>
              <w:rPr>
                <w:b/>
                <w:i/>
                <w:szCs w:val="18"/>
              </w:rPr>
            </w:pPr>
            <w:r>
              <w:rPr>
                <w:b/>
                <w:i/>
                <w:szCs w:val="18"/>
              </w:rPr>
              <w:t>TKN</w:t>
            </w:r>
          </w:p>
        </w:tc>
        <w:tc>
          <w:tcPr>
            <w:tcW w:w="1350" w:type="dxa"/>
            <w:tcBorders>
              <w:bottom w:val="double" w:sz="4" w:space="0" w:color="auto"/>
            </w:tcBorders>
            <w:shd w:val="clear" w:color="auto" w:fill="BDFFFF"/>
            <w:vAlign w:val="bottom"/>
          </w:tcPr>
          <w:p w:rsidR="00485094" w:rsidRPr="00225579" w:rsidRDefault="00485094" w:rsidP="008C37FA">
            <w:pPr>
              <w:pStyle w:val="TableText"/>
              <w:jc w:val="center"/>
              <w:rPr>
                <w:b/>
                <w:i/>
                <w:szCs w:val="18"/>
              </w:rPr>
            </w:pPr>
            <w:r w:rsidRPr="00225579">
              <w:rPr>
                <w:b/>
                <w:i/>
                <w:szCs w:val="18"/>
              </w:rPr>
              <w:t>T</w:t>
            </w:r>
            <w:r w:rsidR="008C37FA">
              <w:rPr>
                <w:b/>
                <w:i/>
                <w:szCs w:val="18"/>
              </w:rPr>
              <w:t>P</w:t>
            </w:r>
          </w:p>
        </w:tc>
        <w:tc>
          <w:tcPr>
            <w:tcW w:w="990" w:type="dxa"/>
            <w:tcBorders>
              <w:bottom w:val="double" w:sz="4" w:space="0" w:color="auto"/>
            </w:tcBorders>
            <w:shd w:val="clear" w:color="auto" w:fill="BDFFFF"/>
            <w:vAlign w:val="bottom"/>
          </w:tcPr>
          <w:p w:rsidR="00485094" w:rsidRPr="00225579" w:rsidRDefault="008C37FA" w:rsidP="000F2909">
            <w:pPr>
              <w:pStyle w:val="TableText"/>
              <w:jc w:val="center"/>
              <w:rPr>
                <w:b/>
                <w:i/>
                <w:szCs w:val="18"/>
              </w:rPr>
            </w:pPr>
            <w:r>
              <w:rPr>
                <w:b/>
                <w:i/>
                <w:szCs w:val="18"/>
              </w:rPr>
              <w:t>TOC</w:t>
            </w:r>
          </w:p>
        </w:tc>
        <w:tc>
          <w:tcPr>
            <w:tcW w:w="1290" w:type="dxa"/>
            <w:tcBorders>
              <w:bottom w:val="double" w:sz="4" w:space="0" w:color="auto"/>
            </w:tcBorders>
            <w:shd w:val="clear" w:color="auto" w:fill="BDFFFF"/>
            <w:vAlign w:val="bottom"/>
          </w:tcPr>
          <w:p w:rsidR="00485094" w:rsidRPr="00225579" w:rsidRDefault="00485094" w:rsidP="000F2909">
            <w:pPr>
              <w:pStyle w:val="TableText"/>
              <w:jc w:val="center"/>
              <w:rPr>
                <w:b/>
                <w:i/>
                <w:szCs w:val="18"/>
              </w:rPr>
            </w:pPr>
            <w:r w:rsidRPr="00225579">
              <w:rPr>
                <w:b/>
                <w:i/>
                <w:szCs w:val="18"/>
              </w:rPr>
              <w:t>Chlorophyll a</w:t>
            </w:r>
          </w:p>
        </w:tc>
        <w:tc>
          <w:tcPr>
            <w:tcW w:w="956" w:type="dxa"/>
            <w:tcBorders>
              <w:bottom w:val="double" w:sz="4" w:space="0" w:color="auto"/>
            </w:tcBorders>
            <w:shd w:val="clear" w:color="auto" w:fill="BDFFFF"/>
            <w:vAlign w:val="bottom"/>
          </w:tcPr>
          <w:p w:rsidR="00485094" w:rsidRPr="00225579" w:rsidRDefault="00485094" w:rsidP="000F2909">
            <w:pPr>
              <w:pStyle w:val="TableText"/>
              <w:jc w:val="center"/>
              <w:rPr>
                <w:b/>
                <w:i/>
                <w:szCs w:val="18"/>
              </w:rPr>
            </w:pPr>
            <w:r w:rsidRPr="00225579">
              <w:rPr>
                <w:b/>
                <w:i/>
                <w:szCs w:val="18"/>
              </w:rPr>
              <w:t>Fecal Coliform</w:t>
            </w:r>
          </w:p>
        </w:tc>
        <w:tc>
          <w:tcPr>
            <w:tcW w:w="1003" w:type="dxa"/>
            <w:tcBorders>
              <w:bottom w:val="double" w:sz="4" w:space="0" w:color="auto"/>
            </w:tcBorders>
            <w:shd w:val="clear" w:color="auto" w:fill="BDFFFF"/>
            <w:vAlign w:val="bottom"/>
          </w:tcPr>
          <w:p w:rsidR="00485094" w:rsidRPr="00225579" w:rsidRDefault="00485094" w:rsidP="000F2909">
            <w:pPr>
              <w:pStyle w:val="TableText"/>
              <w:jc w:val="center"/>
              <w:rPr>
                <w:b/>
                <w:i/>
                <w:szCs w:val="18"/>
              </w:rPr>
            </w:pPr>
            <w:r w:rsidRPr="00225579">
              <w:rPr>
                <w:b/>
                <w:i/>
                <w:szCs w:val="18"/>
              </w:rPr>
              <w:t>DO</w:t>
            </w:r>
          </w:p>
        </w:tc>
      </w:tr>
      <w:tr w:rsidR="00485094" w:rsidRPr="00915AC3" w:rsidTr="008F1C14">
        <w:trPr>
          <w:trHeight w:val="144"/>
          <w:jc w:val="center"/>
        </w:trPr>
        <w:tc>
          <w:tcPr>
            <w:tcW w:w="909" w:type="dxa"/>
            <w:tcBorders>
              <w:top w:val="double" w:sz="4" w:space="0" w:color="auto"/>
            </w:tcBorders>
            <w:vAlign w:val="center"/>
          </w:tcPr>
          <w:p w:rsidR="00485094" w:rsidRPr="00915AC3" w:rsidRDefault="00485094" w:rsidP="00453E80">
            <w:pPr>
              <w:pStyle w:val="TableText"/>
              <w:jc w:val="center"/>
              <w:rPr>
                <w:szCs w:val="18"/>
              </w:rPr>
            </w:pPr>
            <w:r w:rsidRPr="00915AC3">
              <w:rPr>
                <w:szCs w:val="18"/>
              </w:rPr>
              <w:t>3494</w:t>
            </w:r>
          </w:p>
        </w:tc>
        <w:tc>
          <w:tcPr>
            <w:tcW w:w="1611" w:type="dxa"/>
            <w:tcBorders>
              <w:top w:val="double" w:sz="4" w:space="0" w:color="auto"/>
            </w:tcBorders>
          </w:tcPr>
          <w:p w:rsidR="00485094" w:rsidRPr="005C5BE5" w:rsidRDefault="00485094" w:rsidP="00453E80">
            <w:pPr>
              <w:pStyle w:val="TableText"/>
              <w:jc w:val="center"/>
              <w:rPr>
                <w:sz w:val="16"/>
                <w:szCs w:val="16"/>
              </w:rPr>
            </w:pPr>
            <w:r w:rsidRPr="005C5BE5">
              <w:rPr>
                <w:sz w:val="16"/>
                <w:szCs w:val="16"/>
              </w:rPr>
              <w:t xml:space="preserve">Barron River </w:t>
            </w:r>
          </w:p>
        </w:tc>
        <w:tc>
          <w:tcPr>
            <w:tcW w:w="819" w:type="dxa"/>
            <w:tcBorders>
              <w:top w:val="double" w:sz="4" w:space="0" w:color="auto"/>
            </w:tcBorders>
            <w:vAlign w:val="center"/>
          </w:tcPr>
          <w:p w:rsidR="00485094" w:rsidRPr="00915AC3" w:rsidRDefault="00485094" w:rsidP="00453E80">
            <w:pPr>
              <w:pStyle w:val="TableText"/>
              <w:jc w:val="center"/>
              <w:rPr>
                <w:szCs w:val="18"/>
              </w:rPr>
            </w:pPr>
            <w:r w:rsidRPr="00915AC3">
              <w:rPr>
                <w:szCs w:val="18"/>
              </w:rPr>
              <w:t>o</w:t>
            </w:r>
          </w:p>
        </w:tc>
        <w:tc>
          <w:tcPr>
            <w:tcW w:w="990" w:type="dxa"/>
            <w:tcBorders>
              <w:top w:val="double" w:sz="4" w:space="0" w:color="auto"/>
            </w:tcBorders>
            <w:vAlign w:val="center"/>
          </w:tcPr>
          <w:p w:rsidR="00485094" w:rsidRPr="00915AC3" w:rsidRDefault="00485094" w:rsidP="00453E80">
            <w:pPr>
              <w:pStyle w:val="TableText"/>
              <w:jc w:val="center"/>
              <w:rPr>
                <w:szCs w:val="18"/>
              </w:rPr>
            </w:pPr>
            <w:r w:rsidRPr="00915AC3">
              <w:rPr>
                <w:szCs w:val="18"/>
              </w:rPr>
              <w:t>o</w:t>
            </w:r>
          </w:p>
        </w:tc>
        <w:tc>
          <w:tcPr>
            <w:tcW w:w="1350" w:type="dxa"/>
            <w:tcBorders>
              <w:top w:val="double" w:sz="4" w:space="0" w:color="auto"/>
            </w:tcBorders>
            <w:vAlign w:val="center"/>
          </w:tcPr>
          <w:p w:rsidR="00485094" w:rsidRPr="00915AC3" w:rsidRDefault="00485094" w:rsidP="00453E80">
            <w:pPr>
              <w:pStyle w:val="TableText"/>
              <w:jc w:val="center"/>
              <w:rPr>
                <w:szCs w:val="18"/>
              </w:rPr>
            </w:pPr>
            <w:r w:rsidRPr="00915AC3">
              <w:rPr>
                <w:szCs w:val="18"/>
              </w:rPr>
              <w:t>o</w:t>
            </w:r>
          </w:p>
        </w:tc>
        <w:tc>
          <w:tcPr>
            <w:tcW w:w="990" w:type="dxa"/>
            <w:tcBorders>
              <w:top w:val="double" w:sz="4" w:space="0" w:color="auto"/>
            </w:tcBorders>
            <w:vAlign w:val="center"/>
          </w:tcPr>
          <w:p w:rsidR="00485094" w:rsidRPr="00915AC3" w:rsidRDefault="00485094" w:rsidP="00453E80">
            <w:pPr>
              <w:pStyle w:val="TableText"/>
              <w:jc w:val="center"/>
              <w:rPr>
                <w:szCs w:val="18"/>
              </w:rPr>
            </w:pPr>
            <w:r w:rsidRPr="00915AC3">
              <w:rPr>
                <w:szCs w:val="18"/>
              </w:rPr>
              <w:t>o</w:t>
            </w:r>
          </w:p>
        </w:tc>
        <w:tc>
          <w:tcPr>
            <w:tcW w:w="1290" w:type="dxa"/>
            <w:tcBorders>
              <w:top w:val="double" w:sz="4" w:space="0" w:color="auto"/>
            </w:tcBorders>
            <w:vAlign w:val="center"/>
          </w:tcPr>
          <w:p w:rsidR="00485094" w:rsidRPr="00915AC3" w:rsidRDefault="00485094" w:rsidP="00453E80">
            <w:pPr>
              <w:pStyle w:val="TableText"/>
              <w:jc w:val="center"/>
              <w:rPr>
                <w:szCs w:val="18"/>
              </w:rPr>
            </w:pPr>
            <w:r w:rsidRPr="00915AC3">
              <w:rPr>
                <w:szCs w:val="18"/>
              </w:rPr>
              <w:t>o</w:t>
            </w:r>
          </w:p>
        </w:tc>
        <w:tc>
          <w:tcPr>
            <w:tcW w:w="956" w:type="dxa"/>
            <w:tcBorders>
              <w:top w:val="double" w:sz="4" w:space="0" w:color="auto"/>
            </w:tcBorders>
            <w:vAlign w:val="center"/>
          </w:tcPr>
          <w:p w:rsidR="00485094" w:rsidRPr="00915AC3" w:rsidRDefault="00485094" w:rsidP="00453E80">
            <w:pPr>
              <w:pStyle w:val="TableText"/>
              <w:jc w:val="center"/>
              <w:rPr>
                <w:szCs w:val="18"/>
              </w:rPr>
            </w:pPr>
            <w:r w:rsidRPr="00915AC3">
              <w:rPr>
                <w:szCs w:val="18"/>
              </w:rPr>
              <w:t>o</w:t>
            </w:r>
          </w:p>
        </w:tc>
        <w:tc>
          <w:tcPr>
            <w:tcW w:w="1003" w:type="dxa"/>
            <w:tcBorders>
              <w:top w:val="double" w:sz="4" w:space="0" w:color="auto"/>
            </w:tcBorders>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3558</w:t>
            </w:r>
          </w:p>
        </w:tc>
        <w:tc>
          <w:tcPr>
            <w:tcW w:w="1611" w:type="dxa"/>
            <w:shd w:val="clear" w:color="auto" w:fill="FFFFCC"/>
          </w:tcPr>
          <w:p w:rsidR="00485094" w:rsidRPr="005C5BE5" w:rsidRDefault="00485094" w:rsidP="00453E80">
            <w:pPr>
              <w:pStyle w:val="TableText"/>
              <w:jc w:val="center"/>
              <w:rPr>
                <w:sz w:val="16"/>
                <w:szCs w:val="16"/>
              </w:rPr>
            </w:pPr>
            <w:r w:rsidRPr="005C5BE5">
              <w:rPr>
                <w:sz w:val="16"/>
                <w:szCs w:val="16"/>
              </w:rPr>
              <w:t>Miami Canal</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3572</w:t>
            </w:r>
          </w:p>
        </w:tc>
        <w:tc>
          <w:tcPr>
            <w:tcW w:w="1611" w:type="dxa"/>
          </w:tcPr>
          <w:p w:rsidR="00485094" w:rsidRPr="005C5BE5" w:rsidRDefault="00485094" w:rsidP="00453E80">
            <w:pPr>
              <w:pStyle w:val="TableText"/>
              <w:jc w:val="center"/>
              <w:rPr>
                <w:sz w:val="16"/>
                <w:szCs w:val="16"/>
              </w:rPr>
            </w:pPr>
            <w:r w:rsidRPr="005C5BE5">
              <w:rPr>
                <w:sz w:val="16"/>
                <w:szCs w:val="16"/>
              </w:rPr>
              <w:t>Miami River</w:t>
            </w:r>
          </w:p>
        </w:tc>
        <w:tc>
          <w:tcPr>
            <w:tcW w:w="819"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w:t>
            </w:r>
          </w:p>
        </w:tc>
        <w:tc>
          <w:tcPr>
            <w:tcW w:w="1350"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o</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3500</w:t>
            </w:r>
          </w:p>
        </w:tc>
        <w:tc>
          <w:tcPr>
            <w:tcW w:w="1611" w:type="dxa"/>
            <w:shd w:val="clear" w:color="auto" w:fill="FFFFCC"/>
          </w:tcPr>
          <w:p w:rsidR="00485094" w:rsidRPr="005C5BE5" w:rsidRDefault="00485094" w:rsidP="00453E80">
            <w:pPr>
              <w:pStyle w:val="TableText"/>
              <w:jc w:val="center"/>
              <w:rPr>
                <w:sz w:val="16"/>
                <w:szCs w:val="16"/>
              </w:rPr>
            </w:pPr>
            <w:r w:rsidRPr="005C5BE5">
              <w:rPr>
                <w:sz w:val="16"/>
                <w:szCs w:val="16"/>
              </w:rPr>
              <w:t>St. Lucie Canal</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3519</w:t>
            </w:r>
          </w:p>
        </w:tc>
        <w:tc>
          <w:tcPr>
            <w:tcW w:w="1611" w:type="dxa"/>
          </w:tcPr>
          <w:p w:rsidR="00485094" w:rsidRPr="005C5BE5" w:rsidRDefault="00485094" w:rsidP="00453E80">
            <w:pPr>
              <w:pStyle w:val="TableText"/>
              <w:jc w:val="center"/>
              <w:rPr>
                <w:sz w:val="16"/>
                <w:szCs w:val="16"/>
              </w:rPr>
            </w:pPr>
            <w:r w:rsidRPr="005C5BE5">
              <w:rPr>
                <w:sz w:val="16"/>
                <w:szCs w:val="16"/>
              </w:rPr>
              <w:t>Suwannee River</w:t>
            </w:r>
          </w:p>
        </w:tc>
        <w:tc>
          <w:tcPr>
            <w:tcW w:w="819"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350"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o</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3538</w:t>
            </w:r>
          </w:p>
        </w:tc>
        <w:tc>
          <w:tcPr>
            <w:tcW w:w="1611" w:type="dxa"/>
            <w:shd w:val="clear" w:color="auto" w:fill="FFFFCC"/>
          </w:tcPr>
          <w:p w:rsidR="00485094" w:rsidRPr="005C5BE5" w:rsidRDefault="00485094" w:rsidP="00453E80">
            <w:pPr>
              <w:pStyle w:val="TableText"/>
              <w:jc w:val="center"/>
              <w:rPr>
                <w:sz w:val="16"/>
                <w:szCs w:val="16"/>
              </w:rPr>
            </w:pPr>
            <w:r w:rsidRPr="005C5BE5">
              <w:rPr>
                <w:sz w:val="16"/>
                <w:szCs w:val="16"/>
              </w:rPr>
              <w:t>Alapaha River</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3524</w:t>
            </w:r>
          </w:p>
        </w:tc>
        <w:tc>
          <w:tcPr>
            <w:tcW w:w="1611" w:type="dxa"/>
          </w:tcPr>
          <w:p w:rsidR="00485094" w:rsidRPr="005C5BE5" w:rsidRDefault="00485094" w:rsidP="00453E80">
            <w:pPr>
              <w:pStyle w:val="TableText"/>
              <w:jc w:val="center"/>
              <w:rPr>
                <w:sz w:val="16"/>
                <w:szCs w:val="16"/>
              </w:rPr>
            </w:pPr>
            <w:r w:rsidRPr="005C5BE5">
              <w:rPr>
                <w:sz w:val="16"/>
                <w:szCs w:val="16"/>
              </w:rPr>
              <w:t>Apalachicola River</w:t>
            </w:r>
          </w:p>
        </w:tc>
        <w:tc>
          <w:tcPr>
            <w:tcW w:w="819"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350"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3527</w:t>
            </w:r>
          </w:p>
        </w:tc>
        <w:tc>
          <w:tcPr>
            <w:tcW w:w="1611" w:type="dxa"/>
            <w:shd w:val="clear" w:color="auto" w:fill="FFFFCC"/>
          </w:tcPr>
          <w:p w:rsidR="00485094" w:rsidRPr="005C5BE5" w:rsidRDefault="00485094" w:rsidP="00453E80">
            <w:pPr>
              <w:pStyle w:val="TableText"/>
              <w:jc w:val="center"/>
              <w:rPr>
                <w:sz w:val="16"/>
                <w:szCs w:val="16"/>
              </w:rPr>
            </w:pPr>
            <w:r>
              <w:rPr>
                <w:sz w:val="16"/>
                <w:szCs w:val="16"/>
              </w:rPr>
              <w:t>Ochlockonee River</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3528</w:t>
            </w:r>
          </w:p>
        </w:tc>
        <w:tc>
          <w:tcPr>
            <w:tcW w:w="1611" w:type="dxa"/>
          </w:tcPr>
          <w:p w:rsidR="00485094" w:rsidRPr="005C5BE5" w:rsidRDefault="00485094" w:rsidP="00453E80">
            <w:pPr>
              <w:pStyle w:val="TableText"/>
              <w:jc w:val="center"/>
              <w:rPr>
                <w:sz w:val="16"/>
                <w:szCs w:val="16"/>
              </w:rPr>
            </w:pPr>
            <w:r>
              <w:rPr>
                <w:sz w:val="16"/>
                <w:szCs w:val="16"/>
              </w:rPr>
              <w:t>St. Marks River</w:t>
            </w:r>
          </w:p>
        </w:tc>
        <w:tc>
          <w:tcPr>
            <w:tcW w:w="819"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350"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o</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3531</w:t>
            </w:r>
          </w:p>
        </w:tc>
        <w:tc>
          <w:tcPr>
            <w:tcW w:w="1611" w:type="dxa"/>
            <w:shd w:val="clear" w:color="auto" w:fill="FFFFCC"/>
          </w:tcPr>
          <w:p w:rsidR="00485094" w:rsidRPr="005C5BE5" w:rsidRDefault="00485094" w:rsidP="00453E80">
            <w:pPr>
              <w:pStyle w:val="TableText"/>
              <w:jc w:val="center"/>
              <w:rPr>
                <w:sz w:val="16"/>
                <w:szCs w:val="16"/>
              </w:rPr>
            </w:pPr>
            <w:r>
              <w:rPr>
                <w:sz w:val="16"/>
                <w:szCs w:val="16"/>
              </w:rPr>
              <w:t>Econfina Creek</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3532</w:t>
            </w:r>
          </w:p>
        </w:tc>
        <w:tc>
          <w:tcPr>
            <w:tcW w:w="1611" w:type="dxa"/>
          </w:tcPr>
          <w:p w:rsidR="00485094" w:rsidRPr="005C5BE5" w:rsidRDefault="00485094" w:rsidP="00453E80">
            <w:pPr>
              <w:pStyle w:val="TableText"/>
              <w:jc w:val="center"/>
              <w:rPr>
                <w:sz w:val="16"/>
                <w:szCs w:val="16"/>
              </w:rPr>
            </w:pPr>
            <w:r>
              <w:rPr>
                <w:sz w:val="16"/>
                <w:szCs w:val="16"/>
              </w:rPr>
              <w:t>Telogia Creek</w:t>
            </w:r>
          </w:p>
        </w:tc>
        <w:tc>
          <w:tcPr>
            <w:tcW w:w="819" w:type="dxa"/>
            <w:vAlign w:val="center"/>
          </w:tcPr>
          <w:p w:rsidR="00485094" w:rsidRPr="00915AC3" w:rsidRDefault="00485094" w:rsidP="00453E80">
            <w:pPr>
              <w:pStyle w:val="TableText"/>
              <w:jc w:val="center"/>
              <w:rPr>
                <w:szCs w:val="18"/>
              </w:rPr>
            </w:pPr>
            <w:r w:rsidRPr="00915AC3">
              <w:rPr>
                <w:szCs w:val="18"/>
              </w:rPr>
              <w:t>-</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350"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o</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3534</w:t>
            </w:r>
          </w:p>
        </w:tc>
        <w:tc>
          <w:tcPr>
            <w:tcW w:w="1611" w:type="dxa"/>
            <w:shd w:val="clear" w:color="auto" w:fill="FFFFCC"/>
          </w:tcPr>
          <w:p w:rsidR="00485094" w:rsidRPr="005C5BE5" w:rsidRDefault="00485094" w:rsidP="00453E80">
            <w:pPr>
              <w:pStyle w:val="TableText"/>
              <w:jc w:val="center"/>
              <w:rPr>
                <w:sz w:val="16"/>
                <w:szCs w:val="16"/>
              </w:rPr>
            </w:pPr>
            <w:r>
              <w:rPr>
                <w:sz w:val="16"/>
                <w:szCs w:val="16"/>
              </w:rPr>
              <w:t>Choctawhatchee River</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3565</w:t>
            </w:r>
          </w:p>
        </w:tc>
        <w:tc>
          <w:tcPr>
            <w:tcW w:w="1611" w:type="dxa"/>
          </w:tcPr>
          <w:p w:rsidR="00485094" w:rsidRPr="005C5BE5" w:rsidRDefault="00485094" w:rsidP="00453E80">
            <w:pPr>
              <w:pStyle w:val="TableText"/>
              <w:jc w:val="center"/>
              <w:rPr>
                <w:sz w:val="16"/>
                <w:szCs w:val="16"/>
              </w:rPr>
            </w:pPr>
            <w:r>
              <w:rPr>
                <w:sz w:val="16"/>
                <w:szCs w:val="16"/>
              </w:rPr>
              <w:t>Elevenmile Creek</w:t>
            </w:r>
          </w:p>
        </w:tc>
        <w:tc>
          <w:tcPr>
            <w:tcW w:w="819" w:type="dxa"/>
            <w:vAlign w:val="center"/>
          </w:tcPr>
          <w:p w:rsidR="00485094" w:rsidRPr="00915AC3" w:rsidRDefault="00485094" w:rsidP="00453E80">
            <w:pPr>
              <w:pStyle w:val="TableText"/>
              <w:jc w:val="center"/>
              <w:rPr>
                <w:szCs w:val="18"/>
              </w:rPr>
            </w:pPr>
            <w:r w:rsidRPr="00915AC3">
              <w:rPr>
                <w:szCs w:val="18"/>
              </w:rPr>
              <w:t>-</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350"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o</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3541</w:t>
            </w:r>
          </w:p>
        </w:tc>
        <w:tc>
          <w:tcPr>
            <w:tcW w:w="1611" w:type="dxa"/>
            <w:shd w:val="clear" w:color="auto" w:fill="FFFFCC"/>
          </w:tcPr>
          <w:p w:rsidR="00485094" w:rsidRPr="005C5BE5" w:rsidRDefault="00485094" w:rsidP="00453E80">
            <w:pPr>
              <w:pStyle w:val="TableText"/>
              <w:jc w:val="center"/>
              <w:rPr>
                <w:sz w:val="16"/>
                <w:szCs w:val="16"/>
              </w:rPr>
            </w:pPr>
            <w:r>
              <w:rPr>
                <w:sz w:val="16"/>
                <w:szCs w:val="16"/>
              </w:rPr>
              <w:t>Escambia River</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3542</w:t>
            </w:r>
          </w:p>
        </w:tc>
        <w:tc>
          <w:tcPr>
            <w:tcW w:w="1611" w:type="dxa"/>
          </w:tcPr>
          <w:p w:rsidR="00485094" w:rsidRPr="005C5BE5" w:rsidRDefault="00485094" w:rsidP="00453E80">
            <w:pPr>
              <w:pStyle w:val="TableText"/>
              <w:jc w:val="center"/>
              <w:rPr>
                <w:sz w:val="16"/>
                <w:szCs w:val="16"/>
              </w:rPr>
            </w:pPr>
            <w:r>
              <w:rPr>
                <w:sz w:val="16"/>
                <w:szCs w:val="16"/>
              </w:rPr>
              <w:t>Perdido River</w:t>
            </w:r>
          </w:p>
        </w:tc>
        <w:tc>
          <w:tcPr>
            <w:tcW w:w="819" w:type="dxa"/>
            <w:vAlign w:val="center"/>
          </w:tcPr>
          <w:p w:rsidR="00485094" w:rsidRPr="00915AC3" w:rsidRDefault="00485094" w:rsidP="00453E80">
            <w:pPr>
              <w:pStyle w:val="TableText"/>
              <w:jc w:val="center"/>
              <w:rPr>
                <w:szCs w:val="18"/>
              </w:rPr>
            </w:pPr>
            <w:r w:rsidRPr="00915AC3">
              <w:rPr>
                <w:szCs w:val="18"/>
              </w:rPr>
              <w:t>-</w:t>
            </w:r>
          </w:p>
        </w:tc>
        <w:tc>
          <w:tcPr>
            <w:tcW w:w="990" w:type="dxa"/>
            <w:vAlign w:val="center"/>
          </w:tcPr>
          <w:p w:rsidR="00485094" w:rsidRPr="00915AC3" w:rsidRDefault="00485094" w:rsidP="00453E80">
            <w:pPr>
              <w:pStyle w:val="TableText"/>
              <w:jc w:val="center"/>
              <w:rPr>
                <w:szCs w:val="18"/>
              </w:rPr>
            </w:pPr>
            <w:r w:rsidRPr="00915AC3">
              <w:rPr>
                <w:szCs w:val="18"/>
              </w:rPr>
              <w:t>+</w:t>
            </w:r>
          </w:p>
        </w:tc>
        <w:tc>
          <w:tcPr>
            <w:tcW w:w="1350" w:type="dxa"/>
            <w:vAlign w:val="center"/>
          </w:tcPr>
          <w:p w:rsidR="00485094" w:rsidRPr="00915AC3" w:rsidRDefault="00485094" w:rsidP="00453E80">
            <w:pPr>
              <w:pStyle w:val="TableText"/>
              <w:jc w:val="center"/>
              <w:rPr>
                <w:szCs w:val="18"/>
              </w:rPr>
            </w:pPr>
            <w:r w:rsidRPr="00915AC3">
              <w:rPr>
                <w:szCs w:val="18"/>
              </w:rPr>
              <w:t>+</w:t>
            </w:r>
          </w:p>
        </w:tc>
        <w:tc>
          <w:tcPr>
            <w:tcW w:w="990" w:type="dxa"/>
            <w:vAlign w:val="center"/>
          </w:tcPr>
          <w:p w:rsidR="00485094" w:rsidRPr="00915AC3" w:rsidRDefault="00485094" w:rsidP="00453E80">
            <w:pPr>
              <w:pStyle w:val="TableText"/>
              <w:jc w:val="center"/>
              <w:rPr>
                <w:szCs w:val="18"/>
              </w:rPr>
            </w:pPr>
            <w:r w:rsidRPr="00915AC3">
              <w:rPr>
                <w:szCs w:val="18"/>
              </w:rPr>
              <w:t>+</w:t>
            </w:r>
          </w:p>
        </w:tc>
        <w:tc>
          <w:tcPr>
            <w:tcW w:w="1290" w:type="dxa"/>
            <w:vAlign w:val="center"/>
          </w:tcPr>
          <w:p w:rsidR="00485094" w:rsidRPr="00915AC3" w:rsidRDefault="00485094" w:rsidP="00453E80">
            <w:pPr>
              <w:pStyle w:val="TableText"/>
              <w:jc w:val="center"/>
              <w:rPr>
                <w:szCs w:val="18"/>
              </w:rPr>
            </w:pPr>
            <w:r w:rsidRPr="00915AC3">
              <w:rPr>
                <w:szCs w:val="18"/>
              </w:rPr>
              <w:t>o</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3543</w:t>
            </w:r>
          </w:p>
        </w:tc>
        <w:tc>
          <w:tcPr>
            <w:tcW w:w="1611" w:type="dxa"/>
            <w:shd w:val="clear" w:color="auto" w:fill="FFFFCC"/>
          </w:tcPr>
          <w:p w:rsidR="00485094" w:rsidRPr="005C5BE5" w:rsidRDefault="00485094" w:rsidP="00453E80">
            <w:pPr>
              <w:pStyle w:val="TableText"/>
              <w:jc w:val="center"/>
              <w:rPr>
                <w:sz w:val="16"/>
                <w:szCs w:val="16"/>
              </w:rPr>
            </w:pPr>
            <w:r>
              <w:rPr>
                <w:sz w:val="16"/>
                <w:szCs w:val="16"/>
              </w:rPr>
              <w:t>Apalachicola River</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3545</w:t>
            </w:r>
          </w:p>
        </w:tc>
        <w:tc>
          <w:tcPr>
            <w:tcW w:w="1611" w:type="dxa"/>
          </w:tcPr>
          <w:p w:rsidR="00485094" w:rsidRPr="005C5BE5" w:rsidRDefault="00485094" w:rsidP="00453E80">
            <w:pPr>
              <w:pStyle w:val="TableText"/>
              <w:jc w:val="center"/>
              <w:rPr>
                <w:sz w:val="16"/>
                <w:szCs w:val="16"/>
              </w:rPr>
            </w:pPr>
            <w:r>
              <w:rPr>
                <w:sz w:val="16"/>
                <w:szCs w:val="16"/>
              </w:rPr>
              <w:t>Blackwater River</w:t>
            </w:r>
          </w:p>
        </w:tc>
        <w:tc>
          <w:tcPr>
            <w:tcW w:w="819"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350"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o</w:t>
            </w:r>
          </w:p>
        </w:tc>
        <w:tc>
          <w:tcPr>
            <w:tcW w:w="956" w:type="dxa"/>
            <w:vAlign w:val="center"/>
          </w:tcPr>
          <w:p w:rsidR="00485094" w:rsidRPr="00915AC3" w:rsidRDefault="00485094" w:rsidP="00453E80">
            <w:pPr>
              <w:pStyle w:val="TableText"/>
              <w:jc w:val="center"/>
              <w:rPr>
                <w:szCs w:val="18"/>
              </w:rPr>
            </w:pPr>
            <w:r w:rsidRPr="00915AC3">
              <w:rPr>
                <w:szCs w:val="18"/>
              </w:rPr>
              <w:t>+</w:t>
            </w:r>
          </w:p>
        </w:tc>
        <w:tc>
          <w:tcPr>
            <w:tcW w:w="1003" w:type="dxa"/>
            <w:vAlign w:val="center"/>
          </w:tcPr>
          <w:p w:rsidR="00485094" w:rsidRPr="00915AC3" w:rsidRDefault="00485094" w:rsidP="00453E80">
            <w:pPr>
              <w:pStyle w:val="TableText"/>
              <w:jc w:val="center"/>
              <w:rPr>
                <w:szCs w:val="18"/>
              </w:rPr>
            </w:pPr>
            <w:r w:rsidRPr="00915AC3">
              <w:rPr>
                <w:szCs w:val="18"/>
              </w:rPr>
              <w:t>+</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3549</w:t>
            </w:r>
          </w:p>
        </w:tc>
        <w:tc>
          <w:tcPr>
            <w:tcW w:w="1611" w:type="dxa"/>
            <w:shd w:val="clear" w:color="auto" w:fill="FFFFCC"/>
          </w:tcPr>
          <w:p w:rsidR="00485094" w:rsidRPr="005C5BE5" w:rsidRDefault="00485094" w:rsidP="00453E80">
            <w:pPr>
              <w:pStyle w:val="TableText"/>
              <w:jc w:val="center"/>
              <w:rPr>
                <w:sz w:val="16"/>
                <w:szCs w:val="16"/>
              </w:rPr>
            </w:pPr>
            <w:r>
              <w:rPr>
                <w:sz w:val="16"/>
                <w:szCs w:val="16"/>
              </w:rPr>
              <w:t>Escambia River</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3571</w:t>
            </w:r>
          </w:p>
        </w:tc>
        <w:tc>
          <w:tcPr>
            <w:tcW w:w="1611" w:type="dxa"/>
          </w:tcPr>
          <w:p w:rsidR="00485094" w:rsidRPr="005C5BE5" w:rsidRDefault="00485094" w:rsidP="00453E80">
            <w:pPr>
              <w:pStyle w:val="TableText"/>
              <w:jc w:val="center"/>
              <w:rPr>
                <w:sz w:val="16"/>
                <w:szCs w:val="16"/>
              </w:rPr>
            </w:pPr>
            <w:r>
              <w:rPr>
                <w:sz w:val="16"/>
                <w:szCs w:val="16"/>
              </w:rPr>
              <w:t>Black Creek Canal</w:t>
            </w:r>
          </w:p>
        </w:tc>
        <w:tc>
          <w:tcPr>
            <w:tcW w:w="819" w:type="dxa"/>
            <w:vAlign w:val="center"/>
          </w:tcPr>
          <w:p w:rsidR="00485094" w:rsidRPr="00915AC3" w:rsidRDefault="00485094" w:rsidP="00453E80">
            <w:pPr>
              <w:pStyle w:val="TableText"/>
              <w:jc w:val="center"/>
              <w:rPr>
                <w:szCs w:val="18"/>
              </w:rPr>
            </w:pPr>
            <w:r w:rsidRPr="00915AC3">
              <w:rPr>
                <w:szCs w:val="18"/>
              </w:rPr>
              <w:t>+</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350"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o</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3559</w:t>
            </w:r>
          </w:p>
        </w:tc>
        <w:tc>
          <w:tcPr>
            <w:tcW w:w="1611" w:type="dxa"/>
            <w:shd w:val="clear" w:color="auto" w:fill="FFFFCC"/>
          </w:tcPr>
          <w:p w:rsidR="00485094" w:rsidRPr="005C5BE5" w:rsidRDefault="00485094" w:rsidP="00453E80">
            <w:pPr>
              <w:pStyle w:val="TableText"/>
              <w:jc w:val="center"/>
              <w:rPr>
                <w:sz w:val="16"/>
                <w:szCs w:val="16"/>
              </w:rPr>
            </w:pPr>
            <w:r>
              <w:rPr>
                <w:sz w:val="16"/>
                <w:szCs w:val="16"/>
              </w:rPr>
              <w:t>Hillsboro Canal</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3568</w:t>
            </w:r>
          </w:p>
        </w:tc>
        <w:tc>
          <w:tcPr>
            <w:tcW w:w="1611" w:type="dxa"/>
          </w:tcPr>
          <w:p w:rsidR="00485094" w:rsidRPr="005C5BE5" w:rsidRDefault="00485094" w:rsidP="00453E80">
            <w:pPr>
              <w:pStyle w:val="TableText"/>
              <w:jc w:val="center"/>
              <w:rPr>
                <w:sz w:val="16"/>
                <w:szCs w:val="16"/>
              </w:rPr>
            </w:pPr>
            <w:r>
              <w:rPr>
                <w:sz w:val="16"/>
                <w:szCs w:val="16"/>
              </w:rPr>
              <w:t>Caloosahatchee River</w:t>
            </w:r>
          </w:p>
        </w:tc>
        <w:tc>
          <w:tcPr>
            <w:tcW w:w="819"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350"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o</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3497</w:t>
            </w:r>
          </w:p>
        </w:tc>
        <w:tc>
          <w:tcPr>
            <w:tcW w:w="1611" w:type="dxa"/>
            <w:shd w:val="clear" w:color="auto" w:fill="FFFFCC"/>
          </w:tcPr>
          <w:p w:rsidR="00485094" w:rsidRPr="005C5BE5" w:rsidRDefault="00485094" w:rsidP="00453E80">
            <w:pPr>
              <w:pStyle w:val="TableText"/>
              <w:jc w:val="center"/>
              <w:rPr>
                <w:sz w:val="16"/>
                <w:szCs w:val="16"/>
              </w:rPr>
            </w:pPr>
            <w:r>
              <w:rPr>
                <w:sz w:val="16"/>
                <w:szCs w:val="16"/>
              </w:rPr>
              <w:t>Fisheating Creek</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3501</w:t>
            </w:r>
          </w:p>
        </w:tc>
        <w:tc>
          <w:tcPr>
            <w:tcW w:w="1611" w:type="dxa"/>
          </w:tcPr>
          <w:p w:rsidR="00485094" w:rsidRPr="005C5BE5" w:rsidRDefault="00485094" w:rsidP="00453E80">
            <w:pPr>
              <w:pStyle w:val="TableText"/>
              <w:jc w:val="center"/>
              <w:rPr>
                <w:sz w:val="16"/>
                <w:szCs w:val="16"/>
              </w:rPr>
            </w:pPr>
            <w:r>
              <w:rPr>
                <w:sz w:val="16"/>
                <w:szCs w:val="16"/>
              </w:rPr>
              <w:t>Kissimmee River</w:t>
            </w:r>
          </w:p>
        </w:tc>
        <w:tc>
          <w:tcPr>
            <w:tcW w:w="819"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350"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o</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3569</w:t>
            </w:r>
          </w:p>
        </w:tc>
        <w:tc>
          <w:tcPr>
            <w:tcW w:w="1611" w:type="dxa"/>
            <w:shd w:val="clear" w:color="auto" w:fill="FFFFCC"/>
          </w:tcPr>
          <w:p w:rsidR="00485094" w:rsidRPr="005C5BE5" w:rsidRDefault="00485094" w:rsidP="00453E80">
            <w:pPr>
              <w:pStyle w:val="TableText"/>
              <w:jc w:val="center"/>
              <w:rPr>
                <w:sz w:val="16"/>
                <w:szCs w:val="16"/>
              </w:rPr>
            </w:pPr>
            <w:r>
              <w:rPr>
                <w:sz w:val="16"/>
                <w:szCs w:val="16"/>
              </w:rPr>
              <w:t>Little Econlockhatchee River</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3557</w:t>
            </w:r>
          </w:p>
        </w:tc>
        <w:tc>
          <w:tcPr>
            <w:tcW w:w="1611" w:type="dxa"/>
          </w:tcPr>
          <w:p w:rsidR="00485094" w:rsidRPr="005C5BE5" w:rsidRDefault="00485094" w:rsidP="00453E80">
            <w:pPr>
              <w:pStyle w:val="TableText"/>
              <w:jc w:val="center"/>
              <w:rPr>
                <w:sz w:val="16"/>
                <w:szCs w:val="16"/>
              </w:rPr>
            </w:pPr>
            <w:r>
              <w:rPr>
                <w:sz w:val="16"/>
                <w:szCs w:val="16"/>
              </w:rPr>
              <w:t>St. Johns River</w:t>
            </w:r>
          </w:p>
        </w:tc>
        <w:tc>
          <w:tcPr>
            <w:tcW w:w="819"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350"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o</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3515</w:t>
            </w:r>
          </w:p>
        </w:tc>
        <w:tc>
          <w:tcPr>
            <w:tcW w:w="1611" w:type="dxa"/>
            <w:shd w:val="clear" w:color="auto" w:fill="FFFFCC"/>
          </w:tcPr>
          <w:p w:rsidR="00485094" w:rsidRPr="005C5BE5" w:rsidRDefault="00485094" w:rsidP="00453E80">
            <w:pPr>
              <w:pStyle w:val="TableText"/>
              <w:jc w:val="center"/>
              <w:rPr>
                <w:sz w:val="16"/>
                <w:szCs w:val="16"/>
              </w:rPr>
            </w:pPr>
            <w:r>
              <w:rPr>
                <w:sz w:val="16"/>
                <w:szCs w:val="16"/>
              </w:rPr>
              <w:t>St. Johns River</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3517</w:t>
            </w:r>
          </w:p>
        </w:tc>
        <w:tc>
          <w:tcPr>
            <w:tcW w:w="1611" w:type="dxa"/>
          </w:tcPr>
          <w:p w:rsidR="00485094" w:rsidRPr="005C5BE5" w:rsidRDefault="00485094" w:rsidP="00453E80">
            <w:pPr>
              <w:pStyle w:val="TableText"/>
              <w:jc w:val="center"/>
              <w:rPr>
                <w:sz w:val="16"/>
                <w:szCs w:val="16"/>
              </w:rPr>
            </w:pPr>
            <w:r>
              <w:rPr>
                <w:sz w:val="16"/>
                <w:szCs w:val="16"/>
              </w:rPr>
              <w:t>Ocklawaha River</w:t>
            </w:r>
          </w:p>
        </w:tc>
        <w:tc>
          <w:tcPr>
            <w:tcW w:w="819"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350"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o</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3564</w:t>
            </w:r>
          </w:p>
        </w:tc>
        <w:tc>
          <w:tcPr>
            <w:tcW w:w="1611" w:type="dxa"/>
            <w:shd w:val="clear" w:color="auto" w:fill="FFFFCC"/>
          </w:tcPr>
          <w:p w:rsidR="00485094" w:rsidRPr="005C5BE5" w:rsidRDefault="00485094" w:rsidP="00453E80">
            <w:pPr>
              <w:pStyle w:val="TableText"/>
              <w:jc w:val="center"/>
              <w:rPr>
                <w:sz w:val="16"/>
                <w:szCs w:val="16"/>
              </w:rPr>
            </w:pPr>
            <w:r>
              <w:rPr>
                <w:sz w:val="16"/>
                <w:szCs w:val="16"/>
              </w:rPr>
              <w:t>Waccasassa River</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3521</w:t>
            </w:r>
          </w:p>
        </w:tc>
        <w:tc>
          <w:tcPr>
            <w:tcW w:w="1611" w:type="dxa"/>
          </w:tcPr>
          <w:p w:rsidR="00485094" w:rsidRPr="005C5BE5" w:rsidRDefault="00485094" w:rsidP="00453E80">
            <w:pPr>
              <w:pStyle w:val="TableText"/>
              <w:jc w:val="center"/>
              <w:rPr>
                <w:sz w:val="16"/>
                <w:szCs w:val="16"/>
              </w:rPr>
            </w:pPr>
            <w:r>
              <w:rPr>
                <w:sz w:val="16"/>
                <w:szCs w:val="16"/>
              </w:rPr>
              <w:t>Santa Fe River</w:t>
            </w:r>
          </w:p>
        </w:tc>
        <w:tc>
          <w:tcPr>
            <w:tcW w:w="819"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w:t>
            </w:r>
          </w:p>
        </w:tc>
        <w:tc>
          <w:tcPr>
            <w:tcW w:w="1350" w:type="dxa"/>
            <w:vAlign w:val="center"/>
          </w:tcPr>
          <w:p w:rsidR="00485094" w:rsidRPr="00915AC3" w:rsidRDefault="00485094" w:rsidP="00453E80">
            <w:pPr>
              <w:pStyle w:val="TableText"/>
              <w:jc w:val="center"/>
              <w:rPr>
                <w:szCs w:val="18"/>
              </w:rPr>
            </w:pPr>
            <w:r w:rsidRPr="00915AC3">
              <w:rPr>
                <w:szCs w:val="18"/>
              </w:rPr>
              <w:t>+</w:t>
            </w:r>
          </w:p>
        </w:tc>
        <w:tc>
          <w:tcPr>
            <w:tcW w:w="990" w:type="dxa"/>
            <w:vAlign w:val="center"/>
          </w:tcPr>
          <w:p w:rsidR="00485094" w:rsidRPr="00915AC3" w:rsidRDefault="00485094" w:rsidP="00453E80">
            <w:pPr>
              <w:pStyle w:val="TableText"/>
              <w:jc w:val="center"/>
              <w:rPr>
                <w:szCs w:val="18"/>
              </w:rPr>
            </w:pPr>
            <w:r w:rsidRPr="00915AC3">
              <w:rPr>
                <w:szCs w:val="18"/>
              </w:rPr>
              <w:t>+</w:t>
            </w:r>
          </w:p>
        </w:tc>
        <w:tc>
          <w:tcPr>
            <w:tcW w:w="1290" w:type="dxa"/>
            <w:vAlign w:val="center"/>
          </w:tcPr>
          <w:p w:rsidR="00485094" w:rsidRPr="00915AC3" w:rsidRDefault="00485094" w:rsidP="00453E80">
            <w:pPr>
              <w:pStyle w:val="TableText"/>
              <w:jc w:val="center"/>
              <w:rPr>
                <w:szCs w:val="18"/>
              </w:rPr>
            </w:pPr>
            <w:r w:rsidRPr="00915AC3">
              <w:rPr>
                <w:szCs w:val="18"/>
              </w:rPr>
              <w:t>o</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3522</w:t>
            </w:r>
          </w:p>
        </w:tc>
        <w:tc>
          <w:tcPr>
            <w:tcW w:w="1611" w:type="dxa"/>
            <w:shd w:val="clear" w:color="auto" w:fill="FFFFCC"/>
          </w:tcPr>
          <w:p w:rsidR="00485094" w:rsidRPr="005C5BE5" w:rsidRDefault="00485094" w:rsidP="00453E80">
            <w:pPr>
              <w:pStyle w:val="TableText"/>
              <w:jc w:val="center"/>
              <w:rPr>
                <w:sz w:val="16"/>
                <w:szCs w:val="16"/>
              </w:rPr>
            </w:pPr>
            <w:r>
              <w:rPr>
                <w:sz w:val="16"/>
                <w:szCs w:val="16"/>
              </w:rPr>
              <w:t>Suwannee River</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3530</w:t>
            </w:r>
          </w:p>
        </w:tc>
        <w:tc>
          <w:tcPr>
            <w:tcW w:w="1611" w:type="dxa"/>
          </w:tcPr>
          <w:p w:rsidR="00485094" w:rsidRPr="005C5BE5" w:rsidRDefault="00485094" w:rsidP="00453E80">
            <w:pPr>
              <w:pStyle w:val="TableText"/>
              <w:jc w:val="center"/>
              <w:rPr>
                <w:sz w:val="16"/>
                <w:szCs w:val="16"/>
              </w:rPr>
            </w:pPr>
            <w:r>
              <w:rPr>
                <w:sz w:val="16"/>
                <w:szCs w:val="16"/>
              </w:rPr>
              <w:t>Suwannee River</w:t>
            </w:r>
          </w:p>
        </w:tc>
        <w:tc>
          <w:tcPr>
            <w:tcW w:w="819" w:type="dxa"/>
            <w:vAlign w:val="center"/>
          </w:tcPr>
          <w:p w:rsidR="00485094" w:rsidRPr="00915AC3" w:rsidRDefault="00485094" w:rsidP="00453E80">
            <w:pPr>
              <w:pStyle w:val="TableText"/>
              <w:jc w:val="center"/>
              <w:rPr>
                <w:szCs w:val="18"/>
              </w:rPr>
            </w:pPr>
            <w:r w:rsidRPr="00915AC3">
              <w:rPr>
                <w:szCs w:val="18"/>
              </w:rPr>
              <w:t>+</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350"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3535</w:t>
            </w:r>
          </w:p>
        </w:tc>
        <w:tc>
          <w:tcPr>
            <w:tcW w:w="1611" w:type="dxa"/>
            <w:shd w:val="clear" w:color="auto" w:fill="FFFFCC"/>
          </w:tcPr>
          <w:p w:rsidR="00485094" w:rsidRPr="005C5BE5" w:rsidRDefault="00485094" w:rsidP="00453E80">
            <w:pPr>
              <w:pStyle w:val="TableText"/>
              <w:jc w:val="center"/>
              <w:rPr>
                <w:sz w:val="16"/>
                <w:szCs w:val="16"/>
              </w:rPr>
            </w:pPr>
            <w:r>
              <w:rPr>
                <w:sz w:val="16"/>
                <w:szCs w:val="16"/>
              </w:rPr>
              <w:t>Suwannee River</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3539</w:t>
            </w:r>
          </w:p>
        </w:tc>
        <w:tc>
          <w:tcPr>
            <w:tcW w:w="1611" w:type="dxa"/>
          </w:tcPr>
          <w:p w:rsidR="00485094" w:rsidRPr="005C5BE5" w:rsidRDefault="00485094" w:rsidP="00453E80">
            <w:pPr>
              <w:pStyle w:val="TableText"/>
              <w:jc w:val="center"/>
              <w:rPr>
                <w:sz w:val="16"/>
                <w:szCs w:val="16"/>
              </w:rPr>
            </w:pPr>
            <w:r>
              <w:rPr>
                <w:sz w:val="16"/>
                <w:szCs w:val="16"/>
              </w:rPr>
              <w:t>Withlacoochee River</w:t>
            </w:r>
          </w:p>
        </w:tc>
        <w:tc>
          <w:tcPr>
            <w:tcW w:w="819"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350"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3556</w:t>
            </w:r>
          </w:p>
        </w:tc>
        <w:tc>
          <w:tcPr>
            <w:tcW w:w="1611" w:type="dxa"/>
            <w:shd w:val="clear" w:color="auto" w:fill="FFFFCC"/>
          </w:tcPr>
          <w:p w:rsidR="00485094" w:rsidRPr="005C5BE5" w:rsidRDefault="00485094" w:rsidP="00453E80">
            <w:pPr>
              <w:pStyle w:val="TableText"/>
              <w:jc w:val="center"/>
              <w:rPr>
                <w:sz w:val="16"/>
                <w:szCs w:val="16"/>
              </w:rPr>
            </w:pPr>
            <w:r>
              <w:rPr>
                <w:sz w:val="16"/>
                <w:szCs w:val="16"/>
              </w:rPr>
              <w:t>Peace River</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3561</w:t>
            </w:r>
          </w:p>
        </w:tc>
        <w:tc>
          <w:tcPr>
            <w:tcW w:w="1611" w:type="dxa"/>
          </w:tcPr>
          <w:p w:rsidR="00485094" w:rsidRPr="005C5BE5" w:rsidRDefault="00485094" w:rsidP="00453E80">
            <w:pPr>
              <w:pStyle w:val="TableText"/>
              <w:jc w:val="center"/>
              <w:rPr>
                <w:sz w:val="16"/>
                <w:szCs w:val="16"/>
              </w:rPr>
            </w:pPr>
            <w:r>
              <w:rPr>
                <w:sz w:val="16"/>
                <w:szCs w:val="16"/>
              </w:rPr>
              <w:t>Charlie Creek</w:t>
            </w:r>
          </w:p>
        </w:tc>
        <w:tc>
          <w:tcPr>
            <w:tcW w:w="819"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w:t>
            </w:r>
          </w:p>
        </w:tc>
        <w:tc>
          <w:tcPr>
            <w:tcW w:w="1350" w:type="dxa"/>
            <w:vAlign w:val="center"/>
          </w:tcPr>
          <w:p w:rsidR="00485094" w:rsidRPr="00915AC3" w:rsidRDefault="00485094" w:rsidP="00453E80">
            <w:pPr>
              <w:pStyle w:val="TableText"/>
              <w:jc w:val="center"/>
              <w:rPr>
                <w:szCs w:val="18"/>
              </w:rPr>
            </w:pPr>
            <w:r w:rsidRPr="00915AC3">
              <w:rPr>
                <w:szCs w:val="18"/>
              </w:rPr>
              <w:t>+</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o</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3555</w:t>
            </w:r>
          </w:p>
        </w:tc>
        <w:tc>
          <w:tcPr>
            <w:tcW w:w="1611" w:type="dxa"/>
            <w:shd w:val="clear" w:color="auto" w:fill="FFFFCC"/>
          </w:tcPr>
          <w:p w:rsidR="00485094" w:rsidRPr="005C5BE5" w:rsidRDefault="00485094" w:rsidP="00453E80">
            <w:pPr>
              <w:pStyle w:val="TableText"/>
              <w:jc w:val="center"/>
              <w:rPr>
                <w:sz w:val="16"/>
                <w:szCs w:val="16"/>
              </w:rPr>
            </w:pPr>
            <w:r>
              <w:rPr>
                <w:sz w:val="16"/>
                <w:szCs w:val="16"/>
              </w:rPr>
              <w:t>Little Manatee River</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3554</w:t>
            </w:r>
          </w:p>
        </w:tc>
        <w:tc>
          <w:tcPr>
            <w:tcW w:w="1611" w:type="dxa"/>
          </w:tcPr>
          <w:p w:rsidR="00485094" w:rsidRPr="005C5BE5" w:rsidRDefault="00485094" w:rsidP="00453E80">
            <w:pPr>
              <w:pStyle w:val="TableText"/>
              <w:jc w:val="center"/>
              <w:rPr>
                <w:sz w:val="16"/>
                <w:szCs w:val="16"/>
              </w:rPr>
            </w:pPr>
            <w:r>
              <w:rPr>
                <w:sz w:val="16"/>
                <w:szCs w:val="16"/>
              </w:rPr>
              <w:t>Alafia River</w:t>
            </w:r>
          </w:p>
        </w:tc>
        <w:tc>
          <w:tcPr>
            <w:tcW w:w="819"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w:t>
            </w:r>
          </w:p>
        </w:tc>
        <w:tc>
          <w:tcPr>
            <w:tcW w:w="1350" w:type="dxa"/>
            <w:vAlign w:val="center"/>
          </w:tcPr>
          <w:p w:rsidR="00485094" w:rsidRPr="00915AC3" w:rsidRDefault="00485094" w:rsidP="00453E80">
            <w:pPr>
              <w:pStyle w:val="TableText"/>
              <w:jc w:val="center"/>
              <w:rPr>
                <w:szCs w:val="18"/>
              </w:rPr>
            </w:pPr>
            <w:r w:rsidRPr="00915AC3">
              <w:rPr>
                <w:szCs w:val="18"/>
              </w:rPr>
              <w:t>-</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o</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3509</w:t>
            </w:r>
          </w:p>
        </w:tc>
        <w:tc>
          <w:tcPr>
            <w:tcW w:w="1611" w:type="dxa"/>
            <w:shd w:val="clear" w:color="auto" w:fill="FFFFCC"/>
          </w:tcPr>
          <w:p w:rsidR="00485094" w:rsidRPr="005C5BE5" w:rsidRDefault="00485094" w:rsidP="00453E80">
            <w:pPr>
              <w:pStyle w:val="TableText"/>
              <w:jc w:val="center"/>
              <w:rPr>
                <w:sz w:val="16"/>
                <w:szCs w:val="16"/>
              </w:rPr>
            </w:pPr>
            <w:r>
              <w:rPr>
                <w:sz w:val="16"/>
                <w:szCs w:val="16"/>
              </w:rPr>
              <w:t>Anclote River</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3560</w:t>
            </w:r>
          </w:p>
        </w:tc>
        <w:tc>
          <w:tcPr>
            <w:tcW w:w="1611" w:type="dxa"/>
          </w:tcPr>
          <w:p w:rsidR="00485094" w:rsidRPr="005C5BE5" w:rsidRDefault="00485094" w:rsidP="00453E80">
            <w:pPr>
              <w:pStyle w:val="TableText"/>
              <w:jc w:val="center"/>
              <w:rPr>
                <w:sz w:val="16"/>
                <w:szCs w:val="16"/>
              </w:rPr>
            </w:pPr>
            <w:r>
              <w:rPr>
                <w:sz w:val="16"/>
                <w:szCs w:val="16"/>
              </w:rPr>
              <w:t>Withlacoochee River</w:t>
            </w:r>
          </w:p>
        </w:tc>
        <w:tc>
          <w:tcPr>
            <w:tcW w:w="819"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350"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o</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3566</w:t>
            </w:r>
          </w:p>
        </w:tc>
        <w:tc>
          <w:tcPr>
            <w:tcW w:w="1611" w:type="dxa"/>
            <w:shd w:val="clear" w:color="auto" w:fill="FFFFCC"/>
          </w:tcPr>
          <w:p w:rsidR="00485094" w:rsidRPr="005C5BE5" w:rsidRDefault="00485094" w:rsidP="00453E80">
            <w:pPr>
              <w:pStyle w:val="TableText"/>
              <w:jc w:val="center"/>
              <w:rPr>
                <w:sz w:val="16"/>
                <w:szCs w:val="16"/>
              </w:rPr>
            </w:pPr>
            <w:r>
              <w:rPr>
                <w:sz w:val="16"/>
                <w:szCs w:val="16"/>
              </w:rPr>
              <w:t>Weeki Wachee River</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3513</w:t>
            </w:r>
          </w:p>
        </w:tc>
        <w:tc>
          <w:tcPr>
            <w:tcW w:w="1611" w:type="dxa"/>
          </w:tcPr>
          <w:p w:rsidR="00485094" w:rsidRPr="005C5BE5" w:rsidRDefault="00485094" w:rsidP="00453E80">
            <w:pPr>
              <w:pStyle w:val="TableText"/>
              <w:jc w:val="center"/>
              <w:rPr>
                <w:sz w:val="16"/>
                <w:szCs w:val="16"/>
              </w:rPr>
            </w:pPr>
            <w:r>
              <w:rPr>
                <w:sz w:val="16"/>
                <w:szCs w:val="16"/>
              </w:rPr>
              <w:t>Withlacoochee River</w:t>
            </w:r>
          </w:p>
        </w:tc>
        <w:tc>
          <w:tcPr>
            <w:tcW w:w="819" w:type="dxa"/>
            <w:vAlign w:val="center"/>
          </w:tcPr>
          <w:p w:rsidR="00485094" w:rsidRPr="00915AC3" w:rsidRDefault="00485094" w:rsidP="00453E80">
            <w:pPr>
              <w:pStyle w:val="TableText"/>
              <w:jc w:val="center"/>
              <w:rPr>
                <w:szCs w:val="18"/>
              </w:rPr>
            </w:pPr>
            <w:r w:rsidRPr="00915AC3">
              <w:rPr>
                <w:szCs w:val="18"/>
              </w:rPr>
              <w:t>+</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350"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o</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o</w:t>
            </w:r>
          </w:p>
        </w:tc>
      </w:tr>
    </w:tbl>
    <w:p w:rsidR="00485094" w:rsidRDefault="00485094" w:rsidP="00692F31">
      <w:pPr>
        <w:pStyle w:val="Bodytextreduced"/>
      </w:pPr>
    </w:p>
    <w:p w:rsidR="00485094" w:rsidRPr="00F30D85" w:rsidRDefault="00485094" w:rsidP="00692F31">
      <w:pPr>
        <w:pStyle w:val="Bodytextreduced"/>
      </w:pPr>
      <w:r>
        <w:br w:type="page"/>
      </w:r>
    </w:p>
    <w:p w:rsidR="00485094" w:rsidRDefault="00485094" w:rsidP="00692F31">
      <w:pPr>
        <w:pStyle w:val="Tableheading"/>
      </w:pPr>
      <w:bookmarkStart w:id="472" w:name="_Toc255482841"/>
      <w:bookmarkStart w:id="473" w:name="_Toc255807499"/>
      <w:bookmarkStart w:id="474" w:name="_Toc262464260"/>
      <w:bookmarkStart w:id="475" w:name="_Toc271280107"/>
      <w:r w:rsidRPr="00F30D85">
        <w:t xml:space="preserve">Table </w:t>
      </w:r>
      <w:r>
        <w:t xml:space="preserve">6.8b.  </w:t>
      </w:r>
      <w:r w:rsidRPr="00F30D85">
        <w:t xml:space="preserve">Trends for </w:t>
      </w:r>
      <w:r>
        <w:t>S</w:t>
      </w:r>
      <w:r w:rsidRPr="00F30D85">
        <w:t xml:space="preserve">pecified </w:t>
      </w:r>
      <w:r>
        <w:t>A</w:t>
      </w:r>
      <w:r w:rsidRPr="00F30D85">
        <w:t xml:space="preserve">nalytes for </w:t>
      </w:r>
      <w:r>
        <w:t>Surface Water S</w:t>
      </w:r>
      <w:r w:rsidRPr="00F30D85">
        <w:t xml:space="preserve">tations from </w:t>
      </w:r>
      <w:r>
        <w:t xml:space="preserve">the </w:t>
      </w:r>
      <w:r w:rsidRPr="00F30D85">
        <w:t>Trend Networ</w:t>
      </w:r>
      <w:bookmarkEnd w:id="472"/>
      <w:bookmarkEnd w:id="473"/>
      <w:r>
        <w:t>k</w:t>
      </w:r>
      <w:bookmarkEnd w:id="474"/>
      <w:r>
        <w:t xml:space="preserve"> and not Adjusted for River Flow</w:t>
      </w:r>
      <w:bookmarkEnd w:id="475"/>
    </w:p>
    <w:p w:rsidR="000D13CF" w:rsidRDefault="000D13CF" w:rsidP="000D13CF">
      <w:pPr>
        <w:pStyle w:val="TabledescriptionBF"/>
      </w:pPr>
      <w:r>
        <w:t>This is a nine-column table.  Column 1 lists the station, Column 2 lists the river, and Columns 3 through 9 list the analytes.</w:t>
      </w:r>
    </w:p>
    <w:p w:rsidR="00485094" w:rsidRDefault="00485094" w:rsidP="00692F31">
      <w:pPr>
        <w:pStyle w:val="TabledescriptionBF"/>
      </w:pPr>
    </w:p>
    <w:p w:rsidR="00485094" w:rsidRPr="00F30D85" w:rsidRDefault="00485094" w:rsidP="00692F31">
      <w:pPr>
        <w:pStyle w:val="Bodytextreduced"/>
      </w:pPr>
      <w:r w:rsidRPr="00F30D85">
        <w:t>Positive trends are indicated with a plus sign (+), negative trends are indicated with a minus sign (-)</w:t>
      </w:r>
      <w:r>
        <w:t>,</w:t>
      </w:r>
      <w:r w:rsidRPr="00F30D85">
        <w:t xml:space="preserve"> and no trends are indicated by zero</w:t>
      </w:r>
      <w:r>
        <w:t xml:space="preserve"> </w:t>
      </w:r>
      <w:r w:rsidRPr="00F30D85">
        <w:t>(o).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40"/>
        <w:gridCol w:w="1610"/>
        <w:gridCol w:w="908"/>
        <w:gridCol w:w="966"/>
        <w:gridCol w:w="1194"/>
        <w:gridCol w:w="929"/>
        <w:gridCol w:w="1229"/>
        <w:gridCol w:w="996"/>
        <w:gridCol w:w="804"/>
      </w:tblGrid>
      <w:tr w:rsidR="00542E8A" w:rsidRPr="00225579" w:rsidTr="000F2909">
        <w:trPr>
          <w:jc w:val="center"/>
        </w:trPr>
        <w:tc>
          <w:tcPr>
            <w:tcW w:w="954" w:type="dxa"/>
            <w:tcBorders>
              <w:bottom w:val="double" w:sz="4" w:space="0" w:color="auto"/>
            </w:tcBorders>
            <w:shd w:val="clear" w:color="auto" w:fill="BDFFFF"/>
            <w:vAlign w:val="bottom"/>
          </w:tcPr>
          <w:p w:rsidR="00485094" w:rsidRPr="00225579" w:rsidRDefault="00485094" w:rsidP="000F2909">
            <w:pPr>
              <w:pStyle w:val="TableText"/>
              <w:jc w:val="center"/>
              <w:rPr>
                <w:b/>
                <w:i/>
                <w:szCs w:val="18"/>
              </w:rPr>
            </w:pPr>
            <w:r w:rsidRPr="00225579">
              <w:rPr>
                <w:b/>
                <w:i/>
                <w:szCs w:val="18"/>
              </w:rPr>
              <w:t>Station</w:t>
            </w:r>
          </w:p>
        </w:tc>
        <w:tc>
          <w:tcPr>
            <w:tcW w:w="1632" w:type="dxa"/>
            <w:tcBorders>
              <w:bottom w:val="double" w:sz="4" w:space="0" w:color="auto"/>
            </w:tcBorders>
            <w:shd w:val="clear" w:color="auto" w:fill="BDFFFF"/>
            <w:vAlign w:val="bottom"/>
          </w:tcPr>
          <w:p w:rsidR="00485094" w:rsidRPr="00225579" w:rsidRDefault="00485094" w:rsidP="000F2909">
            <w:pPr>
              <w:pStyle w:val="TableText"/>
              <w:jc w:val="center"/>
              <w:rPr>
                <w:b/>
                <w:i/>
                <w:szCs w:val="18"/>
              </w:rPr>
            </w:pPr>
            <w:r>
              <w:rPr>
                <w:b/>
                <w:i/>
                <w:szCs w:val="18"/>
              </w:rPr>
              <w:t>River</w:t>
            </w:r>
          </w:p>
        </w:tc>
        <w:tc>
          <w:tcPr>
            <w:tcW w:w="922" w:type="dxa"/>
            <w:tcBorders>
              <w:bottom w:val="double" w:sz="4" w:space="0" w:color="auto"/>
            </w:tcBorders>
            <w:shd w:val="clear" w:color="auto" w:fill="BDFFFF"/>
            <w:vAlign w:val="bottom"/>
          </w:tcPr>
          <w:p w:rsidR="00485094" w:rsidRPr="00225579" w:rsidRDefault="00485094" w:rsidP="000F2909">
            <w:pPr>
              <w:pStyle w:val="TableText"/>
              <w:jc w:val="center"/>
              <w:rPr>
                <w:b/>
                <w:i/>
                <w:szCs w:val="18"/>
              </w:rPr>
            </w:pPr>
            <w:r w:rsidRPr="00225579">
              <w:rPr>
                <w:b/>
                <w:i/>
                <w:szCs w:val="18"/>
              </w:rPr>
              <w:t>Nitrate + Nitrite</w:t>
            </w:r>
          </w:p>
        </w:tc>
        <w:tc>
          <w:tcPr>
            <w:tcW w:w="1008" w:type="dxa"/>
            <w:tcBorders>
              <w:bottom w:val="double" w:sz="4" w:space="0" w:color="auto"/>
            </w:tcBorders>
            <w:shd w:val="clear" w:color="auto" w:fill="BDFFFF"/>
            <w:vAlign w:val="bottom"/>
          </w:tcPr>
          <w:p w:rsidR="00485094" w:rsidRPr="00225579" w:rsidRDefault="00542E8A" w:rsidP="00542E8A">
            <w:pPr>
              <w:pStyle w:val="TableText"/>
              <w:jc w:val="center"/>
              <w:rPr>
                <w:b/>
                <w:i/>
                <w:szCs w:val="18"/>
              </w:rPr>
            </w:pPr>
            <w:r>
              <w:rPr>
                <w:b/>
                <w:i/>
                <w:szCs w:val="18"/>
              </w:rPr>
              <w:t>T</w:t>
            </w:r>
            <w:r w:rsidR="00485094" w:rsidRPr="00225579">
              <w:rPr>
                <w:b/>
                <w:i/>
                <w:szCs w:val="18"/>
              </w:rPr>
              <w:t>K</w:t>
            </w:r>
            <w:r>
              <w:rPr>
                <w:b/>
                <w:i/>
                <w:szCs w:val="18"/>
              </w:rPr>
              <w:t>N</w:t>
            </w:r>
          </w:p>
        </w:tc>
        <w:tc>
          <w:tcPr>
            <w:tcW w:w="1277" w:type="dxa"/>
            <w:tcBorders>
              <w:bottom w:val="double" w:sz="4" w:space="0" w:color="auto"/>
            </w:tcBorders>
            <w:shd w:val="clear" w:color="auto" w:fill="BDFFFF"/>
            <w:vAlign w:val="bottom"/>
          </w:tcPr>
          <w:p w:rsidR="00485094" w:rsidRPr="00225579" w:rsidRDefault="008C37FA" w:rsidP="000F2909">
            <w:pPr>
              <w:pStyle w:val="TableText"/>
              <w:jc w:val="center"/>
              <w:rPr>
                <w:b/>
                <w:i/>
                <w:szCs w:val="18"/>
              </w:rPr>
            </w:pPr>
            <w:r>
              <w:rPr>
                <w:b/>
                <w:i/>
                <w:szCs w:val="18"/>
              </w:rPr>
              <w:t>TP</w:t>
            </w:r>
          </w:p>
        </w:tc>
        <w:tc>
          <w:tcPr>
            <w:tcW w:w="966" w:type="dxa"/>
            <w:tcBorders>
              <w:bottom w:val="double" w:sz="4" w:space="0" w:color="auto"/>
            </w:tcBorders>
            <w:shd w:val="clear" w:color="auto" w:fill="BDFFFF"/>
            <w:vAlign w:val="bottom"/>
          </w:tcPr>
          <w:p w:rsidR="00485094" w:rsidRPr="00225579" w:rsidRDefault="008C37FA" w:rsidP="000F2909">
            <w:pPr>
              <w:pStyle w:val="TableText"/>
              <w:jc w:val="center"/>
              <w:rPr>
                <w:b/>
                <w:i/>
                <w:szCs w:val="18"/>
              </w:rPr>
            </w:pPr>
            <w:r>
              <w:rPr>
                <w:b/>
                <w:i/>
                <w:szCs w:val="18"/>
              </w:rPr>
              <w:t>TOC</w:t>
            </w:r>
          </w:p>
        </w:tc>
        <w:tc>
          <w:tcPr>
            <w:tcW w:w="1230" w:type="dxa"/>
            <w:tcBorders>
              <w:bottom w:val="double" w:sz="4" w:space="0" w:color="auto"/>
            </w:tcBorders>
            <w:shd w:val="clear" w:color="auto" w:fill="BDFFFF"/>
            <w:vAlign w:val="bottom"/>
          </w:tcPr>
          <w:p w:rsidR="00485094" w:rsidRPr="00225579" w:rsidRDefault="00485094" w:rsidP="000F2909">
            <w:pPr>
              <w:pStyle w:val="TableText"/>
              <w:jc w:val="center"/>
              <w:rPr>
                <w:b/>
                <w:i/>
                <w:szCs w:val="18"/>
              </w:rPr>
            </w:pPr>
            <w:r w:rsidRPr="00225579">
              <w:rPr>
                <w:b/>
                <w:i/>
                <w:szCs w:val="18"/>
              </w:rPr>
              <w:t>Chlorophyll a</w:t>
            </w:r>
          </w:p>
        </w:tc>
        <w:tc>
          <w:tcPr>
            <w:tcW w:w="1000" w:type="dxa"/>
            <w:tcBorders>
              <w:bottom w:val="double" w:sz="4" w:space="0" w:color="auto"/>
            </w:tcBorders>
            <w:shd w:val="clear" w:color="auto" w:fill="BDFFFF"/>
            <w:vAlign w:val="bottom"/>
          </w:tcPr>
          <w:p w:rsidR="00485094" w:rsidRPr="00225579" w:rsidRDefault="00485094" w:rsidP="000F2909">
            <w:pPr>
              <w:pStyle w:val="TableText"/>
              <w:jc w:val="center"/>
              <w:rPr>
                <w:b/>
                <w:i/>
                <w:szCs w:val="18"/>
              </w:rPr>
            </w:pPr>
            <w:r w:rsidRPr="00225579">
              <w:rPr>
                <w:b/>
                <w:i/>
                <w:szCs w:val="18"/>
              </w:rPr>
              <w:t>Fecal Coliform</w:t>
            </w:r>
          </w:p>
        </w:tc>
        <w:tc>
          <w:tcPr>
            <w:tcW w:w="839" w:type="dxa"/>
            <w:tcBorders>
              <w:bottom w:val="double" w:sz="4" w:space="0" w:color="auto"/>
            </w:tcBorders>
            <w:shd w:val="clear" w:color="auto" w:fill="BDFFFF"/>
            <w:vAlign w:val="bottom"/>
          </w:tcPr>
          <w:p w:rsidR="00485094" w:rsidRPr="00225579" w:rsidRDefault="00485094" w:rsidP="000F2909">
            <w:pPr>
              <w:pStyle w:val="TableText"/>
              <w:jc w:val="center"/>
              <w:rPr>
                <w:b/>
                <w:i/>
                <w:szCs w:val="18"/>
              </w:rPr>
            </w:pPr>
            <w:r w:rsidRPr="00225579">
              <w:rPr>
                <w:b/>
                <w:i/>
                <w:szCs w:val="18"/>
              </w:rPr>
              <w:t>DO</w:t>
            </w:r>
          </w:p>
        </w:tc>
      </w:tr>
      <w:tr w:rsidR="00542E8A" w:rsidRPr="00915AC3" w:rsidTr="008F1C14">
        <w:trPr>
          <w:jc w:val="center"/>
        </w:trPr>
        <w:tc>
          <w:tcPr>
            <w:tcW w:w="954" w:type="dxa"/>
            <w:tcBorders>
              <w:top w:val="double" w:sz="4" w:space="0" w:color="auto"/>
            </w:tcBorders>
            <w:vAlign w:val="center"/>
          </w:tcPr>
          <w:p w:rsidR="00485094" w:rsidRPr="00915AC3" w:rsidRDefault="00485094" w:rsidP="00453E80">
            <w:pPr>
              <w:pStyle w:val="TableText"/>
              <w:jc w:val="center"/>
              <w:rPr>
                <w:szCs w:val="18"/>
              </w:rPr>
            </w:pPr>
            <w:r w:rsidRPr="00915AC3">
              <w:rPr>
                <w:szCs w:val="18"/>
              </w:rPr>
              <w:t>3516</w:t>
            </w:r>
          </w:p>
        </w:tc>
        <w:tc>
          <w:tcPr>
            <w:tcW w:w="1632" w:type="dxa"/>
            <w:tcBorders>
              <w:top w:val="double" w:sz="4" w:space="0" w:color="auto"/>
            </w:tcBorders>
          </w:tcPr>
          <w:p w:rsidR="00485094" w:rsidRPr="00F65F6A" w:rsidRDefault="00485094" w:rsidP="00453E80">
            <w:pPr>
              <w:pStyle w:val="TableText"/>
              <w:jc w:val="center"/>
              <w:rPr>
                <w:sz w:val="16"/>
                <w:szCs w:val="16"/>
              </w:rPr>
            </w:pPr>
            <w:r w:rsidRPr="00F65F6A">
              <w:rPr>
                <w:sz w:val="16"/>
                <w:szCs w:val="16"/>
              </w:rPr>
              <w:t>Tomoka River</w:t>
            </w:r>
          </w:p>
        </w:tc>
        <w:tc>
          <w:tcPr>
            <w:tcW w:w="922" w:type="dxa"/>
            <w:tcBorders>
              <w:top w:val="double" w:sz="4" w:space="0" w:color="auto"/>
            </w:tcBorders>
            <w:vAlign w:val="center"/>
          </w:tcPr>
          <w:p w:rsidR="00485094" w:rsidRPr="00915AC3" w:rsidRDefault="00485094" w:rsidP="00453E80">
            <w:pPr>
              <w:pStyle w:val="TableText"/>
              <w:jc w:val="center"/>
              <w:rPr>
                <w:szCs w:val="18"/>
              </w:rPr>
            </w:pPr>
            <w:r w:rsidRPr="00915AC3">
              <w:rPr>
                <w:szCs w:val="18"/>
              </w:rPr>
              <w:t>o</w:t>
            </w:r>
          </w:p>
        </w:tc>
        <w:tc>
          <w:tcPr>
            <w:tcW w:w="1008" w:type="dxa"/>
            <w:tcBorders>
              <w:top w:val="double" w:sz="4" w:space="0" w:color="auto"/>
            </w:tcBorders>
            <w:vAlign w:val="center"/>
          </w:tcPr>
          <w:p w:rsidR="00485094" w:rsidRPr="00915AC3" w:rsidRDefault="00485094" w:rsidP="00453E80">
            <w:pPr>
              <w:pStyle w:val="TableText"/>
              <w:jc w:val="center"/>
              <w:rPr>
                <w:szCs w:val="18"/>
              </w:rPr>
            </w:pPr>
            <w:r w:rsidRPr="00915AC3">
              <w:rPr>
                <w:szCs w:val="18"/>
              </w:rPr>
              <w:t>o</w:t>
            </w:r>
          </w:p>
        </w:tc>
        <w:tc>
          <w:tcPr>
            <w:tcW w:w="1277" w:type="dxa"/>
            <w:tcBorders>
              <w:top w:val="double" w:sz="4" w:space="0" w:color="auto"/>
            </w:tcBorders>
            <w:vAlign w:val="center"/>
          </w:tcPr>
          <w:p w:rsidR="00485094" w:rsidRPr="00915AC3" w:rsidRDefault="00485094" w:rsidP="00453E80">
            <w:pPr>
              <w:pStyle w:val="TableText"/>
              <w:jc w:val="center"/>
              <w:rPr>
                <w:szCs w:val="18"/>
              </w:rPr>
            </w:pPr>
            <w:r w:rsidRPr="00915AC3">
              <w:rPr>
                <w:szCs w:val="18"/>
              </w:rPr>
              <w:t>+</w:t>
            </w:r>
          </w:p>
        </w:tc>
        <w:tc>
          <w:tcPr>
            <w:tcW w:w="966" w:type="dxa"/>
            <w:tcBorders>
              <w:top w:val="double" w:sz="4" w:space="0" w:color="auto"/>
            </w:tcBorders>
            <w:vAlign w:val="center"/>
          </w:tcPr>
          <w:p w:rsidR="00485094" w:rsidRPr="00915AC3" w:rsidRDefault="00485094" w:rsidP="00453E80">
            <w:pPr>
              <w:pStyle w:val="TableText"/>
              <w:jc w:val="center"/>
              <w:rPr>
                <w:szCs w:val="18"/>
              </w:rPr>
            </w:pPr>
            <w:r w:rsidRPr="00915AC3">
              <w:rPr>
                <w:szCs w:val="18"/>
              </w:rPr>
              <w:t>o</w:t>
            </w:r>
          </w:p>
        </w:tc>
        <w:tc>
          <w:tcPr>
            <w:tcW w:w="1230" w:type="dxa"/>
            <w:tcBorders>
              <w:top w:val="double" w:sz="4" w:space="0" w:color="auto"/>
            </w:tcBorders>
            <w:vAlign w:val="center"/>
          </w:tcPr>
          <w:p w:rsidR="00485094" w:rsidRPr="00915AC3" w:rsidRDefault="00485094" w:rsidP="00453E80">
            <w:pPr>
              <w:pStyle w:val="TableText"/>
              <w:jc w:val="center"/>
              <w:rPr>
                <w:szCs w:val="18"/>
              </w:rPr>
            </w:pPr>
            <w:r w:rsidRPr="00915AC3">
              <w:rPr>
                <w:szCs w:val="18"/>
              </w:rPr>
              <w:t>-</w:t>
            </w:r>
          </w:p>
        </w:tc>
        <w:tc>
          <w:tcPr>
            <w:tcW w:w="1000" w:type="dxa"/>
            <w:tcBorders>
              <w:top w:val="double" w:sz="4" w:space="0" w:color="auto"/>
            </w:tcBorders>
            <w:vAlign w:val="center"/>
          </w:tcPr>
          <w:p w:rsidR="00485094" w:rsidRPr="00915AC3" w:rsidRDefault="00485094" w:rsidP="00453E80">
            <w:pPr>
              <w:pStyle w:val="TableText"/>
              <w:jc w:val="center"/>
              <w:rPr>
                <w:szCs w:val="18"/>
              </w:rPr>
            </w:pPr>
            <w:r w:rsidRPr="00915AC3">
              <w:rPr>
                <w:szCs w:val="18"/>
              </w:rPr>
              <w:t>o</w:t>
            </w:r>
          </w:p>
        </w:tc>
        <w:tc>
          <w:tcPr>
            <w:tcW w:w="839" w:type="dxa"/>
            <w:tcBorders>
              <w:top w:val="double" w:sz="4" w:space="0" w:color="auto"/>
            </w:tcBorders>
            <w:vAlign w:val="center"/>
          </w:tcPr>
          <w:p w:rsidR="00485094" w:rsidRPr="00915AC3" w:rsidRDefault="00485094" w:rsidP="00453E80">
            <w:pPr>
              <w:pStyle w:val="TableText"/>
              <w:jc w:val="center"/>
              <w:rPr>
                <w:szCs w:val="18"/>
              </w:rPr>
            </w:pPr>
            <w:r w:rsidRPr="00915AC3">
              <w:rPr>
                <w:szCs w:val="18"/>
              </w:rPr>
              <w:t>o</w:t>
            </w:r>
          </w:p>
        </w:tc>
      </w:tr>
      <w:tr w:rsidR="00542E8A" w:rsidRPr="00915AC3" w:rsidTr="008F1C14">
        <w:trPr>
          <w:jc w:val="center"/>
        </w:trPr>
        <w:tc>
          <w:tcPr>
            <w:tcW w:w="954" w:type="dxa"/>
            <w:shd w:val="clear" w:color="auto" w:fill="FFFFCC"/>
            <w:vAlign w:val="center"/>
          </w:tcPr>
          <w:p w:rsidR="00485094" w:rsidRPr="00915AC3" w:rsidRDefault="00485094" w:rsidP="00453E80">
            <w:pPr>
              <w:pStyle w:val="TableText"/>
              <w:jc w:val="center"/>
              <w:rPr>
                <w:szCs w:val="18"/>
              </w:rPr>
            </w:pPr>
            <w:r w:rsidRPr="00915AC3">
              <w:rPr>
                <w:szCs w:val="18"/>
              </w:rPr>
              <w:t>3553</w:t>
            </w:r>
          </w:p>
        </w:tc>
        <w:tc>
          <w:tcPr>
            <w:tcW w:w="1632" w:type="dxa"/>
            <w:shd w:val="clear" w:color="auto" w:fill="FFFFCC"/>
          </w:tcPr>
          <w:p w:rsidR="00485094" w:rsidRPr="00F65F6A" w:rsidRDefault="00485094" w:rsidP="00453E80">
            <w:pPr>
              <w:pStyle w:val="TableText"/>
              <w:jc w:val="center"/>
              <w:rPr>
                <w:sz w:val="16"/>
                <w:szCs w:val="16"/>
              </w:rPr>
            </w:pPr>
            <w:r w:rsidRPr="00F65F6A">
              <w:rPr>
                <w:sz w:val="16"/>
                <w:szCs w:val="16"/>
              </w:rPr>
              <w:t>St. Johns River</w:t>
            </w:r>
          </w:p>
        </w:tc>
        <w:tc>
          <w:tcPr>
            <w:tcW w:w="922"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8"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77"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66"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23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839" w:type="dxa"/>
            <w:shd w:val="clear" w:color="auto" w:fill="FFFFCC"/>
            <w:vAlign w:val="center"/>
          </w:tcPr>
          <w:p w:rsidR="00485094" w:rsidRPr="00915AC3" w:rsidRDefault="00485094" w:rsidP="00453E80">
            <w:pPr>
              <w:pStyle w:val="TableText"/>
              <w:jc w:val="center"/>
              <w:rPr>
                <w:szCs w:val="18"/>
              </w:rPr>
            </w:pPr>
            <w:r w:rsidRPr="00915AC3">
              <w:rPr>
                <w:szCs w:val="18"/>
              </w:rPr>
              <w:t>+</w:t>
            </w:r>
          </w:p>
        </w:tc>
      </w:tr>
      <w:tr w:rsidR="00542E8A" w:rsidRPr="00915AC3" w:rsidTr="008F1C14">
        <w:trPr>
          <w:jc w:val="center"/>
        </w:trPr>
        <w:tc>
          <w:tcPr>
            <w:tcW w:w="954" w:type="dxa"/>
            <w:vAlign w:val="center"/>
          </w:tcPr>
          <w:p w:rsidR="00485094" w:rsidRPr="00915AC3" w:rsidRDefault="00485094" w:rsidP="00453E80">
            <w:pPr>
              <w:pStyle w:val="TableText"/>
              <w:jc w:val="center"/>
              <w:rPr>
                <w:szCs w:val="18"/>
              </w:rPr>
            </w:pPr>
            <w:r w:rsidRPr="00915AC3">
              <w:rPr>
                <w:szCs w:val="18"/>
              </w:rPr>
              <w:t>3544</w:t>
            </w:r>
          </w:p>
        </w:tc>
        <w:tc>
          <w:tcPr>
            <w:tcW w:w="1632" w:type="dxa"/>
          </w:tcPr>
          <w:p w:rsidR="00485094" w:rsidRPr="00F65F6A" w:rsidRDefault="00485094" w:rsidP="00453E80">
            <w:pPr>
              <w:pStyle w:val="TableText"/>
              <w:jc w:val="center"/>
              <w:rPr>
                <w:sz w:val="16"/>
                <w:szCs w:val="16"/>
              </w:rPr>
            </w:pPr>
            <w:r w:rsidRPr="00F65F6A">
              <w:rPr>
                <w:sz w:val="16"/>
                <w:szCs w:val="16"/>
              </w:rPr>
              <w:t>St. Marys River</w:t>
            </w:r>
          </w:p>
        </w:tc>
        <w:tc>
          <w:tcPr>
            <w:tcW w:w="922" w:type="dxa"/>
            <w:vAlign w:val="center"/>
          </w:tcPr>
          <w:p w:rsidR="00485094" w:rsidRPr="00915AC3" w:rsidRDefault="00485094" w:rsidP="00453E80">
            <w:pPr>
              <w:pStyle w:val="TableText"/>
              <w:jc w:val="center"/>
              <w:rPr>
                <w:szCs w:val="18"/>
              </w:rPr>
            </w:pPr>
            <w:r w:rsidRPr="00915AC3">
              <w:rPr>
                <w:szCs w:val="18"/>
              </w:rPr>
              <w:t>-</w:t>
            </w:r>
          </w:p>
        </w:tc>
        <w:tc>
          <w:tcPr>
            <w:tcW w:w="1008" w:type="dxa"/>
            <w:vAlign w:val="center"/>
          </w:tcPr>
          <w:p w:rsidR="00485094" w:rsidRPr="00915AC3" w:rsidRDefault="00485094" w:rsidP="00453E80">
            <w:pPr>
              <w:pStyle w:val="TableText"/>
              <w:jc w:val="center"/>
              <w:rPr>
                <w:szCs w:val="18"/>
              </w:rPr>
            </w:pPr>
            <w:r w:rsidRPr="00915AC3">
              <w:rPr>
                <w:szCs w:val="18"/>
              </w:rPr>
              <w:t>o</w:t>
            </w:r>
          </w:p>
        </w:tc>
        <w:tc>
          <w:tcPr>
            <w:tcW w:w="1277" w:type="dxa"/>
            <w:vAlign w:val="center"/>
          </w:tcPr>
          <w:p w:rsidR="00485094" w:rsidRPr="00915AC3" w:rsidRDefault="00485094" w:rsidP="00453E80">
            <w:pPr>
              <w:pStyle w:val="TableText"/>
              <w:jc w:val="center"/>
              <w:rPr>
                <w:szCs w:val="18"/>
              </w:rPr>
            </w:pPr>
            <w:r w:rsidRPr="00915AC3">
              <w:rPr>
                <w:szCs w:val="18"/>
              </w:rPr>
              <w:t>o</w:t>
            </w:r>
          </w:p>
        </w:tc>
        <w:tc>
          <w:tcPr>
            <w:tcW w:w="966" w:type="dxa"/>
            <w:vAlign w:val="center"/>
          </w:tcPr>
          <w:p w:rsidR="00485094" w:rsidRPr="00915AC3" w:rsidRDefault="00485094" w:rsidP="00453E80">
            <w:pPr>
              <w:pStyle w:val="TableText"/>
              <w:jc w:val="center"/>
              <w:rPr>
                <w:szCs w:val="18"/>
              </w:rPr>
            </w:pPr>
            <w:r w:rsidRPr="00915AC3">
              <w:rPr>
                <w:szCs w:val="18"/>
              </w:rPr>
              <w:t>o</w:t>
            </w:r>
          </w:p>
        </w:tc>
        <w:tc>
          <w:tcPr>
            <w:tcW w:w="1230" w:type="dxa"/>
            <w:vAlign w:val="center"/>
          </w:tcPr>
          <w:p w:rsidR="00485094" w:rsidRPr="00915AC3" w:rsidRDefault="00485094" w:rsidP="00453E80">
            <w:pPr>
              <w:pStyle w:val="TableText"/>
              <w:jc w:val="center"/>
              <w:rPr>
                <w:szCs w:val="18"/>
              </w:rPr>
            </w:pPr>
            <w:r w:rsidRPr="00915AC3">
              <w:rPr>
                <w:szCs w:val="18"/>
              </w:rPr>
              <w:t>-</w:t>
            </w:r>
          </w:p>
        </w:tc>
        <w:tc>
          <w:tcPr>
            <w:tcW w:w="1000" w:type="dxa"/>
            <w:vAlign w:val="center"/>
          </w:tcPr>
          <w:p w:rsidR="00485094" w:rsidRPr="00915AC3" w:rsidRDefault="00485094" w:rsidP="00453E80">
            <w:pPr>
              <w:pStyle w:val="TableText"/>
              <w:jc w:val="center"/>
              <w:rPr>
                <w:szCs w:val="18"/>
              </w:rPr>
            </w:pPr>
            <w:r w:rsidRPr="00915AC3">
              <w:rPr>
                <w:szCs w:val="18"/>
              </w:rPr>
              <w:t>o</w:t>
            </w:r>
          </w:p>
        </w:tc>
        <w:tc>
          <w:tcPr>
            <w:tcW w:w="839" w:type="dxa"/>
            <w:vAlign w:val="center"/>
          </w:tcPr>
          <w:p w:rsidR="00485094" w:rsidRPr="00915AC3" w:rsidRDefault="00485094" w:rsidP="00453E80">
            <w:pPr>
              <w:pStyle w:val="TableText"/>
              <w:jc w:val="center"/>
              <w:rPr>
                <w:szCs w:val="18"/>
              </w:rPr>
            </w:pPr>
            <w:r w:rsidRPr="00915AC3">
              <w:rPr>
                <w:szCs w:val="18"/>
              </w:rPr>
              <w:t>o</w:t>
            </w:r>
          </w:p>
        </w:tc>
      </w:tr>
      <w:tr w:rsidR="00542E8A" w:rsidRPr="00915AC3" w:rsidTr="008F1C14">
        <w:trPr>
          <w:jc w:val="center"/>
        </w:trPr>
        <w:tc>
          <w:tcPr>
            <w:tcW w:w="954" w:type="dxa"/>
            <w:shd w:val="clear" w:color="auto" w:fill="FFFFCC"/>
            <w:vAlign w:val="center"/>
          </w:tcPr>
          <w:p w:rsidR="00485094" w:rsidRPr="00915AC3" w:rsidRDefault="00485094" w:rsidP="00453E80">
            <w:pPr>
              <w:pStyle w:val="TableText"/>
              <w:jc w:val="center"/>
              <w:rPr>
                <w:szCs w:val="18"/>
              </w:rPr>
            </w:pPr>
            <w:r w:rsidRPr="00915AC3">
              <w:rPr>
                <w:szCs w:val="18"/>
              </w:rPr>
              <w:t>6978</w:t>
            </w:r>
          </w:p>
        </w:tc>
        <w:tc>
          <w:tcPr>
            <w:tcW w:w="1632" w:type="dxa"/>
            <w:shd w:val="clear" w:color="auto" w:fill="FFFFCC"/>
          </w:tcPr>
          <w:p w:rsidR="00485094" w:rsidRPr="00F65F6A" w:rsidRDefault="00485094" w:rsidP="00453E80">
            <w:pPr>
              <w:pStyle w:val="TableText"/>
              <w:jc w:val="center"/>
              <w:rPr>
                <w:sz w:val="16"/>
                <w:szCs w:val="16"/>
              </w:rPr>
            </w:pPr>
            <w:r>
              <w:rPr>
                <w:sz w:val="16"/>
                <w:szCs w:val="16"/>
              </w:rPr>
              <w:t>Steinhatchee River</w:t>
            </w:r>
          </w:p>
        </w:tc>
        <w:tc>
          <w:tcPr>
            <w:tcW w:w="922"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8"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77"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6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3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00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839"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542E8A" w:rsidRPr="00915AC3" w:rsidTr="008F1C14">
        <w:trPr>
          <w:jc w:val="center"/>
        </w:trPr>
        <w:tc>
          <w:tcPr>
            <w:tcW w:w="954" w:type="dxa"/>
            <w:vAlign w:val="center"/>
          </w:tcPr>
          <w:p w:rsidR="00485094" w:rsidRPr="00915AC3" w:rsidRDefault="00485094" w:rsidP="00453E80">
            <w:pPr>
              <w:pStyle w:val="TableText"/>
              <w:jc w:val="center"/>
              <w:rPr>
                <w:szCs w:val="18"/>
              </w:rPr>
            </w:pPr>
            <w:r w:rsidRPr="00915AC3">
              <w:rPr>
                <w:szCs w:val="18"/>
              </w:rPr>
              <w:t>3526</w:t>
            </w:r>
          </w:p>
        </w:tc>
        <w:tc>
          <w:tcPr>
            <w:tcW w:w="1632" w:type="dxa"/>
          </w:tcPr>
          <w:p w:rsidR="00485094" w:rsidRPr="00F65F6A" w:rsidRDefault="00485094" w:rsidP="00453E80">
            <w:pPr>
              <w:pStyle w:val="TableText"/>
              <w:jc w:val="center"/>
              <w:rPr>
                <w:sz w:val="16"/>
                <w:szCs w:val="16"/>
              </w:rPr>
            </w:pPr>
            <w:r>
              <w:rPr>
                <w:sz w:val="16"/>
                <w:szCs w:val="16"/>
              </w:rPr>
              <w:t>Aucilla River</w:t>
            </w:r>
          </w:p>
        </w:tc>
        <w:tc>
          <w:tcPr>
            <w:tcW w:w="922" w:type="dxa"/>
            <w:vAlign w:val="center"/>
          </w:tcPr>
          <w:p w:rsidR="00485094" w:rsidRPr="00915AC3" w:rsidRDefault="00485094" w:rsidP="00453E80">
            <w:pPr>
              <w:pStyle w:val="TableText"/>
              <w:jc w:val="center"/>
              <w:rPr>
                <w:szCs w:val="18"/>
              </w:rPr>
            </w:pPr>
            <w:r w:rsidRPr="00915AC3">
              <w:rPr>
                <w:szCs w:val="18"/>
              </w:rPr>
              <w:t>o</w:t>
            </w:r>
          </w:p>
        </w:tc>
        <w:tc>
          <w:tcPr>
            <w:tcW w:w="1008" w:type="dxa"/>
            <w:vAlign w:val="center"/>
          </w:tcPr>
          <w:p w:rsidR="00485094" w:rsidRPr="00915AC3" w:rsidRDefault="00485094" w:rsidP="00453E80">
            <w:pPr>
              <w:pStyle w:val="TableText"/>
              <w:jc w:val="center"/>
              <w:rPr>
                <w:szCs w:val="18"/>
              </w:rPr>
            </w:pPr>
            <w:r w:rsidRPr="00915AC3">
              <w:rPr>
                <w:szCs w:val="18"/>
              </w:rPr>
              <w:t>o</w:t>
            </w:r>
          </w:p>
        </w:tc>
        <w:tc>
          <w:tcPr>
            <w:tcW w:w="1277" w:type="dxa"/>
            <w:vAlign w:val="center"/>
          </w:tcPr>
          <w:p w:rsidR="00485094" w:rsidRPr="00915AC3" w:rsidRDefault="00485094" w:rsidP="00453E80">
            <w:pPr>
              <w:pStyle w:val="TableText"/>
              <w:jc w:val="center"/>
              <w:rPr>
                <w:szCs w:val="18"/>
              </w:rPr>
            </w:pPr>
            <w:r w:rsidRPr="00915AC3">
              <w:rPr>
                <w:szCs w:val="18"/>
              </w:rPr>
              <w:t>o</w:t>
            </w:r>
          </w:p>
        </w:tc>
        <w:tc>
          <w:tcPr>
            <w:tcW w:w="966" w:type="dxa"/>
            <w:vAlign w:val="center"/>
          </w:tcPr>
          <w:p w:rsidR="00485094" w:rsidRPr="00915AC3" w:rsidRDefault="00485094" w:rsidP="00453E80">
            <w:pPr>
              <w:pStyle w:val="TableText"/>
              <w:jc w:val="center"/>
              <w:rPr>
                <w:szCs w:val="18"/>
              </w:rPr>
            </w:pPr>
            <w:r w:rsidRPr="00915AC3">
              <w:rPr>
                <w:szCs w:val="18"/>
              </w:rPr>
              <w:t>o</w:t>
            </w:r>
          </w:p>
        </w:tc>
        <w:tc>
          <w:tcPr>
            <w:tcW w:w="1230" w:type="dxa"/>
            <w:vAlign w:val="center"/>
          </w:tcPr>
          <w:p w:rsidR="00485094" w:rsidRPr="00915AC3" w:rsidRDefault="00485094" w:rsidP="00453E80">
            <w:pPr>
              <w:pStyle w:val="TableText"/>
              <w:jc w:val="center"/>
              <w:rPr>
                <w:szCs w:val="18"/>
              </w:rPr>
            </w:pPr>
            <w:r w:rsidRPr="00915AC3">
              <w:rPr>
                <w:szCs w:val="18"/>
              </w:rPr>
              <w:t>-</w:t>
            </w:r>
          </w:p>
        </w:tc>
        <w:tc>
          <w:tcPr>
            <w:tcW w:w="1000" w:type="dxa"/>
            <w:vAlign w:val="center"/>
          </w:tcPr>
          <w:p w:rsidR="00485094" w:rsidRPr="00915AC3" w:rsidRDefault="00485094" w:rsidP="00453E80">
            <w:pPr>
              <w:pStyle w:val="TableText"/>
              <w:jc w:val="center"/>
              <w:rPr>
                <w:szCs w:val="18"/>
              </w:rPr>
            </w:pPr>
            <w:r w:rsidRPr="00915AC3">
              <w:rPr>
                <w:szCs w:val="18"/>
              </w:rPr>
              <w:t>o</w:t>
            </w:r>
          </w:p>
        </w:tc>
        <w:tc>
          <w:tcPr>
            <w:tcW w:w="839" w:type="dxa"/>
            <w:vAlign w:val="center"/>
          </w:tcPr>
          <w:p w:rsidR="00485094" w:rsidRPr="00915AC3" w:rsidRDefault="00485094" w:rsidP="00453E80">
            <w:pPr>
              <w:pStyle w:val="TableText"/>
              <w:jc w:val="center"/>
              <w:rPr>
                <w:szCs w:val="18"/>
              </w:rPr>
            </w:pPr>
            <w:r w:rsidRPr="00915AC3">
              <w:rPr>
                <w:szCs w:val="18"/>
              </w:rPr>
              <w:t>o</w:t>
            </w:r>
          </w:p>
        </w:tc>
      </w:tr>
      <w:tr w:rsidR="00542E8A" w:rsidRPr="00915AC3" w:rsidTr="008F1C14">
        <w:trPr>
          <w:jc w:val="center"/>
        </w:trPr>
        <w:tc>
          <w:tcPr>
            <w:tcW w:w="954" w:type="dxa"/>
            <w:shd w:val="clear" w:color="auto" w:fill="FFFFCC"/>
            <w:vAlign w:val="center"/>
          </w:tcPr>
          <w:p w:rsidR="00485094" w:rsidRPr="00915AC3" w:rsidRDefault="00485094" w:rsidP="00453E80">
            <w:pPr>
              <w:pStyle w:val="TableText"/>
              <w:jc w:val="center"/>
              <w:rPr>
                <w:szCs w:val="18"/>
              </w:rPr>
            </w:pPr>
            <w:r w:rsidRPr="00915AC3">
              <w:rPr>
                <w:szCs w:val="18"/>
              </w:rPr>
              <w:t>6976</w:t>
            </w:r>
          </w:p>
        </w:tc>
        <w:tc>
          <w:tcPr>
            <w:tcW w:w="1632" w:type="dxa"/>
            <w:shd w:val="clear" w:color="auto" w:fill="FFFFCC"/>
          </w:tcPr>
          <w:p w:rsidR="00485094" w:rsidRPr="00F65F6A" w:rsidRDefault="00485094" w:rsidP="00453E80">
            <w:pPr>
              <w:pStyle w:val="TableText"/>
              <w:jc w:val="center"/>
              <w:rPr>
                <w:sz w:val="16"/>
                <w:szCs w:val="16"/>
              </w:rPr>
            </w:pPr>
            <w:r>
              <w:rPr>
                <w:sz w:val="16"/>
                <w:szCs w:val="16"/>
              </w:rPr>
              <w:t>Econfina River</w:t>
            </w:r>
          </w:p>
        </w:tc>
        <w:tc>
          <w:tcPr>
            <w:tcW w:w="922"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8"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277"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6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3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00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839"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542E8A" w:rsidRPr="00915AC3" w:rsidTr="008F1C14">
        <w:trPr>
          <w:jc w:val="center"/>
        </w:trPr>
        <w:tc>
          <w:tcPr>
            <w:tcW w:w="954" w:type="dxa"/>
            <w:vAlign w:val="center"/>
          </w:tcPr>
          <w:p w:rsidR="00485094" w:rsidRPr="00915AC3" w:rsidRDefault="00485094" w:rsidP="00453E80">
            <w:pPr>
              <w:pStyle w:val="TableText"/>
              <w:jc w:val="center"/>
              <w:rPr>
                <w:szCs w:val="18"/>
              </w:rPr>
            </w:pPr>
            <w:r w:rsidRPr="00915AC3">
              <w:rPr>
                <w:szCs w:val="18"/>
              </w:rPr>
              <w:t>21380</w:t>
            </w:r>
          </w:p>
        </w:tc>
        <w:tc>
          <w:tcPr>
            <w:tcW w:w="1632" w:type="dxa"/>
          </w:tcPr>
          <w:p w:rsidR="00485094" w:rsidRPr="00F65F6A" w:rsidRDefault="00485094" w:rsidP="00453E80">
            <w:pPr>
              <w:pStyle w:val="TableText"/>
              <w:jc w:val="center"/>
              <w:rPr>
                <w:sz w:val="16"/>
                <w:szCs w:val="16"/>
              </w:rPr>
            </w:pPr>
            <w:r>
              <w:rPr>
                <w:sz w:val="16"/>
                <w:szCs w:val="16"/>
              </w:rPr>
              <w:t>Homosassa Spring Run</w:t>
            </w:r>
          </w:p>
        </w:tc>
        <w:tc>
          <w:tcPr>
            <w:tcW w:w="922" w:type="dxa"/>
            <w:vAlign w:val="center"/>
          </w:tcPr>
          <w:p w:rsidR="00485094" w:rsidRPr="00915AC3" w:rsidRDefault="00485094" w:rsidP="00453E80">
            <w:pPr>
              <w:pStyle w:val="TableText"/>
              <w:jc w:val="center"/>
              <w:rPr>
                <w:szCs w:val="18"/>
              </w:rPr>
            </w:pPr>
            <w:r w:rsidRPr="00915AC3">
              <w:rPr>
                <w:szCs w:val="18"/>
              </w:rPr>
              <w:t>+</w:t>
            </w:r>
          </w:p>
        </w:tc>
        <w:tc>
          <w:tcPr>
            <w:tcW w:w="1008" w:type="dxa"/>
            <w:vAlign w:val="center"/>
          </w:tcPr>
          <w:p w:rsidR="00485094" w:rsidRPr="00915AC3" w:rsidRDefault="00485094" w:rsidP="00453E80">
            <w:pPr>
              <w:pStyle w:val="TableText"/>
              <w:jc w:val="center"/>
              <w:rPr>
                <w:szCs w:val="18"/>
              </w:rPr>
            </w:pPr>
            <w:r w:rsidRPr="00915AC3">
              <w:rPr>
                <w:szCs w:val="18"/>
              </w:rPr>
              <w:t>+</w:t>
            </w:r>
          </w:p>
        </w:tc>
        <w:tc>
          <w:tcPr>
            <w:tcW w:w="1277" w:type="dxa"/>
            <w:vAlign w:val="center"/>
          </w:tcPr>
          <w:p w:rsidR="00485094" w:rsidRPr="00915AC3" w:rsidRDefault="00485094" w:rsidP="00453E80">
            <w:pPr>
              <w:pStyle w:val="TableText"/>
              <w:jc w:val="center"/>
              <w:rPr>
                <w:szCs w:val="18"/>
              </w:rPr>
            </w:pPr>
            <w:r w:rsidRPr="00915AC3">
              <w:rPr>
                <w:szCs w:val="18"/>
              </w:rPr>
              <w:t>o</w:t>
            </w:r>
          </w:p>
        </w:tc>
        <w:tc>
          <w:tcPr>
            <w:tcW w:w="966" w:type="dxa"/>
            <w:vAlign w:val="center"/>
          </w:tcPr>
          <w:p w:rsidR="00485094" w:rsidRPr="00915AC3" w:rsidRDefault="00485094" w:rsidP="00453E80">
            <w:pPr>
              <w:pStyle w:val="TableText"/>
              <w:jc w:val="center"/>
              <w:rPr>
                <w:szCs w:val="18"/>
              </w:rPr>
            </w:pPr>
            <w:r w:rsidRPr="00915AC3">
              <w:rPr>
                <w:szCs w:val="18"/>
              </w:rPr>
              <w:t>o</w:t>
            </w:r>
          </w:p>
        </w:tc>
        <w:tc>
          <w:tcPr>
            <w:tcW w:w="1230" w:type="dxa"/>
            <w:vAlign w:val="center"/>
          </w:tcPr>
          <w:p w:rsidR="00485094" w:rsidRPr="00915AC3" w:rsidRDefault="00485094" w:rsidP="00453E80">
            <w:pPr>
              <w:pStyle w:val="TableText"/>
              <w:jc w:val="center"/>
              <w:rPr>
                <w:szCs w:val="18"/>
              </w:rPr>
            </w:pPr>
            <w:r w:rsidRPr="00915AC3">
              <w:rPr>
                <w:szCs w:val="18"/>
              </w:rPr>
              <w:t>-</w:t>
            </w:r>
          </w:p>
        </w:tc>
        <w:tc>
          <w:tcPr>
            <w:tcW w:w="1000" w:type="dxa"/>
            <w:vAlign w:val="center"/>
          </w:tcPr>
          <w:p w:rsidR="00485094" w:rsidRPr="00915AC3" w:rsidRDefault="00485094" w:rsidP="00453E80">
            <w:pPr>
              <w:pStyle w:val="TableText"/>
              <w:jc w:val="center"/>
              <w:rPr>
                <w:szCs w:val="18"/>
              </w:rPr>
            </w:pPr>
            <w:r w:rsidRPr="00915AC3">
              <w:rPr>
                <w:szCs w:val="18"/>
              </w:rPr>
              <w:t>+</w:t>
            </w:r>
          </w:p>
        </w:tc>
        <w:tc>
          <w:tcPr>
            <w:tcW w:w="839" w:type="dxa"/>
            <w:vAlign w:val="center"/>
          </w:tcPr>
          <w:p w:rsidR="00485094" w:rsidRPr="00915AC3" w:rsidRDefault="00485094" w:rsidP="00453E80">
            <w:pPr>
              <w:pStyle w:val="TableText"/>
              <w:jc w:val="center"/>
              <w:rPr>
                <w:szCs w:val="18"/>
              </w:rPr>
            </w:pPr>
            <w:r w:rsidRPr="00915AC3">
              <w:rPr>
                <w:szCs w:val="18"/>
              </w:rPr>
              <w:t>o</w:t>
            </w:r>
          </w:p>
        </w:tc>
      </w:tr>
      <w:tr w:rsidR="00542E8A" w:rsidRPr="00915AC3" w:rsidTr="008F1C14">
        <w:trPr>
          <w:jc w:val="center"/>
        </w:trPr>
        <w:tc>
          <w:tcPr>
            <w:tcW w:w="954" w:type="dxa"/>
            <w:shd w:val="clear" w:color="auto" w:fill="FFFFCC"/>
            <w:vAlign w:val="center"/>
          </w:tcPr>
          <w:p w:rsidR="00485094" w:rsidRPr="00915AC3" w:rsidRDefault="00485094" w:rsidP="00453E80">
            <w:pPr>
              <w:pStyle w:val="TableText"/>
              <w:jc w:val="center"/>
              <w:rPr>
                <w:szCs w:val="18"/>
              </w:rPr>
            </w:pPr>
            <w:r w:rsidRPr="00915AC3">
              <w:rPr>
                <w:szCs w:val="18"/>
              </w:rPr>
              <w:t>3499</w:t>
            </w:r>
          </w:p>
        </w:tc>
        <w:tc>
          <w:tcPr>
            <w:tcW w:w="1632" w:type="dxa"/>
            <w:shd w:val="clear" w:color="auto" w:fill="FFFFCC"/>
          </w:tcPr>
          <w:p w:rsidR="00485094" w:rsidRPr="00F65F6A" w:rsidRDefault="00485094" w:rsidP="00453E80">
            <w:pPr>
              <w:pStyle w:val="TableText"/>
              <w:jc w:val="center"/>
              <w:rPr>
                <w:sz w:val="16"/>
                <w:szCs w:val="16"/>
              </w:rPr>
            </w:pPr>
            <w:r>
              <w:rPr>
                <w:sz w:val="16"/>
                <w:szCs w:val="16"/>
              </w:rPr>
              <w:t>Myakka River</w:t>
            </w:r>
          </w:p>
        </w:tc>
        <w:tc>
          <w:tcPr>
            <w:tcW w:w="922"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8"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277"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6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3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00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839"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542E8A" w:rsidRPr="00915AC3" w:rsidTr="008F1C14">
        <w:trPr>
          <w:jc w:val="center"/>
        </w:trPr>
        <w:tc>
          <w:tcPr>
            <w:tcW w:w="954" w:type="dxa"/>
            <w:vAlign w:val="center"/>
          </w:tcPr>
          <w:p w:rsidR="00485094" w:rsidRPr="00915AC3" w:rsidRDefault="00485094" w:rsidP="00453E80">
            <w:pPr>
              <w:pStyle w:val="TableText"/>
              <w:jc w:val="center"/>
              <w:rPr>
                <w:szCs w:val="18"/>
              </w:rPr>
            </w:pPr>
            <w:r w:rsidRPr="00915AC3">
              <w:rPr>
                <w:szCs w:val="18"/>
              </w:rPr>
              <w:t>3502</w:t>
            </w:r>
          </w:p>
        </w:tc>
        <w:tc>
          <w:tcPr>
            <w:tcW w:w="1632" w:type="dxa"/>
          </w:tcPr>
          <w:p w:rsidR="00485094" w:rsidRPr="00F65F6A" w:rsidRDefault="00485094" w:rsidP="00453E80">
            <w:pPr>
              <w:pStyle w:val="TableText"/>
              <w:jc w:val="center"/>
              <w:rPr>
                <w:sz w:val="16"/>
                <w:szCs w:val="16"/>
              </w:rPr>
            </w:pPr>
            <w:r>
              <w:rPr>
                <w:sz w:val="16"/>
                <w:szCs w:val="16"/>
              </w:rPr>
              <w:t>Phillippe Creek</w:t>
            </w:r>
          </w:p>
        </w:tc>
        <w:tc>
          <w:tcPr>
            <w:tcW w:w="922" w:type="dxa"/>
            <w:vAlign w:val="center"/>
          </w:tcPr>
          <w:p w:rsidR="00485094" w:rsidRPr="00915AC3" w:rsidRDefault="00485094" w:rsidP="00453E80">
            <w:pPr>
              <w:pStyle w:val="TableText"/>
              <w:jc w:val="center"/>
              <w:rPr>
                <w:szCs w:val="18"/>
              </w:rPr>
            </w:pPr>
            <w:r w:rsidRPr="00915AC3">
              <w:rPr>
                <w:szCs w:val="18"/>
              </w:rPr>
              <w:t>o</w:t>
            </w:r>
          </w:p>
        </w:tc>
        <w:tc>
          <w:tcPr>
            <w:tcW w:w="1008" w:type="dxa"/>
            <w:vAlign w:val="center"/>
          </w:tcPr>
          <w:p w:rsidR="00485094" w:rsidRPr="00915AC3" w:rsidRDefault="00485094" w:rsidP="00453E80">
            <w:pPr>
              <w:pStyle w:val="TableText"/>
              <w:jc w:val="center"/>
              <w:rPr>
                <w:szCs w:val="18"/>
              </w:rPr>
            </w:pPr>
            <w:r w:rsidRPr="00915AC3">
              <w:rPr>
                <w:szCs w:val="18"/>
              </w:rPr>
              <w:t>o</w:t>
            </w:r>
          </w:p>
        </w:tc>
        <w:tc>
          <w:tcPr>
            <w:tcW w:w="1277" w:type="dxa"/>
            <w:vAlign w:val="center"/>
          </w:tcPr>
          <w:p w:rsidR="00485094" w:rsidRPr="00915AC3" w:rsidRDefault="00485094" w:rsidP="00453E80">
            <w:pPr>
              <w:pStyle w:val="TableText"/>
              <w:jc w:val="center"/>
              <w:rPr>
                <w:szCs w:val="18"/>
              </w:rPr>
            </w:pPr>
            <w:r w:rsidRPr="00915AC3">
              <w:rPr>
                <w:szCs w:val="18"/>
              </w:rPr>
              <w:t>o</w:t>
            </w:r>
          </w:p>
        </w:tc>
        <w:tc>
          <w:tcPr>
            <w:tcW w:w="966" w:type="dxa"/>
            <w:vAlign w:val="center"/>
          </w:tcPr>
          <w:p w:rsidR="00485094" w:rsidRPr="00915AC3" w:rsidRDefault="00485094" w:rsidP="00453E80">
            <w:pPr>
              <w:pStyle w:val="TableText"/>
              <w:jc w:val="center"/>
              <w:rPr>
                <w:szCs w:val="18"/>
              </w:rPr>
            </w:pPr>
            <w:r w:rsidRPr="00915AC3">
              <w:rPr>
                <w:szCs w:val="18"/>
              </w:rPr>
              <w:t>-</w:t>
            </w:r>
          </w:p>
        </w:tc>
        <w:tc>
          <w:tcPr>
            <w:tcW w:w="1230" w:type="dxa"/>
            <w:vAlign w:val="center"/>
          </w:tcPr>
          <w:p w:rsidR="00485094" w:rsidRPr="00915AC3" w:rsidRDefault="00485094" w:rsidP="00453E80">
            <w:pPr>
              <w:pStyle w:val="TableText"/>
              <w:jc w:val="center"/>
              <w:rPr>
                <w:szCs w:val="18"/>
              </w:rPr>
            </w:pPr>
            <w:r w:rsidRPr="00915AC3">
              <w:rPr>
                <w:szCs w:val="18"/>
              </w:rPr>
              <w:t>o</w:t>
            </w:r>
          </w:p>
        </w:tc>
        <w:tc>
          <w:tcPr>
            <w:tcW w:w="1000" w:type="dxa"/>
            <w:vAlign w:val="center"/>
          </w:tcPr>
          <w:p w:rsidR="00485094" w:rsidRPr="00915AC3" w:rsidRDefault="00485094" w:rsidP="00453E80">
            <w:pPr>
              <w:pStyle w:val="TableText"/>
              <w:jc w:val="center"/>
              <w:rPr>
                <w:szCs w:val="18"/>
              </w:rPr>
            </w:pPr>
            <w:r w:rsidRPr="00915AC3">
              <w:rPr>
                <w:szCs w:val="18"/>
              </w:rPr>
              <w:t>o</w:t>
            </w:r>
          </w:p>
        </w:tc>
        <w:tc>
          <w:tcPr>
            <w:tcW w:w="839" w:type="dxa"/>
            <w:vAlign w:val="center"/>
          </w:tcPr>
          <w:p w:rsidR="00485094" w:rsidRPr="00915AC3" w:rsidRDefault="00485094" w:rsidP="00453E80">
            <w:pPr>
              <w:pStyle w:val="TableText"/>
              <w:jc w:val="center"/>
              <w:rPr>
                <w:szCs w:val="18"/>
              </w:rPr>
            </w:pPr>
            <w:r w:rsidRPr="00915AC3">
              <w:rPr>
                <w:szCs w:val="18"/>
              </w:rPr>
              <w:t>-</w:t>
            </w:r>
          </w:p>
        </w:tc>
      </w:tr>
      <w:tr w:rsidR="00542E8A" w:rsidRPr="00915AC3" w:rsidTr="008F1C14">
        <w:trPr>
          <w:jc w:val="center"/>
        </w:trPr>
        <w:tc>
          <w:tcPr>
            <w:tcW w:w="954" w:type="dxa"/>
            <w:shd w:val="clear" w:color="auto" w:fill="FFFFCC"/>
            <w:vAlign w:val="center"/>
          </w:tcPr>
          <w:p w:rsidR="00485094" w:rsidRPr="00915AC3" w:rsidRDefault="00485094" w:rsidP="00453E80">
            <w:pPr>
              <w:pStyle w:val="TableText"/>
              <w:jc w:val="center"/>
              <w:rPr>
                <w:szCs w:val="18"/>
              </w:rPr>
            </w:pPr>
            <w:r w:rsidRPr="00915AC3">
              <w:rPr>
                <w:szCs w:val="18"/>
              </w:rPr>
              <w:t>3505</w:t>
            </w:r>
          </w:p>
        </w:tc>
        <w:tc>
          <w:tcPr>
            <w:tcW w:w="1632" w:type="dxa"/>
            <w:shd w:val="clear" w:color="auto" w:fill="FFFFCC"/>
          </w:tcPr>
          <w:p w:rsidR="00485094" w:rsidRPr="00F65F6A" w:rsidRDefault="00485094" w:rsidP="00453E80">
            <w:pPr>
              <w:pStyle w:val="TableText"/>
              <w:jc w:val="center"/>
              <w:rPr>
                <w:sz w:val="16"/>
                <w:szCs w:val="16"/>
              </w:rPr>
            </w:pPr>
            <w:r>
              <w:rPr>
                <w:sz w:val="16"/>
                <w:szCs w:val="16"/>
              </w:rPr>
              <w:t>Manatee River</w:t>
            </w:r>
          </w:p>
        </w:tc>
        <w:tc>
          <w:tcPr>
            <w:tcW w:w="922"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008"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277"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6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3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839"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542E8A" w:rsidRPr="00915AC3" w:rsidTr="008F1C14">
        <w:trPr>
          <w:jc w:val="center"/>
        </w:trPr>
        <w:tc>
          <w:tcPr>
            <w:tcW w:w="954" w:type="dxa"/>
            <w:vAlign w:val="center"/>
          </w:tcPr>
          <w:p w:rsidR="00485094" w:rsidRPr="00915AC3" w:rsidRDefault="00485094" w:rsidP="00453E80">
            <w:pPr>
              <w:pStyle w:val="TableText"/>
              <w:jc w:val="center"/>
              <w:rPr>
                <w:szCs w:val="18"/>
              </w:rPr>
            </w:pPr>
            <w:r w:rsidRPr="00915AC3">
              <w:rPr>
                <w:szCs w:val="18"/>
              </w:rPr>
              <w:t>3507</w:t>
            </w:r>
          </w:p>
        </w:tc>
        <w:tc>
          <w:tcPr>
            <w:tcW w:w="1632" w:type="dxa"/>
          </w:tcPr>
          <w:p w:rsidR="00485094" w:rsidRPr="00F65F6A" w:rsidRDefault="00485094" w:rsidP="00453E80">
            <w:pPr>
              <w:pStyle w:val="TableText"/>
              <w:jc w:val="center"/>
              <w:rPr>
                <w:sz w:val="16"/>
                <w:szCs w:val="16"/>
              </w:rPr>
            </w:pPr>
            <w:r>
              <w:rPr>
                <w:sz w:val="16"/>
                <w:szCs w:val="16"/>
              </w:rPr>
              <w:t>Hillsborough River</w:t>
            </w:r>
          </w:p>
        </w:tc>
        <w:tc>
          <w:tcPr>
            <w:tcW w:w="922" w:type="dxa"/>
            <w:vAlign w:val="center"/>
          </w:tcPr>
          <w:p w:rsidR="00485094" w:rsidRPr="00915AC3" w:rsidRDefault="00485094" w:rsidP="00453E80">
            <w:pPr>
              <w:pStyle w:val="TableText"/>
              <w:jc w:val="center"/>
              <w:rPr>
                <w:szCs w:val="18"/>
              </w:rPr>
            </w:pPr>
            <w:r w:rsidRPr="00915AC3">
              <w:rPr>
                <w:szCs w:val="18"/>
              </w:rPr>
              <w:t>o</w:t>
            </w:r>
          </w:p>
        </w:tc>
        <w:tc>
          <w:tcPr>
            <w:tcW w:w="1008" w:type="dxa"/>
            <w:vAlign w:val="center"/>
          </w:tcPr>
          <w:p w:rsidR="00485094" w:rsidRPr="00915AC3" w:rsidRDefault="00485094" w:rsidP="00453E80">
            <w:pPr>
              <w:pStyle w:val="TableText"/>
              <w:jc w:val="center"/>
              <w:rPr>
                <w:szCs w:val="18"/>
              </w:rPr>
            </w:pPr>
            <w:r w:rsidRPr="00915AC3">
              <w:rPr>
                <w:szCs w:val="18"/>
              </w:rPr>
              <w:t>o</w:t>
            </w:r>
          </w:p>
        </w:tc>
        <w:tc>
          <w:tcPr>
            <w:tcW w:w="1277" w:type="dxa"/>
            <w:vAlign w:val="center"/>
          </w:tcPr>
          <w:p w:rsidR="00485094" w:rsidRPr="00915AC3" w:rsidRDefault="00485094" w:rsidP="00453E80">
            <w:pPr>
              <w:pStyle w:val="TableText"/>
              <w:jc w:val="center"/>
              <w:rPr>
                <w:szCs w:val="18"/>
              </w:rPr>
            </w:pPr>
            <w:r w:rsidRPr="00915AC3">
              <w:rPr>
                <w:szCs w:val="18"/>
              </w:rPr>
              <w:t>o</w:t>
            </w:r>
          </w:p>
        </w:tc>
        <w:tc>
          <w:tcPr>
            <w:tcW w:w="966" w:type="dxa"/>
            <w:vAlign w:val="center"/>
          </w:tcPr>
          <w:p w:rsidR="00485094" w:rsidRPr="00915AC3" w:rsidRDefault="00485094" w:rsidP="00453E80">
            <w:pPr>
              <w:pStyle w:val="TableText"/>
              <w:jc w:val="center"/>
              <w:rPr>
                <w:szCs w:val="18"/>
              </w:rPr>
            </w:pPr>
            <w:r w:rsidRPr="00915AC3">
              <w:rPr>
                <w:szCs w:val="18"/>
              </w:rPr>
              <w:t>o</w:t>
            </w:r>
          </w:p>
        </w:tc>
        <w:tc>
          <w:tcPr>
            <w:tcW w:w="1230" w:type="dxa"/>
            <w:vAlign w:val="center"/>
          </w:tcPr>
          <w:p w:rsidR="00485094" w:rsidRPr="00915AC3" w:rsidRDefault="00485094" w:rsidP="00453E80">
            <w:pPr>
              <w:pStyle w:val="TableText"/>
              <w:jc w:val="center"/>
              <w:rPr>
                <w:szCs w:val="18"/>
              </w:rPr>
            </w:pPr>
            <w:r w:rsidRPr="00915AC3">
              <w:rPr>
                <w:szCs w:val="18"/>
              </w:rPr>
              <w:t>o</w:t>
            </w:r>
          </w:p>
        </w:tc>
        <w:tc>
          <w:tcPr>
            <w:tcW w:w="1000" w:type="dxa"/>
            <w:vAlign w:val="center"/>
          </w:tcPr>
          <w:p w:rsidR="00485094" w:rsidRPr="00915AC3" w:rsidRDefault="00485094" w:rsidP="00453E80">
            <w:pPr>
              <w:pStyle w:val="TableText"/>
              <w:jc w:val="center"/>
              <w:rPr>
                <w:szCs w:val="18"/>
              </w:rPr>
            </w:pPr>
            <w:r w:rsidRPr="00915AC3">
              <w:rPr>
                <w:szCs w:val="18"/>
              </w:rPr>
              <w:t>o</w:t>
            </w:r>
          </w:p>
        </w:tc>
        <w:tc>
          <w:tcPr>
            <w:tcW w:w="839" w:type="dxa"/>
            <w:vAlign w:val="center"/>
          </w:tcPr>
          <w:p w:rsidR="00485094" w:rsidRPr="00915AC3" w:rsidRDefault="00485094" w:rsidP="00453E80">
            <w:pPr>
              <w:pStyle w:val="TableText"/>
              <w:jc w:val="center"/>
              <w:rPr>
                <w:szCs w:val="18"/>
              </w:rPr>
            </w:pPr>
            <w:r w:rsidRPr="00915AC3">
              <w:rPr>
                <w:szCs w:val="18"/>
              </w:rPr>
              <w:t>o</w:t>
            </w:r>
          </w:p>
        </w:tc>
      </w:tr>
      <w:tr w:rsidR="00542E8A" w:rsidRPr="00915AC3" w:rsidTr="008F1C14">
        <w:trPr>
          <w:jc w:val="center"/>
        </w:trPr>
        <w:tc>
          <w:tcPr>
            <w:tcW w:w="954" w:type="dxa"/>
            <w:shd w:val="clear" w:color="auto" w:fill="FFFFCC"/>
            <w:vAlign w:val="center"/>
          </w:tcPr>
          <w:p w:rsidR="00485094" w:rsidRPr="00915AC3" w:rsidRDefault="00485094" w:rsidP="00453E80">
            <w:pPr>
              <w:pStyle w:val="TableText"/>
              <w:jc w:val="center"/>
              <w:rPr>
                <w:szCs w:val="18"/>
              </w:rPr>
            </w:pPr>
            <w:r w:rsidRPr="00915AC3">
              <w:rPr>
                <w:szCs w:val="18"/>
              </w:rPr>
              <w:t>21460</w:t>
            </w:r>
          </w:p>
        </w:tc>
        <w:tc>
          <w:tcPr>
            <w:tcW w:w="1632" w:type="dxa"/>
            <w:shd w:val="clear" w:color="auto" w:fill="FFFFCC"/>
          </w:tcPr>
          <w:p w:rsidR="00485094" w:rsidRPr="00F65F6A" w:rsidRDefault="00485094" w:rsidP="00453E80">
            <w:pPr>
              <w:pStyle w:val="TableText"/>
              <w:jc w:val="center"/>
              <w:rPr>
                <w:sz w:val="16"/>
                <w:szCs w:val="16"/>
              </w:rPr>
            </w:pPr>
            <w:r>
              <w:rPr>
                <w:sz w:val="16"/>
                <w:szCs w:val="16"/>
              </w:rPr>
              <w:t>Wrights Creek</w:t>
            </w:r>
          </w:p>
        </w:tc>
        <w:tc>
          <w:tcPr>
            <w:tcW w:w="922"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8"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77"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6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3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00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839"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542E8A" w:rsidRPr="00915AC3" w:rsidTr="008F1C14">
        <w:trPr>
          <w:jc w:val="center"/>
        </w:trPr>
        <w:tc>
          <w:tcPr>
            <w:tcW w:w="954" w:type="dxa"/>
            <w:vAlign w:val="center"/>
          </w:tcPr>
          <w:p w:rsidR="00485094" w:rsidRPr="00915AC3" w:rsidRDefault="00485094" w:rsidP="00453E80">
            <w:pPr>
              <w:pStyle w:val="TableText"/>
              <w:jc w:val="center"/>
              <w:rPr>
                <w:szCs w:val="18"/>
              </w:rPr>
            </w:pPr>
            <w:r w:rsidRPr="00915AC3">
              <w:rPr>
                <w:szCs w:val="18"/>
              </w:rPr>
              <w:t>21461</w:t>
            </w:r>
          </w:p>
        </w:tc>
        <w:tc>
          <w:tcPr>
            <w:tcW w:w="1632" w:type="dxa"/>
          </w:tcPr>
          <w:p w:rsidR="00485094" w:rsidRPr="00F65F6A" w:rsidRDefault="00485094" w:rsidP="00453E80">
            <w:pPr>
              <w:pStyle w:val="TableText"/>
              <w:jc w:val="center"/>
              <w:rPr>
                <w:sz w:val="16"/>
                <w:szCs w:val="16"/>
              </w:rPr>
            </w:pPr>
            <w:r>
              <w:rPr>
                <w:sz w:val="16"/>
                <w:szCs w:val="16"/>
              </w:rPr>
              <w:t>Big Coldwater Creek</w:t>
            </w:r>
          </w:p>
        </w:tc>
        <w:tc>
          <w:tcPr>
            <w:tcW w:w="922" w:type="dxa"/>
            <w:vAlign w:val="center"/>
          </w:tcPr>
          <w:p w:rsidR="00485094" w:rsidRPr="00915AC3" w:rsidRDefault="00485094" w:rsidP="00453E80">
            <w:pPr>
              <w:pStyle w:val="TableText"/>
              <w:jc w:val="center"/>
              <w:rPr>
                <w:szCs w:val="18"/>
              </w:rPr>
            </w:pPr>
            <w:r w:rsidRPr="00915AC3">
              <w:rPr>
                <w:szCs w:val="18"/>
              </w:rPr>
              <w:t>o</w:t>
            </w:r>
          </w:p>
        </w:tc>
        <w:tc>
          <w:tcPr>
            <w:tcW w:w="1008" w:type="dxa"/>
            <w:vAlign w:val="center"/>
          </w:tcPr>
          <w:p w:rsidR="00485094" w:rsidRPr="00915AC3" w:rsidRDefault="00485094" w:rsidP="00453E80">
            <w:pPr>
              <w:pStyle w:val="TableText"/>
              <w:jc w:val="center"/>
              <w:rPr>
                <w:szCs w:val="18"/>
              </w:rPr>
            </w:pPr>
            <w:r w:rsidRPr="00915AC3">
              <w:rPr>
                <w:szCs w:val="18"/>
              </w:rPr>
              <w:t>o</w:t>
            </w:r>
          </w:p>
        </w:tc>
        <w:tc>
          <w:tcPr>
            <w:tcW w:w="1277" w:type="dxa"/>
            <w:vAlign w:val="center"/>
          </w:tcPr>
          <w:p w:rsidR="00485094" w:rsidRPr="00915AC3" w:rsidRDefault="00485094" w:rsidP="00453E80">
            <w:pPr>
              <w:pStyle w:val="TableText"/>
              <w:jc w:val="center"/>
              <w:rPr>
                <w:szCs w:val="18"/>
              </w:rPr>
            </w:pPr>
            <w:r w:rsidRPr="00915AC3">
              <w:rPr>
                <w:szCs w:val="18"/>
              </w:rPr>
              <w:t>-</w:t>
            </w:r>
          </w:p>
        </w:tc>
        <w:tc>
          <w:tcPr>
            <w:tcW w:w="966" w:type="dxa"/>
            <w:vAlign w:val="center"/>
          </w:tcPr>
          <w:p w:rsidR="00485094" w:rsidRPr="00915AC3" w:rsidRDefault="00485094" w:rsidP="00453E80">
            <w:pPr>
              <w:pStyle w:val="TableText"/>
              <w:jc w:val="center"/>
              <w:rPr>
                <w:szCs w:val="18"/>
              </w:rPr>
            </w:pPr>
            <w:r w:rsidRPr="00915AC3">
              <w:rPr>
                <w:szCs w:val="18"/>
              </w:rPr>
              <w:t>o</w:t>
            </w:r>
          </w:p>
        </w:tc>
        <w:tc>
          <w:tcPr>
            <w:tcW w:w="1230" w:type="dxa"/>
            <w:vAlign w:val="center"/>
          </w:tcPr>
          <w:p w:rsidR="00485094" w:rsidRPr="00915AC3" w:rsidRDefault="00485094" w:rsidP="00453E80">
            <w:pPr>
              <w:pStyle w:val="TableText"/>
              <w:jc w:val="center"/>
              <w:rPr>
                <w:szCs w:val="18"/>
              </w:rPr>
            </w:pPr>
            <w:r w:rsidRPr="00915AC3">
              <w:rPr>
                <w:szCs w:val="18"/>
              </w:rPr>
              <w:t>-</w:t>
            </w:r>
          </w:p>
        </w:tc>
        <w:tc>
          <w:tcPr>
            <w:tcW w:w="1000" w:type="dxa"/>
            <w:vAlign w:val="center"/>
          </w:tcPr>
          <w:p w:rsidR="00485094" w:rsidRPr="00915AC3" w:rsidRDefault="00485094" w:rsidP="00453E80">
            <w:pPr>
              <w:pStyle w:val="TableText"/>
              <w:jc w:val="center"/>
              <w:rPr>
                <w:szCs w:val="18"/>
              </w:rPr>
            </w:pPr>
            <w:r w:rsidRPr="00915AC3">
              <w:rPr>
                <w:szCs w:val="18"/>
              </w:rPr>
              <w:t>+</w:t>
            </w:r>
          </w:p>
        </w:tc>
        <w:tc>
          <w:tcPr>
            <w:tcW w:w="839" w:type="dxa"/>
            <w:vAlign w:val="center"/>
          </w:tcPr>
          <w:p w:rsidR="00485094" w:rsidRPr="00915AC3" w:rsidRDefault="00485094" w:rsidP="00453E80">
            <w:pPr>
              <w:pStyle w:val="TableText"/>
              <w:jc w:val="center"/>
              <w:rPr>
                <w:szCs w:val="18"/>
              </w:rPr>
            </w:pPr>
            <w:r w:rsidRPr="00915AC3">
              <w:rPr>
                <w:szCs w:val="18"/>
              </w:rPr>
              <w:t>o</w:t>
            </w:r>
          </w:p>
        </w:tc>
      </w:tr>
      <w:tr w:rsidR="00542E8A" w:rsidRPr="00915AC3" w:rsidTr="008F1C14">
        <w:trPr>
          <w:jc w:val="center"/>
        </w:trPr>
        <w:tc>
          <w:tcPr>
            <w:tcW w:w="954" w:type="dxa"/>
            <w:shd w:val="clear" w:color="auto" w:fill="FFFFCC"/>
            <w:vAlign w:val="center"/>
          </w:tcPr>
          <w:p w:rsidR="00485094" w:rsidRPr="00915AC3" w:rsidRDefault="00485094" w:rsidP="00453E80">
            <w:pPr>
              <w:pStyle w:val="TableText"/>
              <w:jc w:val="center"/>
              <w:rPr>
                <w:szCs w:val="18"/>
              </w:rPr>
            </w:pPr>
            <w:r w:rsidRPr="00915AC3">
              <w:rPr>
                <w:szCs w:val="18"/>
              </w:rPr>
              <w:t>3563</w:t>
            </w:r>
          </w:p>
        </w:tc>
        <w:tc>
          <w:tcPr>
            <w:tcW w:w="1632" w:type="dxa"/>
            <w:shd w:val="clear" w:color="auto" w:fill="FFFFCC"/>
          </w:tcPr>
          <w:p w:rsidR="00485094" w:rsidRPr="00F65F6A" w:rsidRDefault="00485094" w:rsidP="00453E80">
            <w:pPr>
              <w:pStyle w:val="TableText"/>
              <w:jc w:val="center"/>
              <w:rPr>
                <w:sz w:val="16"/>
                <w:szCs w:val="16"/>
              </w:rPr>
            </w:pPr>
            <w:r>
              <w:rPr>
                <w:sz w:val="16"/>
                <w:szCs w:val="16"/>
              </w:rPr>
              <w:t>New River</w:t>
            </w:r>
          </w:p>
        </w:tc>
        <w:tc>
          <w:tcPr>
            <w:tcW w:w="922"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8"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77"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6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3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839" w:type="dxa"/>
            <w:shd w:val="clear" w:color="auto" w:fill="FFFFCC"/>
            <w:vAlign w:val="center"/>
          </w:tcPr>
          <w:p w:rsidR="00485094" w:rsidRPr="00915AC3" w:rsidRDefault="00485094" w:rsidP="00453E80">
            <w:pPr>
              <w:pStyle w:val="TableText"/>
              <w:jc w:val="center"/>
              <w:rPr>
                <w:szCs w:val="18"/>
              </w:rPr>
            </w:pPr>
            <w:r w:rsidRPr="00915AC3">
              <w:rPr>
                <w:szCs w:val="18"/>
              </w:rPr>
              <w:t>+</w:t>
            </w:r>
          </w:p>
        </w:tc>
      </w:tr>
      <w:tr w:rsidR="00542E8A" w:rsidRPr="00915AC3" w:rsidTr="008F1C14">
        <w:trPr>
          <w:jc w:val="center"/>
        </w:trPr>
        <w:tc>
          <w:tcPr>
            <w:tcW w:w="954" w:type="dxa"/>
            <w:vAlign w:val="center"/>
          </w:tcPr>
          <w:p w:rsidR="00485094" w:rsidRPr="00915AC3" w:rsidRDefault="00485094" w:rsidP="00453E80">
            <w:pPr>
              <w:pStyle w:val="TableText"/>
              <w:jc w:val="center"/>
              <w:rPr>
                <w:szCs w:val="18"/>
              </w:rPr>
            </w:pPr>
            <w:r w:rsidRPr="00915AC3">
              <w:rPr>
                <w:szCs w:val="18"/>
              </w:rPr>
              <w:t>3552</w:t>
            </w:r>
          </w:p>
        </w:tc>
        <w:tc>
          <w:tcPr>
            <w:tcW w:w="1632" w:type="dxa"/>
          </w:tcPr>
          <w:p w:rsidR="00485094" w:rsidRPr="00F65F6A" w:rsidRDefault="00485094" w:rsidP="00453E80">
            <w:pPr>
              <w:pStyle w:val="TableText"/>
              <w:jc w:val="center"/>
              <w:rPr>
                <w:sz w:val="16"/>
                <w:szCs w:val="16"/>
              </w:rPr>
            </w:pPr>
            <w:r>
              <w:rPr>
                <w:sz w:val="16"/>
                <w:szCs w:val="16"/>
              </w:rPr>
              <w:t>Chipola River</w:t>
            </w:r>
          </w:p>
        </w:tc>
        <w:tc>
          <w:tcPr>
            <w:tcW w:w="922" w:type="dxa"/>
            <w:vAlign w:val="center"/>
          </w:tcPr>
          <w:p w:rsidR="00485094" w:rsidRPr="00915AC3" w:rsidRDefault="00485094" w:rsidP="00453E80">
            <w:pPr>
              <w:pStyle w:val="TableText"/>
              <w:jc w:val="center"/>
              <w:rPr>
                <w:szCs w:val="18"/>
              </w:rPr>
            </w:pPr>
            <w:r w:rsidRPr="00915AC3">
              <w:rPr>
                <w:szCs w:val="18"/>
              </w:rPr>
              <w:t>o</w:t>
            </w:r>
          </w:p>
        </w:tc>
        <w:tc>
          <w:tcPr>
            <w:tcW w:w="1008" w:type="dxa"/>
            <w:vAlign w:val="center"/>
          </w:tcPr>
          <w:p w:rsidR="00485094" w:rsidRPr="00915AC3" w:rsidRDefault="00485094" w:rsidP="00453E80">
            <w:pPr>
              <w:pStyle w:val="TableText"/>
              <w:jc w:val="center"/>
              <w:rPr>
                <w:szCs w:val="18"/>
              </w:rPr>
            </w:pPr>
            <w:r w:rsidRPr="00915AC3">
              <w:rPr>
                <w:szCs w:val="18"/>
              </w:rPr>
              <w:t>o</w:t>
            </w:r>
          </w:p>
        </w:tc>
        <w:tc>
          <w:tcPr>
            <w:tcW w:w="1277" w:type="dxa"/>
            <w:vAlign w:val="center"/>
          </w:tcPr>
          <w:p w:rsidR="00485094" w:rsidRPr="00915AC3" w:rsidRDefault="00485094" w:rsidP="00453E80">
            <w:pPr>
              <w:pStyle w:val="TableText"/>
              <w:jc w:val="center"/>
              <w:rPr>
                <w:szCs w:val="18"/>
              </w:rPr>
            </w:pPr>
            <w:r w:rsidRPr="00915AC3">
              <w:rPr>
                <w:szCs w:val="18"/>
              </w:rPr>
              <w:t>-</w:t>
            </w:r>
          </w:p>
        </w:tc>
        <w:tc>
          <w:tcPr>
            <w:tcW w:w="966" w:type="dxa"/>
            <w:vAlign w:val="center"/>
          </w:tcPr>
          <w:p w:rsidR="00485094" w:rsidRPr="00915AC3" w:rsidRDefault="00485094" w:rsidP="00453E80">
            <w:pPr>
              <w:pStyle w:val="TableText"/>
              <w:jc w:val="center"/>
              <w:rPr>
                <w:szCs w:val="18"/>
              </w:rPr>
            </w:pPr>
            <w:r w:rsidRPr="00915AC3">
              <w:rPr>
                <w:szCs w:val="18"/>
              </w:rPr>
              <w:t>o</w:t>
            </w:r>
          </w:p>
        </w:tc>
        <w:tc>
          <w:tcPr>
            <w:tcW w:w="1230" w:type="dxa"/>
            <w:vAlign w:val="center"/>
          </w:tcPr>
          <w:p w:rsidR="00485094" w:rsidRPr="00915AC3" w:rsidRDefault="00485094" w:rsidP="00453E80">
            <w:pPr>
              <w:pStyle w:val="TableText"/>
              <w:jc w:val="center"/>
              <w:rPr>
                <w:szCs w:val="18"/>
              </w:rPr>
            </w:pPr>
            <w:r w:rsidRPr="00915AC3">
              <w:rPr>
                <w:szCs w:val="18"/>
              </w:rPr>
              <w:t>-</w:t>
            </w:r>
          </w:p>
        </w:tc>
        <w:tc>
          <w:tcPr>
            <w:tcW w:w="1000" w:type="dxa"/>
            <w:vAlign w:val="center"/>
          </w:tcPr>
          <w:p w:rsidR="00485094" w:rsidRPr="00915AC3" w:rsidRDefault="00485094" w:rsidP="00453E80">
            <w:pPr>
              <w:pStyle w:val="TableText"/>
              <w:jc w:val="center"/>
              <w:rPr>
                <w:szCs w:val="18"/>
              </w:rPr>
            </w:pPr>
            <w:r w:rsidRPr="00915AC3">
              <w:rPr>
                <w:szCs w:val="18"/>
              </w:rPr>
              <w:t>o</w:t>
            </w:r>
          </w:p>
        </w:tc>
        <w:tc>
          <w:tcPr>
            <w:tcW w:w="839" w:type="dxa"/>
            <w:vAlign w:val="center"/>
          </w:tcPr>
          <w:p w:rsidR="00485094" w:rsidRPr="00915AC3" w:rsidRDefault="00485094" w:rsidP="00453E80">
            <w:pPr>
              <w:pStyle w:val="TableText"/>
              <w:jc w:val="center"/>
              <w:rPr>
                <w:szCs w:val="18"/>
              </w:rPr>
            </w:pPr>
            <w:r w:rsidRPr="00915AC3">
              <w:rPr>
                <w:szCs w:val="18"/>
              </w:rPr>
              <w:t>+</w:t>
            </w:r>
          </w:p>
        </w:tc>
      </w:tr>
      <w:tr w:rsidR="00542E8A" w:rsidRPr="00915AC3" w:rsidTr="008F1C14">
        <w:trPr>
          <w:jc w:val="center"/>
        </w:trPr>
        <w:tc>
          <w:tcPr>
            <w:tcW w:w="954" w:type="dxa"/>
            <w:shd w:val="clear" w:color="auto" w:fill="FFFFCC"/>
            <w:vAlign w:val="center"/>
          </w:tcPr>
          <w:p w:rsidR="00485094" w:rsidRPr="00915AC3" w:rsidRDefault="00485094" w:rsidP="00453E80">
            <w:pPr>
              <w:pStyle w:val="TableText"/>
              <w:jc w:val="center"/>
              <w:rPr>
                <w:szCs w:val="18"/>
              </w:rPr>
            </w:pPr>
            <w:r w:rsidRPr="00915AC3">
              <w:rPr>
                <w:szCs w:val="18"/>
              </w:rPr>
              <w:t>3533</w:t>
            </w:r>
          </w:p>
        </w:tc>
        <w:tc>
          <w:tcPr>
            <w:tcW w:w="1632" w:type="dxa"/>
            <w:shd w:val="clear" w:color="auto" w:fill="FFFFCC"/>
          </w:tcPr>
          <w:p w:rsidR="00485094" w:rsidRPr="00F65F6A" w:rsidRDefault="00485094" w:rsidP="00453E80">
            <w:pPr>
              <w:pStyle w:val="TableText"/>
              <w:jc w:val="center"/>
              <w:rPr>
                <w:sz w:val="16"/>
                <w:szCs w:val="16"/>
              </w:rPr>
            </w:pPr>
            <w:r>
              <w:rPr>
                <w:sz w:val="16"/>
                <w:szCs w:val="16"/>
              </w:rPr>
              <w:t>East Bay River</w:t>
            </w:r>
          </w:p>
        </w:tc>
        <w:tc>
          <w:tcPr>
            <w:tcW w:w="922"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008"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77"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6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3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00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839" w:type="dxa"/>
            <w:shd w:val="clear" w:color="auto" w:fill="FFFFCC"/>
            <w:vAlign w:val="center"/>
          </w:tcPr>
          <w:p w:rsidR="00485094" w:rsidRPr="00915AC3" w:rsidRDefault="00485094" w:rsidP="00453E80">
            <w:pPr>
              <w:pStyle w:val="TableText"/>
              <w:jc w:val="center"/>
              <w:rPr>
                <w:szCs w:val="18"/>
              </w:rPr>
            </w:pPr>
            <w:r w:rsidRPr="00915AC3">
              <w:rPr>
                <w:szCs w:val="18"/>
              </w:rPr>
              <w:t>+</w:t>
            </w:r>
          </w:p>
        </w:tc>
      </w:tr>
      <w:tr w:rsidR="00542E8A" w:rsidRPr="00915AC3" w:rsidTr="008F1C14">
        <w:trPr>
          <w:jc w:val="center"/>
        </w:trPr>
        <w:tc>
          <w:tcPr>
            <w:tcW w:w="954" w:type="dxa"/>
            <w:vAlign w:val="center"/>
          </w:tcPr>
          <w:p w:rsidR="00485094" w:rsidRPr="00915AC3" w:rsidRDefault="00485094" w:rsidP="00453E80">
            <w:pPr>
              <w:pStyle w:val="TableText"/>
              <w:jc w:val="center"/>
              <w:rPr>
                <w:szCs w:val="18"/>
              </w:rPr>
            </w:pPr>
            <w:r w:rsidRPr="00915AC3">
              <w:rPr>
                <w:szCs w:val="18"/>
              </w:rPr>
              <w:t>3551</w:t>
            </w:r>
          </w:p>
        </w:tc>
        <w:tc>
          <w:tcPr>
            <w:tcW w:w="1632" w:type="dxa"/>
          </w:tcPr>
          <w:p w:rsidR="00485094" w:rsidRPr="00F65F6A" w:rsidRDefault="00485094" w:rsidP="00453E80">
            <w:pPr>
              <w:pStyle w:val="TableText"/>
              <w:jc w:val="center"/>
              <w:rPr>
                <w:sz w:val="16"/>
                <w:szCs w:val="16"/>
              </w:rPr>
            </w:pPr>
            <w:r>
              <w:rPr>
                <w:sz w:val="16"/>
                <w:szCs w:val="16"/>
              </w:rPr>
              <w:t>Yellow River</w:t>
            </w:r>
          </w:p>
        </w:tc>
        <w:tc>
          <w:tcPr>
            <w:tcW w:w="922" w:type="dxa"/>
            <w:vAlign w:val="center"/>
          </w:tcPr>
          <w:p w:rsidR="00485094" w:rsidRPr="00915AC3" w:rsidRDefault="00485094" w:rsidP="00453E80">
            <w:pPr>
              <w:pStyle w:val="TableText"/>
              <w:jc w:val="center"/>
              <w:rPr>
                <w:szCs w:val="18"/>
              </w:rPr>
            </w:pPr>
            <w:r w:rsidRPr="00915AC3">
              <w:rPr>
                <w:szCs w:val="18"/>
              </w:rPr>
              <w:t>o</w:t>
            </w:r>
          </w:p>
        </w:tc>
        <w:tc>
          <w:tcPr>
            <w:tcW w:w="1008" w:type="dxa"/>
            <w:vAlign w:val="center"/>
          </w:tcPr>
          <w:p w:rsidR="00485094" w:rsidRPr="00915AC3" w:rsidRDefault="00485094" w:rsidP="00453E80">
            <w:pPr>
              <w:pStyle w:val="TableText"/>
              <w:jc w:val="center"/>
              <w:rPr>
                <w:szCs w:val="18"/>
              </w:rPr>
            </w:pPr>
            <w:r w:rsidRPr="00915AC3">
              <w:rPr>
                <w:szCs w:val="18"/>
              </w:rPr>
              <w:t>+</w:t>
            </w:r>
          </w:p>
        </w:tc>
        <w:tc>
          <w:tcPr>
            <w:tcW w:w="1277" w:type="dxa"/>
            <w:vAlign w:val="center"/>
          </w:tcPr>
          <w:p w:rsidR="00485094" w:rsidRPr="00915AC3" w:rsidRDefault="00485094" w:rsidP="00453E80">
            <w:pPr>
              <w:pStyle w:val="TableText"/>
              <w:jc w:val="center"/>
              <w:rPr>
                <w:szCs w:val="18"/>
              </w:rPr>
            </w:pPr>
            <w:r w:rsidRPr="00915AC3">
              <w:rPr>
                <w:szCs w:val="18"/>
              </w:rPr>
              <w:t>o</w:t>
            </w:r>
          </w:p>
        </w:tc>
        <w:tc>
          <w:tcPr>
            <w:tcW w:w="966" w:type="dxa"/>
            <w:vAlign w:val="center"/>
          </w:tcPr>
          <w:p w:rsidR="00485094" w:rsidRPr="00915AC3" w:rsidRDefault="00485094" w:rsidP="00453E80">
            <w:pPr>
              <w:pStyle w:val="TableText"/>
              <w:jc w:val="center"/>
              <w:rPr>
                <w:szCs w:val="18"/>
              </w:rPr>
            </w:pPr>
            <w:r w:rsidRPr="00915AC3">
              <w:rPr>
                <w:szCs w:val="18"/>
              </w:rPr>
              <w:t>o</w:t>
            </w:r>
          </w:p>
        </w:tc>
        <w:tc>
          <w:tcPr>
            <w:tcW w:w="1230" w:type="dxa"/>
            <w:vAlign w:val="center"/>
          </w:tcPr>
          <w:p w:rsidR="00485094" w:rsidRPr="00915AC3" w:rsidRDefault="00485094" w:rsidP="00453E80">
            <w:pPr>
              <w:pStyle w:val="TableText"/>
              <w:jc w:val="center"/>
              <w:rPr>
                <w:szCs w:val="18"/>
              </w:rPr>
            </w:pPr>
            <w:r w:rsidRPr="00915AC3">
              <w:rPr>
                <w:szCs w:val="18"/>
              </w:rPr>
              <w:t>o</w:t>
            </w:r>
          </w:p>
        </w:tc>
        <w:tc>
          <w:tcPr>
            <w:tcW w:w="1000" w:type="dxa"/>
            <w:vAlign w:val="center"/>
          </w:tcPr>
          <w:p w:rsidR="00485094" w:rsidRPr="00915AC3" w:rsidRDefault="00485094" w:rsidP="00453E80">
            <w:pPr>
              <w:pStyle w:val="TableText"/>
              <w:jc w:val="center"/>
              <w:rPr>
                <w:szCs w:val="18"/>
              </w:rPr>
            </w:pPr>
            <w:r w:rsidRPr="00915AC3">
              <w:rPr>
                <w:szCs w:val="18"/>
              </w:rPr>
              <w:t>o</w:t>
            </w:r>
          </w:p>
        </w:tc>
        <w:tc>
          <w:tcPr>
            <w:tcW w:w="839" w:type="dxa"/>
            <w:vAlign w:val="center"/>
          </w:tcPr>
          <w:p w:rsidR="00485094" w:rsidRPr="00915AC3" w:rsidRDefault="00485094" w:rsidP="00453E80">
            <w:pPr>
              <w:pStyle w:val="TableText"/>
              <w:jc w:val="center"/>
              <w:rPr>
                <w:szCs w:val="18"/>
              </w:rPr>
            </w:pPr>
            <w:r w:rsidRPr="00915AC3">
              <w:rPr>
                <w:szCs w:val="18"/>
              </w:rPr>
              <w:t>+</w:t>
            </w:r>
          </w:p>
        </w:tc>
      </w:tr>
      <w:tr w:rsidR="00542E8A" w:rsidRPr="00915AC3" w:rsidTr="008F1C14">
        <w:trPr>
          <w:jc w:val="center"/>
        </w:trPr>
        <w:tc>
          <w:tcPr>
            <w:tcW w:w="954" w:type="dxa"/>
            <w:shd w:val="clear" w:color="auto" w:fill="FFFFCC"/>
            <w:vAlign w:val="center"/>
          </w:tcPr>
          <w:p w:rsidR="00485094" w:rsidRPr="00915AC3" w:rsidRDefault="00485094" w:rsidP="00453E80">
            <w:pPr>
              <w:pStyle w:val="TableText"/>
              <w:jc w:val="center"/>
              <w:rPr>
                <w:szCs w:val="18"/>
              </w:rPr>
            </w:pPr>
            <w:r w:rsidRPr="00915AC3">
              <w:rPr>
                <w:szCs w:val="18"/>
              </w:rPr>
              <w:t>3540</w:t>
            </w:r>
          </w:p>
        </w:tc>
        <w:tc>
          <w:tcPr>
            <w:tcW w:w="1632" w:type="dxa"/>
            <w:shd w:val="clear" w:color="auto" w:fill="FFFFCC"/>
          </w:tcPr>
          <w:p w:rsidR="00485094" w:rsidRPr="00F65F6A" w:rsidRDefault="00485094" w:rsidP="00453E80">
            <w:pPr>
              <w:pStyle w:val="TableText"/>
              <w:jc w:val="center"/>
              <w:rPr>
                <w:sz w:val="16"/>
                <w:szCs w:val="16"/>
              </w:rPr>
            </w:pPr>
            <w:r>
              <w:rPr>
                <w:sz w:val="16"/>
                <w:szCs w:val="16"/>
              </w:rPr>
              <w:t>Ochlockonee River</w:t>
            </w:r>
          </w:p>
        </w:tc>
        <w:tc>
          <w:tcPr>
            <w:tcW w:w="922"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8"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77"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6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3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00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839" w:type="dxa"/>
            <w:shd w:val="clear" w:color="auto" w:fill="FFFFCC"/>
            <w:vAlign w:val="center"/>
          </w:tcPr>
          <w:p w:rsidR="00485094" w:rsidRPr="00915AC3" w:rsidRDefault="00485094" w:rsidP="00453E80">
            <w:pPr>
              <w:pStyle w:val="TableText"/>
              <w:jc w:val="center"/>
              <w:rPr>
                <w:szCs w:val="18"/>
              </w:rPr>
            </w:pPr>
            <w:r w:rsidRPr="00915AC3">
              <w:rPr>
                <w:szCs w:val="18"/>
              </w:rPr>
              <w:t>+</w:t>
            </w:r>
          </w:p>
        </w:tc>
      </w:tr>
      <w:tr w:rsidR="00542E8A" w:rsidRPr="00915AC3" w:rsidTr="008F1C14">
        <w:trPr>
          <w:jc w:val="center"/>
        </w:trPr>
        <w:tc>
          <w:tcPr>
            <w:tcW w:w="954" w:type="dxa"/>
            <w:vAlign w:val="center"/>
          </w:tcPr>
          <w:p w:rsidR="00485094" w:rsidRPr="00915AC3" w:rsidRDefault="00485094" w:rsidP="00453E80">
            <w:pPr>
              <w:pStyle w:val="TableText"/>
              <w:jc w:val="center"/>
              <w:rPr>
                <w:szCs w:val="18"/>
              </w:rPr>
            </w:pPr>
            <w:r w:rsidRPr="00915AC3">
              <w:rPr>
                <w:szCs w:val="18"/>
              </w:rPr>
              <w:t>3536</w:t>
            </w:r>
          </w:p>
        </w:tc>
        <w:tc>
          <w:tcPr>
            <w:tcW w:w="1632" w:type="dxa"/>
          </w:tcPr>
          <w:p w:rsidR="00485094" w:rsidRPr="00F65F6A" w:rsidRDefault="00485094" w:rsidP="00453E80">
            <w:pPr>
              <w:pStyle w:val="TableText"/>
              <w:jc w:val="center"/>
              <w:rPr>
                <w:sz w:val="16"/>
                <w:szCs w:val="16"/>
              </w:rPr>
            </w:pPr>
            <w:r>
              <w:rPr>
                <w:sz w:val="16"/>
                <w:szCs w:val="16"/>
              </w:rPr>
              <w:t>Alaqua Creek</w:t>
            </w:r>
          </w:p>
        </w:tc>
        <w:tc>
          <w:tcPr>
            <w:tcW w:w="922" w:type="dxa"/>
            <w:vAlign w:val="center"/>
          </w:tcPr>
          <w:p w:rsidR="00485094" w:rsidRPr="00915AC3" w:rsidRDefault="00485094" w:rsidP="00453E80">
            <w:pPr>
              <w:pStyle w:val="TableText"/>
              <w:jc w:val="center"/>
              <w:rPr>
                <w:szCs w:val="18"/>
              </w:rPr>
            </w:pPr>
            <w:r w:rsidRPr="00915AC3">
              <w:rPr>
                <w:szCs w:val="18"/>
              </w:rPr>
              <w:t>o</w:t>
            </w:r>
          </w:p>
        </w:tc>
        <w:tc>
          <w:tcPr>
            <w:tcW w:w="1008" w:type="dxa"/>
            <w:vAlign w:val="center"/>
          </w:tcPr>
          <w:p w:rsidR="00485094" w:rsidRPr="00915AC3" w:rsidRDefault="00485094" w:rsidP="00453E80">
            <w:pPr>
              <w:pStyle w:val="TableText"/>
              <w:jc w:val="center"/>
              <w:rPr>
                <w:szCs w:val="18"/>
              </w:rPr>
            </w:pPr>
            <w:r w:rsidRPr="00915AC3">
              <w:rPr>
                <w:szCs w:val="18"/>
              </w:rPr>
              <w:t>+</w:t>
            </w:r>
          </w:p>
        </w:tc>
        <w:tc>
          <w:tcPr>
            <w:tcW w:w="1277" w:type="dxa"/>
            <w:vAlign w:val="center"/>
          </w:tcPr>
          <w:p w:rsidR="00485094" w:rsidRPr="00915AC3" w:rsidRDefault="00485094" w:rsidP="00453E80">
            <w:pPr>
              <w:pStyle w:val="TableText"/>
              <w:jc w:val="center"/>
              <w:rPr>
                <w:szCs w:val="18"/>
              </w:rPr>
            </w:pPr>
            <w:r w:rsidRPr="00915AC3">
              <w:rPr>
                <w:szCs w:val="18"/>
              </w:rPr>
              <w:t>-</w:t>
            </w:r>
          </w:p>
        </w:tc>
        <w:tc>
          <w:tcPr>
            <w:tcW w:w="966" w:type="dxa"/>
            <w:vAlign w:val="center"/>
          </w:tcPr>
          <w:p w:rsidR="00485094" w:rsidRPr="00915AC3" w:rsidRDefault="00485094" w:rsidP="00453E80">
            <w:pPr>
              <w:pStyle w:val="TableText"/>
              <w:jc w:val="center"/>
              <w:rPr>
                <w:szCs w:val="18"/>
              </w:rPr>
            </w:pPr>
            <w:r w:rsidRPr="00915AC3">
              <w:rPr>
                <w:szCs w:val="18"/>
              </w:rPr>
              <w:t>+</w:t>
            </w:r>
          </w:p>
        </w:tc>
        <w:tc>
          <w:tcPr>
            <w:tcW w:w="1230" w:type="dxa"/>
            <w:vAlign w:val="center"/>
          </w:tcPr>
          <w:p w:rsidR="00485094" w:rsidRPr="00915AC3" w:rsidRDefault="00485094" w:rsidP="00453E80">
            <w:pPr>
              <w:pStyle w:val="TableText"/>
              <w:jc w:val="center"/>
              <w:rPr>
                <w:szCs w:val="18"/>
              </w:rPr>
            </w:pPr>
            <w:r w:rsidRPr="00915AC3">
              <w:rPr>
                <w:szCs w:val="18"/>
              </w:rPr>
              <w:t>-</w:t>
            </w:r>
          </w:p>
        </w:tc>
        <w:tc>
          <w:tcPr>
            <w:tcW w:w="1000" w:type="dxa"/>
            <w:vAlign w:val="center"/>
          </w:tcPr>
          <w:p w:rsidR="00485094" w:rsidRPr="00915AC3" w:rsidRDefault="00485094" w:rsidP="00453E80">
            <w:pPr>
              <w:pStyle w:val="TableText"/>
              <w:jc w:val="center"/>
              <w:rPr>
                <w:szCs w:val="18"/>
              </w:rPr>
            </w:pPr>
            <w:r w:rsidRPr="00915AC3">
              <w:rPr>
                <w:szCs w:val="18"/>
              </w:rPr>
              <w:t>o</w:t>
            </w:r>
          </w:p>
        </w:tc>
        <w:tc>
          <w:tcPr>
            <w:tcW w:w="839" w:type="dxa"/>
            <w:vAlign w:val="center"/>
          </w:tcPr>
          <w:p w:rsidR="00485094" w:rsidRPr="00915AC3" w:rsidRDefault="00485094" w:rsidP="00453E80">
            <w:pPr>
              <w:pStyle w:val="TableText"/>
              <w:jc w:val="center"/>
              <w:rPr>
                <w:szCs w:val="18"/>
              </w:rPr>
            </w:pPr>
            <w:r w:rsidRPr="00915AC3">
              <w:rPr>
                <w:szCs w:val="18"/>
              </w:rPr>
              <w:t>+</w:t>
            </w:r>
          </w:p>
        </w:tc>
      </w:tr>
      <w:tr w:rsidR="00542E8A" w:rsidRPr="00915AC3" w:rsidTr="008F1C14">
        <w:trPr>
          <w:jc w:val="center"/>
        </w:trPr>
        <w:tc>
          <w:tcPr>
            <w:tcW w:w="954" w:type="dxa"/>
            <w:shd w:val="clear" w:color="auto" w:fill="FFFFCC"/>
            <w:vAlign w:val="center"/>
          </w:tcPr>
          <w:p w:rsidR="00485094" w:rsidRPr="00915AC3" w:rsidRDefault="00485094" w:rsidP="00453E80">
            <w:pPr>
              <w:pStyle w:val="TableText"/>
              <w:jc w:val="center"/>
              <w:rPr>
                <w:szCs w:val="18"/>
              </w:rPr>
            </w:pPr>
            <w:r w:rsidRPr="00915AC3">
              <w:rPr>
                <w:szCs w:val="18"/>
              </w:rPr>
              <w:t>3546</w:t>
            </w:r>
          </w:p>
        </w:tc>
        <w:tc>
          <w:tcPr>
            <w:tcW w:w="1632" w:type="dxa"/>
            <w:shd w:val="clear" w:color="auto" w:fill="FFFFCC"/>
          </w:tcPr>
          <w:p w:rsidR="00485094" w:rsidRPr="00F65F6A" w:rsidRDefault="00485094" w:rsidP="00453E80">
            <w:pPr>
              <w:pStyle w:val="TableText"/>
              <w:jc w:val="center"/>
              <w:rPr>
                <w:sz w:val="16"/>
                <w:szCs w:val="16"/>
              </w:rPr>
            </w:pPr>
            <w:r>
              <w:rPr>
                <w:sz w:val="16"/>
                <w:szCs w:val="16"/>
              </w:rPr>
              <w:t>Yellow River</w:t>
            </w:r>
          </w:p>
        </w:tc>
        <w:tc>
          <w:tcPr>
            <w:tcW w:w="922"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8"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77"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6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3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00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839" w:type="dxa"/>
            <w:shd w:val="clear" w:color="auto" w:fill="FFFFCC"/>
            <w:vAlign w:val="center"/>
          </w:tcPr>
          <w:p w:rsidR="00485094" w:rsidRPr="00915AC3" w:rsidRDefault="00485094" w:rsidP="00453E80">
            <w:pPr>
              <w:pStyle w:val="TableText"/>
              <w:jc w:val="center"/>
              <w:rPr>
                <w:szCs w:val="18"/>
              </w:rPr>
            </w:pPr>
            <w:r w:rsidRPr="00915AC3">
              <w:rPr>
                <w:szCs w:val="18"/>
              </w:rPr>
              <w:t>+</w:t>
            </w:r>
          </w:p>
        </w:tc>
      </w:tr>
      <w:tr w:rsidR="00542E8A" w:rsidRPr="00915AC3" w:rsidTr="008F1C14">
        <w:trPr>
          <w:jc w:val="center"/>
        </w:trPr>
        <w:tc>
          <w:tcPr>
            <w:tcW w:w="954" w:type="dxa"/>
            <w:vAlign w:val="center"/>
          </w:tcPr>
          <w:p w:rsidR="00485094" w:rsidRPr="00915AC3" w:rsidRDefault="00485094" w:rsidP="00453E80">
            <w:pPr>
              <w:pStyle w:val="TableText"/>
              <w:jc w:val="center"/>
              <w:rPr>
                <w:szCs w:val="18"/>
              </w:rPr>
            </w:pPr>
            <w:r w:rsidRPr="00915AC3">
              <w:rPr>
                <w:szCs w:val="18"/>
              </w:rPr>
              <w:t>3547</w:t>
            </w:r>
          </w:p>
        </w:tc>
        <w:tc>
          <w:tcPr>
            <w:tcW w:w="1632" w:type="dxa"/>
          </w:tcPr>
          <w:p w:rsidR="00485094" w:rsidRPr="00F65F6A" w:rsidRDefault="00485094" w:rsidP="00453E80">
            <w:pPr>
              <w:pStyle w:val="TableText"/>
              <w:jc w:val="center"/>
              <w:rPr>
                <w:sz w:val="16"/>
                <w:szCs w:val="16"/>
              </w:rPr>
            </w:pPr>
            <w:r>
              <w:rPr>
                <w:sz w:val="16"/>
                <w:szCs w:val="16"/>
              </w:rPr>
              <w:t>Cowarts Creek</w:t>
            </w:r>
          </w:p>
        </w:tc>
        <w:tc>
          <w:tcPr>
            <w:tcW w:w="922" w:type="dxa"/>
            <w:vAlign w:val="center"/>
          </w:tcPr>
          <w:p w:rsidR="00485094" w:rsidRPr="00915AC3" w:rsidRDefault="00485094" w:rsidP="00453E80">
            <w:pPr>
              <w:pStyle w:val="TableText"/>
              <w:jc w:val="center"/>
              <w:rPr>
                <w:szCs w:val="18"/>
              </w:rPr>
            </w:pPr>
            <w:r w:rsidRPr="00915AC3">
              <w:rPr>
                <w:szCs w:val="18"/>
              </w:rPr>
              <w:t>o</w:t>
            </w:r>
          </w:p>
        </w:tc>
        <w:tc>
          <w:tcPr>
            <w:tcW w:w="1008" w:type="dxa"/>
            <w:vAlign w:val="center"/>
          </w:tcPr>
          <w:p w:rsidR="00485094" w:rsidRPr="00915AC3" w:rsidRDefault="00485094" w:rsidP="00453E80">
            <w:pPr>
              <w:pStyle w:val="TableText"/>
              <w:jc w:val="center"/>
              <w:rPr>
                <w:szCs w:val="18"/>
              </w:rPr>
            </w:pPr>
            <w:r w:rsidRPr="00915AC3">
              <w:rPr>
                <w:szCs w:val="18"/>
              </w:rPr>
              <w:t>o</w:t>
            </w:r>
          </w:p>
        </w:tc>
        <w:tc>
          <w:tcPr>
            <w:tcW w:w="1277" w:type="dxa"/>
            <w:vAlign w:val="center"/>
          </w:tcPr>
          <w:p w:rsidR="00485094" w:rsidRPr="00915AC3" w:rsidRDefault="00485094" w:rsidP="00453E80">
            <w:pPr>
              <w:pStyle w:val="TableText"/>
              <w:jc w:val="center"/>
              <w:rPr>
                <w:szCs w:val="18"/>
              </w:rPr>
            </w:pPr>
            <w:r w:rsidRPr="00915AC3">
              <w:rPr>
                <w:szCs w:val="18"/>
              </w:rPr>
              <w:t>o</w:t>
            </w:r>
          </w:p>
        </w:tc>
        <w:tc>
          <w:tcPr>
            <w:tcW w:w="966" w:type="dxa"/>
            <w:vAlign w:val="center"/>
          </w:tcPr>
          <w:p w:rsidR="00485094" w:rsidRPr="00915AC3" w:rsidRDefault="00485094" w:rsidP="00453E80">
            <w:pPr>
              <w:pStyle w:val="TableText"/>
              <w:jc w:val="center"/>
              <w:rPr>
                <w:szCs w:val="18"/>
              </w:rPr>
            </w:pPr>
            <w:r w:rsidRPr="00915AC3">
              <w:rPr>
                <w:szCs w:val="18"/>
              </w:rPr>
              <w:t>o</w:t>
            </w:r>
          </w:p>
        </w:tc>
        <w:tc>
          <w:tcPr>
            <w:tcW w:w="1230" w:type="dxa"/>
            <w:vAlign w:val="center"/>
          </w:tcPr>
          <w:p w:rsidR="00485094" w:rsidRPr="00915AC3" w:rsidRDefault="00485094" w:rsidP="00453E80">
            <w:pPr>
              <w:pStyle w:val="TableText"/>
              <w:jc w:val="center"/>
              <w:rPr>
                <w:szCs w:val="18"/>
              </w:rPr>
            </w:pPr>
            <w:r w:rsidRPr="00915AC3">
              <w:rPr>
                <w:szCs w:val="18"/>
              </w:rPr>
              <w:t>-</w:t>
            </w:r>
          </w:p>
        </w:tc>
        <w:tc>
          <w:tcPr>
            <w:tcW w:w="1000" w:type="dxa"/>
            <w:vAlign w:val="center"/>
          </w:tcPr>
          <w:p w:rsidR="00485094" w:rsidRPr="00915AC3" w:rsidRDefault="00485094" w:rsidP="00453E80">
            <w:pPr>
              <w:pStyle w:val="TableText"/>
              <w:jc w:val="center"/>
              <w:rPr>
                <w:szCs w:val="18"/>
              </w:rPr>
            </w:pPr>
            <w:r w:rsidRPr="00915AC3">
              <w:rPr>
                <w:szCs w:val="18"/>
              </w:rPr>
              <w:t>-</w:t>
            </w:r>
          </w:p>
        </w:tc>
        <w:tc>
          <w:tcPr>
            <w:tcW w:w="839" w:type="dxa"/>
            <w:vAlign w:val="center"/>
          </w:tcPr>
          <w:p w:rsidR="00485094" w:rsidRPr="00915AC3" w:rsidRDefault="00485094" w:rsidP="00453E80">
            <w:pPr>
              <w:pStyle w:val="TableText"/>
              <w:jc w:val="center"/>
              <w:rPr>
                <w:szCs w:val="18"/>
              </w:rPr>
            </w:pPr>
            <w:r w:rsidRPr="00915AC3">
              <w:rPr>
                <w:szCs w:val="18"/>
              </w:rPr>
              <w:t>+</w:t>
            </w:r>
          </w:p>
        </w:tc>
      </w:tr>
      <w:tr w:rsidR="00542E8A" w:rsidRPr="00915AC3" w:rsidTr="008F1C14">
        <w:trPr>
          <w:jc w:val="center"/>
        </w:trPr>
        <w:tc>
          <w:tcPr>
            <w:tcW w:w="954" w:type="dxa"/>
            <w:shd w:val="clear" w:color="auto" w:fill="FFFFCC"/>
            <w:vAlign w:val="center"/>
          </w:tcPr>
          <w:p w:rsidR="00485094" w:rsidRPr="00915AC3" w:rsidRDefault="00485094" w:rsidP="00453E80">
            <w:pPr>
              <w:pStyle w:val="TableText"/>
              <w:jc w:val="center"/>
              <w:rPr>
                <w:szCs w:val="18"/>
              </w:rPr>
            </w:pPr>
            <w:r w:rsidRPr="00915AC3">
              <w:rPr>
                <w:szCs w:val="18"/>
              </w:rPr>
              <w:t>3548</w:t>
            </w:r>
          </w:p>
        </w:tc>
        <w:tc>
          <w:tcPr>
            <w:tcW w:w="1632" w:type="dxa"/>
            <w:shd w:val="clear" w:color="auto" w:fill="FFFFCC"/>
          </w:tcPr>
          <w:p w:rsidR="00485094" w:rsidRPr="00F65F6A" w:rsidRDefault="00485094" w:rsidP="00453E80">
            <w:pPr>
              <w:pStyle w:val="TableText"/>
              <w:jc w:val="center"/>
              <w:rPr>
                <w:sz w:val="16"/>
                <w:szCs w:val="16"/>
              </w:rPr>
            </w:pPr>
            <w:r>
              <w:rPr>
                <w:sz w:val="16"/>
                <w:szCs w:val="16"/>
              </w:rPr>
              <w:t>Choctawhatchee River</w:t>
            </w:r>
          </w:p>
        </w:tc>
        <w:tc>
          <w:tcPr>
            <w:tcW w:w="922"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8"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77"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6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3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839" w:type="dxa"/>
            <w:shd w:val="clear" w:color="auto" w:fill="FFFFCC"/>
            <w:vAlign w:val="center"/>
          </w:tcPr>
          <w:p w:rsidR="00485094" w:rsidRPr="00915AC3" w:rsidRDefault="00485094" w:rsidP="00453E80">
            <w:pPr>
              <w:pStyle w:val="TableText"/>
              <w:jc w:val="center"/>
              <w:rPr>
                <w:szCs w:val="18"/>
              </w:rPr>
            </w:pPr>
            <w:r w:rsidRPr="00915AC3">
              <w:rPr>
                <w:szCs w:val="18"/>
              </w:rPr>
              <w:t>+</w:t>
            </w:r>
          </w:p>
        </w:tc>
      </w:tr>
      <w:tr w:rsidR="00542E8A" w:rsidRPr="00915AC3" w:rsidTr="008F1C14">
        <w:trPr>
          <w:jc w:val="center"/>
        </w:trPr>
        <w:tc>
          <w:tcPr>
            <w:tcW w:w="954" w:type="dxa"/>
            <w:vAlign w:val="center"/>
          </w:tcPr>
          <w:p w:rsidR="00485094" w:rsidRPr="00915AC3" w:rsidRDefault="00485094" w:rsidP="00453E80">
            <w:pPr>
              <w:pStyle w:val="TableText"/>
              <w:jc w:val="center"/>
              <w:rPr>
                <w:szCs w:val="18"/>
              </w:rPr>
            </w:pPr>
            <w:r w:rsidRPr="00915AC3">
              <w:rPr>
                <w:szCs w:val="18"/>
              </w:rPr>
              <w:t>3550</w:t>
            </w:r>
          </w:p>
        </w:tc>
        <w:tc>
          <w:tcPr>
            <w:tcW w:w="1632" w:type="dxa"/>
          </w:tcPr>
          <w:p w:rsidR="00485094" w:rsidRPr="00F65F6A" w:rsidRDefault="00485094" w:rsidP="00453E80">
            <w:pPr>
              <w:pStyle w:val="TableText"/>
              <w:jc w:val="center"/>
              <w:rPr>
                <w:sz w:val="16"/>
                <w:szCs w:val="16"/>
              </w:rPr>
            </w:pPr>
            <w:r>
              <w:rPr>
                <w:sz w:val="16"/>
                <w:szCs w:val="16"/>
              </w:rPr>
              <w:t>Brushy Creek</w:t>
            </w:r>
          </w:p>
        </w:tc>
        <w:tc>
          <w:tcPr>
            <w:tcW w:w="922" w:type="dxa"/>
            <w:vAlign w:val="center"/>
          </w:tcPr>
          <w:p w:rsidR="00485094" w:rsidRPr="00915AC3" w:rsidRDefault="00485094" w:rsidP="00453E80">
            <w:pPr>
              <w:pStyle w:val="TableText"/>
              <w:jc w:val="center"/>
              <w:rPr>
                <w:szCs w:val="18"/>
              </w:rPr>
            </w:pPr>
            <w:r w:rsidRPr="00915AC3">
              <w:rPr>
                <w:szCs w:val="18"/>
              </w:rPr>
              <w:t>-</w:t>
            </w:r>
          </w:p>
        </w:tc>
        <w:tc>
          <w:tcPr>
            <w:tcW w:w="1008" w:type="dxa"/>
            <w:vAlign w:val="center"/>
          </w:tcPr>
          <w:p w:rsidR="00485094" w:rsidRPr="00915AC3" w:rsidRDefault="00485094" w:rsidP="00453E80">
            <w:pPr>
              <w:pStyle w:val="TableText"/>
              <w:jc w:val="center"/>
              <w:rPr>
                <w:szCs w:val="18"/>
              </w:rPr>
            </w:pPr>
            <w:r w:rsidRPr="00915AC3">
              <w:rPr>
                <w:szCs w:val="18"/>
              </w:rPr>
              <w:t>+</w:t>
            </w:r>
          </w:p>
        </w:tc>
        <w:tc>
          <w:tcPr>
            <w:tcW w:w="1277" w:type="dxa"/>
            <w:vAlign w:val="center"/>
          </w:tcPr>
          <w:p w:rsidR="00485094" w:rsidRPr="00915AC3" w:rsidRDefault="00485094" w:rsidP="00453E80">
            <w:pPr>
              <w:pStyle w:val="TableText"/>
              <w:jc w:val="center"/>
              <w:rPr>
                <w:szCs w:val="18"/>
              </w:rPr>
            </w:pPr>
            <w:r w:rsidRPr="00915AC3">
              <w:rPr>
                <w:szCs w:val="18"/>
              </w:rPr>
              <w:t>o</w:t>
            </w:r>
          </w:p>
        </w:tc>
        <w:tc>
          <w:tcPr>
            <w:tcW w:w="966" w:type="dxa"/>
            <w:vAlign w:val="center"/>
          </w:tcPr>
          <w:p w:rsidR="00485094" w:rsidRPr="00915AC3" w:rsidRDefault="00485094" w:rsidP="00453E80">
            <w:pPr>
              <w:pStyle w:val="TableText"/>
              <w:jc w:val="center"/>
              <w:rPr>
                <w:szCs w:val="18"/>
              </w:rPr>
            </w:pPr>
            <w:r w:rsidRPr="00915AC3">
              <w:rPr>
                <w:szCs w:val="18"/>
              </w:rPr>
              <w:t>+</w:t>
            </w:r>
          </w:p>
        </w:tc>
        <w:tc>
          <w:tcPr>
            <w:tcW w:w="1230" w:type="dxa"/>
            <w:vAlign w:val="center"/>
          </w:tcPr>
          <w:p w:rsidR="00485094" w:rsidRPr="00915AC3" w:rsidRDefault="00485094" w:rsidP="00453E80">
            <w:pPr>
              <w:pStyle w:val="TableText"/>
              <w:jc w:val="center"/>
              <w:rPr>
                <w:szCs w:val="18"/>
              </w:rPr>
            </w:pPr>
            <w:r w:rsidRPr="00915AC3">
              <w:rPr>
                <w:szCs w:val="18"/>
              </w:rPr>
              <w:t>-</w:t>
            </w:r>
          </w:p>
        </w:tc>
        <w:tc>
          <w:tcPr>
            <w:tcW w:w="1000" w:type="dxa"/>
            <w:vAlign w:val="center"/>
          </w:tcPr>
          <w:p w:rsidR="00485094" w:rsidRPr="00915AC3" w:rsidRDefault="00485094" w:rsidP="00453E80">
            <w:pPr>
              <w:pStyle w:val="TableText"/>
              <w:jc w:val="center"/>
              <w:rPr>
                <w:szCs w:val="18"/>
              </w:rPr>
            </w:pPr>
            <w:r w:rsidRPr="00915AC3">
              <w:rPr>
                <w:szCs w:val="18"/>
              </w:rPr>
              <w:t>o</w:t>
            </w:r>
          </w:p>
        </w:tc>
        <w:tc>
          <w:tcPr>
            <w:tcW w:w="839" w:type="dxa"/>
            <w:vAlign w:val="center"/>
          </w:tcPr>
          <w:p w:rsidR="00485094" w:rsidRPr="00915AC3" w:rsidRDefault="00485094" w:rsidP="00453E80">
            <w:pPr>
              <w:pStyle w:val="TableText"/>
              <w:jc w:val="center"/>
              <w:rPr>
                <w:szCs w:val="18"/>
              </w:rPr>
            </w:pPr>
            <w:r w:rsidRPr="00915AC3">
              <w:rPr>
                <w:szCs w:val="18"/>
              </w:rPr>
              <w:t>o</w:t>
            </w:r>
          </w:p>
        </w:tc>
      </w:tr>
      <w:tr w:rsidR="00542E8A" w:rsidRPr="00915AC3" w:rsidTr="008F1C14">
        <w:trPr>
          <w:jc w:val="center"/>
        </w:trPr>
        <w:tc>
          <w:tcPr>
            <w:tcW w:w="954" w:type="dxa"/>
            <w:shd w:val="clear" w:color="auto" w:fill="FFFFCC"/>
            <w:vAlign w:val="center"/>
          </w:tcPr>
          <w:p w:rsidR="00485094" w:rsidRPr="00915AC3" w:rsidRDefault="00485094" w:rsidP="00453E80">
            <w:pPr>
              <w:pStyle w:val="TableText"/>
              <w:jc w:val="center"/>
              <w:rPr>
                <w:szCs w:val="18"/>
              </w:rPr>
            </w:pPr>
            <w:r w:rsidRPr="00915AC3">
              <w:rPr>
                <w:szCs w:val="18"/>
              </w:rPr>
              <w:t>3570</w:t>
            </w:r>
          </w:p>
        </w:tc>
        <w:tc>
          <w:tcPr>
            <w:tcW w:w="1632" w:type="dxa"/>
            <w:shd w:val="clear" w:color="auto" w:fill="FFFFCC"/>
          </w:tcPr>
          <w:p w:rsidR="00485094" w:rsidRPr="00F65F6A" w:rsidRDefault="00485094" w:rsidP="00453E80">
            <w:pPr>
              <w:pStyle w:val="TableText"/>
              <w:jc w:val="center"/>
              <w:rPr>
                <w:sz w:val="16"/>
                <w:szCs w:val="16"/>
              </w:rPr>
            </w:pPr>
            <w:r>
              <w:rPr>
                <w:sz w:val="16"/>
                <w:szCs w:val="16"/>
              </w:rPr>
              <w:t>Aerojet Canal</w:t>
            </w:r>
          </w:p>
        </w:tc>
        <w:tc>
          <w:tcPr>
            <w:tcW w:w="922"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008"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277"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6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3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839" w:type="dxa"/>
            <w:shd w:val="clear" w:color="auto" w:fill="FFFFCC"/>
            <w:vAlign w:val="center"/>
          </w:tcPr>
          <w:p w:rsidR="00485094" w:rsidRPr="00915AC3" w:rsidRDefault="00485094" w:rsidP="00453E80">
            <w:pPr>
              <w:pStyle w:val="TableText"/>
              <w:jc w:val="center"/>
              <w:rPr>
                <w:szCs w:val="18"/>
              </w:rPr>
            </w:pPr>
            <w:r w:rsidRPr="00915AC3">
              <w:rPr>
                <w:szCs w:val="18"/>
              </w:rPr>
              <w:t>+</w:t>
            </w:r>
          </w:p>
        </w:tc>
      </w:tr>
      <w:tr w:rsidR="00542E8A" w:rsidRPr="00915AC3" w:rsidTr="008F1C14">
        <w:trPr>
          <w:jc w:val="center"/>
        </w:trPr>
        <w:tc>
          <w:tcPr>
            <w:tcW w:w="954" w:type="dxa"/>
            <w:vAlign w:val="center"/>
          </w:tcPr>
          <w:p w:rsidR="00485094" w:rsidRPr="00915AC3" w:rsidRDefault="00485094" w:rsidP="00453E80">
            <w:pPr>
              <w:pStyle w:val="TableText"/>
              <w:jc w:val="center"/>
              <w:rPr>
                <w:szCs w:val="18"/>
              </w:rPr>
            </w:pPr>
            <w:r w:rsidRPr="00915AC3">
              <w:rPr>
                <w:szCs w:val="18"/>
              </w:rPr>
              <w:t>3495</w:t>
            </w:r>
          </w:p>
        </w:tc>
        <w:tc>
          <w:tcPr>
            <w:tcW w:w="1632" w:type="dxa"/>
          </w:tcPr>
          <w:p w:rsidR="00485094" w:rsidRPr="00F65F6A" w:rsidRDefault="00485094" w:rsidP="00453E80">
            <w:pPr>
              <w:pStyle w:val="TableText"/>
              <w:jc w:val="center"/>
              <w:rPr>
                <w:sz w:val="16"/>
                <w:szCs w:val="16"/>
              </w:rPr>
            </w:pPr>
            <w:r>
              <w:rPr>
                <w:sz w:val="16"/>
                <w:szCs w:val="16"/>
              </w:rPr>
              <w:t>Golden Gate Canal</w:t>
            </w:r>
          </w:p>
        </w:tc>
        <w:tc>
          <w:tcPr>
            <w:tcW w:w="922" w:type="dxa"/>
            <w:vAlign w:val="center"/>
          </w:tcPr>
          <w:p w:rsidR="00485094" w:rsidRPr="00915AC3" w:rsidRDefault="00485094" w:rsidP="00453E80">
            <w:pPr>
              <w:pStyle w:val="TableText"/>
              <w:jc w:val="center"/>
              <w:rPr>
                <w:szCs w:val="18"/>
              </w:rPr>
            </w:pPr>
            <w:r w:rsidRPr="00915AC3">
              <w:rPr>
                <w:szCs w:val="18"/>
              </w:rPr>
              <w:t>o</w:t>
            </w:r>
          </w:p>
        </w:tc>
        <w:tc>
          <w:tcPr>
            <w:tcW w:w="1008" w:type="dxa"/>
            <w:vAlign w:val="center"/>
          </w:tcPr>
          <w:p w:rsidR="00485094" w:rsidRPr="00915AC3" w:rsidRDefault="00485094" w:rsidP="00453E80">
            <w:pPr>
              <w:pStyle w:val="TableText"/>
              <w:jc w:val="center"/>
              <w:rPr>
                <w:szCs w:val="18"/>
              </w:rPr>
            </w:pPr>
            <w:r w:rsidRPr="00915AC3">
              <w:rPr>
                <w:szCs w:val="18"/>
              </w:rPr>
              <w:t>+</w:t>
            </w:r>
          </w:p>
        </w:tc>
        <w:tc>
          <w:tcPr>
            <w:tcW w:w="1277" w:type="dxa"/>
            <w:vAlign w:val="center"/>
          </w:tcPr>
          <w:p w:rsidR="00485094" w:rsidRPr="00915AC3" w:rsidRDefault="00485094" w:rsidP="00453E80">
            <w:pPr>
              <w:pStyle w:val="TableText"/>
              <w:jc w:val="center"/>
              <w:rPr>
                <w:szCs w:val="18"/>
              </w:rPr>
            </w:pPr>
            <w:r w:rsidRPr="00915AC3">
              <w:rPr>
                <w:szCs w:val="18"/>
              </w:rPr>
              <w:t>o</w:t>
            </w:r>
          </w:p>
        </w:tc>
        <w:tc>
          <w:tcPr>
            <w:tcW w:w="966" w:type="dxa"/>
            <w:vAlign w:val="center"/>
          </w:tcPr>
          <w:p w:rsidR="00485094" w:rsidRPr="00915AC3" w:rsidRDefault="00485094" w:rsidP="00453E80">
            <w:pPr>
              <w:pStyle w:val="TableText"/>
              <w:jc w:val="center"/>
              <w:rPr>
                <w:szCs w:val="18"/>
              </w:rPr>
            </w:pPr>
            <w:r w:rsidRPr="00915AC3">
              <w:rPr>
                <w:szCs w:val="18"/>
              </w:rPr>
              <w:t>-</w:t>
            </w:r>
          </w:p>
        </w:tc>
        <w:tc>
          <w:tcPr>
            <w:tcW w:w="1230" w:type="dxa"/>
            <w:vAlign w:val="center"/>
          </w:tcPr>
          <w:p w:rsidR="00485094" w:rsidRPr="00915AC3" w:rsidRDefault="00485094" w:rsidP="00453E80">
            <w:pPr>
              <w:pStyle w:val="TableText"/>
              <w:jc w:val="center"/>
              <w:rPr>
                <w:szCs w:val="18"/>
              </w:rPr>
            </w:pPr>
            <w:r w:rsidRPr="00915AC3">
              <w:rPr>
                <w:szCs w:val="18"/>
              </w:rPr>
              <w:t>+</w:t>
            </w:r>
          </w:p>
        </w:tc>
        <w:tc>
          <w:tcPr>
            <w:tcW w:w="1000" w:type="dxa"/>
            <w:vAlign w:val="center"/>
          </w:tcPr>
          <w:p w:rsidR="00485094" w:rsidRPr="00915AC3" w:rsidRDefault="00485094" w:rsidP="00453E80">
            <w:pPr>
              <w:pStyle w:val="TableText"/>
              <w:jc w:val="center"/>
              <w:rPr>
                <w:szCs w:val="18"/>
              </w:rPr>
            </w:pPr>
            <w:r w:rsidRPr="00915AC3">
              <w:rPr>
                <w:szCs w:val="18"/>
              </w:rPr>
              <w:t>o</w:t>
            </w:r>
          </w:p>
        </w:tc>
        <w:tc>
          <w:tcPr>
            <w:tcW w:w="839" w:type="dxa"/>
            <w:vAlign w:val="center"/>
          </w:tcPr>
          <w:p w:rsidR="00485094" w:rsidRPr="00915AC3" w:rsidRDefault="00485094" w:rsidP="00453E80">
            <w:pPr>
              <w:pStyle w:val="TableText"/>
              <w:jc w:val="center"/>
              <w:rPr>
                <w:szCs w:val="18"/>
              </w:rPr>
            </w:pPr>
            <w:r w:rsidRPr="00915AC3">
              <w:rPr>
                <w:szCs w:val="18"/>
              </w:rPr>
              <w:t>+</w:t>
            </w:r>
          </w:p>
        </w:tc>
      </w:tr>
      <w:tr w:rsidR="00542E8A" w:rsidRPr="00915AC3" w:rsidTr="008F1C14">
        <w:trPr>
          <w:trHeight w:val="143"/>
          <w:jc w:val="center"/>
        </w:trPr>
        <w:tc>
          <w:tcPr>
            <w:tcW w:w="954" w:type="dxa"/>
            <w:shd w:val="clear" w:color="auto" w:fill="FFFFCC"/>
            <w:vAlign w:val="center"/>
          </w:tcPr>
          <w:p w:rsidR="00485094" w:rsidRPr="00915AC3" w:rsidRDefault="00485094" w:rsidP="00453E80">
            <w:pPr>
              <w:pStyle w:val="TableText"/>
              <w:jc w:val="center"/>
              <w:rPr>
                <w:szCs w:val="18"/>
              </w:rPr>
            </w:pPr>
            <w:r w:rsidRPr="00915AC3">
              <w:rPr>
                <w:szCs w:val="18"/>
              </w:rPr>
              <w:t>3504</w:t>
            </w:r>
          </w:p>
        </w:tc>
        <w:tc>
          <w:tcPr>
            <w:tcW w:w="1632" w:type="dxa"/>
            <w:shd w:val="clear" w:color="auto" w:fill="FFFFCC"/>
          </w:tcPr>
          <w:p w:rsidR="00485094" w:rsidRPr="00F65F6A" w:rsidRDefault="00485094" w:rsidP="00453E80">
            <w:pPr>
              <w:pStyle w:val="TableText"/>
              <w:jc w:val="center"/>
              <w:rPr>
                <w:sz w:val="16"/>
                <w:szCs w:val="16"/>
              </w:rPr>
            </w:pPr>
            <w:r>
              <w:rPr>
                <w:sz w:val="16"/>
                <w:szCs w:val="16"/>
              </w:rPr>
              <w:t>C-25</w:t>
            </w:r>
          </w:p>
        </w:tc>
        <w:tc>
          <w:tcPr>
            <w:tcW w:w="922"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8"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277"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6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3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00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839"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542E8A" w:rsidRPr="00915AC3" w:rsidTr="008F1C14">
        <w:trPr>
          <w:jc w:val="center"/>
        </w:trPr>
        <w:tc>
          <w:tcPr>
            <w:tcW w:w="954" w:type="dxa"/>
            <w:vAlign w:val="center"/>
          </w:tcPr>
          <w:p w:rsidR="00485094" w:rsidRPr="00915AC3" w:rsidRDefault="00485094" w:rsidP="00453E80">
            <w:pPr>
              <w:pStyle w:val="TableText"/>
              <w:jc w:val="center"/>
              <w:rPr>
                <w:szCs w:val="18"/>
              </w:rPr>
            </w:pPr>
            <w:r w:rsidRPr="00915AC3">
              <w:rPr>
                <w:szCs w:val="18"/>
              </w:rPr>
              <w:t>3506</w:t>
            </w:r>
          </w:p>
        </w:tc>
        <w:tc>
          <w:tcPr>
            <w:tcW w:w="1632" w:type="dxa"/>
          </w:tcPr>
          <w:p w:rsidR="00485094" w:rsidRPr="00F65F6A" w:rsidRDefault="00485094" w:rsidP="00453E80">
            <w:pPr>
              <w:pStyle w:val="TableText"/>
              <w:jc w:val="center"/>
              <w:rPr>
                <w:sz w:val="16"/>
                <w:szCs w:val="16"/>
              </w:rPr>
            </w:pPr>
            <w:r>
              <w:rPr>
                <w:sz w:val="16"/>
                <w:szCs w:val="16"/>
              </w:rPr>
              <w:t>Lake Kissimmee</w:t>
            </w:r>
          </w:p>
        </w:tc>
        <w:tc>
          <w:tcPr>
            <w:tcW w:w="922" w:type="dxa"/>
            <w:vAlign w:val="center"/>
          </w:tcPr>
          <w:p w:rsidR="00485094" w:rsidRPr="00915AC3" w:rsidRDefault="00485094" w:rsidP="00453E80">
            <w:pPr>
              <w:pStyle w:val="TableText"/>
              <w:jc w:val="center"/>
              <w:rPr>
                <w:szCs w:val="18"/>
              </w:rPr>
            </w:pPr>
            <w:r w:rsidRPr="00915AC3">
              <w:rPr>
                <w:szCs w:val="18"/>
              </w:rPr>
              <w:t>o</w:t>
            </w:r>
          </w:p>
        </w:tc>
        <w:tc>
          <w:tcPr>
            <w:tcW w:w="1008" w:type="dxa"/>
            <w:vAlign w:val="center"/>
          </w:tcPr>
          <w:p w:rsidR="00485094" w:rsidRPr="00915AC3" w:rsidRDefault="00485094" w:rsidP="00453E80">
            <w:pPr>
              <w:pStyle w:val="TableText"/>
              <w:jc w:val="center"/>
              <w:rPr>
                <w:szCs w:val="18"/>
              </w:rPr>
            </w:pPr>
            <w:r w:rsidRPr="00915AC3">
              <w:rPr>
                <w:szCs w:val="18"/>
              </w:rPr>
              <w:t>o</w:t>
            </w:r>
          </w:p>
        </w:tc>
        <w:tc>
          <w:tcPr>
            <w:tcW w:w="1277" w:type="dxa"/>
            <w:vAlign w:val="center"/>
          </w:tcPr>
          <w:p w:rsidR="00485094" w:rsidRPr="00915AC3" w:rsidRDefault="00485094" w:rsidP="00453E80">
            <w:pPr>
              <w:pStyle w:val="TableText"/>
              <w:jc w:val="center"/>
              <w:rPr>
                <w:szCs w:val="18"/>
              </w:rPr>
            </w:pPr>
            <w:r w:rsidRPr="00915AC3">
              <w:rPr>
                <w:szCs w:val="18"/>
              </w:rPr>
              <w:t>o</w:t>
            </w:r>
          </w:p>
        </w:tc>
        <w:tc>
          <w:tcPr>
            <w:tcW w:w="966" w:type="dxa"/>
            <w:vAlign w:val="center"/>
          </w:tcPr>
          <w:p w:rsidR="00485094" w:rsidRPr="00915AC3" w:rsidRDefault="00485094" w:rsidP="00453E80">
            <w:pPr>
              <w:pStyle w:val="TableText"/>
              <w:jc w:val="center"/>
              <w:rPr>
                <w:szCs w:val="18"/>
              </w:rPr>
            </w:pPr>
            <w:r w:rsidRPr="00915AC3">
              <w:rPr>
                <w:szCs w:val="18"/>
              </w:rPr>
              <w:t>-</w:t>
            </w:r>
          </w:p>
        </w:tc>
        <w:tc>
          <w:tcPr>
            <w:tcW w:w="1230" w:type="dxa"/>
            <w:vAlign w:val="center"/>
          </w:tcPr>
          <w:p w:rsidR="00485094" w:rsidRPr="00915AC3" w:rsidRDefault="00485094" w:rsidP="00453E80">
            <w:pPr>
              <w:pStyle w:val="TableText"/>
              <w:jc w:val="center"/>
              <w:rPr>
                <w:szCs w:val="18"/>
              </w:rPr>
            </w:pPr>
            <w:r w:rsidRPr="00915AC3">
              <w:rPr>
                <w:szCs w:val="18"/>
              </w:rPr>
              <w:t>+</w:t>
            </w:r>
          </w:p>
        </w:tc>
        <w:tc>
          <w:tcPr>
            <w:tcW w:w="1000" w:type="dxa"/>
            <w:vAlign w:val="center"/>
          </w:tcPr>
          <w:p w:rsidR="00485094" w:rsidRPr="00915AC3" w:rsidRDefault="00485094" w:rsidP="00453E80">
            <w:pPr>
              <w:pStyle w:val="TableText"/>
              <w:jc w:val="center"/>
              <w:rPr>
                <w:szCs w:val="18"/>
              </w:rPr>
            </w:pPr>
            <w:r w:rsidRPr="00915AC3">
              <w:rPr>
                <w:szCs w:val="18"/>
              </w:rPr>
              <w:t>o</w:t>
            </w:r>
          </w:p>
        </w:tc>
        <w:tc>
          <w:tcPr>
            <w:tcW w:w="839" w:type="dxa"/>
            <w:vAlign w:val="center"/>
          </w:tcPr>
          <w:p w:rsidR="00485094" w:rsidRPr="00915AC3" w:rsidRDefault="00485094" w:rsidP="00453E80">
            <w:pPr>
              <w:pStyle w:val="TableText"/>
              <w:jc w:val="center"/>
              <w:rPr>
                <w:szCs w:val="18"/>
              </w:rPr>
            </w:pPr>
            <w:r w:rsidRPr="00915AC3">
              <w:rPr>
                <w:szCs w:val="18"/>
              </w:rPr>
              <w:t>-</w:t>
            </w:r>
          </w:p>
        </w:tc>
      </w:tr>
      <w:tr w:rsidR="00542E8A" w:rsidRPr="00915AC3" w:rsidTr="008F1C14">
        <w:trPr>
          <w:jc w:val="center"/>
        </w:trPr>
        <w:tc>
          <w:tcPr>
            <w:tcW w:w="954" w:type="dxa"/>
            <w:shd w:val="clear" w:color="auto" w:fill="FFFFCC"/>
            <w:vAlign w:val="center"/>
          </w:tcPr>
          <w:p w:rsidR="00485094" w:rsidRPr="00915AC3" w:rsidRDefault="00485094" w:rsidP="00453E80">
            <w:pPr>
              <w:pStyle w:val="TableText"/>
              <w:jc w:val="center"/>
              <w:rPr>
                <w:szCs w:val="18"/>
              </w:rPr>
            </w:pPr>
            <w:r w:rsidRPr="00915AC3">
              <w:rPr>
                <w:szCs w:val="18"/>
              </w:rPr>
              <w:t>21179</w:t>
            </w:r>
          </w:p>
        </w:tc>
        <w:tc>
          <w:tcPr>
            <w:tcW w:w="1632" w:type="dxa"/>
            <w:shd w:val="clear" w:color="auto" w:fill="FFFFCC"/>
          </w:tcPr>
          <w:p w:rsidR="00485094" w:rsidRPr="00F65F6A" w:rsidRDefault="00485094" w:rsidP="00453E80">
            <w:pPr>
              <w:pStyle w:val="TableText"/>
              <w:jc w:val="center"/>
              <w:rPr>
                <w:sz w:val="16"/>
                <w:szCs w:val="16"/>
              </w:rPr>
            </w:pPr>
            <w:r>
              <w:rPr>
                <w:sz w:val="16"/>
                <w:szCs w:val="16"/>
              </w:rPr>
              <w:t>Spruce Creek</w:t>
            </w:r>
          </w:p>
        </w:tc>
        <w:tc>
          <w:tcPr>
            <w:tcW w:w="922"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8"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77"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6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3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839"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542E8A" w:rsidRPr="00915AC3" w:rsidTr="008F1C14">
        <w:trPr>
          <w:jc w:val="center"/>
        </w:trPr>
        <w:tc>
          <w:tcPr>
            <w:tcW w:w="954" w:type="dxa"/>
            <w:vAlign w:val="center"/>
          </w:tcPr>
          <w:p w:rsidR="00485094" w:rsidRPr="00915AC3" w:rsidRDefault="00485094" w:rsidP="00453E80">
            <w:pPr>
              <w:pStyle w:val="TableText"/>
              <w:jc w:val="center"/>
              <w:rPr>
                <w:szCs w:val="18"/>
              </w:rPr>
            </w:pPr>
            <w:r w:rsidRPr="00915AC3">
              <w:rPr>
                <w:szCs w:val="18"/>
              </w:rPr>
              <w:t>21200</w:t>
            </w:r>
          </w:p>
        </w:tc>
        <w:tc>
          <w:tcPr>
            <w:tcW w:w="1632" w:type="dxa"/>
          </w:tcPr>
          <w:p w:rsidR="00485094" w:rsidRPr="00F65F6A" w:rsidRDefault="00485094" w:rsidP="00453E80">
            <w:pPr>
              <w:pStyle w:val="TableText"/>
              <w:jc w:val="center"/>
              <w:rPr>
                <w:sz w:val="16"/>
                <w:szCs w:val="16"/>
              </w:rPr>
            </w:pPr>
            <w:r>
              <w:rPr>
                <w:sz w:val="16"/>
                <w:szCs w:val="16"/>
              </w:rPr>
              <w:t>Rice Creek</w:t>
            </w:r>
          </w:p>
        </w:tc>
        <w:tc>
          <w:tcPr>
            <w:tcW w:w="922" w:type="dxa"/>
            <w:vAlign w:val="center"/>
          </w:tcPr>
          <w:p w:rsidR="00485094" w:rsidRPr="00915AC3" w:rsidRDefault="00485094" w:rsidP="00453E80">
            <w:pPr>
              <w:pStyle w:val="TableText"/>
              <w:jc w:val="center"/>
              <w:rPr>
                <w:szCs w:val="18"/>
              </w:rPr>
            </w:pPr>
            <w:r w:rsidRPr="00915AC3">
              <w:rPr>
                <w:szCs w:val="18"/>
              </w:rPr>
              <w:t>+</w:t>
            </w:r>
          </w:p>
        </w:tc>
        <w:tc>
          <w:tcPr>
            <w:tcW w:w="1008" w:type="dxa"/>
            <w:vAlign w:val="center"/>
          </w:tcPr>
          <w:p w:rsidR="00485094" w:rsidRPr="00915AC3" w:rsidRDefault="00485094" w:rsidP="00453E80">
            <w:pPr>
              <w:pStyle w:val="TableText"/>
              <w:jc w:val="center"/>
              <w:rPr>
                <w:szCs w:val="18"/>
              </w:rPr>
            </w:pPr>
            <w:r w:rsidRPr="00915AC3">
              <w:rPr>
                <w:szCs w:val="18"/>
              </w:rPr>
              <w:t>o</w:t>
            </w:r>
          </w:p>
        </w:tc>
        <w:tc>
          <w:tcPr>
            <w:tcW w:w="1277" w:type="dxa"/>
            <w:vAlign w:val="center"/>
          </w:tcPr>
          <w:p w:rsidR="00485094" w:rsidRPr="00915AC3" w:rsidRDefault="00485094" w:rsidP="00453E80">
            <w:pPr>
              <w:pStyle w:val="TableText"/>
              <w:jc w:val="center"/>
              <w:rPr>
                <w:szCs w:val="18"/>
              </w:rPr>
            </w:pPr>
            <w:r w:rsidRPr="00915AC3">
              <w:rPr>
                <w:szCs w:val="18"/>
              </w:rPr>
              <w:t>-</w:t>
            </w:r>
          </w:p>
        </w:tc>
        <w:tc>
          <w:tcPr>
            <w:tcW w:w="966" w:type="dxa"/>
            <w:vAlign w:val="center"/>
          </w:tcPr>
          <w:p w:rsidR="00485094" w:rsidRPr="00915AC3" w:rsidRDefault="00485094" w:rsidP="00453E80">
            <w:pPr>
              <w:pStyle w:val="TableText"/>
              <w:jc w:val="center"/>
              <w:rPr>
                <w:szCs w:val="18"/>
              </w:rPr>
            </w:pPr>
            <w:r w:rsidRPr="00915AC3">
              <w:rPr>
                <w:szCs w:val="18"/>
              </w:rPr>
              <w:t>o</w:t>
            </w:r>
          </w:p>
        </w:tc>
        <w:tc>
          <w:tcPr>
            <w:tcW w:w="1230" w:type="dxa"/>
            <w:vAlign w:val="center"/>
          </w:tcPr>
          <w:p w:rsidR="00485094" w:rsidRPr="00915AC3" w:rsidRDefault="00485094" w:rsidP="00453E80">
            <w:pPr>
              <w:pStyle w:val="TableText"/>
              <w:jc w:val="center"/>
              <w:rPr>
                <w:szCs w:val="18"/>
              </w:rPr>
            </w:pPr>
            <w:r w:rsidRPr="00915AC3">
              <w:rPr>
                <w:szCs w:val="18"/>
              </w:rPr>
              <w:t>-</w:t>
            </w:r>
          </w:p>
        </w:tc>
        <w:tc>
          <w:tcPr>
            <w:tcW w:w="1000" w:type="dxa"/>
            <w:vAlign w:val="center"/>
          </w:tcPr>
          <w:p w:rsidR="00485094" w:rsidRPr="00915AC3" w:rsidRDefault="00485094" w:rsidP="00453E80">
            <w:pPr>
              <w:pStyle w:val="TableText"/>
              <w:jc w:val="center"/>
              <w:rPr>
                <w:szCs w:val="18"/>
              </w:rPr>
            </w:pPr>
            <w:r w:rsidRPr="00915AC3">
              <w:rPr>
                <w:szCs w:val="18"/>
              </w:rPr>
              <w:t>o</w:t>
            </w:r>
          </w:p>
        </w:tc>
        <w:tc>
          <w:tcPr>
            <w:tcW w:w="839" w:type="dxa"/>
            <w:vAlign w:val="center"/>
          </w:tcPr>
          <w:p w:rsidR="00485094" w:rsidRPr="00915AC3" w:rsidRDefault="00485094" w:rsidP="00453E80">
            <w:pPr>
              <w:pStyle w:val="TableText"/>
              <w:jc w:val="center"/>
              <w:rPr>
                <w:szCs w:val="18"/>
              </w:rPr>
            </w:pPr>
            <w:r w:rsidRPr="00915AC3">
              <w:rPr>
                <w:szCs w:val="18"/>
              </w:rPr>
              <w:t>o</w:t>
            </w:r>
          </w:p>
        </w:tc>
      </w:tr>
      <w:tr w:rsidR="00542E8A" w:rsidRPr="00915AC3" w:rsidTr="008F1C14">
        <w:trPr>
          <w:jc w:val="center"/>
        </w:trPr>
        <w:tc>
          <w:tcPr>
            <w:tcW w:w="954" w:type="dxa"/>
            <w:shd w:val="clear" w:color="auto" w:fill="FFFFCC"/>
            <w:vAlign w:val="center"/>
          </w:tcPr>
          <w:p w:rsidR="00485094" w:rsidRPr="00915AC3" w:rsidRDefault="00485094" w:rsidP="00453E80">
            <w:pPr>
              <w:pStyle w:val="TableText"/>
              <w:jc w:val="center"/>
              <w:rPr>
                <w:szCs w:val="18"/>
              </w:rPr>
            </w:pPr>
            <w:r w:rsidRPr="00915AC3">
              <w:rPr>
                <w:szCs w:val="18"/>
              </w:rPr>
              <w:t>21201</w:t>
            </w:r>
          </w:p>
        </w:tc>
        <w:tc>
          <w:tcPr>
            <w:tcW w:w="1632" w:type="dxa"/>
            <w:shd w:val="clear" w:color="auto" w:fill="FFFFCC"/>
          </w:tcPr>
          <w:p w:rsidR="00485094" w:rsidRPr="00F65F6A" w:rsidRDefault="00485094" w:rsidP="00453E80">
            <w:pPr>
              <w:pStyle w:val="TableText"/>
              <w:jc w:val="center"/>
              <w:rPr>
                <w:sz w:val="16"/>
                <w:szCs w:val="16"/>
              </w:rPr>
            </w:pPr>
            <w:r>
              <w:rPr>
                <w:sz w:val="16"/>
                <w:szCs w:val="16"/>
              </w:rPr>
              <w:t>Moultrie Creek</w:t>
            </w:r>
          </w:p>
        </w:tc>
        <w:tc>
          <w:tcPr>
            <w:tcW w:w="922"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8"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77"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6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3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00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839" w:type="dxa"/>
            <w:shd w:val="clear" w:color="auto" w:fill="FFFFCC"/>
            <w:vAlign w:val="center"/>
          </w:tcPr>
          <w:p w:rsidR="00485094" w:rsidRPr="00915AC3" w:rsidRDefault="00485094" w:rsidP="00453E80">
            <w:pPr>
              <w:pStyle w:val="TableText"/>
              <w:jc w:val="center"/>
              <w:rPr>
                <w:szCs w:val="18"/>
              </w:rPr>
            </w:pPr>
            <w:r w:rsidRPr="00915AC3">
              <w:rPr>
                <w:szCs w:val="18"/>
              </w:rPr>
              <w:t>-</w:t>
            </w:r>
          </w:p>
        </w:tc>
      </w:tr>
      <w:tr w:rsidR="00542E8A" w:rsidRPr="00915AC3" w:rsidTr="008F1C14">
        <w:trPr>
          <w:jc w:val="center"/>
        </w:trPr>
        <w:tc>
          <w:tcPr>
            <w:tcW w:w="954" w:type="dxa"/>
            <w:vAlign w:val="center"/>
          </w:tcPr>
          <w:p w:rsidR="00485094" w:rsidRPr="00915AC3" w:rsidRDefault="00485094" w:rsidP="00453E80">
            <w:pPr>
              <w:pStyle w:val="TableText"/>
              <w:jc w:val="center"/>
              <w:rPr>
                <w:szCs w:val="18"/>
              </w:rPr>
            </w:pPr>
            <w:r w:rsidRPr="00915AC3">
              <w:rPr>
                <w:szCs w:val="18"/>
              </w:rPr>
              <w:t>21202</w:t>
            </w:r>
          </w:p>
        </w:tc>
        <w:tc>
          <w:tcPr>
            <w:tcW w:w="1632" w:type="dxa"/>
          </w:tcPr>
          <w:p w:rsidR="00485094" w:rsidRPr="00F65F6A" w:rsidRDefault="00485094" w:rsidP="00453E80">
            <w:pPr>
              <w:pStyle w:val="TableText"/>
              <w:jc w:val="center"/>
              <w:rPr>
                <w:sz w:val="16"/>
                <w:szCs w:val="16"/>
              </w:rPr>
            </w:pPr>
            <w:r>
              <w:rPr>
                <w:sz w:val="16"/>
                <w:szCs w:val="16"/>
              </w:rPr>
              <w:t>Orange Creek</w:t>
            </w:r>
          </w:p>
        </w:tc>
        <w:tc>
          <w:tcPr>
            <w:tcW w:w="922" w:type="dxa"/>
            <w:vAlign w:val="center"/>
          </w:tcPr>
          <w:p w:rsidR="00485094" w:rsidRPr="00915AC3" w:rsidRDefault="00485094" w:rsidP="00453E80">
            <w:pPr>
              <w:pStyle w:val="TableText"/>
              <w:jc w:val="center"/>
              <w:rPr>
                <w:szCs w:val="18"/>
              </w:rPr>
            </w:pPr>
            <w:r w:rsidRPr="00915AC3">
              <w:rPr>
                <w:szCs w:val="18"/>
              </w:rPr>
              <w:t>+</w:t>
            </w:r>
          </w:p>
        </w:tc>
        <w:tc>
          <w:tcPr>
            <w:tcW w:w="1008" w:type="dxa"/>
            <w:vAlign w:val="center"/>
          </w:tcPr>
          <w:p w:rsidR="00485094" w:rsidRPr="00915AC3" w:rsidRDefault="00485094" w:rsidP="00453E80">
            <w:pPr>
              <w:pStyle w:val="TableText"/>
              <w:jc w:val="center"/>
              <w:rPr>
                <w:szCs w:val="18"/>
              </w:rPr>
            </w:pPr>
            <w:r w:rsidRPr="00915AC3">
              <w:rPr>
                <w:szCs w:val="18"/>
              </w:rPr>
              <w:t>-</w:t>
            </w:r>
          </w:p>
        </w:tc>
        <w:tc>
          <w:tcPr>
            <w:tcW w:w="1277" w:type="dxa"/>
            <w:vAlign w:val="center"/>
          </w:tcPr>
          <w:p w:rsidR="00485094" w:rsidRPr="00915AC3" w:rsidRDefault="00485094" w:rsidP="00453E80">
            <w:pPr>
              <w:pStyle w:val="TableText"/>
              <w:jc w:val="center"/>
              <w:rPr>
                <w:szCs w:val="18"/>
              </w:rPr>
            </w:pPr>
            <w:r w:rsidRPr="00915AC3">
              <w:rPr>
                <w:szCs w:val="18"/>
              </w:rPr>
              <w:t>o</w:t>
            </w:r>
          </w:p>
        </w:tc>
        <w:tc>
          <w:tcPr>
            <w:tcW w:w="966" w:type="dxa"/>
            <w:vAlign w:val="center"/>
          </w:tcPr>
          <w:p w:rsidR="00485094" w:rsidRPr="00915AC3" w:rsidRDefault="00485094" w:rsidP="00453E80">
            <w:pPr>
              <w:pStyle w:val="TableText"/>
              <w:jc w:val="center"/>
              <w:rPr>
                <w:szCs w:val="18"/>
              </w:rPr>
            </w:pPr>
            <w:r w:rsidRPr="00915AC3">
              <w:rPr>
                <w:szCs w:val="18"/>
              </w:rPr>
              <w:t>o</w:t>
            </w:r>
          </w:p>
        </w:tc>
        <w:tc>
          <w:tcPr>
            <w:tcW w:w="1230" w:type="dxa"/>
            <w:vAlign w:val="center"/>
          </w:tcPr>
          <w:p w:rsidR="00485094" w:rsidRPr="00915AC3" w:rsidRDefault="00485094" w:rsidP="00453E80">
            <w:pPr>
              <w:pStyle w:val="TableText"/>
              <w:jc w:val="center"/>
              <w:rPr>
                <w:szCs w:val="18"/>
              </w:rPr>
            </w:pPr>
            <w:r w:rsidRPr="00915AC3">
              <w:rPr>
                <w:szCs w:val="18"/>
              </w:rPr>
              <w:t>-</w:t>
            </w:r>
          </w:p>
        </w:tc>
        <w:tc>
          <w:tcPr>
            <w:tcW w:w="1000" w:type="dxa"/>
            <w:vAlign w:val="center"/>
          </w:tcPr>
          <w:p w:rsidR="00485094" w:rsidRPr="00915AC3" w:rsidRDefault="00485094" w:rsidP="00453E80">
            <w:pPr>
              <w:pStyle w:val="TableText"/>
              <w:jc w:val="center"/>
              <w:rPr>
                <w:szCs w:val="18"/>
              </w:rPr>
            </w:pPr>
            <w:r w:rsidRPr="00915AC3">
              <w:rPr>
                <w:szCs w:val="18"/>
              </w:rPr>
              <w:t>+</w:t>
            </w:r>
          </w:p>
        </w:tc>
        <w:tc>
          <w:tcPr>
            <w:tcW w:w="839" w:type="dxa"/>
            <w:vAlign w:val="center"/>
          </w:tcPr>
          <w:p w:rsidR="00485094" w:rsidRPr="00915AC3" w:rsidRDefault="00485094" w:rsidP="00453E80">
            <w:pPr>
              <w:pStyle w:val="TableText"/>
              <w:jc w:val="center"/>
              <w:rPr>
                <w:szCs w:val="18"/>
              </w:rPr>
            </w:pPr>
            <w:r w:rsidRPr="00915AC3">
              <w:rPr>
                <w:szCs w:val="18"/>
              </w:rPr>
              <w:t>o</w:t>
            </w:r>
          </w:p>
        </w:tc>
      </w:tr>
      <w:tr w:rsidR="00542E8A" w:rsidRPr="00915AC3" w:rsidTr="008F1C14">
        <w:trPr>
          <w:jc w:val="center"/>
        </w:trPr>
        <w:tc>
          <w:tcPr>
            <w:tcW w:w="954" w:type="dxa"/>
            <w:shd w:val="clear" w:color="auto" w:fill="FFFFCC"/>
            <w:vAlign w:val="center"/>
          </w:tcPr>
          <w:p w:rsidR="00485094" w:rsidRPr="00915AC3" w:rsidRDefault="00485094" w:rsidP="00453E80">
            <w:pPr>
              <w:pStyle w:val="TableText"/>
              <w:jc w:val="center"/>
              <w:rPr>
                <w:szCs w:val="18"/>
              </w:rPr>
            </w:pPr>
            <w:r w:rsidRPr="00915AC3">
              <w:rPr>
                <w:szCs w:val="18"/>
              </w:rPr>
              <w:t>3508</w:t>
            </w:r>
          </w:p>
        </w:tc>
        <w:tc>
          <w:tcPr>
            <w:tcW w:w="1632" w:type="dxa"/>
            <w:shd w:val="clear" w:color="auto" w:fill="FFFFCC"/>
          </w:tcPr>
          <w:p w:rsidR="00485094" w:rsidRPr="00F65F6A" w:rsidRDefault="00485094" w:rsidP="00453E80">
            <w:pPr>
              <w:pStyle w:val="TableText"/>
              <w:jc w:val="center"/>
              <w:rPr>
                <w:sz w:val="16"/>
                <w:szCs w:val="16"/>
              </w:rPr>
            </w:pPr>
            <w:r>
              <w:rPr>
                <w:sz w:val="16"/>
                <w:szCs w:val="16"/>
              </w:rPr>
              <w:t>Indian River Lagoon</w:t>
            </w:r>
          </w:p>
        </w:tc>
        <w:tc>
          <w:tcPr>
            <w:tcW w:w="922"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8"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77"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66"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23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839"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542E8A" w:rsidRPr="00915AC3" w:rsidTr="008F1C14">
        <w:trPr>
          <w:jc w:val="center"/>
        </w:trPr>
        <w:tc>
          <w:tcPr>
            <w:tcW w:w="954" w:type="dxa"/>
            <w:vAlign w:val="center"/>
          </w:tcPr>
          <w:p w:rsidR="00485094" w:rsidRPr="00915AC3" w:rsidRDefault="00485094" w:rsidP="00453E80">
            <w:pPr>
              <w:pStyle w:val="TableText"/>
              <w:jc w:val="center"/>
              <w:rPr>
                <w:szCs w:val="18"/>
              </w:rPr>
            </w:pPr>
            <w:r w:rsidRPr="00915AC3">
              <w:rPr>
                <w:szCs w:val="18"/>
              </w:rPr>
              <w:t>3537</w:t>
            </w:r>
          </w:p>
        </w:tc>
        <w:tc>
          <w:tcPr>
            <w:tcW w:w="1632" w:type="dxa"/>
          </w:tcPr>
          <w:p w:rsidR="00485094" w:rsidRPr="00F65F6A" w:rsidRDefault="00485094" w:rsidP="00453E80">
            <w:pPr>
              <w:pStyle w:val="TableText"/>
              <w:jc w:val="center"/>
              <w:rPr>
                <w:sz w:val="16"/>
                <w:szCs w:val="16"/>
              </w:rPr>
            </w:pPr>
            <w:r>
              <w:rPr>
                <w:sz w:val="16"/>
                <w:szCs w:val="16"/>
              </w:rPr>
              <w:t>Nassau River</w:t>
            </w:r>
          </w:p>
        </w:tc>
        <w:tc>
          <w:tcPr>
            <w:tcW w:w="922" w:type="dxa"/>
            <w:vAlign w:val="center"/>
          </w:tcPr>
          <w:p w:rsidR="00485094" w:rsidRPr="00915AC3" w:rsidRDefault="00485094" w:rsidP="00453E80">
            <w:pPr>
              <w:pStyle w:val="TableText"/>
              <w:jc w:val="center"/>
              <w:rPr>
                <w:szCs w:val="18"/>
              </w:rPr>
            </w:pPr>
            <w:r w:rsidRPr="00915AC3">
              <w:rPr>
                <w:szCs w:val="18"/>
              </w:rPr>
              <w:t>o</w:t>
            </w:r>
          </w:p>
        </w:tc>
        <w:tc>
          <w:tcPr>
            <w:tcW w:w="1008" w:type="dxa"/>
            <w:vAlign w:val="center"/>
          </w:tcPr>
          <w:p w:rsidR="00485094" w:rsidRPr="00915AC3" w:rsidRDefault="00485094" w:rsidP="00453E80">
            <w:pPr>
              <w:pStyle w:val="TableText"/>
              <w:jc w:val="center"/>
              <w:rPr>
                <w:szCs w:val="18"/>
              </w:rPr>
            </w:pPr>
            <w:r w:rsidRPr="00915AC3">
              <w:rPr>
                <w:szCs w:val="18"/>
              </w:rPr>
              <w:t>+</w:t>
            </w:r>
          </w:p>
        </w:tc>
        <w:tc>
          <w:tcPr>
            <w:tcW w:w="1277" w:type="dxa"/>
            <w:vAlign w:val="center"/>
          </w:tcPr>
          <w:p w:rsidR="00485094" w:rsidRPr="00915AC3" w:rsidRDefault="00485094" w:rsidP="00453E80">
            <w:pPr>
              <w:pStyle w:val="TableText"/>
              <w:jc w:val="center"/>
              <w:rPr>
                <w:szCs w:val="18"/>
              </w:rPr>
            </w:pPr>
            <w:r w:rsidRPr="00915AC3">
              <w:rPr>
                <w:szCs w:val="18"/>
              </w:rPr>
              <w:t>o</w:t>
            </w:r>
          </w:p>
        </w:tc>
        <w:tc>
          <w:tcPr>
            <w:tcW w:w="966" w:type="dxa"/>
            <w:vAlign w:val="center"/>
          </w:tcPr>
          <w:p w:rsidR="00485094" w:rsidRPr="00915AC3" w:rsidRDefault="00485094" w:rsidP="00453E80">
            <w:pPr>
              <w:pStyle w:val="TableText"/>
              <w:jc w:val="center"/>
              <w:rPr>
                <w:szCs w:val="18"/>
              </w:rPr>
            </w:pPr>
            <w:r w:rsidRPr="00915AC3">
              <w:rPr>
                <w:szCs w:val="18"/>
              </w:rPr>
              <w:t>o</w:t>
            </w:r>
          </w:p>
        </w:tc>
        <w:tc>
          <w:tcPr>
            <w:tcW w:w="1230" w:type="dxa"/>
            <w:vAlign w:val="center"/>
          </w:tcPr>
          <w:p w:rsidR="00485094" w:rsidRPr="00915AC3" w:rsidRDefault="00485094" w:rsidP="00453E80">
            <w:pPr>
              <w:pStyle w:val="TableText"/>
              <w:jc w:val="center"/>
              <w:rPr>
                <w:szCs w:val="18"/>
              </w:rPr>
            </w:pPr>
            <w:r w:rsidRPr="00915AC3">
              <w:rPr>
                <w:szCs w:val="18"/>
              </w:rPr>
              <w:t>o</w:t>
            </w:r>
          </w:p>
        </w:tc>
        <w:tc>
          <w:tcPr>
            <w:tcW w:w="1000" w:type="dxa"/>
            <w:vAlign w:val="center"/>
          </w:tcPr>
          <w:p w:rsidR="00485094" w:rsidRPr="00915AC3" w:rsidRDefault="00485094" w:rsidP="00453E80">
            <w:pPr>
              <w:pStyle w:val="TableText"/>
              <w:jc w:val="center"/>
              <w:rPr>
                <w:szCs w:val="18"/>
              </w:rPr>
            </w:pPr>
            <w:r w:rsidRPr="00915AC3">
              <w:rPr>
                <w:szCs w:val="18"/>
              </w:rPr>
              <w:t>o</w:t>
            </w:r>
          </w:p>
        </w:tc>
        <w:tc>
          <w:tcPr>
            <w:tcW w:w="839" w:type="dxa"/>
            <w:vAlign w:val="center"/>
          </w:tcPr>
          <w:p w:rsidR="00485094" w:rsidRPr="00915AC3" w:rsidRDefault="00485094" w:rsidP="00453E80">
            <w:pPr>
              <w:pStyle w:val="TableText"/>
              <w:jc w:val="center"/>
              <w:rPr>
                <w:szCs w:val="18"/>
              </w:rPr>
            </w:pPr>
            <w:r w:rsidRPr="00915AC3">
              <w:rPr>
                <w:szCs w:val="18"/>
              </w:rPr>
              <w:t>o</w:t>
            </w:r>
          </w:p>
        </w:tc>
      </w:tr>
    </w:tbl>
    <w:p w:rsidR="00485094" w:rsidRPr="00F30D85" w:rsidRDefault="00485094" w:rsidP="00692F31">
      <w:pPr>
        <w:pStyle w:val="BodyText2"/>
        <w:jc w:val="both"/>
        <w:rPr>
          <w:rFonts w:cs="Arial"/>
          <w:b/>
          <w:szCs w:val="22"/>
        </w:rPr>
      </w:pPr>
    </w:p>
    <w:p w:rsidR="00485094" w:rsidRPr="00F30D85" w:rsidRDefault="00485094" w:rsidP="00692F31">
      <w:pPr>
        <w:pStyle w:val="Bodytextreduced"/>
        <w:rPr>
          <w:rFonts w:cs="Arial"/>
          <w:szCs w:val="22"/>
        </w:rPr>
      </w:pPr>
      <w:r>
        <w:rPr>
          <w:rFonts w:cs="Arial"/>
          <w:szCs w:val="22"/>
        </w:rPr>
        <w:br w:type="page"/>
      </w:r>
    </w:p>
    <w:p w:rsidR="00485094" w:rsidRPr="00F30D85" w:rsidRDefault="00485094" w:rsidP="00692F31">
      <w:pPr>
        <w:pStyle w:val="Caption"/>
      </w:pPr>
      <w:bookmarkStart w:id="476" w:name="_Toc262464308"/>
      <w:bookmarkStart w:id="477" w:name="_Toc271280160"/>
      <w:r w:rsidRPr="00F30D85">
        <w:t xml:space="preserve">Figure </w:t>
      </w:r>
      <w:r>
        <w:t>6.15</w:t>
      </w:r>
      <w:r w:rsidRPr="00F30D85">
        <w:t>.</w:t>
      </w:r>
      <w:r>
        <w:t xml:space="preserve">  </w:t>
      </w:r>
      <w:r w:rsidRPr="00F30D85">
        <w:t xml:space="preserve">Surface </w:t>
      </w:r>
      <w:r>
        <w:t>W</w:t>
      </w:r>
      <w:r w:rsidRPr="00F30D85">
        <w:t xml:space="preserve">ater </w:t>
      </w:r>
      <w:r>
        <w:t>T</w:t>
      </w:r>
      <w:r w:rsidRPr="00F30D85">
        <w:t xml:space="preserve">rends for </w:t>
      </w:r>
      <w:r>
        <w:t>N</w:t>
      </w:r>
      <w:r w:rsidRPr="00F30D85">
        <w:t xml:space="preserve">itrate </w:t>
      </w:r>
      <w:r>
        <w:t>+</w:t>
      </w:r>
      <w:r w:rsidRPr="00F30D85">
        <w:t xml:space="preserve"> </w:t>
      </w:r>
      <w:r>
        <w:t>N</w:t>
      </w:r>
      <w:r w:rsidRPr="00F30D85">
        <w:t>itrite</w:t>
      </w:r>
      <w:r>
        <w:t xml:space="preserve">, </w:t>
      </w:r>
      <w:r w:rsidRPr="00F30D85">
        <w:t>1999</w:t>
      </w:r>
      <w:r>
        <w:t>–2008</w:t>
      </w:r>
      <w:bookmarkEnd w:id="476"/>
      <w:bookmarkEnd w:id="477"/>
    </w:p>
    <w:p w:rsidR="00485094" w:rsidRPr="00F30D85" w:rsidRDefault="00485094" w:rsidP="00692F31">
      <w:pPr>
        <w:pStyle w:val="BodyText2"/>
        <w:jc w:val="both"/>
        <w:rPr>
          <w:rFonts w:cs="Arial"/>
          <w:b/>
          <w:szCs w:val="22"/>
        </w:rPr>
      </w:pPr>
    </w:p>
    <w:p w:rsidR="00485094" w:rsidRDefault="001717CD" w:rsidP="00692F31">
      <w:pPr>
        <w:pStyle w:val="BodyText2"/>
        <w:jc w:val="both"/>
        <w:rPr>
          <w:rFonts w:cs="Arial"/>
          <w:b/>
          <w:szCs w:val="22"/>
        </w:rPr>
      </w:pPr>
      <w:r>
        <w:rPr>
          <w:noProof/>
        </w:rPr>
        <w:drawing>
          <wp:anchor distT="0" distB="0" distL="114300" distR="114300" simplePos="0" relativeHeight="251654656" behindDoc="0" locked="0" layoutInCell="1" allowOverlap="1">
            <wp:simplePos x="0" y="0"/>
            <wp:positionH relativeFrom="column">
              <wp:align>center</wp:align>
            </wp:positionH>
            <wp:positionV relativeFrom="paragraph">
              <wp:posOffset>109855</wp:posOffset>
            </wp:positionV>
            <wp:extent cx="5157470" cy="5947410"/>
            <wp:effectExtent l="19050" t="0" r="5080" b="0"/>
            <wp:wrapTopAndBottom/>
            <wp:docPr id="33" name="Picture 3" descr="Figure 6.15.  Surface Water Trends for Nitrate + Nitrite, 1999–2008.  This is a map of the state of Florida showing the statewide nitrate plus nitrite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6.15.  Surface Water Trends for Nitrate + Nitrite, 1999–2008"/>
                    <pic:cNvPicPr>
                      <a:picLocks noChangeAspect="1" noChangeArrowheads="1"/>
                    </pic:cNvPicPr>
                  </pic:nvPicPr>
                  <pic:blipFill>
                    <a:blip r:embed="rId99"/>
                    <a:srcRect/>
                    <a:stretch>
                      <a:fillRect/>
                    </a:stretch>
                  </pic:blipFill>
                  <pic:spPr bwMode="auto">
                    <a:xfrm>
                      <a:off x="0" y="0"/>
                      <a:ext cx="5157470" cy="5947410"/>
                    </a:xfrm>
                    <a:prstGeom prst="rect">
                      <a:avLst/>
                    </a:prstGeom>
                    <a:noFill/>
                    <a:ln w="9525">
                      <a:noFill/>
                      <a:miter lim="800000"/>
                      <a:headEnd/>
                      <a:tailEnd/>
                    </a:ln>
                  </pic:spPr>
                </pic:pic>
              </a:graphicData>
            </a:graphic>
          </wp:anchor>
        </w:drawing>
      </w:r>
    </w:p>
    <w:p w:rsidR="00485094" w:rsidRDefault="00485094" w:rsidP="00692F31">
      <w:pPr>
        <w:pStyle w:val="Bodytext"/>
        <w:rPr>
          <w:b/>
        </w:rPr>
      </w:pPr>
      <w:r w:rsidRPr="0046644F">
        <w:rPr>
          <w:b/>
        </w:rPr>
        <w:t>Highlights</w:t>
      </w:r>
    </w:p>
    <w:p w:rsidR="00485094" w:rsidRPr="0046644F" w:rsidRDefault="00485094" w:rsidP="00692F31">
      <w:pPr>
        <w:pStyle w:val="Bodytextreduced"/>
      </w:pPr>
    </w:p>
    <w:p w:rsidR="00485094" w:rsidRDefault="00485094" w:rsidP="00692F31">
      <w:pPr>
        <w:pStyle w:val="ListBullet"/>
        <w:sectPr w:rsidR="00485094" w:rsidSect="009876F8">
          <w:headerReference w:type="even" r:id="rId100"/>
          <w:headerReference w:type="first" r:id="rId101"/>
          <w:pgSz w:w="12240" w:h="15840" w:code="1"/>
          <w:pgMar w:top="1440" w:right="1440" w:bottom="1440" w:left="1440" w:header="720" w:footer="720" w:gutter="0"/>
          <w:paperSrc w:first="261"/>
          <w:cols w:space="720"/>
          <w:docGrid w:linePitch="360"/>
        </w:sectPr>
      </w:pPr>
      <w:r w:rsidRPr="00F30D85">
        <w:t xml:space="preserve">There were </w:t>
      </w:r>
      <w:r>
        <w:t>7 stations with</w:t>
      </w:r>
      <w:r w:rsidRPr="00F30D85">
        <w:t xml:space="preserve"> decreasing trends and </w:t>
      </w:r>
      <w:r>
        <w:t>11 stations with</w:t>
      </w:r>
      <w:r w:rsidRPr="00F30D85">
        <w:t xml:space="preserve"> increasing trends for nitrate-nitrite around the state</w:t>
      </w:r>
      <w:r>
        <w:t>.  The far western P</w:t>
      </w:r>
      <w:r w:rsidRPr="00F30D85">
        <w:t xml:space="preserve">anhandle had </w:t>
      </w:r>
      <w:r>
        <w:t>4</w:t>
      </w:r>
      <w:r w:rsidRPr="00F30D85">
        <w:t xml:space="preserve"> of the decreasing trend stations</w:t>
      </w:r>
      <w:r>
        <w:t>,</w:t>
      </w:r>
      <w:r w:rsidRPr="00F30D85">
        <w:t xml:space="preserve"> while the remaining stations were </w:t>
      </w:r>
      <w:r>
        <w:t xml:space="preserve">located throughout </w:t>
      </w:r>
      <w:r w:rsidRPr="00F30D85">
        <w:t>the rest of the state.  Trends in nitrate-nitrite may indicate changes in anthropogenic input.</w:t>
      </w:r>
    </w:p>
    <w:p w:rsidR="00485094" w:rsidRPr="00F30D85" w:rsidRDefault="00485094" w:rsidP="00692F31">
      <w:pPr>
        <w:pStyle w:val="Caption"/>
      </w:pPr>
      <w:bookmarkStart w:id="478" w:name="_Toc271280161"/>
      <w:r w:rsidRPr="00F30D85">
        <w:t xml:space="preserve">Figure </w:t>
      </w:r>
      <w:r>
        <w:t>6.16</w:t>
      </w:r>
      <w:r w:rsidRPr="00F30D85">
        <w:t>.</w:t>
      </w:r>
      <w:r>
        <w:t xml:space="preserve">  </w:t>
      </w:r>
      <w:r w:rsidRPr="00F30D85">
        <w:t xml:space="preserve">Surface </w:t>
      </w:r>
      <w:r>
        <w:t>W</w:t>
      </w:r>
      <w:r w:rsidRPr="00F30D85">
        <w:t xml:space="preserve">ater </w:t>
      </w:r>
      <w:r>
        <w:t>T</w:t>
      </w:r>
      <w:r w:rsidRPr="00F30D85">
        <w:t xml:space="preserve">rends for </w:t>
      </w:r>
      <w:r>
        <w:t xml:space="preserve">TKN, </w:t>
      </w:r>
      <w:r w:rsidRPr="00F30D85">
        <w:t>1999</w:t>
      </w:r>
      <w:r>
        <w:t>–2008</w:t>
      </w:r>
      <w:bookmarkEnd w:id="478"/>
    </w:p>
    <w:p w:rsidR="00485094" w:rsidRPr="008A0A8B" w:rsidRDefault="00485094" w:rsidP="00692F31">
      <w:pPr>
        <w:pStyle w:val="Bodytextreduced"/>
        <w:rPr>
          <w:rFonts w:cs="Arial"/>
          <w:b/>
          <w:i/>
          <w:sz w:val="18"/>
          <w:szCs w:val="18"/>
        </w:rPr>
      </w:pPr>
    </w:p>
    <w:p w:rsidR="00485094" w:rsidRDefault="001717CD" w:rsidP="00692F31">
      <w:pPr>
        <w:pStyle w:val="Bodytextreduced"/>
        <w:rPr>
          <w:rFonts w:cs="Arial"/>
          <w:szCs w:val="22"/>
        </w:rPr>
      </w:pPr>
      <w:r>
        <w:rPr>
          <w:rFonts w:cs="Arial"/>
          <w:noProof/>
          <w:szCs w:val="22"/>
        </w:rPr>
        <w:drawing>
          <wp:inline distT="0" distB="0" distL="0" distR="0">
            <wp:extent cx="5270500" cy="5891530"/>
            <wp:effectExtent l="19050" t="0" r="6350" b="0"/>
            <wp:docPr id="11" name="Picture 5" descr="Figure 6.16.  Surface Water Trends for TKN, 1999–2008.  This is a map of the state of Florida showing the statewide total kjeldahl nitrogen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6.16.  Surface Water Trends for TKN, 1999–2008"/>
                    <pic:cNvPicPr>
                      <a:picLocks noChangeAspect="1" noChangeArrowheads="1"/>
                    </pic:cNvPicPr>
                  </pic:nvPicPr>
                  <pic:blipFill>
                    <a:blip r:embed="rId102"/>
                    <a:srcRect/>
                    <a:stretch>
                      <a:fillRect/>
                    </a:stretch>
                  </pic:blipFill>
                  <pic:spPr bwMode="auto">
                    <a:xfrm>
                      <a:off x="0" y="0"/>
                      <a:ext cx="5270500" cy="5891530"/>
                    </a:xfrm>
                    <a:prstGeom prst="rect">
                      <a:avLst/>
                    </a:prstGeom>
                    <a:noFill/>
                    <a:ln w="9525">
                      <a:noFill/>
                      <a:miter lim="800000"/>
                      <a:headEnd/>
                      <a:tailEnd/>
                    </a:ln>
                  </pic:spPr>
                </pic:pic>
              </a:graphicData>
            </a:graphic>
          </wp:inline>
        </w:drawing>
      </w:r>
    </w:p>
    <w:p w:rsidR="00485094" w:rsidRDefault="00485094" w:rsidP="00692F31">
      <w:pPr>
        <w:pStyle w:val="Bodytextreduced"/>
        <w:rPr>
          <w:rFonts w:cs="Arial"/>
          <w:szCs w:val="22"/>
        </w:rPr>
      </w:pPr>
    </w:p>
    <w:p w:rsidR="00485094" w:rsidRPr="00F30D85" w:rsidRDefault="00485094" w:rsidP="00692F31">
      <w:pPr>
        <w:pStyle w:val="Bodytextreduced"/>
        <w:rPr>
          <w:rFonts w:cs="Arial"/>
          <w:szCs w:val="22"/>
        </w:rPr>
      </w:pPr>
    </w:p>
    <w:p w:rsidR="00485094" w:rsidRDefault="00485094" w:rsidP="00692F31">
      <w:pPr>
        <w:pStyle w:val="Bodytext"/>
        <w:rPr>
          <w:b/>
        </w:rPr>
      </w:pPr>
      <w:r w:rsidRPr="0046644F">
        <w:rPr>
          <w:b/>
        </w:rPr>
        <w:t>Highlights</w:t>
      </w:r>
    </w:p>
    <w:p w:rsidR="00485094" w:rsidRPr="0046644F" w:rsidRDefault="00485094" w:rsidP="00692F31">
      <w:pPr>
        <w:pStyle w:val="Bodytextreduced"/>
      </w:pPr>
    </w:p>
    <w:p w:rsidR="00485094" w:rsidRDefault="00485094" w:rsidP="00692F31">
      <w:pPr>
        <w:pStyle w:val="ListBullet"/>
        <w:rPr>
          <w:b/>
        </w:rPr>
      </w:pPr>
      <w:r w:rsidRPr="00F30D85">
        <w:t xml:space="preserve">TKN had </w:t>
      </w:r>
      <w:r>
        <w:t>20</w:t>
      </w:r>
      <w:r w:rsidRPr="00F30D85">
        <w:t xml:space="preserve"> stations with increasing trends and only </w:t>
      </w:r>
      <w:r>
        <w:t>2</w:t>
      </w:r>
      <w:r w:rsidRPr="00F30D85">
        <w:t xml:space="preserve"> </w:t>
      </w:r>
      <w:r>
        <w:t xml:space="preserve">stations had </w:t>
      </w:r>
      <w:r w:rsidRPr="00F30D85">
        <w:t>decreasing</w:t>
      </w:r>
      <w:r>
        <w:t xml:space="preserve"> trends</w:t>
      </w:r>
      <w:r w:rsidRPr="00F30D85">
        <w:t>.  TKN is ammonia plus organic nitrogen</w:t>
      </w:r>
      <w:r>
        <w:t>.</w:t>
      </w:r>
    </w:p>
    <w:p w:rsidR="00485094" w:rsidRPr="00F30D85" w:rsidRDefault="00485094" w:rsidP="00692F31">
      <w:pPr>
        <w:pStyle w:val="Bodytextreduced"/>
        <w:rPr>
          <w:rFonts w:cs="Arial"/>
          <w:szCs w:val="22"/>
        </w:rPr>
      </w:pPr>
      <w:r>
        <w:rPr>
          <w:rFonts w:cs="Arial"/>
          <w:szCs w:val="22"/>
        </w:rPr>
        <w:br w:type="page"/>
      </w:r>
    </w:p>
    <w:p w:rsidR="00485094" w:rsidRPr="00F30D85" w:rsidRDefault="00485094" w:rsidP="00692F31">
      <w:pPr>
        <w:pStyle w:val="Caption"/>
      </w:pPr>
      <w:bookmarkStart w:id="479" w:name="_Toc262464310"/>
      <w:bookmarkStart w:id="480" w:name="_Toc271280162"/>
      <w:r w:rsidRPr="00F30D85">
        <w:t xml:space="preserve">Figure </w:t>
      </w:r>
      <w:r>
        <w:t>6.17</w:t>
      </w:r>
      <w:r w:rsidRPr="00F30D85">
        <w:t>.</w:t>
      </w:r>
      <w:r>
        <w:t xml:space="preserve">  </w:t>
      </w:r>
      <w:r w:rsidRPr="00F30D85">
        <w:t xml:space="preserve">Surface </w:t>
      </w:r>
      <w:r>
        <w:t>W</w:t>
      </w:r>
      <w:r w:rsidRPr="00F30D85">
        <w:t xml:space="preserve">ater </w:t>
      </w:r>
      <w:r>
        <w:t>T</w:t>
      </w:r>
      <w:r w:rsidRPr="00F30D85">
        <w:t xml:space="preserve">rends for </w:t>
      </w:r>
      <w:r>
        <w:t>TP,</w:t>
      </w:r>
      <w:r w:rsidRPr="00F30D85">
        <w:t xml:space="preserve"> 1999</w:t>
      </w:r>
      <w:r>
        <w:t>–2008</w:t>
      </w:r>
      <w:bookmarkEnd w:id="479"/>
      <w:bookmarkEnd w:id="480"/>
    </w:p>
    <w:p w:rsidR="00485094" w:rsidRPr="00F30D85" w:rsidRDefault="00485094" w:rsidP="00692F31">
      <w:pPr>
        <w:pStyle w:val="BodyText2"/>
        <w:ind w:right="1440"/>
        <w:jc w:val="both"/>
        <w:rPr>
          <w:rFonts w:cs="Arial"/>
          <w:b/>
          <w:szCs w:val="22"/>
        </w:rPr>
      </w:pPr>
    </w:p>
    <w:p w:rsidR="00485094" w:rsidRDefault="001717CD" w:rsidP="00692F31">
      <w:pPr>
        <w:pStyle w:val="Bodytextreduced"/>
      </w:pPr>
      <w:r>
        <w:rPr>
          <w:noProof/>
        </w:rPr>
        <w:drawing>
          <wp:inline distT="0" distB="0" distL="0" distR="0">
            <wp:extent cx="5270500" cy="5891530"/>
            <wp:effectExtent l="19050" t="0" r="6350" b="0"/>
            <wp:docPr id="12" name="Picture 8" descr="Figure 6.17.  Surface Water Trends for TP, 1999–2008.  This is a map of the state of Florida showing the statewide total phosphorus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6.17.  Surface Water Trends for TP, 1999–2008"/>
                    <pic:cNvPicPr>
                      <a:picLocks noChangeAspect="1" noChangeArrowheads="1"/>
                    </pic:cNvPicPr>
                  </pic:nvPicPr>
                  <pic:blipFill>
                    <a:blip r:embed="rId103"/>
                    <a:srcRect/>
                    <a:stretch>
                      <a:fillRect/>
                    </a:stretch>
                  </pic:blipFill>
                  <pic:spPr bwMode="auto">
                    <a:xfrm>
                      <a:off x="0" y="0"/>
                      <a:ext cx="5270500" cy="5891530"/>
                    </a:xfrm>
                    <a:prstGeom prst="rect">
                      <a:avLst/>
                    </a:prstGeom>
                    <a:noFill/>
                    <a:ln w="9525">
                      <a:noFill/>
                      <a:miter lim="800000"/>
                      <a:headEnd/>
                      <a:tailEnd/>
                    </a:ln>
                  </pic:spPr>
                </pic:pic>
              </a:graphicData>
            </a:graphic>
          </wp:inline>
        </w:drawing>
      </w:r>
    </w:p>
    <w:p w:rsidR="00485094" w:rsidRDefault="00485094" w:rsidP="00692F31">
      <w:pPr>
        <w:pStyle w:val="Bodytextreduced"/>
      </w:pPr>
    </w:p>
    <w:p w:rsidR="00485094" w:rsidRPr="0046644F" w:rsidRDefault="00485094" w:rsidP="00692F31">
      <w:pPr>
        <w:pStyle w:val="Bodytextreduced"/>
      </w:pPr>
    </w:p>
    <w:p w:rsidR="00485094" w:rsidRDefault="00485094" w:rsidP="00692F31">
      <w:pPr>
        <w:pStyle w:val="Bodytext"/>
        <w:rPr>
          <w:b/>
        </w:rPr>
      </w:pPr>
      <w:r w:rsidRPr="0046644F">
        <w:rPr>
          <w:b/>
        </w:rPr>
        <w:t>Highlights</w:t>
      </w:r>
    </w:p>
    <w:p w:rsidR="00485094" w:rsidRPr="0046644F" w:rsidRDefault="00485094" w:rsidP="00692F31">
      <w:pPr>
        <w:pStyle w:val="Bodytextreduced"/>
      </w:pPr>
    </w:p>
    <w:p w:rsidR="00485094" w:rsidRPr="00A162A6" w:rsidRDefault="00485094" w:rsidP="00692F31">
      <w:pPr>
        <w:pStyle w:val="ListBullet"/>
        <w:rPr>
          <w:b/>
        </w:rPr>
      </w:pPr>
      <w:r w:rsidRPr="00F30D85">
        <w:t>T</w:t>
      </w:r>
      <w:r>
        <w:t>P</w:t>
      </w:r>
      <w:r w:rsidRPr="00F30D85">
        <w:t xml:space="preserve"> had </w:t>
      </w:r>
      <w:r w:rsidR="000D13CF">
        <w:t>5</w:t>
      </w:r>
      <w:r w:rsidR="000D13CF" w:rsidRPr="00F30D85">
        <w:t xml:space="preserve"> </w:t>
      </w:r>
      <w:r w:rsidRPr="00F30D85">
        <w:t xml:space="preserve">stations with increasing trends and </w:t>
      </w:r>
      <w:r w:rsidR="000D13CF">
        <w:t xml:space="preserve">9 </w:t>
      </w:r>
      <w:r>
        <w:t>stations with d</w:t>
      </w:r>
      <w:r w:rsidRPr="00F30D85">
        <w:t xml:space="preserve">ecreasing </w:t>
      </w:r>
      <w:r>
        <w:t xml:space="preserve">trends </w:t>
      </w:r>
      <w:r w:rsidRPr="00F30D85">
        <w:t xml:space="preserve">across the state.  There was no pattern </w:t>
      </w:r>
      <w:r>
        <w:t>for either the increasing or decreasing trends</w:t>
      </w:r>
      <w:r w:rsidRPr="00F30D85">
        <w:t xml:space="preserve">.  Phosphorus is found </w:t>
      </w:r>
      <w:r>
        <w:t xml:space="preserve">naturally in ground water </w:t>
      </w:r>
      <w:r w:rsidRPr="00F30D85">
        <w:t xml:space="preserve">in </w:t>
      </w:r>
      <w:r>
        <w:t xml:space="preserve">many </w:t>
      </w:r>
      <w:r w:rsidRPr="00F30D85">
        <w:t>areas of the state</w:t>
      </w:r>
      <w:r>
        <w:t>.</w:t>
      </w:r>
    </w:p>
    <w:p w:rsidR="00485094" w:rsidRDefault="00485094" w:rsidP="00692F31">
      <w:pPr>
        <w:pStyle w:val="BodyText2"/>
        <w:ind w:right="1440"/>
        <w:jc w:val="both"/>
        <w:rPr>
          <w:rFonts w:cs="Arial"/>
          <w:b/>
          <w:szCs w:val="22"/>
        </w:rPr>
      </w:pPr>
    </w:p>
    <w:p w:rsidR="00485094" w:rsidRPr="00F30D85" w:rsidRDefault="00485094" w:rsidP="00692F31">
      <w:pPr>
        <w:pStyle w:val="Bodytextreduced"/>
        <w:rPr>
          <w:rFonts w:cs="Arial"/>
          <w:szCs w:val="22"/>
        </w:rPr>
      </w:pPr>
      <w:r>
        <w:rPr>
          <w:rFonts w:cs="Arial"/>
          <w:szCs w:val="22"/>
        </w:rPr>
        <w:br w:type="page"/>
      </w:r>
    </w:p>
    <w:p w:rsidR="00485094" w:rsidRPr="00F30D85" w:rsidRDefault="00485094" w:rsidP="00692F31">
      <w:pPr>
        <w:pStyle w:val="Caption"/>
      </w:pPr>
      <w:bookmarkStart w:id="481" w:name="_Toc262464311"/>
      <w:bookmarkStart w:id="482" w:name="_Toc271280163"/>
      <w:r w:rsidRPr="00F30D85">
        <w:t xml:space="preserve">Figure </w:t>
      </w:r>
      <w:r>
        <w:t>6.18</w:t>
      </w:r>
      <w:r w:rsidRPr="00F30D85">
        <w:t>.</w:t>
      </w:r>
      <w:r>
        <w:t xml:space="preserve">  </w:t>
      </w:r>
      <w:r w:rsidRPr="00F30D85">
        <w:t xml:space="preserve">Surface </w:t>
      </w:r>
      <w:r>
        <w:t>W</w:t>
      </w:r>
      <w:r w:rsidRPr="00F30D85">
        <w:t xml:space="preserve">ater </w:t>
      </w:r>
      <w:r>
        <w:t>T</w:t>
      </w:r>
      <w:r w:rsidRPr="00F30D85">
        <w:t>rends for TOC</w:t>
      </w:r>
      <w:r>
        <w:t xml:space="preserve">, </w:t>
      </w:r>
      <w:r w:rsidRPr="00F30D85">
        <w:t>1999</w:t>
      </w:r>
      <w:r>
        <w:t>–2008</w:t>
      </w:r>
      <w:bookmarkEnd w:id="481"/>
      <w:bookmarkEnd w:id="482"/>
    </w:p>
    <w:p w:rsidR="00485094" w:rsidRDefault="001717CD" w:rsidP="00692F31">
      <w:pPr>
        <w:pStyle w:val="BodyText2"/>
        <w:ind w:right="1440"/>
        <w:jc w:val="both"/>
        <w:rPr>
          <w:rFonts w:cs="Arial"/>
          <w:b/>
          <w:szCs w:val="22"/>
        </w:rPr>
      </w:pPr>
      <w:r>
        <w:rPr>
          <w:noProof/>
        </w:rPr>
        <w:drawing>
          <wp:anchor distT="0" distB="0" distL="114300" distR="114300" simplePos="0" relativeHeight="251655680" behindDoc="0" locked="0" layoutInCell="1" allowOverlap="1">
            <wp:simplePos x="0" y="0"/>
            <wp:positionH relativeFrom="column">
              <wp:align>center</wp:align>
            </wp:positionH>
            <wp:positionV relativeFrom="paragraph">
              <wp:posOffset>219710</wp:posOffset>
            </wp:positionV>
            <wp:extent cx="5157470" cy="5947410"/>
            <wp:effectExtent l="19050" t="0" r="5080" b="0"/>
            <wp:wrapTopAndBottom/>
            <wp:docPr id="34" name="Picture 6" descr="Figure 6.18.  Surface Water Trends for TOC, 1999–2008.  This is a map of the state of Florida showing the statewide total organic carbon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6.18.  Surface Water Trends for TOC, 1999–2008"/>
                    <pic:cNvPicPr>
                      <a:picLocks noChangeAspect="1" noChangeArrowheads="1"/>
                    </pic:cNvPicPr>
                  </pic:nvPicPr>
                  <pic:blipFill>
                    <a:blip r:embed="rId104"/>
                    <a:srcRect/>
                    <a:stretch>
                      <a:fillRect/>
                    </a:stretch>
                  </pic:blipFill>
                  <pic:spPr bwMode="auto">
                    <a:xfrm>
                      <a:off x="0" y="0"/>
                      <a:ext cx="5157470" cy="5947410"/>
                    </a:xfrm>
                    <a:prstGeom prst="rect">
                      <a:avLst/>
                    </a:prstGeom>
                    <a:noFill/>
                    <a:ln w="9525">
                      <a:noFill/>
                      <a:miter lim="800000"/>
                      <a:headEnd/>
                      <a:tailEnd/>
                    </a:ln>
                  </pic:spPr>
                </pic:pic>
              </a:graphicData>
            </a:graphic>
          </wp:anchor>
        </w:drawing>
      </w:r>
    </w:p>
    <w:p w:rsidR="00485094" w:rsidRPr="0046644F" w:rsidRDefault="00485094" w:rsidP="00692F31">
      <w:pPr>
        <w:pStyle w:val="Bodytextreduced"/>
      </w:pPr>
    </w:p>
    <w:p w:rsidR="00485094" w:rsidRDefault="00485094" w:rsidP="00692F31">
      <w:pPr>
        <w:pStyle w:val="Bodytext"/>
        <w:rPr>
          <w:b/>
        </w:rPr>
      </w:pPr>
      <w:r w:rsidRPr="0046644F">
        <w:rPr>
          <w:b/>
        </w:rPr>
        <w:t>Highlights</w:t>
      </w:r>
    </w:p>
    <w:p w:rsidR="00485094" w:rsidRPr="0046644F" w:rsidRDefault="00485094" w:rsidP="00692F31">
      <w:pPr>
        <w:pStyle w:val="Bodytextreduced"/>
      </w:pPr>
    </w:p>
    <w:p w:rsidR="00485094" w:rsidRDefault="00485094" w:rsidP="00692F31">
      <w:pPr>
        <w:pStyle w:val="ListBullet"/>
      </w:pPr>
      <w:r w:rsidRPr="00F30D85">
        <w:t>T</w:t>
      </w:r>
      <w:r>
        <w:t>here were 7</w:t>
      </w:r>
      <w:r w:rsidRPr="00F30D85">
        <w:t xml:space="preserve"> stations with increasing trends and </w:t>
      </w:r>
      <w:r>
        <w:t>5 stations with d</w:t>
      </w:r>
      <w:r w:rsidRPr="00F30D85">
        <w:t xml:space="preserve">ecreasing </w:t>
      </w:r>
      <w:r>
        <w:t xml:space="preserve">trends for TOC </w:t>
      </w:r>
      <w:r w:rsidRPr="00F30D85">
        <w:t>across the state.  The increasing stations were predominantly located in the Panhandle region, while the decreasing stations were in the Peninsula.</w:t>
      </w:r>
    </w:p>
    <w:p w:rsidR="00485094" w:rsidRDefault="00485094" w:rsidP="00692F31">
      <w:pPr>
        <w:pStyle w:val="BodyText2"/>
        <w:ind w:right="1440"/>
        <w:jc w:val="both"/>
        <w:rPr>
          <w:rFonts w:cs="Arial"/>
          <w:b/>
          <w:szCs w:val="22"/>
        </w:rPr>
      </w:pPr>
    </w:p>
    <w:p w:rsidR="00485094" w:rsidRPr="00F30D85" w:rsidRDefault="00485094" w:rsidP="00692F31">
      <w:pPr>
        <w:pStyle w:val="Bodytextreduced"/>
        <w:rPr>
          <w:rFonts w:cs="Arial"/>
          <w:szCs w:val="22"/>
        </w:rPr>
      </w:pPr>
      <w:r>
        <w:rPr>
          <w:rFonts w:cs="Arial"/>
          <w:szCs w:val="22"/>
        </w:rPr>
        <w:br w:type="page"/>
      </w:r>
    </w:p>
    <w:p w:rsidR="00485094" w:rsidRPr="00F30D85" w:rsidRDefault="00485094" w:rsidP="00692F31">
      <w:pPr>
        <w:pStyle w:val="Caption"/>
      </w:pPr>
      <w:bookmarkStart w:id="483" w:name="_Toc262464312"/>
      <w:bookmarkStart w:id="484" w:name="_Toc271280164"/>
      <w:r w:rsidRPr="00F30D85">
        <w:t xml:space="preserve">Figure </w:t>
      </w:r>
      <w:r>
        <w:t>6.19</w:t>
      </w:r>
      <w:r w:rsidRPr="00F30D85">
        <w:t>.</w:t>
      </w:r>
      <w:r>
        <w:t xml:space="preserve">  </w:t>
      </w:r>
      <w:r w:rsidRPr="00F30D85">
        <w:t xml:space="preserve">Surface </w:t>
      </w:r>
      <w:r>
        <w:t>W</w:t>
      </w:r>
      <w:r w:rsidRPr="00F30D85">
        <w:t xml:space="preserve">ater </w:t>
      </w:r>
      <w:r>
        <w:t>T</w:t>
      </w:r>
      <w:r w:rsidRPr="00F30D85">
        <w:t xml:space="preserve">rends for </w:t>
      </w:r>
      <w:r>
        <w:t>C</w:t>
      </w:r>
      <w:r w:rsidRPr="00F30D85">
        <w:t>hlorophyll a</w:t>
      </w:r>
      <w:r>
        <w:t xml:space="preserve">, </w:t>
      </w:r>
      <w:r w:rsidRPr="00F30D85">
        <w:t>1999</w:t>
      </w:r>
      <w:r>
        <w:t>–2008</w:t>
      </w:r>
      <w:bookmarkEnd w:id="483"/>
      <w:bookmarkEnd w:id="484"/>
    </w:p>
    <w:p w:rsidR="00485094" w:rsidRPr="00F30D85" w:rsidRDefault="001717CD" w:rsidP="00692F31">
      <w:pPr>
        <w:pStyle w:val="BodyText2"/>
        <w:ind w:right="1440"/>
        <w:jc w:val="both"/>
        <w:rPr>
          <w:rFonts w:cs="Arial"/>
          <w:b/>
          <w:szCs w:val="22"/>
        </w:rPr>
      </w:pPr>
      <w:r>
        <w:rPr>
          <w:noProof/>
        </w:rPr>
        <w:drawing>
          <wp:anchor distT="0" distB="0" distL="114300" distR="114300" simplePos="0" relativeHeight="251656704" behindDoc="0" locked="0" layoutInCell="1" allowOverlap="1">
            <wp:simplePos x="0" y="0"/>
            <wp:positionH relativeFrom="column">
              <wp:align>center</wp:align>
            </wp:positionH>
            <wp:positionV relativeFrom="paragraph">
              <wp:posOffset>212725</wp:posOffset>
            </wp:positionV>
            <wp:extent cx="5157470" cy="5947410"/>
            <wp:effectExtent l="19050" t="0" r="5080" b="0"/>
            <wp:wrapTopAndBottom/>
            <wp:docPr id="35" name="Picture 7" descr="Figure 6.19.  Surface Water Trends for Chlorophyll a, 1999–2008.  This is a map of the state of Florida showing the statewide chlorophyll a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6.19.  Surface Water Trends for Chlorophyll a, 1999–2008"/>
                    <pic:cNvPicPr>
                      <a:picLocks noChangeAspect="1" noChangeArrowheads="1"/>
                    </pic:cNvPicPr>
                  </pic:nvPicPr>
                  <pic:blipFill>
                    <a:blip r:embed="rId105"/>
                    <a:srcRect/>
                    <a:stretch>
                      <a:fillRect/>
                    </a:stretch>
                  </pic:blipFill>
                  <pic:spPr bwMode="auto">
                    <a:xfrm>
                      <a:off x="0" y="0"/>
                      <a:ext cx="5157470" cy="5947410"/>
                    </a:xfrm>
                    <a:prstGeom prst="rect">
                      <a:avLst/>
                    </a:prstGeom>
                    <a:noFill/>
                    <a:ln w="9525">
                      <a:noFill/>
                      <a:miter lim="800000"/>
                      <a:headEnd/>
                      <a:tailEnd/>
                    </a:ln>
                  </pic:spPr>
                </pic:pic>
              </a:graphicData>
            </a:graphic>
          </wp:anchor>
        </w:drawing>
      </w:r>
    </w:p>
    <w:p w:rsidR="00485094" w:rsidRDefault="00485094" w:rsidP="00692F31">
      <w:pPr>
        <w:pStyle w:val="BodyText2"/>
        <w:ind w:right="1440"/>
        <w:jc w:val="both"/>
        <w:rPr>
          <w:rFonts w:cs="Arial"/>
          <w:b/>
          <w:szCs w:val="22"/>
        </w:rPr>
      </w:pPr>
    </w:p>
    <w:p w:rsidR="00485094" w:rsidRDefault="00485094" w:rsidP="00692F31">
      <w:pPr>
        <w:pStyle w:val="Bodytext"/>
        <w:rPr>
          <w:b/>
        </w:rPr>
      </w:pPr>
      <w:r w:rsidRPr="0046644F">
        <w:rPr>
          <w:b/>
        </w:rPr>
        <w:t>Highlights</w:t>
      </w:r>
    </w:p>
    <w:p w:rsidR="00485094" w:rsidRPr="0046644F" w:rsidRDefault="00485094" w:rsidP="00692F31">
      <w:pPr>
        <w:pStyle w:val="Bodytextreduced"/>
      </w:pPr>
    </w:p>
    <w:p w:rsidR="00485094" w:rsidRPr="00760FFA" w:rsidRDefault="00485094" w:rsidP="00692F31">
      <w:pPr>
        <w:pStyle w:val="ListBullet"/>
        <w:rPr>
          <w:szCs w:val="22"/>
        </w:rPr>
      </w:pPr>
      <w:r w:rsidRPr="00760FFA">
        <w:t>The trends for chlorophyll a were mixed, with 2</w:t>
      </w:r>
      <w:r>
        <w:t>0</w:t>
      </w:r>
      <w:r w:rsidRPr="00760FFA">
        <w:t xml:space="preserve"> stations having a decreasing trend and 14 stations an increasing trend, with no apparent pattern around the state.  Chlorophyll a is a photosynthetic pigment and may be used as a surrogate indicator of changes in plant biomass</w:t>
      </w:r>
      <w:r>
        <w:t xml:space="preserve"> related to nutrients</w:t>
      </w:r>
      <w:r w:rsidRPr="00760FFA">
        <w:t>.</w:t>
      </w:r>
    </w:p>
    <w:p w:rsidR="00485094" w:rsidRDefault="00485094" w:rsidP="00692F31">
      <w:pPr>
        <w:pStyle w:val="BodyText2"/>
        <w:ind w:right="1440"/>
        <w:jc w:val="both"/>
        <w:rPr>
          <w:rFonts w:cs="Arial"/>
          <w:b/>
          <w:szCs w:val="22"/>
        </w:rPr>
      </w:pPr>
    </w:p>
    <w:p w:rsidR="00485094" w:rsidRPr="00F30D85" w:rsidRDefault="00485094" w:rsidP="00692F31">
      <w:pPr>
        <w:pStyle w:val="Bodytextreduced"/>
        <w:rPr>
          <w:rFonts w:cs="Arial"/>
          <w:szCs w:val="22"/>
        </w:rPr>
      </w:pPr>
      <w:r>
        <w:rPr>
          <w:rFonts w:cs="Arial"/>
          <w:szCs w:val="22"/>
        </w:rPr>
        <w:br w:type="page"/>
      </w:r>
    </w:p>
    <w:p w:rsidR="00485094" w:rsidRPr="00F30D85" w:rsidRDefault="00485094" w:rsidP="00692F31">
      <w:pPr>
        <w:pStyle w:val="Caption"/>
      </w:pPr>
      <w:bookmarkStart w:id="485" w:name="_Toc262464313"/>
      <w:bookmarkStart w:id="486" w:name="_Toc271280165"/>
      <w:r w:rsidRPr="00F30D85">
        <w:t xml:space="preserve">Figure </w:t>
      </w:r>
      <w:r>
        <w:t>6.20</w:t>
      </w:r>
      <w:r w:rsidRPr="00F30D85">
        <w:t>.</w:t>
      </w:r>
      <w:r>
        <w:t xml:space="preserve">  </w:t>
      </w:r>
      <w:r w:rsidRPr="00F30D85">
        <w:t xml:space="preserve">Surface </w:t>
      </w:r>
      <w:r>
        <w:t>W</w:t>
      </w:r>
      <w:r w:rsidRPr="00F30D85">
        <w:t xml:space="preserve">ater </w:t>
      </w:r>
      <w:r>
        <w:t>T</w:t>
      </w:r>
      <w:r w:rsidRPr="00F30D85">
        <w:t xml:space="preserve">rends for </w:t>
      </w:r>
      <w:r>
        <w:t>F</w:t>
      </w:r>
      <w:r w:rsidRPr="00F30D85">
        <w:t xml:space="preserve">ecal </w:t>
      </w:r>
      <w:r>
        <w:t>C</w:t>
      </w:r>
      <w:r w:rsidRPr="00F30D85">
        <w:t xml:space="preserve">oliform </w:t>
      </w:r>
      <w:r>
        <w:t>B</w:t>
      </w:r>
      <w:r w:rsidRPr="00F30D85">
        <w:t>acteria</w:t>
      </w:r>
      <w:r>
        <w:t xml:space="preserve">, </w:t>
      </w:r>
      <w:r w:rsidRPr="00F30D85">
        <w:t>1999</w:t>
      </w:r>
      <w:r>
        <w:t>–2008</w:t>
      </w:r>
      <w:bookmarkEnd w:id="485"/>
      <w:bookmarkEnd w:id="486"/>
    </w:p>
    <w:p w:rsidR="00485094" w:rsidRPr="00F30D85" w:rsidRDefault="001717CD" w:rsidP="00692F31">
      <w:pPr>
        <w:pStyle w:val="BodyText2"/>
        <w:ind w:right="1440"/>
        <w:jc w:val="both"/>
        <w:rPr>
          <w:rFonts w:cs="Arial"/>
          <w:b/>
          <w:szCs w:val="22"/>
        </w:rPr>
      </w:pPr>
      <w:r>
        <w:rPr>
          <w:noProof/>
        </w:rPr>
        <w:drawing>
          <wp:anchor distT="0" distB="0" distL="114300" distR="114300" simplePos="0" relativeHeight="251657728" behindDoc="0" locked="0" layoutInCell="1" allowOverlap="1">
            <wp:simplePos x="0" y="0"/>
            <wp:positionH relativeFrom="column">
              <wp:align>center</wp:align>
            </wp:positionH>
            <wp:positionV relativeFrom="paragraph">
              <wp:posOffset>212725</wp:posOffset>
            </wp:positionV>
            <wp:extent cx="5157470" cy="5947410"/>
            <wp:effectExtent l="19050" t="0" r="5080" b="0"/>
            <wp:wrapTopAndBottom/>
            <wp:docPr id="36" name="Picture 8" descr="Figure 6.20.  Surface Water Trends for Fecal Coliform Bacteria, 1999–2008.  This is a map of the state of Florida showing the statewide fecal coliform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6.20.  Surface Water Trends for Fecal Coliform Bacteria, 1999–2008"/>
                    <pic:cNvPicPr>
                      <a:picLocks noChangeAspect="1" noChangeArrowheads="1"/>
                    </pic:cNvPicPr>
                  </pic:nvPicPr>
                  <pic:blipFill>
                    <a:blip r:embed="rId106"/>
                    <a:srcRect/>
                    <a:stretch>
                      <a:fillRect/>
                    </a:stretch>
                  </pic:blipFill>
                  <pic:spPr bwMode="auto">
                    <a:xfrm>
                      <a:off x="0" y="0"/>
                      <a:ext cx="5157470" cy="5947410"/>
                    </a:xfrm>
                    <a:prstGeom prst="rect">
                      <a:avLst/>
                    </a:prstGeom>
                    <a:noFill/>
                    <a:ln w="9525">
                      <a:noFill/>
                      <a:miter lim="800000"/>
                      <a:headEnd/>
                      <a:tailEnd/>
                    </a:ln>
                  </pic:spPr>
                </pic:pic>
              </a:graphicData>
            </a:graphic>
          </wp:anchor>
        </w:drawing>
      </w:r>
    </w:p>
    <w:p w:rsidR="00485094" w:rsidRPr="0046644F" w:rsidRDefault="00485094" w:rsidP="00692F31">
      <w:pPr>
        <w:pStyle w:val="Bodytextreduced"/>
      </w:pPr>
    </w:p>
    <w:p w:rsidR="00485094" w:rsidRDefault="00485094" w:rsidP="00692F31">
      <w:pPr>
        <w:pStyle w:val="Bodytext"/>
        <w:rPr>
          <w:b/>
        </w:rPr>
      </w:pPr>
      <w:r w:rsidRPr="0046644F">
        <w:rPr>
          <w:b/>
        </w:rPr>
        <w:t>Highlights</w:t>
      </w:r>
    </w:p>
    <w:p w:rsidR="00485094" w:rsidRPr="0046644F" w:rsidRDefault="00485094" w:rsidP="00692F31">
      <w:pPr>
        <w:pStyle w:val="Bodytextreduced"/>
      </w:pPr>
    </w:p>
    <w:p w:rsidR="00485094" w:rsidRPr="000D13CF" w:rsidRDefault="00485094" w:rsidP="00692F31">
      <w:pPr>
        <w:pStyle w:val="ListBullet"/>
        <w:rPr>
          <w:b/>
        </w:rPr>
      </w:pPr>
      <w:r>
        <w:t>Ten stations</w:t>
      </w:r>
      <w:r w:rsidRPr="00F30D85">
        <w:t xml:space="preserve"> </w:t>
      </w:r>
      <w:r>
        <w:t>had increasing trends for f</w:t>
      </w:r>
      <w:r w:rsidRPr="00F30D85">
        <w:t>ecal coliform bacter</w:t>
      </w:r>
      <w:r>
        <w:t>ia</w:t>
      </w:r>
      <w:r w:rsidRPr="00F30D85">
        <w:t>.  There was one</w:t>
      </w:r>
      <w:r>
        <w:t xml:space="preserve"> station with a</w:t>
      </w:r>
      <w:r w:rsidRPr="00F30D85">
        <w:t xml:space="preserve"> decreasing trend, located at the Florida</w:t>
      </w:r>
      <w:r>
        <w:t>–</w:t>
      </w:r>
      <w:r w:rsidRPr="00F30D85">
        <w:t xml:space="preserve">Georgia border.  Increased levels of fecal coliform </w:t>
      </w:r>
      <w:r>
        <w:t>in surface waters can indicate inadequate treatment of domestic wastewater, sewer line spills, or failing septic tanks; however, there are also many natural sources of coliform, and the EPA no longer supports the use of fecal coliform as an indicator organism.</w:t>
      </w:r>
      <w:r w:rsidRPr="00F30D85" w:rsidDel="00B7251E">
        <w:t xml:space="preserve"> </w:t>
      </w:r>
    </w:p>
    <w:p w:rsidR="00485094" w:rsidRDefault="000D13CF" w:rsidP="00692F31">
      <w:pPr>
        <w:pStyle w:val="ListBullet"/>
        <w:ind w:right="1440"/>
        <w:jc w:val="both"/>
        <w:rPr>
          <w:rFonts w:cs="Arial"/>
        </w:rPr>
      </w:pPr>
      <w:r>
        <w:br w:type="page"/>
      </w:r>
    </w:p>
    <w:p w:rsidR="00485094" w:rsidRDefault="001717CD" w:rsidP="00692F31">
      <w:pPr>
        <w:pStyle w:val="Caption"/>
      </w:pPr>
      <w:r>
        <w:rPr>
          <w:noProof/>
        </w:rPr>
        <w:drawing>
          <wp:anchor distT="0" distB="0" distL="114300" distR="114300" simplePos="0" relativeHeight="251658752" behindDoc="0" locked="0" layoutInCell="1" allowOverlap="1">
            <wp:simplePos x="0" y="0"/>
            <wp:positionH relativeFrom="column">
              <wp:align>center</wp:align>
            </wp:positionH>
            <wp:positionV relativeFrom="paragraph">
              <wp:posOffset>321945</wp:posOffset>
            </wp:positionV>
            <wp:extent cx="5157470" cy="5947410"/>
            <wp:effectExtent l="19050" t="0" r="5080" b="0"/>
            <wp:wrapTopAndBottom/>
            <wp:docPr id="37" name="Picture 9" descr="Figure 6.21.  Surface Water Trends for DO, 1999–2008.  This is a map of the state of Florida showing the statewide surface water dissolved oxygen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6.21.  Surface Water Trends for DO, 1999–2008"/>
                    <pic:cNvPicPr>
                      <a:picLocks noChangeAspect="1" noChangeArrowheads="1"/>
                    </pic:cNvPicPr>
                  </pic:nvPicPr>
                  <pic:blipFill>
                    <a:blip r:embed="rId107"/>
                    <a:srcRect/>
                    <a:stretch>
                      <a:fillRect/>
                    </a:stretch>
                  </pic:blipFill>
                  <pic:spPr bwMode="auto">
                    <a:xfrm>
                      <a:off x="0" y="0"/>
                      <a:ext cx="5157470" cy="5947410"/>
                    </a:xfrm>
                    <a:prstGeom prst="rect">
                      <a:avLst/>
                    </a:prstGeom>
                    <a:noFill/>
                    <a:ln w="9525">
                      <a:noFill/>
                      <a:miter lim="800000"/>
                      <a:headEnd/>
                      <a:tailEnd/>
                    </a:ln>
                  </pic:spPr>
                </pic:pic>
              </a:graphicData>
            </a:graphic>
          </wp:anchor>
        </w:drawing>
      </w:r>
      <w:bookmarkStart w:id="487" w:name="_Toc262464314"/>
      <w:bookmarkStart w:id="488" w:name="_Toc271280166"/>
      <w:r w:rsidR="00485094" w:rsidRPr="00F30D85">
        <w:t xml:space="preserve">Figure </w:t>
      </w:r>
      <w:r w:rsidR="00485094">
        <w:t>6.21</w:t>
      </w:r>
      <w:r w:rsidR="00485094" w:rsidRPr="00F30D85">
        <w:t>.</w:t>
      </w:r>
      <w:r w:rsidR="00485094">
        <w:t xml:space="preserve">  </w:t>
      </w:r>
      <w:r w:rsidR="00485094" w:rsidRPr="00F30D85">
        <w:t xml:space="preserve">Surface </w:t>
      </w:r>
      <w:r w:rsidR="00485094">
        <w:t>W</w:t>
      </w:r>
      <w:r w:rsidR="00485094" w:rsidRPr="00F30D85">
        <w:t xml:space="preserve">ater </w:t>
      </w:r>
      <w:r w:rsidR="00485094">
        <w:t>T</w:t>
      </w:r>
      <w:r w:rsidR="00485094" w:rsidRPr="00F30D85">
        <w:t xml:space="preserve">rends for </w:t>
      </w:r>
      <w:r w:rsidR="00485094">
        <w:t>DO,</w:t>
      </w:r>
      <w:r w:rsidR="00485094" w:rsidRPr="00F30D85">
        <w:t xml:space="preserve"> 1999</w:t>
      </w:r>
      <w:r w:rsidR="00485094">
        <w:t>–2008</w:t>
      </w:r>
      <w:bookmarkEnd w:id="487"/>
      <w:bookmarkEnd w:id="488"/>
    </w:p>
    <w:p w:rsidR="00485094" w:rsidRDefault="00485094" w:rsidP="00692F31">
      <w:pPr>
        <w:pStyle w:val="BodyText2"/>
        <w:ind w:right="1440"/>
        <w:jc w:val="both"/>
        <w:rPr>
          <w:rFonts w:cs="Arial"/>
          <w:b/>
          <w:szCs w:val="22"/>
        </w:rPr>
      </w:pPr>
    </w:p>
    <w:p w:rsidR="00485094" w:rsidRDefault="00485094" w:rsidP="00692F31">
      <w:pPr>
        <w:pStyle w:val="Bodytextreduced"/>
      </w:pPr>
      <w:r>
        <w:t xml:space="preserve"> </w:t>
      </w:r>
    </w:p>
    <w:p w:rsidR="00485094" w:rsidRPr="0046644F" w:rsidRDefault="00485094" w:rsidP="00692F31">
      <w:pPr>
        <w:pStyle w:val="Bodytextreduced"/>
      </w:pPr>
    </w:p>
    <w:p w:rsidR="00485094" w:rsidRDefault="00485094" w:rsidP="00692F31">
      <w:pPr>
        <w:pStyle w:val="Bodytext"/>
        <w:rPr>
          <w:b/>
        </w:rPr>
      </w:pPr>
      <w:r w:rsidRPr="0046644F">
        <w:rPr>
          <w:b/>
        </w:rPr>
        <w:t>Highlights</w:t>
      </w:r>
    </w:p>
    <w:p w:rsidR="00485094" w:rsidRPr="0046644F" w:rsidRDefault="00485094" w:rsidP="00692F31">
      <w:pPr>
        <w:pStyle w:val="Bodytextreduced"/>
      </w:pPr>
    </w:p>
    <w:p w:rsidR="00485094" w:rsidRDefault="00485094" w:rsidP="00692F31">
      <w:pPr>
        <w:pStyle w:val="ListBullet"/>
        <w:rPr>
          <w:b/>
        </w:rPr>
      </w:pPr>
      <w:r>
        <w:t>S</w:t>
      </w:r>
      <w:r w:rsidRPr="00F30D85">
        <w:t xml:space="preserve">ix </w:t>
      </w:r>
      <w:r>
        <w:t xml:space="preserve">stations had </w:t>
      </w:r>
      <w:r w:rsidRPr="00F30D85">
        <w:t xml:space="preserve">decreasing </w:t>
      </w:r>
      <w:r>
        <w:t xml:space="preserve">trends for DO (overall DO value decreasing), </w:t>
      </w:r>
      <w:r w:rsidRPr="00F30D85">
        <w:t>and 24</w:t>
      </w:r>
      <w:r>
        <w:t xml:space="preserve"> stations had</w:t>
      </w:r>
      <w:r w:rsidRPr="00F30D85">
        <w:t xml:space="preserve"> increasing </w:t>
      </w:r>
      <w:r>
        <w:t>trends</w:t>
      </w:r>
      <w:r w:rsidRPr="00F30D85">
        <w:t>.  There was no pattern to the trends, but more stations with increasing trends were</w:t>
      </w:r>
      <w:r>
        <w:t xml:space="preserve"> located</w:t>
      </w:r>
      <w:r w:rsidRPr="00F30D85">
        <w:t xml:space="preserve"> in the </w:t>
      </w:r>
      <w:r>
        <w:t>P</w:t>
      </w:r>
      <w:r w:rsidRPr="00F30D85">
        <w:t>anhandle.</w:t>
      </w:r>
    </w:p>
    <w:p w:rsidR="00485094" w:rsidRDefault="009150CD" w:rsidP="00692F31">
      <w:pPr>
        <w:pStyle w:val="BodyText2"/>
        <w:ind w:right="1440"/>
        <w:rPr>
          <w:rFonts w:cs="Arial"/>
          <w:szCs w:val="22"/>
        </w:rPr>
      </w:pPr>
      <w:r>
        <w:rPr>
          <w:rFonts w:cs="Arial"/>
          <w:szCs w:val="22"/>
        </w:rPr>
        <w:t xml:space="preserve"> </w:t>
      </w:r>
      <w:r w:rsidR="0011748B">
        <w:rPr>
          <w:rFonts w:cs="Arial"/>
          <w:szCs w:val="22"/>
        </w:rPr>
        <w:t xml:space="preserve"> </w:t>
      </w:r>
    </w:p>
    <w:p w:rsidR="00485094" w:rsidRDefault="00485094" w:rsidP="00692F31">
      <w:pPr>
        <w:pStyle w:val="Bodytextreduced"/>
        <w:rPr>
          <w:rFonts w:cs="Arial"/>
          <w:szCs w:val="22"/>
        </w:rPr>
      </w:pPr>
      <w:r>
        <w:br w:type="page"/>
      </w:r>
      <w:bookmarkStart w:id="489" w:name="_Toc255822537"/>
    </w:p>
    <w:p w:rsidR="00485094" w:rsidRDefault="00485094" w:rsidP="00692F31">
      <w:pPr>
        <w:pStyle w:val="Heading3"/>
      </w:pPr>
      <w:bookmarkStart w:id="490" w:name="_Toc262464155"/>
      <w:bookmarkStart w:id="491" w:name="_Toc271279979"/>
      <w:r w:rsidRPr="00B171DC">
        <w:t>Ground Water Trends</w:t>
      </w:r>
      <w:bookmarkEnd w:id="490"/>
      <w:bookmarkEnd w:id="491"/>
    </w:p>
    <w:p w:rsidR="00485094" w:rsidRDefault="00485094" w:rsidP="00692F31">
      <w:pPr>
        <w:pStyle w:val="Bodytext"/>
      </w:pPr>
      <w:r w:rsidRPr="005C4F4D">
        <w:t>Forty-six of the 47 ground water stations (wells) had a complete set of field and analytical data.  Twenty-two of the wells tap confined aquifers, while 25 tap</w:t>
      </w:r>
      <w:r w:rsidRPr="00334FA5">
        <w:rPr>
          <w:b/>
        </w:rPr>
        <w:t xml:space="preserve"> </w:t>
      </w:r>
      <w:r w:rsidRPr="006C41CE">
        <w:rPr>
          <w:rFonts w:cs="Arial"/>
          <w:szCs w:val="22"/>
        </w:rPr>
        <w:t>u</w:t>
      </w:r>
      <w:r w:rsidRPr="006C41CE">
        <w:t>n</w:t>
      </w:r>
      <w:r w:rsidRPr="005C4F4D">
        <w:t>confined aquifers</w:t>
      </w:r>
      <w:r w:rsidRPr="005C4F4D">
        <w:rPr>
          <w:b/>
          <w:i/>
        </w:rPr>
        <w:t>.  Tables 6.9b</w:t>
      </w:r>
      <w:r w:rsidRPr="005C4F4D">
        <w:t xml:space="preserve"> and </w:t>
      </w:r>
      <w:r w:rsidRPr="005C4F4D">
        <w:rPr>
          <w:b/>
          <w:i/>
        </w:rPr>
        <w:t>6.9c</w:t>
      </w:r>
      <w:r w:rsidRPr="005C4F4D">
        <w:t xml:space="preserve"> present the results of the trend analyses, and </w:t>
      </w:r>
      <w:r w:rsidRPr="005C4F4D">
        <w:rPr>
          <w:b/>
          <w:i/>
        </w:rPr>
        <w:t>Figures 6.22</w:t>
      </w:r>
      <w:r w:rsidRPr="005C4F4D">
        <w:t xml:space="preserve"> through </w:t>
      </w:r>
      <w:r w:rsidRPr="005C4F4D">
        <w:rPr>
          <w:b/>
          <w:i/>
        </w:rPr>
        <w:t>6.3</w:t>
      </w:r>
      <w:r>
        <w:rPr>
          <w:b/>
          <w:i/>
        </w:rPr>
        <w:t>7</w:t>
      </w:r>
      <w:r w:rsidRPr="005C4F4D">
        <w:t xml:space="preserve"> show the results graphically for each analyte.  </w:t>
      </w:r>
      <w:r w:rsidRPr="005C4F4D">
        <w:rPr>
          <w:b/>
          <w:i/>
        </w:rPr>
        <w:t>Table 6.9a</w:t>
      </w:r>
      <w:r w:rsidRPr="005C4F4D">
        <w:t xml:space="preserve"> contains the legend for the acronyms and abbreviations used in </w:t>
      </w:r>
      <w:r w:rsidRPr="005C4F4D">
        <w:rPr>
          <w:b/>
          <w:i/>
        </w:rPr>
        <w:t>Tables 6.9b</w:t>
      </w:r>
      <w:r w:rsidRPr="005C4F4D">
        <w:t xml:space="preserve"> and </w:t>
      </w:r>
      <w:r w:rsidRPr="005C4F4D">
        <w:rPr>
          <w:b/>
          <w:i/>
        </w:rPr>
        <w:t>6.9c</w:t>
      </w:r>
      <w:r w:rsidR="00805B69">
        <w:t>.</w:t>
      </w:r>
    </w:p>
    <w:p w:rsidR="00485094" w:rsidRPr="005C4F4D" w:rsidRDefault="00485094" w:rsidP="00692F31">
      <w:pPr>
        <w:pStyle w:val="Bodytext"/>
      </w:pPr>
    </w:p>
    <w:p w:rsidR="00485094" w:rsidRDefault="00485094" w:rsidP="00692F31">
      <w:pPr>
        <w:pStyle w:val="Tableheading"/>
      </w:pPr>
      <w:bookmarkStart w:id="492" w:name="_Toc262464261"/>
      <w:bookmarkStart w:id="493" w:name="_Toc271280108"/>
      <w:r w:rsidRPr="00613672">
        <w:t xml:space="preserve">Table </w:t>
      </w:r>
      <w:r>
        <w:t>6.9a</w:t>
      </w:r>
      <w:r w:rsidRPr="00613672">
        <w:t xml:space="preserve">.  Legend for the </w:t>
      </w:r>
      <w:r>
        <w:t>A</w:t>
      </w:r>
      <w:r w:rsidRPr="00613672">
        <w:t xml:space="preserve">cronyms </w:t>
      </w:r>
      <w:r>
        <w:t>and Abbreviations U</w:t>
      </w:r>
      <w:r w:rsidRPr="00613672">
        <w:t xml:space="preserve">sed in Tables </w:t>
      </w:r>
      <w:r>
        <w:t>6.9b and 6.9c</w:t>
      </w:r>
      <w:bookmarkEnd w:id="492"/>
      <w:bookmarkEnd w:id="493"/>
    </w:p>
    <w:p w:rsidR="00485094" w:rsidRPr="005C4F4D" w:rsidRDefault="00485094" w:rsidP="00692F31">
      <w:pPr>
        <w:pStyle w:val="TabledescriptionBF"/>
      </w:pPr>
      <w:r w:rsidRPr="005C4F4D">
        <w:t>This is a two</w:t>
      </w:r>
      <w:r>
        <w:t>-</w:t>
      </w:r>
      <w:r w:rsidRPr="005C4F4D">
        <w:t>column table</w:t>
      </w:r>
      <w:r>
        <w:t>.  C</w:t>
      </w:r>
      <w:r w:rsidRPr="005C4F4D">
        <w:t xml:space="preserve">olumn </w:t>
      </w:r>
      <w:r>
        <w:t xml:space="preserve">1 </w:t>
      </w:r>
      <w:r w:rsidR="008C37FA">
        <w:t>lists the acronym or abbreviation</w:t>
      </w:r>
      <w:r>
        <w:t>,</w:t>
      </w:r>
      <w:r w:rsidRPr="005C4F4D">
        <w:t xml:space="preserve"> and </w:t>
      </w:r>
      <w:r>
        <w:t>C</w:t>
      </w:r>
      <w:r w:rsidRPr="005C4F4D">
        <w:t xml:space="preserve">olumn </w:t>
      </w:r>
      <w:r>
        <w:t xml:space="preserve">2 </w:t>
      </w:r>
      <w:r w:rsidR="008C37FA">
        <w:t>spells out the acronym</w:t>
      </w:r>
      <w:r w:rsidRPr="005C4F4D">
        <w:t>.</w:t>
      </w:r>
    </w:p>
    <w:p w:rsidR="00485094" w:rsidRDefault="00485094" w:rsidP="00692F31">
      <w:pPr>
        <w:pStyle w:val="BodyText2"/>
        <w:ind w:left="720"/>
        <w:rPr>
          <w:rFonts w:cs="Arial"/>
          <w:b/>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7"/>
        <w:gridCol w:w="5220"/>
      </w:tblGrid>
      <w:tr w:rsidR="00485094" w:rsidRPr="005C4F4D" w:rsidTr="000F2909">
        <w:trPr>
          <w:trHeight w:val="288"/>
          <w:jc w:val="center"/>
        </w:trPr>
        <w:tc>
          <w:tcPr>
            <w:tcW w:w="1980" w:type="dxa"/>
            <w:tcBorders>
              <w:bottom w:val="double" w:sz="4" w:space="0" w:color="auto"/>
            </w:tcBorders>
            <w:shd w:val="clear" w:color="auto" w:fill="BDFFFF"/>
            <w:vAlign w:val="center"/>
          </w:tcPr>
          <w:p w:rsidR="00485094" w:rsidRPr="005C4F4D" w:rsidRDefault="00485094" w:rsidP="00453E80">
            <w:pPr>
              <w:pStyle w:val="tabletext1"/>
              <w:jc w:val="center"/>
              <w:rPr>
                <w:rFonts w:cs="Arial"/>
                <w:b/>
                <w:i/>
                <w:szCs w:val="18"/>
              </w:rPr>
            </w:pPr>
            <w:r w:rsidRPr="005C4F4D">
              <w:rPr>
                <w:rFonts w:cs="Arial"/>
                <w:b/>
                <w:i/>
                <w:szCs w:val="18"/>
              </w:rPr>
              <w:t>Acronym</w:t>
            </w:r>
            <w:r w:rsidR="00805B69">
              <w:rPr>
                <w:rFonts w:cs="Arial"/>
                <w:b/>
                <w:i/>
                <w:szCs w:val="18"/>
              </w:rPr>
              <w:t>/Abbreviation</w:t>
            </w:r>
          </w:p>
        </w:tc>
        <w:tc>
          <w:tcPr>
            <w:tcW w:w="5220" w:type="dxa"/>
            <w:tcBorders>
              <w:bottom w:val="double" w:sz="4" w:space="0" w:color="auto"/>
            </w:tcBorders>
            <w:shd w:val="clear" w:color="auto" w:fill="BDFFFF"/>
            <w:vAlign w:val="center"/>
          </w:tcPr>
          <w:p w:rsidR="00485094" w:rsidRPr="005C4F4D" w:rsidRDefault="00485094" w:rsidP="00453E80">
            <w:pPr>
              <w:pStyle w:val="tabletext1"/>
              <w:jc w:val="center"/>
              <w:rPr>
                <w:rFonts w:cs="Arial"/>
                <w:b/>
                <w:i/>
                <w:szCs w:val="18"/>
              </w:rPr>
            </w:pPr>
            <w:r w:rsidRPr="005C4F4D">
              <w:rPr>
                <w:rFonts w:cs="Arial"/>
                <w:b/>
                <w:i/>
                <w:szCs w:val="18"/>
              </w:rPr>
              <w:t>Indicator</w:t>
            </w:r>
          </w:p>
        </w:tc>
      </w:tr>
      <w:tr w:rsidR="00485094" w:rsidRPr="005C4F4D" w:rsidTr="00453E80">
        <w:trPr>
          <w:trHeight w:val="288"/>
          <w:jc w:val="center"/>
        </w:trPr>
        <w:tc>
          <w:tcPr>
            <w:tcW w:w="1980" w:type="dxa"/>
            <w:tcBorders>
              <w:top w:val="double" w:sz="4" w:space="0" w:color="auto"/>
            </w:tcBorders>
            <w:shd w:val="clear" w:color="auto" w:fill="FFFFAF"/>
            <w:vAlign w:val="center"/>
          </w:tcPr>
          <w:p w:rsidR="00485094" w:rsidRPr="005C4F4D" w:rsidRDefault="00485094" w:rsidP="00453E80">
            <w:pPr>
              <w:pStyle w:val="tabletext1"/>
              <w:jc w:val="center"/>
              <w:rPr>
                <w:rFonts w:cs="Arial"/>
                <w:bCs/>
                <w:color w:val="000000"/>
                <w:szCs w:val="18"/>
              </w:rPr>
            </w:pPr>
            <w:r>
              <w:rPr>
                <w:rFonts w:cs="Arial"/>
                <w:bCs/>
                <w:color w:val="000000"/>
                <w:szCs w:val="18"/>
              </w:rPr>
              <w:t>Temp</w:t>
            </w:r>
          </w:p>
        </w:tc>
        <w:tc>
          <w:tcPr>
            <w:tcW w:w="5220" w:type="dxa"/>
            <w:tcBorders>
              <w:top w:val="double" w:sz="4" w:space="0" w:color="auto"/>
            </w:tcBorders>
            <w:vAlign w:val="center"/>
          </w:tcPr>
          <w:p w:rsidR="00485094" w:rsidRPr="005C4F4D" w:rsidRDefault="00485094" w:rsidP="00453E80">
            <w:pPr>
              <w:pStyle w:val="tabletext1"/>
              <w:jc w:val="center"/>
              <w:rPr>
                <w:rFonts w:cs="Arial"/>
                <w:color w:val="000000"/>
                <w:szCs w:val="18"/>
              </w:rPr>
            </w:pPr>
            <w:r>
              <w:rPr>
                <w:rFonts w:cs="Arial"/>
                <w:color w:val="000000"/>
                <w:szCs w:val="18"/>
              </w:rPr>
              <w:t>Temperature (°C)</w:t>
            </w:r>
          </w:p>
        </w:tc>
      </w:tr>
      <w:tr w:rsidR="00485094" w:rsidRPr="005C4F4D" w:rsidTr="00453E80">
        <w:trPr>
          <w:trHeight w:val="288"/>
          <w:jc w:val="center"/>
        </w:trPr>
        <w:tc>
          <w:tcPr>
            <w:tcW w:w="1980" w:type="dxa"/>
            <w:shd w:val="clear" w:color="auto" w:fill="FFFFAF"/>
            <w:vAlign w:val="center"/>
          </w:tcPr>
          <w:p w:rsidR="00485094" w:rsidRPr="005C4F4D" w:rsidRDefault="00485094" w:rsidP="00453E80">
            <w:pPr>
              <w:pStyle w:val="tabletext1"/>
              <w:jc w:val="center"/>
              <w:rPr>
                <w:rFonts w:cs="Arial"/>
                <w:bCs/>
                <w:color w:val="000000"/>
                <w:szCs w:val="18"/>
              </w:rPr>
            </w:pPr>
            <w:r w:rsidRPr="005C4F4D">
              <w:rPr>
                <w:rFonts w:cs="Arial"/>
                <w:bCs/>
                <w:color w:val="000000"/>
                <w:szCs w:val="18"/>
              </w:rPr>
              <w:t>SC</w:t>
            </w:r>
          </w:p>
        </w:tc>
        <w:tc>
          <w:tcPr>
            <w:tcW w:w="5220" w:type="dxa"/>
            <w:vAlign w:val="center"/>
          </w:tcPr>
          <w:p w:rsidR="00485094" w:rsidRPr="005C4F4D" w:rsidRDefault="00485094" w:rsidP="00453E80">
            <w:pPr>
              <w:pStyle w:val="tabletext1"/>
              <w:jc w:val="center"/>
              <w:rPr>
                <w:rFonts w:cs="Arial"/>
                <w:color w:val="000000"/>
                <w:szCs w:val="18"/>
              </w:rPr>
            </w:pPr>
            <w:r w:rsidRPr="005C4F4D">
              <w:rPr>
                <w:rFonts w:cs="Arial"/>
                <w:color w:val="000000"/>
                <w:szCs w:val="18"/>
              </w:rPr>
              <w:t>Specific Conductance, Field</w:t>
            </w:r>
          </w:p>
        </w:tc>
      </w:tr>
      <w:tr w:rsidR="00485094" w:rsidRPr="005C4F4D" w:rsidTr="00453E80">
        <w:trPr>
          <w:trHeight w:val="288"/>
          <w:jc w:val="center"/>
        </w:trPr>
        <w:tc>
          <w:tcPr>
            <w:tcW w:w="1980" w:type="dxa"/>
            <w:shd w:val="clear" w:color="auto" w:fill="FFFFAF"/>
            <w:vAlign w:val="center"/>
          </w:tcPr>
          <w:p w:rsidR="00485094" w:rsidRPr="005C4F4D" w:rsidRDefault="00485094" w:rsidP="00453E80">
            <w:pPr>
              <w:pStyle w:val="tabletext1"/>
              <w:jc w:val="center"/>
              <w:rPr>
                <w:rFonts w:cs="Arial"/>
                <w:bCs/>
                <w:color w:val="000000"/>
                <w:szCs w:val="18"/>
              </w:rPr>
            </w:pPr>
            <w:r w:rsidRPr="005C4F4D">
              <w:rPr>
                <w:rFonts w:cs="Arial"/>
                <w:bCs/>
                <w:color w:val="000000"/>
                <w:szCs w:val="18"/>
              </w:rPr>
              <w:t>pH</w:t>
            </w:r>
          </w:p>
        </w:tc>
        <w:tc>
          <w:tcPr>
            <w:tcW w:w="5220" w:type="dxa"/>
            <w:vAlign w:val="center"/>
          </w:tcPr>
          <w:p w:rsidR="00485094" w:rsidRPr="005C4F4D" w:rsidRDefault="00485094" w:rsidP="00453E80">
            <w:pPr>
              <w:pStyle w:val="tabletext1"/>
              <w:jc w:val="center"/>
              <w:rPr>
                <w:rFonts w:cs="Arial"/>
                <w:color w:val="000000"/>
                <w:szCs w:val="18"/>
              </w:rPr>
            </w:pPr>
            <w:r w:rsidRPr="005C4F4D">
              <w:rPr>
                <w:rFonts w:cs="Arial"/>
                <w:color w:val="000000"/>
                <w:szCs w:val="18"/>
              </w:rPr>
              <w:t>pH, Field</w:t>
            </w:r>
          </w:p>
        </w:tc>
      </w:tr>
      <w:tr w:rsidR="00485094" w:rsidRPr="005C4F4D" w:rsidTr="00453E80">
        <w:trPr>
          <w:trHeight w:val="288"/>
          <w:jc w:val="center"/>
        </w:trPr>
        <w:tc>
          <w:tcPr>
            <w:tcW w:w="1980" w:type="dxa"/>
            <w:shd w:val="clear" w:color="auto" w:fill="FFFFAF"/>
            <w:vAlign w:val="center"/>
          </w:tcPr>
          <w:p w:rsidR="00485094" w:rsidRPr="005C4F4D" w:rsidRDefault="00485094" w:rsidP="00453E80">
            <w:pPr>
              <w:pStyle w:val="tabletext1"/>
              <w:jc w:val="center"/>
              <w:rPr>
                <w:rFonts w:cs="Arial"/>
                <w:bCs/>
                <w:color w:val="000000"/>
                <w:szCs w:val="18"/>
              </w:rPr>
            </w:pPr>
            <w:r w:rsidRPr="005C4F4D">
              <w:rPr>
                <w:rFonts w:cs="Arial"/>
                <w:bCs/>
                <w:color w:val="000000"/>
                <w:szCs w:val="18"/>
              </w:rPr>
              <w:t>WL</w:t>
            </w:r>
          </w:p>
        </w:tc>
        <w:tc>
          <w:tcPr>
            <w:tcW w:w="5220" w:type="dxa"/>
            <w:vAlign w:val="center"/>
          </w:tcPr>
          <w:p w:rsidR="00485094" w:rsidRPr="005C4F4D" w:rsidRDefault="00485094" w:rsidP="00453E80">
            <w:pPr>
              <w:pStyle w:val="tabletext1"/>
              <w:jc w:val="center"/>
              <w:rPr>
                <w:rFonts w:cs="Arial"/>
                <w:color w:val="000000"/>
                <w:szCs w:val="18"/>
              </w:rPr>
            </w:pPr>
            <w:r w:rsidRPr="005C4F4D">
              <w:rPr>
                <w:rFonts w:cs="Arial"/>
                <w:color w:val="000000"/>
                <w:szCs w:val="18"/>
              </w:rPr>
              <w:t xml:space="preserve">Depth to Water (from </w:t>
            </w:r>
            <w:r>
              <w:rPr>
                <w:rFonts w:cs="Arial"/>
                <w:color w:val="000000"/>
                <w:szCs w:val="18"/>
              </w:rPr>
              <w:t>measuring point</w:t>
            </w:r>
            <w:r w:rsidRPr="005C4F4D">
              <w:rPr>
                <w:rFonts w:cs="Arial"/>
                <w:color w:val="000000"/>
                <w:szCs w:val="18"/>
              </w:rPr>
              <w:t>)</w:t>
            </w:r>
            <w:r>
              <w:rPr>
                <w:rFonts w:cs="Arial"/>
                <w:color w:val="000000"/>
                <w:szCs w:val="18"/>
              </w:rPr>
              <w:t xml:space="preserve"> </w:t>
            </w:r>
          </w:p>
        </w:tc>
      </w:tr>
      <w:tr w:rsidR="00485094" w:rsidRPr="005C4F4D" w:rsidTr="00453E80">
        <w:trPr>
          <w:trHeight w:val="288"/>
          <w:jc w:val="center"/>
        </w:trPr>
        <w:tc>
          <w:tcPr>
            <w:tcW w:w="1980" w:type="dxa"/>
            <w:shd w:val="clear" w:color="auto" w:fill="FFFFAF"/>
            <w:vAlign w:val="center"/>
          </w:tcPr>
          <w:p w:rsidR="00485094" w:rsidRPr="005C4F4D" w:rsidRDefault="00485094" w:rsidP="00453E80">
            <w:pPr>
              <w:pStyle w:val="tabletext1"/>
              <w:jc w:val="center"/>
              <w:rPr>
                <w:rFonts w:cs="Arial"/>
                <w:bCs/>
                <w:color w:val="000000"/>
                <w:szCs w:val="18"/>
              </w:rPr>
            </w:pPr>
            <w:r w:rsidRPr="005C4F4D">
              <w:rPr>
                <w:rFonts w:cs="Arial"/>
                <w:bCs/>
                <w:color w:val="000000"/>
                <w:szCs w:val="18"/>
              </w:rPr>
              <w:t>TDS</w:t>
            </w:r>
          </w:p>
        </w:tc>
        <w:tc>
          <w:tcPr>
            <w:tcW w:w="5220" w:type="dxa"/>
            <w:vAlign w:val="center"/>
          </w:tcPr>
          <w:p w:rsidR="00485094" w:rsidRPr="005C4F4D" w:rsidRDefault="00485094" w:rsidP="00453E80">
            <w:pPr>
              <w:pStyle w:val="tabletext1"/>
              <w:jc w:val="center"/>
              <w:rPr>
                <w:rFonts w:cs="Arial"/>
                <w:color w:val="000000"/>
                <w:szCs w:val="18"/>
              </w:rPr>
            </w:pPr>
            <w:r w:rsidRPr="005C4F4D">
              <w:rPr>
                <w:rFonts w:cs="Arial"/>
                <w:color w:val="000000"/>
                <w:szCs w:val="18"/>
              </w:rPr>
              <w:t>Total Dissolved Solids (TDS measured)</w:t>
            </w:r>
          </w:p>
        </w:tc>
      </w:tr>
      <w:tr w:rsidR="00485094" w:rsidRPr="005C4F4D" w:rsidTr="00453E80">
        <w:trPr>
          <w:trHeight w:val="288"/>
          <w:jc w:val="center"/>
        </w:trPr>
        <w:tc>
          <w:tcPr>
            <w:tcW w:w="1980" w:type="dxa"/>
            <w:shd w:val="clear" w:color="auto" w:fill="FFFFAF"/>
            <w:vAlign w:val="center"/>
          </w:tcPr>
          <w:p w:rsidR="00485094" w:rsidRPr="0093750F" w:rsidRDefault="00485094" w:rsidP="00453E80">
            <w:pPr>
              <w:pStyle w:val="tabletext1"/>
              <w:jc w:val="center"/>
              <w:rPr>
                <w:rFonts w:cs="Arial"/>
                <w:bCs/>
                <w:color w:val="000000"/>
                <w:szCs w:val="18"/>
              </w:rPr>
            </w:pPr>
            <w:r w:rsidRPr="005C4F4D">
              <w:rPr>
                <w:rFonts w:cs="Arial"/>
                <w:bCs/>
                <w:color w:val="000000"/>
                <w:szCs w:val="18"/>
              </w:rPr>
              <w:t>N</w:t>
            </w:r>
            <w:r w:rsidR="0093750F">
              <w:rPr>
                <w:rFonts w:cs="Arial"/>
                <w:bCs/>
                <w:color w:val="000000"/>
                <w:szCs w:val="18"/>
              </w:rPr>
              <w:t>O</w:t>
            </w:r>
            <w:r w:rsidR="0093750F" w:rsidRPr="0093750F">
              <w:rPr>
                <w:rFonts w:cs="Arial"/>
                <w:bCs/>
                <w:color w:val="000000"/>
                <w:szCs w:val="18"/>
                <w:vertAlign w:val="subscript"/>
              </w:rPr>
              <w:t>X</w:t>
            </w:r>
          </w:p>
        </w:tc>
        <w:tc>
          <w:tcPr>
            <w:tcW w:w="5220" w:type="dxa"/>
            <w:vAlign w:val="center"/>
          </w:tcPr>
          <w:p w:rsidR="00485094" w:rsidRPr="005C4F4D" w:rsidRDefault="00485094" w:rsidP="00453E80">
            <w:pPr>
              <w:pStyle w:val="tabletext1"/>
              <w:jc w:val="center"/>
              <w:rPr>
                <w:rFonts w:cs="Arial"/>
                <w:color w:val="000000"/>
                <w:szCs w:val="18"/>
              </w:rPr>
            </w:pPr>
            <w:r w:rsidRPr="005C4F4D">
              <w:rPr>
                <w:rFonts w:cs="Arial"/>
                <w:color w:val="000000"/>
                <w:szCs w:val="18"/>
              </w:rPr>
              <w:t>Nitrate</w:t>
            </w:r>
            <w:r>
              <w:rPr>
                <w:rFonts w:cs="Arial"/>
                <w:color w:val="000000"/>
                <w:szCs w:val="18"/>
              </w:rPr>
              <w:t xml:space="preserve"> </w:t>
            </w:r>
            <w:r w:rsidRPr="005C4F4D">
              <w:rPr>
                <w:rFonts w:cs="Arial"/>
                <w:color w:val="000000"/>
                <w:szCs w:val="18"/>
              </w:rPr>
              <w:t>+</w:t>
            </w:r>
            <w:r>
              <w:rPr>
                <w:rFonts w:cs="Arial"/>
                <w:color w:val="000000"/>
                <w:szCs w:val="18"/>
              </w:rPr>
              <w:t xml:space="preserve"> </w:t>
            </w:r>
            <w:r w:rsidRPr="005C4F4D">
              <w:rPr>
                <w:rFonts w:cs="Arial"/>
                <w:color w:val="000000"/>
                <w:szCs w:val="18"/>
              </w:rPr>
              <w:t>Nitrite, Dissolved (as N)</w:t>
            </w:r>
          </w:p>
        </w:tc>
      </w:tr>
      <w:tr w:rsidR="00485094" w:rsidRPr="005C4F4D" w:rsidTr="00453E80">
        <w:trPr>
          <w:trHeight w:val="288"/>
          <w:jc w:val="center"/>
        </w:trPr>
        <w:tc>
          <w:tcPr>
            <w:tcW w:w="1980" w:type="dxa"/>
            <w:shd w:val="clear" w:color="auto" w:fill="FFFFAF"/>
            <w:vAlign w:val="center"/>
          </w:tcPr>
          <w:p w:rsidR="00485094" w:rsidRPr="005C4F4D" w:rsidRDefault="00485094" w:rsidP="00453E80">
            <w:pPr>
              <w:pStyle w:val="tabletext1"/>
              <w:jc w:val="center"/>
              <w:rPr>
                <w:rFonts w:cs="Arial"/>
                <w:bCs/>
                <w:color w:val="000000"/>
                <w:szCs w:val="18"/>
              </w:rPr>
            </w:pPr>
            <w:r w:rsidRPr="005C4F4D">
              <w:rPr>
                <w:rFonts w:cs="Arial"/>
                <w:bCs/>
                <w:color w:val="000000"/>
                <w:szCs w:val="18"/>
              </w:rPr>
              <w:t>P</w:t>
            </w:r>
          </w:p>
        </w:tc>
        <w:tc>
          <w:tcPr>
            <w:tcW w:w="5220" w:type="dxa"/>
            <w:vAlign w:val="center"/>
          </w:tcPr>
          <w:p w:rsidR="00485094" w:rsidRPr="005C4F4D" w:rsidRDefault="00485094" w:rsidP="00453E80">
            <w:pPr>
              <w:pStyle w:val="tabletext1"/>
              <w:jc w:val="center"/>
              <w:rPr>
                <w:rFonts w:cs="Arial"/>
                <w:color w:val="000000"/>
                <w:szCs w:val="18"/>
              </w:rPr>
            </w:pPr>
            <w:r w:rsidRPr="005C4F4D">
              <w:rPr>
                <w:rFonts w:cs="Arial"/>
                <w:color w:val="000000"/>
                <w:szCs w:val="18"/>
              </w:rPr>
              <w:t>Phosphorus, Dissolved (as P)</w:t>
            </w:r>
          </w:p>
        </w:tc>
      </w:tr>
      <w:tr w:rsidR="00485094" w:rsidRPr="005C4F4D" w:rsidTr="00453E80">
        <w:trPr>
          <w:trHeight w:val="288"/>
          <w:jc w:val="center"/>
        </w:trPr>
        <w:tc>
          <w:tcPr>
            <w:tcW w:w="1980" w:type="dxa"/>
            <w:shd w:val="clear" w:color="auto" w:fill="FFFFAF"/>
            <w:vAlign w:val="center"/>
          </w:tcPr>
          <w:p w:rsidR="00485094" w:rsidRPr="005C4F4D" w:rsidRDefault="00485094" w:rsidP="00453E80">
            <w:pPr>
              <w:pStyle w:val="tabletext1"/>
              <w:jc w:val="center"/>
              <w:rPr>
                <w:rFonts w:cs="Arial"/>
                <w:bCs/>
                <w:color w:val="000000"/>
                <w:szCs w:val="18"/>
              </w:rPr>
            </w:pPr>
            <w:r w:rsidRPr="005C4F4D">
              <w:rPr>
                <w:rFonts w:cs="Arial"/>
                <w:bCs/>
                <w:color w:val="000000"/>
                <w:szCs w:val="18"/>
              </w:rPr>
              <w:t>K</w:t>
            </w:r>
          </w:p>
        </w:tc>
        <w:tc>
          <w:tcPr>
            <w:tcW w:w="5220" w:type="dxa"/>
            <w:vAlign w:val="center"/>
          </w:tcPr>
          <w:p w:rsidR="00485094" w:rsidRPr="005C4F4D" w:rsidRDefault="00485094" w:rsidP="00453E80">
            <w:pPr>
              <w:pStyle w:val="tabletext1"/>
              <w:jc w:val="center"/>
              <w:rPr>
                <w:rFonts w:cs="Arial"/>
                <w:color w:val="000000"/>
                <w:szCs w:val="18"/>
              </w:rPr>
            </w:pPr>
            <w:r w:rsidRPr="005C4F4D">
              <w:rPr>
                <w:rFonts w:cs="Arial"/>
                <w:color w:val="000000"/>
                <w:szCs w:val="18"/>
              </w:rPr>
              <w:t>Potassium, Dissolved</w:t>
            </w:r>
          </w:p>
        </w:tc>
      </w:tr>
      <w:tr w:rsidR="00485094" w:rsidRPr="005C4F4D" w:rsidTr="00453E80">
        <w:trPr>
          <w:trHeight w:val="288"/>
          <w:jc w:val="center"/>
        </w:trPr>
        <w:tc>
          <w:tcPr>
            <w:tcW w:w="1980" w:type="dxa"/>
            <w:shd w:val="clear" w:color="auto" w:fill="FFFFAF"/>
            <w:vAlign w:val="center"/>
          </w:tcPr>
          <w:p w:rsidR="00485094" w:rsidRPr="005C4F4D" w:rsidRDefault="00485094" w:rsidP="00453E80">
            <w:pPr>
              <w:pStyle w:val="tabletext1"/>
              <w:jc w:val="center"/>
              <w:rPr>
                <w:rFonts w:cs="Arial"/>
                <w:bCs/>
                <w:color w:val="000000"/>
                <w:szCs w:val="18"/>
              </w:rPr>
            </w:pPr>
            <w:r w:rsidRPr="005C4F4D">
              <w:rPr>
                <w:rFonts w:cs="Arial"/>
                <w:bCs/>
                <w:color w:val="000000"/>
                <w:szCs w:val="18"/>
              </w:rPr>
              <w:t>S</w:t>
            </w:r>
            <w:r w:rsidR="003A5E2D">
              <w:rPr>
                <w:rFonts w:cs="Arial"/>
                <w:bCs/>
                <w:color w:val="000000"/>
                <w:szCs w:val="18"/>
              </w:rPr>
              <w:t>O</w:t>
            </w:r>
            <w:r w:rsidR="003A5E2D" w:rsidRPr="003A5E2D">
              <w:rPr>
                <w:rFonts w:cs="Arial"/>
                <w:bCs/>
                <w:color w:val="000000"/>
                <w:szCs w:val="18"/>
                <w:vertAlign w:val="subscript"/>
              </w:rPr>
              <w:t>4</w:t>
            </w:r>
          </w:p>
        </w:tc>
        <w:tc>
          <w:tcPr>
            <w:tcW w:w="5220" w:type="dxa"/>
            <w:vAlign w:val="center"/>
          </w:tcPr>
          <w:p w:rsidR="00485094" w:rsidRPr="005C4F4D" w:rsidRDefault="00485094" w:rsidP="00453E80">
            <w:pPr>
              <w:pStyle w:val="tabletext1"/>
              <w:jc w:val="center"/>
              <w:rPr>
                <w:rFonts w:cs="Arial"/>
                <w:color w:val="000000"/>
                <w:szCs w:val="18"/>
              </w:rPr>
            </w:pPr>
            <w:r w:rsidRPr="005C4F4D">
              <w:rPr>
                <w:rFonts w:cs="Arial"/>
                <w:color w:val="000000"/>
                <w:szCs w:val="18"/>
              </w:rPr>
              <w:t>Sulfate, Dissolved</w:t>
            </w:r>
          </w:p>
        </w:tc>
      </w:tr>
      <w:tr w:rsidR="00485094" w:rsidRPr="005C4F4D" w:rsidTr="00453E80">
        <w:trPr>
          <w:trHeight w:val="288"/>
          <w:jc w:val="center"/>
        </w:trPr>
        <w:tc>
          <w:tcPr>
            <w:tcW w:w="1980" w:type="dxa"/>
            <w:shd w:val="clear" w:color="auto" w:fill="FFFFAF"/>
            <w:vAlign w:val="center"/>
          </w:tcPr>
          <w:p w:rsidR="00485094" w:rsidRPr="005C4F4D" w:rsidRDefault="003A5E2D" w:rsidP="00453E80">
            <w:pPr>
              <w:pStyle w:val="tabletext1"/>
              <w:jc w:val="center"/>
              <w:rPr>
                <w:rFonts w:cs="Arial"/>
                <w:bCs/>
                <w:color w:val="000000"/>
                <w:szCs w:val="18"/>
              </w:rPr>
            </w:pPr>
            <w:r>
              <w:rPr>
                <w:rFonts w:cs="Arial"/>
                <w:bCs/>
                <w:color w:val="000000"/>
                <w:szCs w:val="18"/>
              </w:rPr>
              <w:t>Na</w:t>
            </w:r>
          </w:p>
        </w:tc>
        <w:tc>
          <w:tcPr>
            <w:tcW w:w="5220" w:type="dxa"/>
            <w:vAlign w:val="center"/>
          </w:tcPr>
          <w:p w:rsidR="00485094" w:rsidRPr="005C4F4D" w:rsidRDefault="00485094" w:rsidP="00453E80">
            <w:pPr>
              <w:pStyle w:val="tabletext1"/>
              <w:jc w:val="center"/>
              <w:rPr>
                <w:rFonts w:cs="Arial"/>
                <w:color w:val="000000"/>
                <w:szCs w:val="18"/>
              </w:rPr>
            </w:pPr>
            <w:r w:rsidRPr="005C4F4D">
              <w:rPr>
                <w:rFonts w:cs="Arial"/>
                <w:color w:val="000000"/>
                <w:szCs w:val="18"/>
              </w:rPr>
              <w:t>Sodium, Dissolved</w:t>
            </w:r>
          </w:p>
        </w:tc>
      </w:tr>
      <w:tr w:rsidR="00485094" w:rsidRPr="005C4F4D" w:rsidTr="00453E80">
        <w:trPr>
          <w:trHeight w:val="288"/>
          <w:jc w:val="center"/>
        </w:trPr>
        <w:tc>
          <w:tcPr>
            <w:tcW w:w="1980" w:type="dxa"/>
            <w:shd w:val="clear" w:color="auto" w:fill="FFFFAF"/>
            <w:vAlign w:val="center"/>
          </w:tcPr>
          <w:p w:rsidR="00485094" w:rsidRPr="005C4F4D" w:rsidRDefault="00485094" w:rsidP="00453E80">
            <w:pPr>
              <w:pStyle w:val="tabletext1"/>
              <w:jc w:val="center"/>
              <w:rPr>
                <w:rFonts w:cs="Arial"/>
                <w:bCs/>
                <w:color w:val="000000"/>
                <w:szCs w:val="18"/>
              </w:rPr>
            </w:pPr>
            <w:proofErr w:type="spellStart"/>
            <w:r w:rsidRPr="005C4F4D">
              <w:rPr>
                <w:rFonts w:cs="Arial"/>
                <w:bCs/>
                <w:color w:val="000000"/>
                <w:szCs w:val="18"/>
              </w:rPr>
              <w:t>C</w:t>
            </w:r>
            <w:r w:rsidR="00542E8A">
              <w:rPr>
                <w:rFonts w:cs="Arial"/>
                <w:bCs/>
                <w:color w:val="000000"/>
                <w:szCs w:val="18"/>
              </w:rPr>
              <w:t>l</w:t>
            </w:r>
            <w:proofErr w:type="spellEnd"/>
          </w:p>
        </w:tc>
        <w:tc>
          <w:tcPr>
            <w:tcW w:w="5220" w:type="dxa"/>
            <w:vAlign w:val="center"/>
          </w:tcPr>
          <w:p w:rsidR="00485094" w:rsidRPr="005C4F4D" w:rsidRDefault="00485094" w:rsidP="00453E80">
            <w:pPr>
              <w:pStyle w:val="tabletext1"/>
              <w:jc w:val="center"/>
              <w:rPr>
                <w:rFonts w:cs="Arial"/>
                <w:color w:val="000000"/>
                <w:szCs w:val="18"/>
              </w:rPr>
            </w:pPr>
            <w:r w:rsidRPr="005C4F4D">
              <w:rPr>
                <w:rFonts w:cs="Arial"/>
                <w:color w:val="000000"/>
                <w:szCs w:val="18"/>
              </w:rPr>
              <w:t>Chloride, Dissolved</w:t>
            </w:r>
          </w:p>
        </w:tc>
      </w:tr>
      <w:tr w:rsidR="00485094" w:rsidRPr="005C4F4D" w:rsidTr="00453E80">
        <w:trPr>
          <w:trHeight w:val="288"/>
          <w:jc w:val="center"/>
        </w:trPr>
        <w:tc>
          <w:tcPr>
            <w:tcW w:w="1980" w:type="dxa"/>
            <w:shd w:val="clear" w:color="auto" w:fill="FFFFAF"/>
            <w:vAlign w:val="center"/>
          </w:tcPr>
          <w:p w:rsidR="00485094" w:rsidRPr="005C4F4D" w:rsidRDefault="00485094" w:rsidP="00453E80">
            <w:pPr>
              <w:pStyle w:val="tabletext1"/>
              <w:jc w:val="center"/>
              <w:rPr>
                <w:rFonts w:cs="Arial"/>
                <w:bCs/>
                <w:color w:val="000000"/>
                <w:szCs w:val="18"/>
              </w:rPr>
            </w:pPr>
            <w:r w:rsidRPr="005C4F4D">
              <w:rPr>
                <w:rFonts w:cs="Arial"/>
                <w:bCs/>
                <w:color w:val="000000"/>
                <w:szCs w:val="18"/>
              </w:rPr>
              <w:t>C</w:t>
            </w:r>
            <w:r w:rsidR="00542E8A">
              <w:rPr>
                <w:rFonts w:cs="Arial"/>
                <w:bCs/>
                <w:color w:val="000000"/>
                <w:szCs w:val="18"/>
              </w:rPr>
              <w:t>a</w:t>
            </w:r>
          </w:p>
        </w:tc>
        <w:tc>
          <w:tcPr>
            <w:tcW w:w="5220" w:type="dxa"/>
            <w:vAlign w:val="center"/>
          </w:tcPr>
          <w:p w:rsidR="00485094" w:rsidRPr="005C4F4D" w:rsidRDefault="00485094" w:rsidP="00453E80">
            <w:pPr>
              <w:pStyle w:val="tabletext1"/>
              <w:jc w:val="center"/>
              <w:rPr>
                <w:rFonts w:cs="Arial"/>
                <w:color w:val="000000"/>
                <w:szCs w:val="18"/>
              </w:rPr>
            </w:pPr>
            <w:r w:rsidRPr="005C4F4D">
              <w:rPr>
                <w:rFonts w:cs="Arial"/>
                <w:color w:val="000000"/>
                <w:szCs w:val="18"/>
              </w:rPr>
              <w:t>Calcium, Dissolved</w:t>
            </w:r>
          </w:p>
        </w:tc>
      </w:tr>
      <w:tr w:rsidR="00485094" w:rsidRPr="005C4F4D" w:rsidTr="00453E80">
        <w:trPr>
          <w:trHeight w:val="288"/>
          <w:jc w:val="center"/>
        </w:trPr>
        <w:tc>
          <w:tcPr>
            <w:tcW w:w="1980" w:type="dxa"/>
            <w:shd w:val="clear" w:color="auto" w:fill="FFFFAF"/>
            <w:vAlign w:val="center"/>
          </w:tcPr>
          <w:p w:rsidR="00485094" w:rsidRPr="005C4F4D" w:rsidRDefault="003A5E2D" w:rsidP="00453E80">
            <w:pPr>
              <w:pStyle w:val="tabletext1"/>
              <w:jc w:val="center"/>
              <w:rPr>
                <w:rFonts w:cs="Arial"/>
                <w:bCs/>
                <w:color w:val="000000"/>
                <w:szCs w:val="18"/>
              </w:rPr>
            </w:pPr>
            <w:r>
              <w:rPr>
                <w:rFonts w:cs="Arial"/>
                <w:bCs/>
                <w:color w:val="000000"/>
                <w:szCs w:val="18"/>
              </w:rPr>
              <w:t>Mg</w:t>
            </w:r>
          </w:p>
        </w:tc>
        <w:tc>
          <w:tcPr>
            <w:tcW w:w="5220" w:type="dxa"/>
            <w:vAlign w:val="center"/>
          </w:tcPr>
          <w:p w:rsidR="00485094" w:rsidRPr="005C4F4D" w:rsidRDefault="00485094" w:rsidP="00453E80">
            <w:pPr>
              <w:pStyle w:val="tabletext1"/>
              <w:jc w:val="center"/>
              <w:rPr>
                <w:rFonts w:cs="Arial"/>
                <w:color w:val="000000"/>
                <w:szCs w:val="18"/>
              </w:rPr>
            </w:pPr>
            <w:r w:rsidRPr="005C4F4D">
              <w:rPr>
                <w:rFonts w:cs="Arial"/>
                <w:color w:val="000000"/>
                <w:szCs w:val="18"/>
              </w:rPr>
              <w:t>Magnesium, Dissolved</w:t>
            </w:r>
          </w:p>
        </w:tc>
      </w:tr>
      <w:tr w:rsidR="00485094" w:rsidRPr="005C4F4D" w:rsidTr="00453E80">
        <w:trPr>
          <w:trHeight w:val="288"/>
          <w:jc w:val="center"/>
        </w:trPr>
        <w:tc>
          <w:tcPr>
            <w:tcW w:w="1980" w:type="dxa"/>
            <w:shd w:val="clear" w:color="auto" w:fill="FFFFAF"/>
            <w:vAlign w:val="center"/>
          </w:tcPr>
          <w:p w:rsidR="00485094" w:rsidRPr="005C4F4D" w:rsidRDefault="00485094" w:rsidP="00453E80">
            <w:pPr>
              <w:pStyle w:val="tabletext1"/>
              <w:jc w:val="center"/>
              <w:rPr>
                <w:rFonts w:cs="Arial"/>
                <w:bCs/>
                <w:color w:val="000000"/>
                <w:szCs w:val="18"/>
              </w:rPr>
            </w:pPr>
            <w:r w:rsidRPr="005C4F4D">
              <w:rPr>
                <w:rFonts w:cs="Arial"/>
                <w:bCs/>
                <w:color w:val="000000"/>
                <w:szCs w:val="18"/>
              </w:rPr>
              <w:t>ALK</w:t>
            </w:r>
          </w:p>
        </w:tc>
        <w:tc>
          <w:tcPr>
            <w:tcW w:w="5220" w:type="dxa"/>
            <w:vAlign w:val="center"/>
          </w:tcPr>
          <w:p w:rsidR="00485094" w:rsidRPr="005C4F4D" w:rsidRDefault="00485094" w:rsidP="00453E80">
            <w:pPr>
              <w:pStyle w:val="tabletext1"/>
              <w:jc w:val="center"/>
              <w:rPr>
                <w:rFonts w:cs="Arial"/>
                <w:color w:val="000000"/>
                <w:szCs w:val="18"/>
              </w:rPr>
            </w:pPr>
            <w:r w:rsidRPr="005C4F4D">
              <w:rPr>
                <w:rFonts w:cs="Arial"/>
                <w:color w:val="000000"/>
                <w:szCs w:val="18"/>
              </w:rPr>
              <w:t xml:space="preserve">Alkalinity, Dissolved (as </w:t>
            </w:r>
            <w:r>
              <w:rPr>
                <w:rFonts w:cs="Arial"/>
                <w:color w:val="000000"/>
                <w:szCs w:val="18"/>
              </w:rPr>
              <w:t>calcium carbonate [</w:t>
            </w:r>
            <w:r w:rsidRPr="005C4F4D">
              <w:rPr>
                <w:rFonts w:cs="Arial"/>
                <w:color w:val="000000"/>
                <w:szCs w:val="18"/>
              </w:rPr>
              <w:t>CaCO3</w:t>
            </w:r>
            <w:r>
              <w:rPr>
                <w:rFonts w:cs="Arial"/>
                <w:color w:val="000000"/>
                <w:szCs w:val="18"/>
              </w:rPr>
              <w:t>]</w:t>
            </w:r>
            <w:r w:rsidRPr="005C4F4D">
              <w:rPr>
                <w:rFonts w:cs="Arial"/>
                <w:color w:val="000000"/>
                <w:szCs w:val="18"/>
              </w:rPr>
              <w:t>)</w:t>
            </w:r>
          </w:p>
        </w:tc>
      </w:tr>
      <w:tr w:rsidR="00485094" w:rsidRPr="005C4F4D" w:rsidTr="00453E80">
        <w:trPr>
          <w:trHeight w:val="288"/>
          <w:jc w:val="center"/>
        </w:trPr>
        <w:tc>
          <w:tcPr>
            <w:tcW w:w="1980" w:type="dxa"/>
            <w:shd w:val="clear" w:color="auto" w:fill="FFFFAF"/>
            <w:vAlign w:val="center"/>
          </w:tcPr>
          <w:p w:rsidR="00485094" w:rsidRPr="005C4F4D" w:rsidRDefault="00485094" w:rsidP="00453E80">
            <w:pPr>
              <w:pStyle w:val="tabletext1"/>
              <w:jc w:val="center"/>
              <w:rPr>
                <w:rFonts w:cs="Arial"/>
                <w:bCs/>
                <w:color w:val="000000"/>
                <w:szCs w:val="18"/>
              </w:rPr>
            </w:pPr>
            <w:r w:rsidRPr="005C4F4D">
              <w:rPr>
                <w:rFonts w:cs="Arial"/>
                <w:bCs/>
                <w:color w:val="000000"/>
                <w:szCs w:val="18"/>
              </w:rPr>
              <w:t>TC</w:t>
            </w:r>
          </w:p>
        </w:tc>
        <w:tc>
          <w:tcPr>
            <w:tcW w:w="5220" w:type="dxa"/>
            <w:vAlign w:val="center"/>
          </w:tcPr>
          <w:p w:rsidR="00485094" w:rsidRPr="005C4F4D" w:rsidRDefault="00485094" w:rsidP="00453E80">
            <w:pPr>
              <w:pStyle w:val="tabletext1"/>
              <w:jc w:val="center"/>
              <w:rPr>
                <w:rFonts w:cs="Arial"/>
                <w:color w:val="000000"/>
                <w:szCs w:val="18"/>
              </w:rPr>
            </w:pPr>
            <w:r w:rsidRPr="005C4F4D">
              <w:rPr>
                <w:rFonts w:cs="Arial"/>
                <w:color w:val="000000"/>
                <w:szCs w:val="18"/>
              </w:rPr>
              <w:t>Coliform, Total (M</w:t>
            </w:r>
            <w:r>
              <w:rPr>
                <w:rFonts w:cs="Arial"/>
                <w:color w:val="000000"/>
                <w:szCs w:val="18"/>
              </w:rPr>
              <w:t>F method</w:t>
            </w:r>
            <w:r w:rsidRPr="005C4F4D">
              <w:rPr>
                <w:rFonts w:cs="Arial"/>
                <w:color w:val="000000"/>
                <w:szCs w:val="18"/>
              </w:rPr>
              <w:t>)</w:t>
            </w:r>
          </w:p>
        </w:tc>
      </w:tr>
      <w:tr w:rsidR="00485094" w:rsidRPr="005C4F4D" w:rsidTr="00453E80">
        <w:trPr>
          <w:trHeight w:val="288"/>
          <w:jc w:val="center"/>
        </w:trPr>
        <w:tc>
          <w:tcPr>
            <w:tcW w:w="1980" w:type="dxa"/>
            <w:shd w:val="clear" w:color="auto" w:fill="FFFFAF"/>
            <w:vAlign w:val="center"/>
          </w:tcPr>
          <w:p w:rsidR="00485094" w:rsidRPr="005C4F4D" w:rsidRDefault="00485094" w:rsidP="00453E80">
            <w:pPr>
              <w:pStyle w:val="tabletext1"/>
              <w:jc w:val="center"/>
              <w:rPr>
                <w:rFonts w:cs="Arial"/>
                <w:bCs/>
                <w:color w:val="000000"/>
                <w:szCs w:val="18"/>
              </w:rPr>
            </w:pPr>
            <w:r w:rsidRPr="005C4F4D">
              <w:rPr>
                <w:rFonts w:cs="Arial"/>
                <w:bCs/>
                <w:color w:val="000000"/>
                <w:szCs w:val="18"/>
              </w:rPr>
              <w:t>FC</w:t>
            </w:r>
          </w:p>
        </w:tc>
        <w:tc>
          <w:tcPr>
            <w:tcW w:w="5220" w:type="dxa"/>
            <w:vAlign w:val="center"/>
          </w:tcPr>
          <w:p w:rsidR="00485094" w:rsidRPr="005C4F4D" w:rsidRDefault="00485094" w:rsidP="00453E80">
            <w:pPr>
              <w:pStyle w:val="tabletext1"/>
              <w:jc w:val="center"/>
              <w:rPr>
                <w:rFonts w:cs="Arial"/>
                <w:color w:val="000000"/>
                <w:szCs w:val="18"/>
              </w:rPr>
            </w:pPr>
            <w:r w:rsidRPr="005C4F4D">
              <w:rPr>
                <w:rFonts w:cs="Arial"/>
                <w:color w:val="000000"/>
                <w:szCs w:val="18"/>
              </w:rPr>
              <w:t>Coliform, Fecal (MF</w:t>
            </w:r>
            <w:r>
              <w:rPr>
                <w:rFonts w:cs="Arial"/>
                <w:color w:val="000000"/>
                <w:szCs w:val="18"/>
              </w:rPr>
              <w:t xml:space="preserve"> method</w:t>
            </w:r>
            <w:r w:rsidRPr="005C4F4D">
              <w:rPr>
                <w:rFonts w:cs="Arial"/>
                <w:color w:val="000000"/>
                <w:szCs w:val="18"/>
              </w:rPr>
              <w:t>)</w:t>
            </w:r>
          </w:p>
        </w:tc>
      </w:tr>
    </w:tbl>
    <w:p w:rsidR="00485094" w:rsidRDefault="00485094" w:rsidP="00692F31">
      <w:pPr>
        <w:pStyle w:val="BodyText2"/>
        <w:ind w:left="720"/>
        <w:rPr>
          <w:rFonts w:cs="Arial"/>
          <w:b/>
          <w:szCs w:val="22"/>
        </w:rPr>
      </w:pPr>
    </w:p>
    <w:p w:rsidR="00485094" w:rsidRDefault="00485094" w:rsidP="00692F31">
      <w:pPr>
        <w:pStyle w:val="BodyText2"/>
        <w:ind w:left="720"/>
        <w:rPr>
          <w:rFonts w:cs="Arial"/>
          <w:b/>
          <w:szCs w:val="22"/>
        </w:rPr>
      </w:pPr>
    </w:p>
    <w:p w:rsidR="00485094" w:rsidRDefault="00485094" w:rsidP="00692F31">
      <w:pPr>
        <w:pStyle w:val="BodyText2"/>
        <w:ind w:left="720"/>
        <w:rPr>
          <w:rFonts w:cs="Arial"/>
          <w:b/>
          <w:szCs w:val="22"/>
        </w:rPr>
      </w:pPr>
    </w:p>
    <w:p w:rsidR="00485094" w:rsidRDefault="00485094" w:rsidP="00692F31">
      <w:pPr>
        <w:spacing w:after="200" w:line="276" w:lineRule="auto"/>
        <w:rPr>
          <w:rFonts w:ascii="Arial" w:hAnsi="Arial" w:cs="Arial"/>
          <w:sz w:val="22"/>
          <w:szCs w:val="22"/>
        </w:rPr>
        <w:sectPr w:rsidR="00485094" w:rsidSect="009876F8">
          <w:pgSz w:w="12240" w:h="15840" w:code="1"/>
          <w:pgMar w:top="1440" w:right="1440" w:bottom="1440" w:left="1440" w:header="720" w:footer="720" w:gutter="0"/>
          <w:paperSrc w:first="261"/>
          <w:cols w:space="720"/>
          <w:docGrid w:linePitch="360"/>
        </w:sectPr>
      </w:pPr>
    </w:p>
    <w:p w:rsidR="00485094" w:rsidRDefault="00485094" w:rsidP="00692F31">
      <w:pPr>
        <w:pStyle w:val="Bodytextreduced"/>
      </w:pPr>
    </w:p>
    <w:p w:rsidR="00485094" w:rsidRDefault="00485094" w:rsidP="00692F31">
      <w:pPr>
        <w:pStyle w:val="Tableheading"/>
      </w:pPr>
      <w:bookmarkStart w:id="494" w:name="_Toc262464262"/>
      <w:bookmarkStart w:id="495" w:name="_Toc271280109"/>
      <w:r w:rsidRPr="001763DC">
        <w:t xml:space="preserve">Table </w:t>
      </w:r>
      <w:r>
        <w:t xml:space="preserve">6.9b.  </w:t>
      </w:r>
      <w:r w:rsidRPr="001763DC">
        <w:t xml:space="preserve">Trends for </w:t>
      </w:r>
      <w:r>
        <w:t>S</w:t>
      </w:r>
      <w:r w:rsidRPr="001763DC">
        <w:t xml:space="preserve">pecified </w:t>
      </w:r>
      <w:r>
        <w:t>A</w:t>
      </w:r>
      <w:r w:rsidRPr="001763DC">
        <w:t xml:space="preserve">nalytes for </w:t>
      </w:r>
      <w:r>
        <w:t>S</w:t>
      </w:r>
      <w:r w:rsidRPr="001763DC">
        <w:t xml:space="preserve">tations </w:t>
      </w:r>
      <w:r>
        <w:t>in the</w:t>
      </w:r>
      <w:r w:rsidRPr="001763DC">
        <w:t xml:space="preserve"> Ground Water Trend Monitoring Network, Confined Aquifer</w:t>
      </w:r>
      <w:r>
        <w:t>s</w:t>
      </w:r>
      <w:bookmarkEnd w:id="494"/>
      <w:bookmarkEnd w:id="495"/>
    </w:p>
    <w:p w:rsidR="00485094" w:rsidRDefault="00485094" w:rsidP="00692F31">
      <w:pPr>
        <w:pStyle w:val="TabledescriptionBF"/>
      </w:pPr>
      <w:r>
        <w:t>This is a 17-column table.  Column 1 lists the stations and Columns 2 through 17 list the individual analytes.</w:t>
      </w:r>
    </w:p>
    <w:p w:rsidR="00485094" w:rsidRPr="00225579" w:rsidRDefault="00485094" w:rsidP="00692F31">
      <w:pPr>
        <w:pStyle w:val="Bodytextreduced"/>
      </w:pPr>
    </w:p>
    <w:p w:rsidR="00485094" w:rsidRPr="00AC586C" w:rsidRDefault="00485094" w:rsidP="00692F31">
      <w:pPr>
        <w:pStyle w:val="Bodytextreduced"/>
        <w:rPr>
          <w:rFonts w:cs="Arial"/>
          <w:sz w:val="22"/>
          <w:szCs w:val="22"/>
        </w:rPr>
      </w:pPr>
      <w:r w:rsidRPr="00225579">
        <w:rPr>
          <w:b/>
        </w:rPr>
        <w:t>Note:</w:t>
      </w:r>
      <w:r>
        <w:t xml:space="preserve">  A p</w:t>
      </w:r>
      <w:r w:rsidRPr="001763DC">
        <w:t xml:space="preserve">ositive trend </w:t>
      </w:r>
      <w:r>
        <w:t>is</w:t>
      </w:r>
      <w:r w:rsidRPr="001763DC">
        <w:t xml:space="preserve"> indicated with a plus sign (+), </w:t>
      </w:r>
      <w:r>
        <w:t xml:space="preserve">a </w:t>
      </w:r>
      <w:r w:rsidRPr="001763DC">
        <w:t>negative trend</w:t>
      </w:r>
      <w:r>
        <w:t xml:space="preserve"> is</w:t>
      </w:r>
      <w:r w:rsidRPr="001763DC">
        <w:t xml:space="preserve"> indicated with a minus sign (-),</w:t>
      </w:r>
      <w:r w:rsidRPr="009355D6">
        <w:t xml:space="preserve"> no trend</w:t>
      </w:r>
      <w:r>
        <w:t xml:space="preserve"> is</w:t>
      </w:r>
      <w:r w:rsidRPr="009355D6">
        <w:t xml:space="preserve"> indicated by </w:t>
      </w:r>
      <w:r>
        <w:t xml:space="preserve">a </w:t>
      </w:r>
      <w:r w:rsidRPr="009355D6">
        <w:t>zero</w:t>
      </w:r>
      <w:r>
        <w:t xml:space="preserve"> (o), </w:t>
      </w:r>
      <w:r w:rsidRPr="009355D6">
        <w:t xml:space="preserve">and </w:t>
      </w:r>
      <w:r>
        <w:t>insufficient data to determine a trend is indicated by (ISD).</w:t>
      </w:r>
    </w:p>
    <w:tbl>
      <w:tblPr>
        <w:tblW w:w="131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61"/>
        <w:gridCol w:w="750"/>
        <w:gridCol w:w="728"/>
        <w:gridCol w:w="723"/>
        <w:gridCol w:w="745"/>
        <w:gridCol w:w="805"/>
        <w:gridCol w:w="745"/>
        <w:gridCol w:w="745"/>
        <w:gridCol w:w="745"/>
        <w:gridCol w:w="745"/>
        <w:gridCol w:w="745"/>
        <w:gridCol w:w="745"/>
        <w:gridCol w:w="745"/>
        <w:gridCol w:w="745"/>
        <w:gridCol w:w="820"/>
        <w:gridCol w:w="745"/>
        <w:gridCol w:w="745"/>
      </w:tblGrid>
      <w:tr w:rsidR="00485094" w:rsidRPr="00C01A14" w:rsidTr="000F2909">
        <w:trPr>
          <w:trHeight w:val="288"/>
          <w:jc w:val="center"/>
        </w:trPr>
        <w:tc>
          <w:tcPr>
            <w:tcW w:w="1161" w:type="dxa"/>
            <w:tcBorders>
              <w:bottom w:val="double" w:sz="4" w:space="0" w:color="auto"/>
            </w:tcBorders>
            <w:shd w:val="clear" w:color="auto" w:fill="BDFFFF"/>
            <w:vAlign w:val="center"/>
          </w:tcPr>
          <w:p w:rsidR="00485094" w:rsidRPr="00C01A14" w:rsidRDefault="00485094" w:rsidP="00453E80">
            <w:pPr>
              <w:pStyle w:val="tabletext1"/>
              <w:jc w:val="center"/>
              <w:rPr>
                <w:b/>
                <w:i/>
              </w:rPr>
            </w:pPr>
            <w:r w:rsidRPr="00C01A14">
              <w:rPr>
                <w:b/>
                <w:i/>
              </w:rPr>
              <w:t>Station</w:t>
            </w:r>
          </w:p>
        </w:tc>
        <w:tc>
          <w:tcPr>
            <w:tcW w:w="750" w:type="dxa"/>
            <w:tcBorders>
              <w:bottom w:val="double" w:sz="4" w:space="0" w:color="auto"/>
            </w:tcBorders>
            <w:shd w:val="clear" w:color="auto" w:fill="BDFFFF"/>
            <w:vAlign w:val="center"/>
          </w:tcPr>
          <w:p w:rsidR="00485094" w:rsidRPr="003341BA" w:rsidRDefault="00485094" w:rsidP="00453E80">
            <w:pPr>
              <w:jc w:val="center"/>
              <w:rPr>
                <w:rFonts w:ascii="Arial" w:hAnsi="Arial" w:cs="Arial"/>
                <w:b/>
                <w:sz w:val="18"/>
                <w:szCs w:val="18"/>
              </w:rPr>
            </w:pPr>
            <w:r w:rsidRPr="003341BA">
              <w:rPr>
                <w:rFonts w:ascii="Arial" w:hAnsi="Arial" w:cs="Arial"/>
                <w:b/>
                <w:sz w:val="18"/>
                <w:szCs w:val="18"/>
              </w:rPr>
              <w:t>Temp</w:t>
            </w:r>
          </w:p>
        </w:tc>
        <w:tc>
          <w:tcPr>
            <w:tcW w:w="728" w:type="dxa"/>
            <w:tcBorders>
              <w:bottom w:val="double" w:sz="4" w:space="0" w:color="auto"/>
            </w:tcBorders>
            <w:shd w:val="clear" w:color="auto" w:fill="BDFFFF"/>
            <w:vAlign w:val="center"/>
          </w:tcPr>
          <w:p w:rsidR="00485094" w:rsidRPr="00C01A14" w:rsidRDefault="00485094" w:rsidP="00453E80">
            <w:pPr>
              <w:pStyle w:val="tabletext1"/>
              <w:jc w:val="center"/>
              <w:rPr>
                <w:b/>
                <w:i/>
              </w:rPr>
            </w:pPr>
            <w:r w:rsidRPr="00C01A14">
              <w:rPr>
                <w:b/>
                <w:i/>
              </w:rPr>
              <w:t>SC</w:t>
            </w:r>
          </w:p>
        </w:tc>
        <w:tc>
          <w:tcPr>
            <w:tcW w:w="723" w:type="dxa"/>
            <w:tcBorders>
              <w:bottom w:val="double" w:sz="4" w:space="0" w:color="auto"/>
            </w:tcBorders>
            <w:shd w:val="clear" w:color="auto" w:fill="BDFFFF"/>
            <w:vAlign w:val="center"/>
          </w:tcPr>
          <w:p w:rsidR="00485094" w:rsidRPr="00C01A14" w:rsidRDefault="00485094" w:rsidP="00453E80">
            <w:pPr>
              <w:pStyle w:val="tabletext1"/>
              <w:jc w:val="center"/>
              <w:rPr>
                <w:b/>
                <w:i/>
              </w:rPr>
            </w:pPr>
            <w:r w:rsidRPr="00C01A14">
              <w:rPr>
                <w:b/>
                <w:i/>
              </w:rPr>
              <w:t>pH</w:t>
            </w:r>
          </w:p>
        </w:tc>
        <w:tc>
          <w:tcPr>
            <w:tcW w:w="745" w:type="dxa"/>
            <w:tcBorders>
              <w:bottom w:val="double" w:sz="4" w:space="0" w:color="auto"/>
            </w:tcBorders>
            <w:shd w:val="clear" w:color="auto" w:fill="BDFFFF"/>
            <w:vAlign w:val="center"/>
          </w:tcPr>
          <w:p w:rsidR="00485094" w:rsidRPr="00C01A14" w:rsidRDefault="00485094" w:rsidP="00453E80">
            <w:pPr>
              <w:pStyle w:val="tabletext1"/>
              <w:jc w:val="center"/>
              <w:rPr>
                <w:b/>
                <w:i/>
              </w:rPr>
            </w:pPr>
            <w:r w:rsidRPr="00C01A14">
              <w:rPr>
                <w:b/>
                <w:i/>
              </w:rPr>
              <w:t>WL</w:t>
            </w:r>
          </w:p>
        </w:tc>
        <w:tc>
          <w:tcPr>
            <w:tcW w:w="805" w:type="dxa"/>
            <w:tcBorders>
              <w:bottom w:val="double" w:sz="4" w:space="0" w:color="auto"/>
            </w:tcBorders>
            <w:shd w:val="clear" w:color="auto" w:fill="BDFFFF"/>
            <w:vAlign w:val="center"/>
          </w:tcPr>
          <w:p w:rsidR="00485094" w:rsidRPr="00C01A14" w:rsidRDefault="00485094" w:rsidP="00453E80">
            <w:pPr>
              <w:pStyle w:val="tabletext1"/>
              <w:jc w:val="center"/>
              <w:rPr>
                <w:b/>
                <w:i/>
              </w:rPr>
            </w:pPr>
            <w:r w:rsidRPr="00C01A14">
              <w:rPr>
                <w:b/>
                <w:i/>
              </w:rPr>
              <w:t>TDS</w:t>
            </w:r>
          </w:p>
        </w:tc>
        <w:tc>
          <w:tcPr>
            <w:tcW w:w="745" w:type="dxa"/>
            <w:tcBorders>
              <w:bottom w:val="double" w:sz="4" w:space="0" w:color="auto"/>
            </w:tcBorders>
            <w:shd w:val="clear" w:color="auto" w:fill="BDFFFF"/>
            <w:vAlign w:val="center"/>
          </w:tcPr>
          <w:p w:rsidR="00485094" w:rsidRPr="00C01A14" w:rsidRDefault="00485094" w:rsidP="00453E80">
            <w:pPr>
              <w:pStyle w:val="tabletext1"/>
              <w:jc w:val="center"/>
              <w:rPr>
                <w:b/>
                <w:i/>
              </w:rPr>
            </w:pPr>
            <w:r w:rsidRPr="00C01A14">
              <w:rPr>
                <w:b/>
                <w:i/>
              </w:rPr>
              <w:t>N</w:t>
            </w:r>
            <w:r w:rsidR="003A5E2D">
              <w:rPr>
                <w:b/>
                <w:i/>
              </w:rPr>
              <w:t>O</w:t>
            </w:r>
            <w:r w:rsidR="003A5E2D" w:rsidRPr="003A5E2D">
              <w:rPr>
                <w:b/>
                <w:i/>
                <w:vertAlign w:val="subscript"/>
              </w:rPr>
              <w:t>X</w:t>
            </w:r>
          </w:p>
        </w:tc>
        <w:tc>
          <w:tcPr>
            <w:tcW w:w="745" w:type="dxa"/>
            <w:tcBorders>
              <w:bottom w:val="double" w:sz="4" w:space="0" w:color="auto"/>
            </w:tcBorders>
            <w:shd w:val="clear" w:color="auto" w:fill="BDFFFF"/>
            <w:vAlign w:val="center"/>
          </w:tcPr>
          <w:p w:rsidR="00485094" w:rsidRPr="00C01A14" w:rsidRDefault="00485094" w:rsidP="00453E80">
            <w:pPr>
              <w:pStyle w:val="tabletext1"/>
              <w:jc w:val="center"/>
              <w:rPr>
                <w:b/>
                <w:i/>
              </w:rPr>
            </w:pPr>
            <w:r w:rsidRPr="00C01A14">
              <w:rPr>
                <w:b/>
                <w:i/>
              </w:rPr>
              <w:t>P</w:t>
            </w:r>
          </w:p>
        </w:tc>
        <w:tc>
          <w:tcPr>
            <w:tcW w:w="745" w:type="dxa"/>
            <w:tcBorders>
              <w:bottom w:val="double" w:sz="4" w:space="0" w:color="auto"/>
            </w:tcBorders>
            <w:shd w:val="clear" w:color="auto" w:fill="BDFFFF"/>
            <w:vAlign w:val="center"/>
          </w:tcPr>
          <w:p w:rsidR="00485094" w:rsidRPr="00C01A14" w:rsidRDefault="00485094" w:rsidP="00453E80">
            <w:pPr>
              <w:pStyle w:val="tabletext1"/>
              <w:jc w:val="center"/>
              <w:rPr>
                <w:b/>
                <w:i/>
              </w:rPr>
            </w:pPr>
            <w:r w:rsidRPr="00C01A14">
              <w:rPr>
                <w:b/>
                <w:i/>
              </w:rPr>
              <w:t>K</w:t>
            </w:r>
          </w:p>
        </w:tc>
        <w:tc>
          <w:tcPr>
            <w:tcW w:w="745" w:type="dxa"/>
            <w:tcBorders>
              <w:bottom w:val="double" w:sz="4" w:space="0" w:color="auto"/>
            </w:tcBorders>
            <w:shd w:val="clear" w:color="auto" w:fill="BDFFFF"/>
            <w:vAlign w:val="center"/>
          </w:tcPr>
          <w:p w:rsidR="00485094" w:rsidRPr="00C01A14" w:rsidRDefault="00485094" w:rsidP="00453E80">
            <w:pPr>
              <w:pStyle w:val="tabletext1"/>
              <w:jc w:val="center"/>
              <w:rPr>
                <w:b/>
                <w:i/>
              </w:rPr>
            </w:pPr>
            <w:r w:rsidRPr="00C01A14">
              <w:rPr>
                <w:b/>
                <w:i/>
              </w:rPr>
              <w:t>S</w:t>
            </w:r>
            <w:r w:rsidR="003A5E2D">
              <w:rPr>
                <w:b/>
                <w:i/>
              </w:rPr>
              <w:t>O</w:t>
            </w:r>
            <w:r w:rsidR="003A5E2D" w:rsidRPr="003A5E2D">
              <w:rPr>
                <w:b/>
                <w:i/>
                <w:vertAlign w:val="subscript"/>
              </w:rPr>
              <w:t>4</w:t>
            </w:r>
          </w:p>
        </w:tc>
        <w:tc>
          <w:tcPr>
            <w:tcW w:w="745" w:type="dxa"/>
            <w:tcBorders>
              <w:bottom w:val="double" w:sz="4" w:space="0" w:color="auto"/>
            </w:tcBorders>
            <w:shd w:val="clear" w:color="auto" w:fill="BDFFFF"/>
            <w:vAlign w:val="center"/>
          </w:tcPr>
          <w:p w:rsidR="00485094" w:rsidRPr="00C01A14" w:rsidRDefault="00485094" w:rsidP="003A5E2D">
            <w:pPr>
              <w:pStyle w:val="tabletext1"/>
              <w:jc w:val="center"/>
              <w:rPr>
                <w:b/>
                <w:i/>
              </w:rPr>
            </w:pPr>
            <w:r w:rsidRPr="00C01A14">
              <w:rPr>
                <w:b/>
                <w:i/>
              </w:rPr>
              <w:t>N</w:t>
            </w:r>
            <w:r w:rsidR="003A5E2D">
              <w:rPr>
                <w:b/>
                <w:i/>
              </w:rPr>
              <w:t>a</w:t>
            </w:r>
          </w:p>
        </w:tc>
        <w:tc>
          <w:tcPr>
            <w:tcW w:w="745" w:type="dxa"/>
            <w:tcBorders>
              <w:bottom w:val="double" w:sz="4" w:space="0" w:color="auto"/>
            </w:tcBorders>
            <w:shd w:val="clear" w:color="auto" w:fill="BDFFFF"/>
            <w:vAlign w:val="center"/>
          </w:tcPr>
          <w:p w:rsidR="00485094" w:rsidRPr="00C01A14" w:rsidRDefault="00485094" w:rsidP="00453E80">
            <w:pPr>
              <w:pStyle w:val="tabletext1"/>
              <w:jc w:val="center"/>
              <w:rPr>
                <w:b/>
                <w:i/>
              </w:rPr>
            </w:pPr>
            <w:proofErr w:type="spellStart"/>
            <w:r w:rsidRPr="00C01A14">
              <w:rPr>
                <w:b/>
                <w:i/>
              </w:rPr>
              <w:t>C</w:t>
            </w:r>
            <w:r w:rsidR="00542E8A">
              <w:rPr>
                <w:b/>
                <w:i/>
              </w:rPr>
              <w:t>l</w:t>
            </w:r>
            <w:proofErr w:type="spellEnd"/>
          </w:p>
        </w:tc>
        <w:tc>
          <w:tcPr>
            <w:tcW w:w="745" w:type="dxa"/>
            <w:tcBorders>
              <w:bottom w:val="double" w:sz="4" w:space="0" w:color="auto"/>
            </w:tcBorders>
            <w:shd w:val="clear" w:color="auto" w:fill="BDFFFF"/>
            <w:vAlign w:val="center"/>
          </w:tcPr>
          <w:p w:rsidR="00485094" w:rsidRPr="00C01A14" w:rsidRDefault="00485094" w:rsidP="00542E8A">
            <w:pPr>
              <w:pStyle w:val="tabletext1"/>
              <w:jc w:val="center"/>
              <w:rPr>
                <w:b/>
                <w:i/>
              </w:rPr>
            </w:pPr>
            <w:r w:rsidRPr="00C01A14">
              <w:rPr>
                <w:b/>
                <w:i/>
              </w:rPr>
              <w:t>C</w:t>
            </w:r>
            <w:r w:rsidR="00542E8A">
              <w:rPr>
                <w:b/>
                <w:i/>
              </w:rPr>
              <w:t>a</w:t>
            </w:r>
          </w:p>
        </w:tc>
        <w:tc>
          <w:tcPr>
            <w:tcW w:w="745" w:type="dxa"/>
            <w:tcBorders>
              <w:bottom w:val="double" w:sz="4" w:space="0" w:color="auto"/>
            </w:tcBorders>
            <w:shd w:val="clear" w:color="auto" w:fill="BDFFFF"/>
            <w:vAlign w:val="center"/>
          </w:tcPr>
          <w:p w:rsidR="00485094" w:rsidRPr="00C01A14" w:rsidRDefault="00485094" w:rsidP="003A5E2D">
            <w:pPr>
              <w:pStyle w:val="tabletext1"/>
              <w:jc w:val="center"/>
              <w:rPr>
                <w:b/>
                <w:i/>
              </w:rPr>
            </w:pPr>
            <w:r w:rsidRPr="00C01A14">
              <w:rPr>
                <w:b/>
                <w:i/>
              </w:rPr>
              <w:t>M</w:t>
            </w:r>
            <w:r w:rsidR="003A5E2D">
              <w:rPr>
                <w:b/>
                <w:i/>
              </w:rPr>
              <w:t>g</w:t>
            </w:r>
          </w:p>
        </w:tc>
        <w:tc>
          <w:tcPr>
            <w:tcW w:w="820" w:type="dxa"/>
            <w:tcBorders>
              <w:bottom w:val="double" w:sz="4" w:space="0" w:color="auto"/>
            </w:tcBorders>
            <w:shd w:val="clear" w:color="auto" w:fill="BDFFFF"/>
            <w:vAlign w:val="center"/>
          </w:tcPr>
          <w:p w:rsidR="00485094" w:rsidRPr="00C01A14" w:rsidRDefault="00485094" w:rsidP="00453E80">
            <w:pPr>
              <w:pStyle w:val="tabletext1"/>
              <w:jc w:val="center"/>
              <w:rPr>
                <w:b/>
                <w:i/>
              </w:rPr>
            </w:pPr>
            <w:r w:rsidRPr="00C01A14">
              <w:rPr>
                <w:b/>
                <w:i/>
              </w:rPr>
              <w:t>ALK</w:t>
            </w:r>
          </w:p>
        </w:tc>
        <w:tc>
          <w:tcPr>
            <w:tcW w:w="745" w:type="dxa"/>
            <w:tcBorders>
              <w:bottom w:val="double" w:sz="4" w:space="0" w:color="auto"/>
            </w:tcBorders>
            <w:shd w:val="clear" w:color="auto" w:fill="BDFFFF"/>
            <w:vAlign w:val="center"/>
          </w:tcPr>
          <w:p w:rsidR="00485094" w:rsidRPr="00C01A14" w:rsidRDefault="00485094" w:rsidP="00453E80">
            <w:pPr>
              <w:pStyle w:val="tabletext1"/>
              <w:jc w:val="center"/>
              <w:rPr>
                <w:b/>
                <w:i/>
              </w:rPr>
            </w:pPr>
            <w:r w:rsidRPr="00C01A14">
              <w:rPr>
                <w:b/>
                <w:i/>
              </w:rPr>
              <w:t>TC</w:t>
            </w:r>
          </w:p>
        </w:tc>
        <w:tc>
          <w:tcPr>
            <w:tcW w:w="745" w:type="dxa"/>
            <w:tcBorders>
              <w:bottom w:val="double" w:sz="4" w:space="0" w:color="auto"/>
            </w:tcBorders>
            <w:shd w:val="clear" w:color="auto" w:fill="BDFFFF"/>
            <w:vAlign w:val="center"/>
          </w:tcPr>
          <w:p w:rsidR="00485094" w:rsidRPr="00C01A14" w:rsidRDefault="00485094" w:rsidP="00453E80">
            <w:pPr>
              <w:pStyle w:val="tabletext1"/>
              <w:jc w:val="center"/>
              <w:rPr>
                <w:b/>
                <w:i/>
              </w:rPr>
            </w:pPr>
            <w:r w:rsidRPr="00C01A14">
              <w:rPr>
                <w:b/>
                <w:i/>
              </w:rPr>
              <w:t>FC</w:t>
            </w:r>
          </w:p>
        </w:tc>
      </w:tr>
      <w:tr w:rsidR="00485094" w:rsidRPr="00745496" w:rsidTr="00453E80">
        <w:trPr>
          <w:trHeight w:val="288"/>
          <w:jc w:val="center"/>
        </w:trPr>
        <w:tc>
          <w:tcPr>
            <w:tcW w:w="1161" w:type="dxa"/>
            <w:tcBorders>
              <w:top w:val="double" w:sz="4" w:space="0" w:color="auto"/>
            </w:tcBorders>
            <w:shd w:val="clear" w:color="auto" w:fill="FFFFAF"/>
            <w:vAlign w:val="center"/>
          </w:tcPr>
          <w:p w:rsidR="00485094" w:rsidRDefault="00485094" w:rsidP="00453E80">
            <w:pPr>
              <w:pStyle w:val="tabletext1"/>
              <w:jc w:val="center"/>
              <w:rPr>
                <w:color w:val="000000"/>
              </w:rPr>
            </w:pPr>
            <w:r>
              <w:rPr>
                <w:color w:val="000000"/>
              </w:rPr>
              <w:t>243</w:t>
            </w:r>
          </w:p>
        </w:tc>
        <w:tc>
          <w:tcPr>
            <w:tcW w:w="750" w:type="dxa"/>
            <w:tcBorders>
              <w:top w:val="double" w:sz="4" w:space="0" w:color="auto"/>
            </w:tcBorders>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0</w:t>
            </w:r>
          </w:p>
        </w:tc>
        <w:tc>
          <w:tcPr>
            <w:tcW w:w="728" w:type="dxa"/>
            <w:tcBorders>
              <w:top w:val="double" w:sz="4" w:space="0" w:color="auto"/>
            </w:tcBorders>
            <w:vAlign w:val="center"/>
          </w:tcPr>
          <w:p w:rsidR="00485094" w:rsidRPr="00745496" w:rsidRDefault="00485094" w:rsidP="00453E80">
            <w:pPr>
              <w:pStyle w:val="tabletext1"/>
              <w:jc w:val="center"/>
            </w:pPr>
            <w:r>
              <w:t>0</w:t>
            </w:r>
          </w:p>
        </w:tc>
        <w:tc>
          <w:tcPr>
            <w:tcW w:w="723" w:type="dxa"/>
            <w:tcBorders>
              <w:top w:val="double" w:sz="4" w:space="0" w:color="auto"/>
            </w:tcBorders>
            <w:vAlign w:val="center"/>
          </w:tcPr>
          <w:p w:rsidR="00485094" w:rsidRPr="00745496" w:rsidRDefault="00485094" w:rsidP="00453E80">
            <w:pPr>
              <w:pStyle w:val="tabletext1"/>
              <w:jc w:val="center"/>
            </w:pPr>
            <w:r>
              <w:t>-</w:t>
            </w:r>
          </w:p>
        </w:tc>
        <w:tc>
          <w:tcPr>
            <w:tcW w:w="745" w:type="dxa"/>
            <w:tcBorders>
              <w:top w:val="double" w:sz="4" w:space="0" w:color="auto"/>
            </w:tcBorders>
            <w:vAlign w:val="center"/>
          </w:tcPr>
          <w:p w:rsidR="00485094" w:rsidRDefault="00485094" w:rsidP="00453E80">
            <w:pPr>
              <w:pStyle w:val="tabletext1"/>
              <w:jc w:val="center"/>
            </w:pPr>
            <w:r>
              <w:t>0</w:t>
            </w:r>
          </w:p>
        </w:tc>
        <w:tc>
          <w:tcPr>
            <w:tcW w:w="805" w:type="dxa"/>
            <w:tcBorders>
              <w:top w:val="double" w:sz="4" w:space="0" w:color="auto"/>
            </w:tcBorders>
            <w:vAlign w:val="center"/>
          </w:tcPr>
          <w:p w:rsidR="00485094" w:rsidRPr="00745496" w:rsidRDefault="00485094" w:rsidP="00453E80">
            <w:pPr>
              <w:pStyle w:val="tabletext1"/>
              <w:jc w:val="center"/>
            </w:pPr>
            <w:r>
              <w:t>0</w:t>
            </w:r>
          </w:p>
        </w:tc>
        <w:tc>
          <w:tcPr>
            <w:tcW w:w="745" w:type="dxa"/>
            <w:tcBorders>
              <w:top w:val="double" w:sz="4" w:space="0" w:color="auto"/>
            </w:tcBorders>
            <w:vAlign w:val="center"/>
          </w:tcPr>
          <w:p w:rsidR="00485094" w:rsidRPr="00745496" w:rsidRDefault="00485094" w:rsidP="00453E80">
            <w:pPr>
              <w:pStyle w:val="tabletext1"/>
              <w:jc w:val="center"/>
            </w:pPr>
            <w:r>
              <w:t>0</w:t>
            </w:r>
          </w:p>
        </w:tc>
        <w:tc>
          <w:tcPr>
            <w:tcW w:w="745" w:type="dxa"/>
            <w:tcBorders>
              <w:top w:val="double" w:sz="4" w:space="0" w:color="auto"/>
            </w:tcBorders>
            <w:vAlign w:val="center"/>
          </w:tcPr>
          <w:p w:rsidR="00485094" w:rsidRPr="00745496" w:rsidRDefault="00485094" w:rsidP="00453E80">
            <w:pPr>
              <w:pStyle w:val="tabletext1"/>
              <w:jc w:val="center"/>
            </w:pPr>
            <w:r>
              <w:t>0</w:t>
            </w:r>
          </w:p>
        </w:tc>
        <w:tc>
          <w:tcPr>
            <w:tcW w:w="745" w:type="dxa"/>
            <w:tcBorders>
              <w:top w:val="double" w:sz="4" w:space="0" w:color="auto"/>
            </w:tcBorders>
            <w:vAlign w:val="center"/>
          </w:tcPr>
          <w:p w:rsidR="00485094" w:rsidRPr="00745496" w:rsidRDefault="00485094" w:rsidP="00453E80">
            <w:pPr>
              <w:pStyle w:val="tabletext1"/>
              <w:jc w:val="center"/>
            </w:pPr>
            <w:r>
              <w:t>0</w:t>
            </w:r>
          </w:p>
        </w:tc>
        <w:tc>
          <w:tcPr>
            <w:tcW w:w="745" w:type="dxa"/>
            <w:tcBorders>
              <w:top w:val="double" w:sz="4" w:space="0" w:color="auto"/>
            </w:tcBorders>
            <w:vAlign w:val="center"/>
          </w:tcPr>
          <w:p w:rsidR="00485094" w:rsidRPr="00745496" w:rsidRDefault="00485094" w:rsidP="00453E80">
            <w:pPr>
              <w:pStyle w:val="tabletext1"/>
              <w:jc w:val="center"/>
            </w:pPr>
            <w:r>
              <w:t>0</w:t>
            </w:r>
          </w:p>
        </w:tc>
        <w:tc>
          <w:tcPr>
            <w:tcW w:w="745" w:type="dxa"/>
            <w:tcBorders>
              <w:top w:val="double" w:sz="4" w:space="0" w:color="auto"/>
            </w:tcBorders>
            <w:vAlign w:val="center"/>
          </w:tcPr>
          <w:p w:rsidR="00485094" w:rsidRPr="00745496" w:rsidRDefault="00485094" w:rsidP="00453E80">
            <w:pPr>
              <w:pStyle w:val="tabletext1"/>
              <w:jc w:val="center"/>
            </w:pPr>
            <w:r>
              <w:t>+</w:t>
            </w:r>
          </w:p>
        </w:tc>
        <w:tc>
          <w:tcPr>
            <w:tcW w:w="745" w:type="dxa"/>
            <w:tcBorders>
              <w:top w:val="double" w:sz="4" w:space="0" w:color="auto"/>
            </w:tcBorders>
            <w:vAlign w:val="center"/>
          </w:tcPr>
          <w:p w:rsidR="00485094" w:rsidRDefault="00485094" w:rsidP="00453E80">
            <w:pPr>
              <w:pStyle w:val="tabletext1"/>
              <w:jc w:val="center"/>
            </w:pPr>
            <w:r>
              <w:t>0</w:t>
            </w:r>
          </w:p>
        </w:tc>
        <w:tc>
          <w:tcPr>
            <w:tcW w:w="745" w:type="dxa"/>
            <w:tcBorders>
              <w:top w:val="double" w:sz="4" w:space="0" w:color="auto"/>
            </w:tcBorders>
            <w:vAlign w:val="center"/>
          </w:tcPr>
          <w:p w:rsidR="00485094" w:rsidRPr="00745496" w:rsidRDefault="00485094" w:rsidP="00453E80">
            <w:pPr>
              <w:pStyle w:val="tabletext1"/>
              <w:jc w:val="center"/>
            </w:pPr>
            <w:r>
              <w:t>0</w:t>
            </w:r>
          </w:p>
        </w:tc>
        <w:tc>
          <w:tcPr>
            <w:tcW w:w="745" w:type="dxa"/>
            <w:tcBorders>
              <w:top w:val="double" w:sz="4" w:space="0" w:color="auto"/>
            </w:tcBorders>
            <w:vAlign w:val="center"/>
          </w:tcPr>
          <w:p w:rsidR="00485094" w:rsidRPr="009749E0" w:rsidRDefault="00485094" w:rsidP="00453E80">
            <w:pPr>
              <w:pStyle w:val="tabletext1"/>
              <w:jc w:val="center"/>
            </w:pPr>
            <w:r>
              <w:t>+</w:t>
            </w:r>
          </w:p>
        </w:tc>
        <w:tc>
          <w:tcPr>
            <w:tcW w:w="820" w:type="dxa"/>
            <w:tcBorders>
              <w:top w:val="double" w:sz="4" w:space="0" w:color="auto"/>
            </w:tcBorders>
            <w:vAlign w:val="center"/>
          </w:tcPr>
          <w:p w:rsidR="00485094" w:rsidRDefault="00485094" w:rsidP="00453E80">
            <w:pPr>
              <w:pStyle w:val="tabletext1"/>
              <w:jc w:val="center"/>
            </w:pPr>
            <w:r>
              <w:t>+</w:t>
            </w:r>
          </w:p>
        </w:tc>
        <w:tc>
          <w:tcPr>
            <w:tcW w:w="745" w:type="dxa"/>
            <w:tcBorders>
              <w:top w:val="double" w:sz="4" w:space="0" w:color="auto"/>
            </w:tcBorders>
            <w:vAlign w:val="center"/>
          </w:tcPr>
          <w:p w:rsidR="00485094" w:rsidRPr="009749E0" w:rsidRDefault="00485094" w:rsidP="00453E80">
            <w:pPr>
              <w:pStyle w:val="tabletext1"/>
              <w:jc w:val="center"/>
            </w:pPr>
            <w:r>
              <w:t>0</w:t>
            </w:r>
          </w:p>
        </w:tc>
        <w:tc>
          <w:tcPr>
            <w:tcW w:w="745" w:type="dxa"/>
            <w:tcBorders>
              <w:top w:val="double" w:sz="4" w:space="0" w:color="auto"/>
            </w:tcBorders>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312</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0</w:t>
            </w:r>
          </w:p>
        </w:tc>
        <w:tc>
          <w:tcPr>
            <w:tcW w:w="728" w:type="dxa"/>
            <w:vAlign w:val="center"/>
          </w:tcPr>
          <w:p w:rsidR="00485094" w:rsidRPr="00745496" w:rsidRDefault="00485094" w:rsidP="00453E80">
            <w:pPr>
              <w:pStyle w:val="tabletext1"/>
              <w:jc w:val="center"/>
            </w:pPr>
            <w:r>
              <w:t>+</w:t>
            </w:r>
          </w:p>
        </w:tc>
        <w:tc>
          <w:tcPr>
            <w:tcW w:w="723" w:type="dxa"/>
            <w:vAlign w:val="center"/>
          </w:tcPr>
          <w:p w:rsidR="00485094" w:rsidRPr="00745496" w:rsidRDefault="00485094" w:rsidP="00453E80">
            <w:pPr>
              <w:pStyle w:val="tabletext1"/>
              <w:jc w:val="center"/>
            </w:pPr>
            <w:r>
              <w:t>-</w:t>
            </w:r>
          </w:p>
        </w:tc>
        <w:tc>
          <w:tcPr>
            <w:tcW w:w="745" w:type="dxa"/>
            <w:vAlign w:val="center"/>
          </w:tcPr>
          <w:p w:rsidR="00485094" w:rsidRDefault="00485094" w:rsidP="00453E80">
            <w:pPr>
              <w:pStyle w:val="tabletext1"/>
              <w:jc w:val="center"/>
            </w:pPr>
            <w:r>
              <w:t>0</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w:t>
            </w:r>
          </w:p>
        </w:tc>
        <w:tc>
          <w:tcPr>
            <w:tcW w:w="745" w:type="dxa"/>
            <w:vAlign w:val="center"/>
          </w:tcPr>
          <w:p w:rsidR="00485094" w:rsidRPr="009749E0" w:rsidRDefault="00485094" w:rsidP="00453E80">
            <w:pPr>
              <w:pStyle w:val="tabletext1"/>
              <w:jc w:val="center"/>
            </w:pPr>
            <w:r>
              <w:t>0</w:t>
            </w:r>
          </w:p>
        </w:tc>
        <w:tc>
          <w:tcPr>
            <w:tcW w:w="820" w:type="dxa"/>
            <w:vAlign w:val="center"/>
          </w:tcPr>
          <w:p w:rsidR="00485094" w:rsidRDefault="00485094" w:rsidP="00453E80">
            <w:pPr>
              <w:pStyle w:val="tabletext1"/>
              <w:jc w:val="center"/>
            </w:pPr>
            <w:r>
              <w:t>+</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615</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w:t>
            </w:r>
          </w:p>
        </w:tc>
        <w:tc>
          <w:tcPr>
            <w:tcW w:w="728" w:type="dxa"/>
            <w:vAlign w:val="center"/>
          </w:tcPr>
          <w:p w:rsidR="00485094" w:rsidRPr="00745496" w:rsidRDefault="00485094" w:rsidP="00453E80">
            <w:pPr>
              <w:pStyle w:val="tabletext1"/>
              <w:jc w:val="center"/>
            </w:pPr>
            <w:r>
              <w:t>0</w:t>
            </w:r>
          </w:p>
        </w:tc>
        <w:tc>
          <w:tcPr>
            <w:tcW w:w="723" w:type="dxa"/>
            <w:vAlign w:val="center"/>
          </w:tcPr>
          <w:p w:rsidR="00485094" w:rsidRPr="00745496" w:rsidRDefault="00485094" w:rsidP="00453E80">
            <w:pPr>
              <w:pStyle w:val="tabletext1"/>
              <w:jc w:val="center"/>
            </w:pPr>
            <w:r>
              <w:t>-</w:t>
            </w:r>
          </w:p>
        </w:tc>
        <w:tc>
          <w:tcPr>
            <w:tcW w:w="745" w:type="dxa"/>
            <w:vAlign w:val="center"/>
          </w:tcPr>
          <w:p w:rsidR="00485094" w:rsidRDefault="00485094" w:rsidP="00453E80">
            <w:pPr>
              <w:pStyle w:val="tabletext1"/>
              <w:jc w:val="center"/>
            </w:pPr>
            <w:r>
              <w:t>ISD</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w:t>
            </w:r>
          </w:p>
        </w:tc>
        <w:tc>
          <w:tcPr>
            <w:tcW w:w="745" w:type="dxa"/>
            <w:vAlign w:val="center"/>
          </w:tcPr>
          <w:p w:rsidR="00485094"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820" w:type="dxa"/>
            <w:vAlign w:val="center"/>
          </w:tcPr>
          <w:p w:rsidR="00485094"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707</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0</w:t>
            </w:r>
          </w:p>
        </w:tc>
        <w:tc>
          <w:tcPr>
            <w:tcW w:w="728" w:type="dxa"/>
            <w:vAlign w:val="center"/>
          </w:tcPr>
          <w:p w:rsidR="00485094" w:rsidRPr="00745496" w:rsidRDefault="00485094" w:rsidP="00453E80">
            <w:pPr>
              <w:pStyle w:val="tabletext1"/>
              <w:jc w:val="center"/>
            </w:pPr>
            <w:r>
              <w:t>0</w:t>
            </w:r>
          </w:p>
        </w:tc>
        <w:tc>
          <w:tcPr>
            <w:tcW w:w="723" w:type="dxa"/>
            <w:vAlign w:val="center"/>
          </w:tcPr>
          <w:p w:rsidR="00485094" w:rsidRPr="00745496" w:rsidRDefault="00485094" w:rsidP="00453E80">
            <w:pPr>
              <w:pStyle w:val="tabletext1"/>
              <w:jc w:val="center"/>
            </w:pPr>
            <w:r>
              <w:t>-</w:t>
            </w:r>
          </w:p>
        </w:tc>
        <w:tc>
          <w:tcPr>
            <w:tcW w:w="745" w:type="dxa"/>
            <w:vAlign w:val="center"/>
          </w:tcPr>
          <w:p w:rsidR="00485094" w:rsidRDefault="00485094" w:rsidP="00453E80">
            <w:pPr>
              <w:pStyle w:val="tabletext1"/>
              <w:jc w:val="center"/>
            </w:pPr>
            <w:r>
              <w:t>0</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w:t>
            </w:r>
          </w:p>
        </w:tc>
        <w:tc>
          <w:tcPr>
            <w:tcW w:w="820" w:type="dxa"/>
            <w:vAlign w:val="center"/>
          </w:tcPr>
          <w:p w:rsidR="00485094"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737</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0</w:t>
            </w:r>
          </w:p>
        </w:tc>
        <w:tc>
          <w:tcPr>
            <w:tcW w:w="728" w:type="dxa"/>
            <w:vAlign w:val="center"/>
          </w:tcPr>
          <w:p w:rsidR="00485094" w:rsidRPr="00745496" w:rsidRDefault="00485094" w:rsidP="00453E80">
            <w:pPr>
              <w:pStyle w:val="tabletext1"/>
              <w:jc w:val="center"/>
            </w:pPr>
            <w:r>
              <w:t>+</w:t>
            </w:r>
          </w:p>
        </w:tc>
        <w:tc>
          <w:tcPr>
            <w:tcW w:w="723" w:type="dxa"/>
            <w:vAlign w:val="center"/>
          </w:tcPr>
          <w:p w:rsidR="00485094" w:rsidRPr="00745496" w:rsidRDefault="00485094" w:rsidP="00453E80">
            <w:pPr>
              <w:pStyle w:val="tabletext1"/>
              <w:jc w:val="center"/>
            </w:pPr>
            <w:r>
              <w:t>-</w:t>
            </w:r>
          </w:p>
        </w:tc>
        <w:tc>
          <w:tcPr>
            <w:tcW w:w="745" w:type="dxa"/>
            <w:vAlign w:val="center"/>
          </w:tcPr>
          <w:p w:rsidR="00485094" w:rsidRDefault="00485094" w:rsidP="00453E80">
            <w:pPr>
              <w:pStyle w:val="tabletext1"/>
              <w:jc w:val="center"/>
            </w:pPr>
            <w:r>
              <w:t>0</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w:t>
            </w:r>
          </w:p>
        </w:tc>
        <w:tc>
          <w:tcPr>
            <w:tcW w:w="745" w:type="dxa"/>
            <w:vAlign w:val="center"/>
          </w:tcPr>
          <w:p w:rsidR="00485094"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w:t>
            </w:r>
          </w:p>
        </w:tc>
        <w:tc>
          <w:tcPr>
            <w:tcW w:w="820" w:type="dxa"/>
            <w:vAlign w:val="center"/>
          </w:tcPr>
          <w:p w:rsidR="00485094"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775</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w:t>
            </w:r>
          </w:p>
        </w:tc>
        <w:tc>
          <w:tcPr>
            <w:tcW w:w="728" w:type="dxa"/>
            <w:vAlign w:val="center"/>
          </w:tcPr>
          <w:p w:rsidR="00485094" w:rsidRPr="00745496" w:rsidRDefault="00485094" w:rsidP="00453E80">
            <w:pPr>
              <w:pStyle w:val="tabletext1"/>
              <w:jc w:val="center"/>
            </w:pPr>
            <w:r>
              <w:t>-</w:t>
            </w:r>
          </w:p>
        </w:tc>
        <w:tc>
          <w:tcPr>
            <w:tcW w:w="723" w:type="dxa"/>
            <w:vAlign w:val="center"/>
          </w:tcPr>
          <w:p w:rsidR="00485094" w:rsidRPr="00745496" w:rsidRDefault="00485094" w:rsidP="00453E80">
            <w:pPr>
              <w:pStyle w:val="tabletext1"/>
              <w:jc w:val="center"/>
            </w:pPr>
            <w:r>
              <w:t>-</w:t>
            </w:r>
          </w:p>
        </w:tc>
        <w:tc>
          <w:tcPr>
            <w:tcW w:w="745" w:type="dxa"/>
            <w:vAlign w:val="center"/>
          </w:tcPr>
          <w:p w:rsidR="00485094" w:rsidRDefault="00485094" w:rsidP="00453E80">
            <w:pPr>
              <w:pStyle w:val="tabletext1"/>
              <w:jc w:val="center"/>
            </w:pPr>
            <w:r>
              <w:t>+</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820" w:type="dxa"/>
            <w:vAlign w:val="center"/>
          </w:tcPr>
          <w:p w:rsidR="00485094"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997</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w:t>
            </w:r>
          </w:p>
        </w:tc>
        <w:tc>
          <w:tcPr>
            <w:tcW w:w="728" w:type="dxa"/>
            <w:vAlign w:val="center"/>
          </w:tcPr>
          <w:p w:rsidR="00485094" w:rsidRPr="00745496" w:rsidRDefault="00485094" w:rsidP="00453E80">
            <w:pPr>
              <w:pStyle w:val="tabletext1"/>
              <w:jc w:val="center"/>
            </w:pPr>
            <w:r>
              <w:t>0</w:t>
            </w:r>
          </w:p>
        </w:tc>
        <w:tc>
          <w:tcPr>
            <w:tcW w:w="723" w:type="dxa"/>
            <w:vAlign w:val="center"/>
          </w:tcPr>
          <w:p w:rsidR="00485094" w:rsidRPr="00745496" w:rsidRDefault="00485094" w:rsidP="00453E80">
            <w:pPr>
              <w:pStyle w:val="tabletext1"/>
              <w:jc w:val="center"/>
            </w:pPr>
            <w:r>
              <w:t>-</w:t>
            </w:r>
          </w:p>
        </w:tc>
        <w:tc>
          <w:tcPr>
            <w:tcW w:w="745" w:type="dxa"/>
            <w:vAlign w:val="center"/>
          </w:tcPr>
          <w:p w:rsidR="00485094" w:rsidRDefault="00485094" w:rsidP="00453E80">
            <w:pPr>
              <w:pStyle w:val="tabletext1"/>
              <w:jc w:val="center"/>
            </w:pPr>
            <w:r>
              <w:t>0</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w:t>
            </w:r>
          </w:p>
        </w:tc>
        <w:tc>
          <w:tcPr>
            <w:tcW w:w="820" w:type="dxa"/>
            <w:vAlign w:val="center"/>
          </w:tcPr>
          <w:p w:rsidR="00485094"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1420</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w:t>
            </w:r>
          </w:p>
        </w:tc>
        <w:tc>
          <w:tcPr>
            <w:tcW w:w="728" w:type="dxa"/>
            <w:vAlign w:val="center"/>
          </w:tcPr>
          <w:p w:rsidR="00485094" w:rsidRPr="00745496" w:rsidRDefault="00485094" w:rsidP="00453E80">
            <w:pPr>
              <w:pStyle w:val="tabletext1"/>
              <w:jc w:val="center"/>
            </w:pPr>
            <w:r>
              <w:t>0</w:t>
            </w:r>
          </w:p>
        </w:tc>
        <w:tc>
          <w:tcPr>
            <w:tcW w:w="723"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820" w:type="dxa"/>
            <w:vAlign w:val="center"/>
          </w:tcPr>
          <w:p w:rsidR="00485094"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1674</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0</w:t>
            </w:r>
          </w:p>
        </w:tc>
        <w:tc>
          <w:tcPr>
            <w:tcW w:w="728" w:type="dxa"/>
            <w:vAlign w:val="center"/>
          </w:tcPr>
          <w:p w:rsidR="00485094" w:rsidRPr="00745496" w:rsidRDefault="00485094" w:rsidP="00453E80">
            <w:pPr>
              <w:pStyle w:val="tabletext1"/>
              <w:jc w:val="center"/>
            </w:pPr>
            <w:r>
              <w:t>-</w:t>
            </w:r>
          </w:p>
        </w:tc>
        <w:tc>
          <w:tcPr>
            <w:tcW w:w="723" w:type="dxa"/>
            <w:vAlign w:val="center"/>
          </w:tcPr>
          <w:p w:rsidR="00485094" w:rsidRPr="00745496" w:rsidRDefault="00485094" w:rsidP="00453E80">
            <w:pPr>
              <w:pStyle w:val="tabletext1"/>
              <w:jc w:val="center"/>
            </w:pPr>
            <w:r>
              <w:t>-</w:t>
            </w:r>
          </w:p>
        </w:tc>
        <w:tc>
          <w:tcPr>
            <w:tcW w:w="745" w:type="dxa"/>
            <w:vAlign w:val="center"/>
          </w:tcPr>
          <w:p w:rsidR="00485094" w:rsidRDefault="00485094" w:rsidP="00453E80">
            <w:pPr>
              <w:pStyle w:val="tabletext1"/>
              <w:jc w:val="center"/>
            </w:pPr>
            <w:r>
              <w:t>0</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820" w:type="dxa"/>
            <w:vAlign w:val="center"/>
          </w:tcPr>
          <w:p w:rsidR="00485094" w:rsidRDefault="00485094" w:rsidP="00453E80">
            <w:pPr>
              <w:pStyle w:val="tabletext1"/>
              <w:jc w:val="center"/>
            </w:pPr>
            <w:r>
              <w:t>-</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1762</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0</w:t>
            </w:r>
          </w:p>
        </w:tc>
        <w:tc>
          <w:tcPr>
            <w:tcW w:w="728" w:type="dxa"/>
            <w:vAlign w:val="center"/>
          </w:tcPr>
          <w:p w:rsidR="00485094" w:rsidRPr="00745496" w:rsidRDefault="00485094" w:rsidP="00453E80">
            <w:pPr>
              <w:pStyle w:val="tabletext1"/>
              <w:jc w:val="center"/>
            </w:pPr>
            <w:r>
              <w:t>0</w:t>
            </w:r>
          </w:p>
        </w:tc>
        <w:tc>
          <w:tcPr>
            <w:tcW w:w="723"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820" w:type="dxa"/>
            <w:vAlign w:val="center"/>
          </w:tcPr>
          <w:p w:rsidR="00485094"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1763</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0</w:t>
            </w:r>
          </w:p>
        </w:tc>
        <w:tc>
          <w:tcPr>
            <w:tcW w:w="728" w:type="dxa"/>
            <w:vAlign w:val="center"/>
          </w:tcPr>
          <w:p w:rsidR="00485094" w:rsidRPr="00745496" w:rsidRDefault="00485094" w:rsidP="00453E80">
            <w:pPr>
              <w:pStyle w:val="tabletext1"/>
              <w:jc w:val="center"/>
            </w:pPr>
            <w:r>
              <w:t>0</w:t>
            </w:r>
          </w:p>
        </w:tc>
        <w:tc>
          <w:tcPr>
            <w:tcW w:w="723"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w:t>
            </w:r>
          </w:p>
        </w:tc>
        <w:tc>
          <w:tcPr>
            <w:tcW w:w="745" w:type="dxa"/>
            <w:vAlign w:val="center"/>
          </w:tcPr>
          <w:p w:rsidR="00485094" w:rsidRPr="009749E0" w:rsidRDefault="00485094" w:rsidP="00453E80">
            <w:pPr>
              <w:pStyle w:val="tabletext1"/>
              <w:jc w:val="center"/>
            </w:pPr>
            <w:r>
              <w:t>+</w:t>
            </w:r>
          </w:p>
        </w:tc>
        <w:tc>
          <w:tcPr>
            <w:tcW w:w="820" w:type="dxa"/>
            <w:vAlign w:val="center"/>
          </w:tcPr>
          <w:p w:rsidR="00485094"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1779</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0</w:t>
            </w:r>
          </w:p>
        </w:tc>
        <w:tc>
          <w:tcPr>
            <w:tcW w:w="728" w:type="dxa"/>
            <w:vAlign w:val="center"/>
          </w:tcPr>
          <w:p w:rsidR="00485094" w:rsidRPr="00745496" w:rsidRDefault="00485094" w:rsidP="00453E80">
            <w:pPr>
              <w:pStyle w:val="tabletext1"/>
              <w:jc w:val="center"/>
            </w:pPr>
            <w:r>
              <w:t>0</w:t>
            </w:r>
          </w:p>
        </w:tc>
        <w:tc>
          <w:tcPr>
            <w:tcW w:w="723"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820" w:type="dxa"/>
            <w:vAlign w:val="center"/>
          </w:tcPr>
          <w:p w:rsidR="00485094"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1780</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0</w:t>
            </w:r>
          </w:p>
        </w:tc>
        <w:tc>
          <w:tcPr>
            <w:tcW w:w="728" w:type="dxa"/>
            <w:vAlign w:val="center"/>
          </w:tcPr>
          <w:p w:rsidR="00485094" w:rsidRPr="00745496" w:rsidRDefault="00485094" w:rsidP="00453E80">
            <w:pPr>
              <w:pStyle w:val="tabletext1"/>
              <w:jc w:val="center"/>
            </w:pPr>
            <w:r>
              <w:t>0</w:t>
            </w:r>
          </w:p>
        </w:tc>
        <w:tc>
          <w:tcPr>
            <w:tcW w:w="723"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820" w:type="dxa"/>
            <w:vAlign w:val="center"/>
          </w:tcPr>
          <w:p w:rsidR="00485094"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w:t>
            </w:r>
          </w:p>
        </w:tc>
        <w:tc>
          <w:tcPr>
            <w:tcW w:w="745" w:type="dxa"/>
            <w:vAlign w:val="center"/>
          </w:tcPr>
          <w:p w:rsidR="00485094" w:rsidRPr="009749E0" w:rsidRDefault="00485094" w:rsidP="00453E80">
            <w:pPr>
              <w:pStyle w:val="tabletext1"/>
              <w:jc w:val="center"/>
            </w:pPr>
            <w:r>
              <w:t>+</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2187</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0</w:t>
            </w:r>
          </w:p>
        </w:tc>
        <w:tc>
          <w:tcPr>
            <w:tcW w:w="728" w:type="dxa"/>
            <w:vAlign w:val="center"/>
          </w:tcPr>
          <w:p w:rsidR="00485094" w:rsidRPr="00745496" w:rsidRDefault="00485094" w:rsidP="00453E80">
            <w:pPr>
              <w:pStyle w:val="tabletext1"/>
              <w:jc w:val="center"/>
            </w:pPr>
            <w:r>
              <w:t>-</w:t>
            </w:r>
          </w:p>
        </w:tc>
        <w:tc>
          <w:tcPr>
            <w:tcW w:w="723"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w:t>
            </w:r>
          </w:p>
        </w:tc>
        <w:tc>
          <w:tcPr>
            <w:tcW w:w="805" w:type="dxa"/>
            <w:vAlign w:val="center"/>
          </w:tcPr>
          <w:p w:rsidR="00485094" w:rsidRPr="00745496" w:rsidRDefault="00485094" w:rsidP="00453E80">
            <w:pPr>
              <w:pStyle w:val="tabletext1"/>
              <w:jc w:val="center"/>
            </w:pPr>
            <w:r>
              <w:t>ISD</w:t>
            </w:r>
          </w:p>
        </w:tc>
        <w:tc>
          <w:tcPr>
            <w:tcW w:w="745" w:type="dxa"/>
            <w:vAlign w:val="center"/>
          </w:tcPr>
          <w:p w:rsidR="00485094" w:rsidRPr="00745496" w:rsidRDefault="00485094" w:rsidP="00453E80">
            <w:pPr>
              <w:pStyle w:val="tabletext1"/>
              <w:jc w:val="center"/>
            </w:pPr>
            <w:r>
              <w:t>ISD</w:t>
            </w:r>
          </w:p>
        </w:tc>
        <w:tc>
          <w:tcPr>
            <w:tcW w:w="745" w:type="dxa"/>
            <w:vAlign w:val="center"/>
          </w:tcPr>
          <w:p w:rsidR="00485094" w:rsidRPr="00745496" w:rsidRDefault="00485094" w:rsidP="00453E80">
            <w:pPr>
              <w:pStyle w:val="tabletext1"/>
              <w:jc w:val="center"/>
            </w:pPr>
            <w:r>
              <w:t>ISD</w:t>
            </w:r>
          </w:p>
        </w:tc>
        <w:tc>
          <w:tcPr>
            <w:tcW w:w="745" w:type="dxa"/>
            <w:vAlign w:val="center"/>
          </w:tcPr>
          <w:p w:rsidR="00485094" w:rsidRPr="00745496" w:rsidRDefault="00485094" w:rsidP="00453E80">
            <w:pPr>
              <w:pStyle w:val="tabletext1"/>
              <w:jc w:val="center"/>
            </w:pPr>
            <w:r>
              <w:t>ISD</w:t>
            </w:r>
          </w:p>
        </w:tc>
        <w:tc>
          <w:tcPr>
            <w:tcW w:w="745" w:type="dxa"/>
            <w:vAlign w:val="center"/>
          </w:tcPr>
          <w:p w:rsidR="00485094" w:rsidRPr="00745496" w:rsidRDefault="00485094" w:rsidP="00453E80">
            <w:pPr>
              <w:pStyle w:val="tabletext1"/>
              <w:jc w:val="center"/>
            </w:pPr>
            <w:r>
              <w:t>ISD</w:t>
            </w:r>
          </w:p>
        </w:tc>
        <w:tc>
          <w:tcPr>
            <w:tcW w:w="745" w:type="dxa"/>
            <w:vAlign w:val="center"/>
          </w:tcPr>
          <w:p w:rsidR="00485094" w:rsidRPr="00745496" w:rsidRDefault="00485094" w:rsidP="00453E80">
            <w:pPr>
              <w:pStyle w:val="tabletext1"/>
              <w:jc w:val="center"/>
            </w:pPr>
            <w:r>
              <w:t>ISD</w:t>
            </w:r>
          </w:p>
        </w:tc>
        <w:tc>
          <w:tcPr>
            <w:tcW w:w="745" w:type="dxa"/>
            <w:vAlign w:val="center"/>
          </w:tcPr>
          <w:p w:rsidR="00485094" w:rsidRDefault="00485094" w:rsidP="00453E80">
            <w:pPr>
              <w:pStyle w:val="tabletext1"/>
              <w:jc w:val="center"/>
            </w:pPr>
            <w:r>
              <w:t>ISD</w:t>
            </w:r>
          </w:p>
        </w:tc>
        <w:tc>
          <w:tcPr>
            <w:tcW w:w="745" w:type="dxa"/>
            <w:vAlign w:val="center"/>
          </w:tcPr>
          <w:p w:rsidR="00485094" w:rsidRPr="00745496" w:rsidRDefault="00485094" w:rsidP="00453E80">
            <w:pPr>
              <w:pStyle w:val="tabletext1"/>
              <w:jc w:val="center"/>
            </w:pPr>
            <w:r>
              <w:t>ISD</w:t>
            </w:r>
          </w:p>
        </w:tc>
        <w:tc>
          <w:tcPr>
            <w:tcW w:w="745" w:type="dxa"/>
            <w:vAlign w:val="center"/>
          </w:tcPr>
          <w:p w:rsidR="00485094" w:rsidRPr="009749E0" w:rsidRDefault="00485094" w:rsidP="00453E80">
            <w:pPr>
              <w:pStyle w:val="tabletext1"/>
              <w:jc w:val="center"/>
            </w:pPr>
            <w:r>
              <w:t>ISD</w:t>
            </w:r>
          </w:p>
        </w:tc>
        <w:tc>
          <w:tcPr>
            <w:tcW w:w="820" w:type="dxa"/>
            <w:vAlign w:val="center"/>
          </w:tcPr>
          <w:p w:rsidR="00485094" w:rsidRDefault="00485094" w:rsidP="00453E80">
            <w:pPr>
              <w:pStyle w:val="tabletext1"/>
              <w:jc w:val="center"/>
            </w:pPr>
            <w:r>
              <w:t>ISD</w:t>
            </w:r>
          </w:p>
        </w:tc>
        <w:tc>
          <w:tcPr>
            <w:tcW w:w="745" w:type="dxa"/>
            <w:vAlign w:val="center"/>
          </w:tcPr>
          <w:p w:rsidR="00485094" w:rsidRPr="009749E0" w:rsidRDefault="00485094" w:rsidP="00453E80">
            <w:pPr>
              <w:pStyle w:val="tabletext1"/>
              <w:jc w:val="center"/>
            </w:pPr>
            <w:r>
              <w:t>ISD</w:t>
            </w:r>
          </w:p>
        </w:tc>
        <w:tc>
          <w:tcPr>
            <w:tcW w:w="745" w:type="dxa"/>
            <w:vAlign w:val="center"/>
          </w:tcPr>
          <w:p w:rsidR="00485094" w:rsidRPr="009749E0" w:rsidRDefault="00485094" w:rsidP="00453E80">
            <w:pPr>
              <w:pStyle w:val="tabletext1"/>
              <w:jc w:val="center"/>
            </w:pPr>
            <w:r>
              <w:t>ISD</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2353</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0</w:t>
            </w:r>
          </w:p>
        </w:tc>
        <w:tc>
          <w:tcPr>
            <w:tcW w:w="728" w:type="dxa"/>
            <w:vAlign w:val="center"/>
          </w:tcPr>
          <w:p w:rsidR="00485094" w:rsidRPr="00745496" w:rsidRDefault="00485094" w:rsidP="00453E80">
            <w:pPr>
              <w:pStyle w:val="tabletext1"/>
              <w:jc w:val="center"/>
            </w:pPr>
            <w:r>
              <w:t>+</w:t>
            </w:r>
          </w:p>
        </w:tc>
        <w:tc>
          <w:tcPr>
            <w:tcW w:w="723"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820" w:type="dxa"/>
            <w:vAlign w:val="center"/>
          </w:tcPr>
          <w:p w:rsidR="00485094" w:rsidRDefault="00485094" w:rsidP="00453E80">
            <w:pPr>
              <w:pStyle w:val="tabletext1"/>
              <w:jc w:val="center"/>
            </w:pPr>
            <w:r>
              <w:t>+</w:t>
            </w:r>
          </w:p>
        </w:tc>
        <w:tc>
          <w:tcPr>
            <w:tcW w:w="745" w:type="dxa"/>
            <w:vAlign w:val="center"/>
          </w:tcPr>
          <w:p w:rsidR="00485094" w:rsidRPr="009749E0" w:rsidRDefault="00485094" w:rsidP="00453E80">
            <w:pPr>
              <w:pStyle w:val="tabletext1"/>
              <w:jc w:val="center"/>
            </w:pPr>
            <w:r>
              <w:t>+</w:t>
            </w:r>
          </w:p>
        </w:tc>
        <w:tc>
          <w:tcPr>
            <w:tcW w:w="745" w:type="dxa"/>
            <w:vAlign w:val="center"/>
          </w:tcPr>
          <w:p w:rsidR="00485094" w:rsidRPr="009749E0" w:rsidRDefault="00485094" w:rsidP="00453E80">
            <w:pPr>
              <w:pStyle w:val="tabletext1"/>
              <w:jc w:val="center"/>
            </w:pPr>
            <w:r>
              <w:t>+</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2404</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w:t>
            </w:r>
          </w:p>
        </w:tc>
        <w:tc>
          <w:tcPr>
            <w:tcW w:w="728" w:type="dxa"/>
            <w:vAlign w:val="center"/>
          </w:tcPr>
          <w:p w:rsidR="00485094" w:rsidRPr="00745496" w:rsidRDefault="00485094" w:rsidP="00453E80">
            <w:pPr>
              <w:pStyle w:val="tabletext1"/>
              <w:jc w:val="center"/>
            </w:pPr>
            <w:r>
              <w:t>0</w:t>
            </w:r>
          </w:p>
        </w:tc>
        <w:tc>
          <w:tcPr>
            <w:tcW w:w="723"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805" w:type="dxa"/>
            <w:vAlign w:val="center"/>
          </w:tcPr>
          <w:p w:rsidR="00485094" w:rsidRPr="00745496"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820" w:type="dxa"/>
            <w:vAlign w:val="center"/>
          </w:tcPr>
          <w:p w:rsidR="00485094"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2585</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w:t>
            </w:r>
          </w:p>
        </w:tc>
        <w:tc>
          <w:tcPr>
            <w:tcW w:w="728" w:type="dxa"/>
            <w:vAlign w:val="center"/>
          </w:tcPr>
          <w:p w:rsidR="00485094" w:rsidRPr="00745496" w:rsidRDefault="00485094" w:rsidP="00453E80">
            <w:pPr>
              <w:pStyle w:val="tabletext1"/>
              <w:jc w:val="center"/>
            </w:pPr>
            <w:r>
              <w:t>+</w:t>
            </w:r>
          </w:p>
        </w:tc>
        <w:tc>
          <w:tcPr>
            <w:tcW w:w="723"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w:t>
            </w:r>
          </w:p>
        </w:tc>
        <w:tc>
          <w:tcPr>
            <w:tcW w:w="745" w:type="dxa"/>
            <w:vAlign w:val="center"/>
          </w:tcPr>
          <w:p w:rsidR="00485094"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820" w:type="dxa"/>
            <w:vAlign w:val="center"/>
          </w:tcPr>
          <w:p w:rsidR="00485094"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2675</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0</w:t>
            </w:r>
          </w:p>
        </w:tc>
        <w:tc>
          <w:tcPr>
            <w:tcW w:w="728" w:type="dxa"/>
            <w:vAlign w:val="center"/>
          </w:tcPr>
          <w:p w:rsidR="00485094" w:rsidRPr="00745496" w:rsidRDefault="00485094" w:rsidP="00453E80">
            <w:pPr>
              <w:pStyle w:val="tabletext1"/>
              <w:jc w:val="center"/>
            </w:pPr>
            <w:r>
              <w:t>+</w:t>
            </w:r>
          </w:p>
        </w:tc>
        <w:tc>
          <w:tcPr>
            <w:tcW w:w="723"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820" w:type="dxa"/>
            <w:vAlign w:val="center"/>
          </w:tcPr>
          <w:p w:rsidR="00485094"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2873</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0</w:t>
            </w:r>
          </w:p>
        </w:tc>
        <w:tc>
          <w:tcPr>
            <w:tcW w:w="728" w:type="dxa"/>
            <w:vAlign w:val="center"/>
          </w:tcPr>
          <w:p w:rsidR="00485094" w:rsidRPr="00745496" w:rsidRDefault="00485094" w:rsidP="00453E80">
            <w:pPr>
              <w:pStyle w:val="tabletext1"/>
              <w:jc w:val="center"/>
            </w:pPr>
            <w:r>
              <w:t>0</w:t>
            </w:r>
          </w:p>
        </w:tc>
        <w:tc>
          <w:tcPr>
            <w:tcW w:w="723"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805" w:type="dxa"/>
            <w:vAlign w:val="center"/>
          </w:tcPr>
          <w:p w:rsidR="00485094" w:rsidRPr="00745496"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820" w:type="dxa"/>
            <w:vAlign w:val="center"/>
          </w:tcPr>
          <w:p w:rsidR="00485094"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3108</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w:t>
            </w:r>
          </w:p>
        </w:tc>
        <w:tc>
          <w:tcPr>
            <w:tcW w:w="728" w:type="dxa"/>
            <w:vAlign w:val="center"/>
          </w:tcPr>
          <w:p w:rsidR="00485094" w:rsidRPr="00745496" w:rsidRDefault="00485094" w:rsidP="00453E80">
            <w:pPr>
              <w:pStyle w:val="tabletext1"/>
              <w:jc w:val="center"/>
            </w:pPr>
            <w:r>
              <w:t>0</w:t>
            </w:r>
          </w:p>
        </w:tc>
        <w:tc>
          <w:tcPr>
            <w:tcW w:w="723"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820" w:type="dxa"/>
            <w:vAlign w:val="center"/>
          </w:tcPr>
          <w:p w:rsidR="00485094"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3433</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0</w:t>
            </w:r>
          </w:p>
        </w:tc>
        <w:tc>
          <w:tcPr>
            <w:tcW w:w="728" w:type="dxa"/>
            <w:vAlign w:val="center"/>
          </w:tcPr>
          <w:p w:rsidR="00485094" w:rsidRPr="00745496" w:rsidRDefault="00485094" w:rsidP="00453E80">
            <w:pPr>
              <w:pStyle w:val="tabletext1"/>
              <w:jc w:val="center"/>
            </w:pPr>
            <w:r>
              <w:t>0</w:t>
            </w:r>
          </w:p>
        </w:tc>
        <w:tc>
          <w:tcPr>
            <w:tcW w:w="723"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ISD</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820" w:type="dxa"/>
            <w:vAlign w:val="center"/>
          </w:tcPr>
          <w:p w:rsidR="00485094" w:rsidRDefault="00485094" w:rsidP="00453E80">
            <w:pPr>
              <w:pStyle w:val="tabletext1"/>
              <w:jc w:val="center"/>
            </w:pPr>
            <w:r>
              <w:t>+</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7935</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0</w:t>
            </w:r>
          </w:p>
        </w:tc>
        <w:tc>
          <w:tcPr>
            <w:tcW w:w="728" w:type="dxa"/>
            <w:vAlign w:val="center"/>
          </w:tcPr>
          <w:p w:rsidR="00485094" w:rsidRPr="00745496" w:rsidRDefault="00485094" w:rsidP="00453E80">
            <w:pPr>
              <w:pStyle w:val="tabletext1"/>
              <w:jc w:val="center"/>
            </w:pPr>
            <w:r>
              <w:t>0</w:t>
            </w:r>
          </w:p>
        </w:tc>
        <w:tc>
          <w:tcPr>
            <w:tcW w:w="723" w:type="dxa"/>
            <w:vAlign w:val="center"/>
          </w:tcPr>
          <w:p w:rsidR="00485094" w:rsidRPr="00745496" w:rsidRDefault="00485094" w:rsidP="00453E80">
            <w:pPr>
              <w:pStyle w:val="tabletext1"/>
              <w:jc w:val="center"/>
            </w:pPr>
            <w:r>
              <w:t>-</w:t>
            </w:r>
          </w:p>
        </w:tc>
        <w:tc>
          <w:tcPr>
            <w:tcW w:w="745" w:type="dxa"/>
            <w:vAlign w:val="center"/>
          </w:tcPr>
          <w:p w:rsidR="00485094" w:rsidRDefault="00485094" w:rsidP="00453E80">
            <w:pPr>
              <w:pStyle w:val="tabletext1"/>
              <w:jc w:val="center"/>
            </w:pPr>
            <w:r>
              <w:t>0</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w:t>
            </w:r>
          </w:p>
        </w:tc>
        <w:tc>
          <w:tcPr>
            <w:tcW w:w="745" w:type="dxa"/>
            <w:vAlign w:val="center"/>
          </w:tcPr>
          <w:p w:rsidR="00485094"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w:t>
            </w:r>
          </w:p>
        </w:tc>
        <w:tc>
          <w:tcPr>
            <w:tcW w:w="745" w:type="dxa"/>
            <w:vAlign w:val="center"/>
          </w:tcPr>
          <w:p w:rsidR="00485094" w:rsidRPr="009749E0" w:rsidRDefault="00485094" w:rsidP="00453E80">
            <w:pPr>
              <w:pStyle w:val="tabletext1"/>
              <w:jc w:val="center"/>
            </w:pPr>
            <w:r>
              <w:t>0</w:t>
            </w:r>
          </w:p>
        </w:tc>
        <w:tc>
          <w:tcPr>
            <w:tcW w:w="820" w:type="dxa"/>
            <w:vAlign w:val="center"/>
          </w:tcPr>
          <w:p w:rsidR="00485094"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r>
    </w:tbl>
    <w:p w:rsidR="00485094" w:rsidRDefault="00485094" w:rsidP="00692F31">
      <w:pPr>
        <w:pStyle w:val="Bodytextreduced"/>
      </w:pPr>
      <w:r>
        <w:rPr>
          <w:b/>
        </w:rPr>
        <w:br w:type="page"/>
      </w:r>
    </w:p>
    <w:p w:rsidR="00F25CEA" w:rsidRDefault="00F25CEA" w:rsidP="00F25CEA">
      <w:pPr>
        <w:pStyle w:val="Bodytextreduced"/>
      </w:pPr>
      <w:bookmarkStart w:id="496" w:name="_Toc262464263"/>
    </w:p>
    <w:p w:rsidR="00485094" w:rsidRDefault="00485094" w:rsidP="00692F31">
      <w:pPr>
        <w:pStyle w:val="Tableheading"/>
      </w:pPr>
      <w:bookmarkStart w:id="497" w:name="_Toc271280110"/>
      <w:r w:rsidRPr="00285A18">
        <w:t xml:space="preserve">Table </w:t>
      </w:r>
      <w:r>
        <w:t xml:space="preserve">6.9c.  </w:t>
      </w:r>
      <w:r w:rsidRPr="00285A18">
        <w:t xml:space="preserve">Trends for </w:t>
      </w:r>
      <w:r>
        <w:t>S</w:t>
      </w:r>
      <w:r w:rsidRPr="00285A18">
        <w:t xml:space="preserve">pecified </w:t>
      </w:r>
      <w:r>
        <w:t>A</w:t>
      </w:r>
      <w:r w:rsidRPr="00285A18">
        <w:t xml:space="preserve">nalytes for </w:t>
      </w:r>
      <w:r>
        <w:t>S</w:t>
      </w:r>
      <w:r w:rsidRPr="00285A18">
        <w:t xml:space="preserve">tations </w:t>
      </w:r>
      <w:r>
        <w:t>in the</w:t>
      </w:r>
      <w:r w:rsidRPr="00285A18">
        <w:t xml:space="preserve"> Ground Water Trend Monitoring Network, Unconfined Aquifer</w:t>
      </w:r>
      <w:r>
        <w:t>s</w:t>
      </w:r>
      <w:bookmarkEnd w:id="496"/>
      <w:bookmarkEnd w:id="497"/>
    </w:p>
    <w:p w:rsidR="00485094" w:rsidRDefault="00485094" w:rsidP="00692F31">
      <w:pPr>
        <w:pStyle w:val="TabledescriptionBF"/>
      </w:pPr>
      <w:r>
        <w:t>This is a 17-column table.  Column 1 lists the stations and Columns 2 through 17 list the analytes.</w:t>
      </w:r>
    </w:p>
    <w:p w:rsidR="00485094" w:rsidRDefault="00485094" w:rsidP="00692F31">
      <w:pPr>
        <w:pStyle w:val="Bodytextreduced"/>
      </w:pPr>
    </w:p>
    <w:p w:rsidR="00485094" w:rsidRDefault="00485094" w:rsidP="00692F31">
      <w:pPr>
        <w:pStyle w:val="Bodytextreduced"/>
      </w:pPr>
      <w:r w:rsidRPr="00225579">
        <w:rPr>
          <w:b/>
        </w:rPr>
        <w:t>Note:</w:t>
      </w:r>
      <w:r>
        <w:t xml:space="preserve">  A p</w:t>
      </w:r>
      <w:r w:rsidRPr="001763DC">
        <w:t xml:space="preserve">ositive trend </w:t>
      </w:r>
      <w:r>
        <w:t>is</w:t>
      </w:r>
      <w:r w:rsidRPr="001763DC">
        <w:t xml:space="preserve"> indicated with a plus sign (+), </w:t>
      </w:r>
      <w:r>
        <w:t xml:space="preserve">a </w:t>
      </w:r>
      <w:r w:rsidRPr="001763DC">
        <w:t>negative trend</w:t>
      </w:r>
      <w:r>
        <w:t xml:space="preserve"> is</w:t>
      </w:r>
      <w:r w:rsidRPr="001763DC">
        <w:t xml:space="preserve"> indicated with a minus sign (-),</w:t>
      </w:r>
      <w:r w:rsidRPr="009355D6">
        <w:t xml:space="preserve"> no trend</w:t>
      </w:r>
      <w:r>
        <w:t xml:space="preserve"> is</w:t>
      </w:r>
      <w:r w:rsidRPr="009355D6">
        <w:t xml:space="preserve"> indicated by zero</w:t>
      </w:r>
      <w:r>
        <w:t xml:space="preserve"> (o), </w:t>
      </w:r>
      <w:r w:rsidRPr="009355D6">
        <w:t xml:space="preserve">and </w:t>
      </w:r>
      <w:r>
        <w:t>insufficient data to determine a trend is indicated by (ISD).</w:t>
      </w:r>
    </w:p>
    <w:tbl>
      <w:tblPr>
        <w:tblW w:w="138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66"/>
        <w:gridCol w:w="830"/>
        <w:gridCol w:w="830"/>
        <w:gridCol w:w="772"/>
        <w:gridCol w:w="875"/>
        <w:gridCol w:w="888"/>
        <w:gridCol w:w="706"/>
        <w:gridCol w:w="695"/>
        <w:gridCol w:w="706"/>
        <w:gridCol w:w="656"/>
        <w:gridCol w:w="831"/>
        <w:gridCol w:w="770"/>
        <w:gridCol w:w="791"/>
        <w:gridCol w:w="860"/>
        <w:gridCol w:w="836"/>
        <w:gridCol w:w="811"/>
        <w:gridCol w:w="820"/>
      </w:tblGrid>
      <w:tr w:rsidR="003A5E2D" w:rsidRPr="000F2909" w:rsidTr="000F2909">
        <w:trPr>
          <w:trHeight w:val="288"/>
          <w:jc w:val="center"/>
        </w:trPr>
        <w:tc>
          <w:tcPr>
            <w:tcW w:w="1166" w:type="dxa"/>
            <w:tcBorders>
              <w:bottom w:val="double" w:sz="4" w:space="0" w:color="auto"/>
            </w:tcBorders>
            <w:shd w:val="clear" w:color="auto" w:fill="BDFFFF"/>
            <w:vAlign w:val="center"/>
          </w:tcPr>
          <w:p w:rsidR="003A5E2D" w:rsidRPr="00C01A14" w:rsidRDefault="003A5E2D" w:rsidP="003A5E2D">
            <w:pPr>
              <w:pStyle w:val="tabletext1"/>
              <w:jc w:val="center"/>
              <w:rPr>
                <w:b/>
                <w:i/>
              </w:rPr>
            </w:pPr>
            <w:r w:rsidRPr="00C01A14">
              <w:rPr>
                <w:b/>
                <w:i/>
              </w:rPr>
              <w:t>Station</w:t>
            </w:r>
          </w:p>
        </w:tc>
        <w:tc>
          <w:tcPr>
            <w:tcW w:w="830" w:type="dxa"/>
            <w:tcBorders>
              <w:bottom w:val="double" w:sz="4" w:space="0" w:color="auto"/>
            </w:tcBorders>
            <w:shd w:val="clear" w:color="auto" w:fill="BDFFFF"/>
            <w:vAlign w:val="center"/>
          </w:tcPr>
          <w:p w:rsidR="003A5E2D" w:rsidRPr="003341BA" w:rsidRDefault="003A5E2D" w:rsidP="003A5E2D">
            <w:pPr>
              <w:jc w:val="center"/>
              <w:rPr>
                <w:rFonts w:ascii="Arial" w:hAnsi="Arial" w:cs="Arial"/>
                <w:b/>
                <w:sz w:val="18"/>
                <w:szCs w:val="18"/>
              </w:rPr>
            </w:pPr>
            <w:r w:rsidRPr="003341BA">
              <w:rPr>
                <w:rFonts w:ascii="Arial" w:hAnsi="Arial" w:cs="Arial"/>
                <w:b/>
                <w:sz w:val="18"/>
                <w:szCs w:val="18"/>
              </w:rPr>
              <w:t>Temp</w:t>
            </w:r>
          </w:p>
        </w:tc>
        <w:tc>
          <w:tcPr>
            <w:tcW w:w="830" w:type="dxa"/>
            <w:tcBorders>
              <w:bottom w:val="double" w:sz="4" w:space="0" w:color="auto"/>
            </w:tcBorders>
            <w:shd w:val="clear" w:color="auto" w:fill="BDFFFF"/>
            <w:vAlign w:val="center"/>
          </w:tcPr>
          <w:p w:rsidR="003A5E2D" w:rsidRPr="00C01A14" w:rsidRDefault="003A5E2D" w:rsidP="003A5E2D">
            <w:pPr>
              <w:pStyle w:val="tabletext1"/>
              <w:jc w:val="center"/>
              <w:rPr>
                <w:b/>
                <w:i/>
              </w:rPr>
            </w:pPr>
            <w:r w:rsidRPr="00C01A14">
              <w:rPr>
                <w:b/>
                <w:i/>
              </w:rPr>
              <w:t>SC</w:t>
            </w:r>
          </w:p>
        </w:tc>
        <w:tc>
          <w:tcPr>
            <w:tcW w:w="772" w:type="dxa"/>
            <w:tcBorders>
              <w:bottom w:val="double" w:sz="4" w:space="0" w:color="auto"/>
            </w:tcBorders>
            <w:shd w:val="clear" w:color="auto" w:fill="BDFFFF"/>
            <w:vAlign w:val="center"/>
          </w:tcPr>
          <w:p w:rsidR="003A5E2D" w:rsidRPr="00C01A14" w:rsidRDefault="003A5E2D" w:rsidP="003A5E2D">
            <w:pPr>
              <w:pStyle w:val="tabletext1"/>
              <w:jc w:val="center"/>
              <w:rPr>
                <w:b/>
                <w:i/>
              </w:rPr>
            </w:pPr>
            <w:r w:rsidRPr="00C01A14">
              <w:rPr>
                <w:b/>
                <w:i/>
              </w:rPr>
              <w:t>pH</w:t>
            </w:r>
          </w:p>
        </w:tc>
        <w:tc>
          <w:tcPr>
            <w:tcW w:w="875" w:type="dxa"/>
            <w:tcBorders>
              <w:bottom w:val="double" w:sz="4" w:space="0" w:color="auto"/>
            </w:tcBorders>
            <w:shd w:val="clear" w:color="auto" w:fill="BDFFFF"/>
            <w:vAlign w:val="center"/>
          </w:tcPr>
          <w:p w:rsidR="003A5E2D" w:rsidRPr="00C01A14" w:rsidRDefault="003A5E2D" w:rsidP="003A5E2D">
            <w:pPr>
              <w:pStyle w:val="tabletext1"/>
              <w:jc w:val="center"/>
              <w:rPr>
                <w:b/>
                <w:i/>
              </w:rPr>
            </w:pPr>
            <w:r w:rsidRPr="00C01A14">
              <w:rPr>
                <w:b/>
                <w:i/>
              </w:rPr>
              <w:t>WL</w:t>
            </w:r>
          </w:p>
        </w:tc>
        <w:tc>
          <w:tcPr>
            <w:tcW w:w="888" w:type="dxa"/>
            <w:tcBorders>
              <w:bottom w:val="double" w:sz="4" w:space="0" w:color="auto"/>
            </w:tcBorders>
            <w:shd w:val="clear" w:color="auto" w:fill="BDFFFF"/>
            <w:vAlign w:val="center"/>
          </w:tcPr>
          <w:p w:rsidR="003A5E2D" w:rsidRPr="00C01A14" w:rsidRDefault="003A5E2D" w:rsidP="003A5E2D">
            <w:pPr>
              <w:pStyle w:val="tabletext1"/>
              <w:jc w:val="center"/>
              <w:rPr>
                <w:b/>
                <w:i/>
              </w:rPr>
            </w:pPr>
            <w:r w:rsidRPr="00C01A14">
              <w:rPr>
                <w:b/>
                <w:i/>
              </w:rPr>
              <w:t>TDS</w:t>
            </w:r>
          </w:p>
        </w:tc>
        <w:tc>
          <w:tcPr>
            <w:tcW w:w="706" w:type="dxa"/>
            <w:tcBorders>
              <w:bottom w:val="double" w:sz="4" w:space="0" w:color="auto"/>
            </w:tcBorders>
            <w:shd w:val="clear" w:color="auto" w:fill="BDFFFF"/>
            <w:vAlign w:val="center"/>
          </w:tcPr>
          <w:p w:rsidR="003A5E2D" w:rsidRPr="00C01A14" w:rsidRDefault="003A5E2D" w:rsidP="003A5E2D">
            <w:pPr>
              <w:pStyle w:val="tabletext1"/>
              <w:jc w:val="center"/>
              <w:rPr>
                <w:b/>
                <w:i/>
              </w:rPr>
            </w:pPr>
            <w:r w:rsidRPr="00C01A14">
              <w:rPr>
                <w:b/>
                <w:i/>
              </w:rPr>
              <w:t>N</w:t>
            </w:r>
            <w:r>
              <w:rPr>
                <w:b/>
                <w:i/>
              </w:rPr>
              <w:t>O</w:t>
            </w:r>
            <w:r w:rsidRPr="003A5E2D">
              <w:rPr>
                <w:b/>
                <w:i/>
                <w:vertAlign w:val="subscript"/>
              </w:rPr>
              <w:t>X</w:t>
            </w:r>
          </w:p>
        </w:tc>
        <w:tc>
          <w:tcPr>
            <w:tcW w:w="695" w:type="dxa"/>
            <w:tcBorders>
              <w:bottom w:val="double" w:sz="4" w:space="0" w:color="auto"/>
            </w:tcBorders>
            <w:shd w:val="clear" w:color="auto" w:fill="BDFFFF"/>
            <w:vAlign w:val="center"/>
          </w:tcPr>
          <w:p w:rsidR="003A5E2D" w:rsidRPr="00C01A14" w:rsidRDefault="003A5E2D" w:rsidP="003A5E2D">
            <w:pPr>
              <w:pStyle w:val="tabletext1"/>
              <w:jc w:val="center"/>
              <w:rPr>
                <w:b/>
                <w:i/>
              </w:rPr>
            </w:pPr>
            <w:r w:rsidRPr="00C01A14">
              <w:rPr>
                <w:b/>
                <w:i/>
              </w:rPr>
              <w:t>P</w:t>
            </w:r>
          </w:p>
        </w:tc>
        <w:tc>
          <w:tcPr>
            <w:tcW w:w="706" w:type="dxa"/>
            <w:tcBorders>
              <w:bottom w:val="double" w:sz="4" w:space="0" w:color="auto"/>
            </w:tcBorders>
            <w:shd w:val="clear" w:color="auto" w:fill="BDFFFF"/>
            <w:vAlign w:val="center"/>
          </w:tcPr>
          <w:p w:rsidR="003A5E2D" w:rsidRPr="00C01A14" w:rsidRDefault="003A5E2D" w:rsidP="003A5E2D">
            <w:pPr>
              <w:pStyle w:val="tabletext1"/>
              <w:jc w:val="center"/>
              <w:rPr>
                <w:b/>
                <w:i/>
              </w:rPr>
            </w:pPr>
            <w:r w:rsidRPr="00C01A14">
              <w:rPr>
                <w:b/>
                <w:i/>
              </w:rPr>
              <w:t>K</w:t>
            </w:r>
          </w:p>
        </w:tc>
        <w:tc>
          <w:tcPr>
            <w:tcW w:w="656" w:type="dxa"/>
            <w:tcBorders>
              <w:bottom w:val="double" w:sz="4" w:space="0" w:color="auto"/>
            </w:tcBorders>
            <w:shd w:val="clear" w:color="auto" w:fill="BDFFFF"/>
            <w:vAlign w:val="center"/>
          </w:tcPr>
          <w:p w:rsidR="003A5E2D" w:rsidRPr="00C01A14" w:rsidRDefault="003A5E2D" w:rsidP="003A5E2D">
            <w:pPr>
              <w:pStyle w:val="tabletext1"/>
              <w:jc w:val="center"/>
              <w:rPr>
                <w:b/>
                <w:i/>
              </w:rPr>
            </w:pPr>
            <w:r w:rsidRPr="00C01A14">
              <w:rPr>
                <w:b/>
                <w:i/>
              </w:rPr>
              <w:t>S</w:t>
            </w:r>
            <w:r>
              <w:rPr>
                <w:b/>
                <w:i/>
              </w:rPr>
              <w:t>O</w:t>
            </w:r>
            <w:r w:rsidRPr="003A5E2D">
              <w:rPr>
                <w:b/>
                <w:i/>
                <w:vertAlign w:val="subscript"/>
              </w:rPr>
              <w:t>4</w:t>
            </w:r>
          </w:p>
        </w:tc>
        <w:tc>
          <w:tcPr>
            <w:tcW w:w="831" w:type="dxa"/>
            <w:tcBorders>
              <w:bottom w:val="double" w:sz="4" w:space="0" w:color="auto"/>
            </w:tcBorders>
            <w:shd w:val="clear" w:color="auto" w:fill="BDFFFF"/>
            <w:vAlign w:val="center"/>
          </w:tcPr>
          <w:p w:rsidR="003A5E2D" w:rsidRPr="00C01A14" w:rsidRDefault="003A5E2D" w:rsidP="003A5E2D">
            <w:pPr>
              <w:pStyle w:val="tabletext1"/>
              <w:jc w:val="center"/>
              <w:rPr>
                <w:b/>
                <w:i/>
              </w:rPr>
            </w:pPr>
            <w:r w:rsidRPr="00C01A14">
              <w:rPr>
                <w:b/>
                <w:i/>
              </w:rPr>
              <w:t>N</w:t>
            </w:r>
            <w:r>
              <w:rPr>
                <w:b/>
                <w:i/>
              </w:rPr>
              <w:t>a</w:t>
            </w:r>
          </w:p>
        </w:tc>
        <w:tc>
          <w:tcPr>
            <w:tcW w:w="770" w:type="dxa"/>
            <w:tcBorders>
              <w:bottom w:val="double" w:sz="4" w:space="0" w:color="auto"/>
            </w:tcBorders>
            <w:shd w:val="clear" w:color="auto" w:fill="BDFFFF"/>
            <w:vAlign w:val="center"/>
          </w:tcPr>
          <w:p w:rsidR="003A5E2D" w:rsidRPr="00C01A14" w:rsidRDefault="003A5E2D" w:rsidP="003A5E2D">
            <w:pPr>
              <w:pStyle w:val="tabletext1"/>
              <w:jc w:val="center"/>
              <w:rPr>
                <w:b/>
                <w:i/>
              </w:rPr>
            </w:pPr>
            <w:proofErr w:type="spellStart"/>
            <w:r w:rsidRPr="00C01A14">
              <w:rPr>
                <w:b/>
                <w:i/>
              </w:rPr>
              <w:t>C</w:t>
            </w:r>
            <w:r>
              <w:rPr>
                <w:b/>
                <w:i/>
              </w:rPr>
              <w:t>l</w:t>
            </w:r>
            <w:proofErr w:type="spellEnd"/>
          </w:p>
        </w:tc>
        <w:tc>
          <w:tcPr>
            <w:tcW w:w="791" w:type="dxa"/>
            <w:tcBorders>
              <w:bottom w:val="double" w:sz="4" w:space="0" w:color="auto"/>
            </w:tcBorders>
            <w:shd w:val="clear" w:color="auto" w:fill="BDFFFF"/>
            <w:vAlign w:val="center"/>
          </w:tcPr>
          <w:p w:rsidR="003A5E2D" w:rsidRPr="00C01A14" w:rsidRDefault="003A5E2D" w:rsidP="003A5E2D">
            <w:pPr>
              <w:pStyle w:val="tabletext1"/>
              <w:jc w:val="center"/>
              <w:rPr>
                <w:b/>
                <w:i/>
              </w:rPr>
            </w:pPr>
            <w:r w:rsidRPr="00C01A14">
              <w:rPr>
                <w:b/>
                <w:i/>
              </w:rPr>
              <w:t>C</w:t>
            </w:r>
            <w:r>
              <w:rPr>
                <w:b/>
                <w:i/>
              </w:rPr>
              <w:t>a</w:t>
            </w:r>
          </w:p>
        </w:tc>
        <w:tc>
          <w:tcPr>
            <w:tcW w:w="860" w:type="dxa"/>
            <w:tcBorders>
              <w:bottom w:val="double" w:sz="4" w:space="0" w:color="auto"/>
            </w:tcBorders>
            <w:shd w:val="clear" w:color="auto" w:fill="BDFFFF"/>
            <w:vAlign w:val="center"/>
          </w:tcPr>
          <w:p w:rsidR="003A5E2D" w:rsidRPr="00C01A14" w:rsidRDefault="003A5E2D" w:rsidP="003A5E2D">
            <w:pPr>
              <w:pStyle w:val="tabletext1"/>
              <w:jc w:val="center"/>
              <w:rPr>
                <w:b/>
                <w:i/>
              </w:rPr>
            </w:pPr>
            <w:r w:rsidRPr="00C01A14">
              <w:rPr>
                <w:b/>
                <w:i/>
              </w:rPr>
              <w:t>M</w:t>
            </w:r>
            <w:r>
              <w:rPr>
                <w:b/>
                <w:i/>
              </w:rPr>
              <w:t>g</w:t>
            </w:r>
          </w:p>
        </w:tc>
        <w:tc>
          <w:tcPr>
            <w:tcW w:w="836" w:type="dxa"/>
            <w:tcBorders>
              <w:bottom w:val="double" w:sz="4" w:space="0" w:color="auto"/>
            </w:tcBorders>
            <w:shd w:val="clear" w:color="auto" w:fill="BDFFFF"/>
            <w:vAlign w:val="center"/>
          </w:tcPr>
          <w:p w:rsidR="003A5E2D" w:rsidRPr="00C01A14" w:rsidRDefault="003A5E2D" w:rsidP="003A5E2D">
            <w:pPr>
              <w:pStyle w:val="tabletext1"/>
              <w:jc w:val="center"/>
              <w:rPr>
                <w:b/>
                <w:i/>
              </w:rPr>
            </w:pPr>
            <w:r w:rsidRPr="00C01A14">
              <w:rPr>
                <w:b/>
                <w:i/>
              </w:rPr>
              <w:t>ALK</w:t>
            </w:r>
          </w:p>
        </w:tc>
        <w:tc>
          <w:tcPr>
            <w:tcW w:w="811" w:type="dxa"/>
            <w:tcBorders>
              <w:bottom w:val="double" w:sz="4" w:space="0" w:color="auto"/>
            </w:tcBorders>
            <w:shd w:val="clear" w:color="auto" w:fill="BDFFFF"/>
            <w:vAlign w:val="center"/>
          </w:tcPr>
          <w:p w:rsidR="003A5E2D" w:rsidRPr="00C01A14" w:rsidRDefault="003A5E2D" w:rsidP="003A5E2D">
            <w:pPr>
              <w:pStyle w:val="tabletext1"/>
              <w:jc w:val="center"/>
              <w:rPr>
                <w:b/>
                <w:i/>
              </w:rPr>
            </w:pPr>
            <w:r w:rsidRPr="00C01A14">
              <w:rPr>
                <w:b/>
                <w:i/>
              </w:rPr>
              <w:t>TC</w:t>
            </w:r>
          </w:p>
        </w:tc>
        <w:tc>
          <w:tcPr>
            <w:tcW w:w="820" w:type="dxa"/>
            <w:tcBorders>
              <w:bottom w:val="double" w:sz="4" w:space="0" w:color="auto"/>
            </w:tcBorders>
            <w:shd w:val="clear" w:color="auto" w:fill="BDFFFF"/>
            <w:vAlign w:val="center"/>
          </w:tcPr>
          <w:p w:rsidR="003A5E2D" w:rsidRPr="00C01A14" w:rsidRDefault="003A5E2D" w:rsidP="003A5E2D">
            <w:pPr>
              <w:pStyle w:val="tabletext1"/>
              <w:jc w:val="center"/>
              <w:rPr>
                <w:b/>
                <w:i/>
              </w:rPr>
            </w:pPr>
            <w:r w:rsidRPr="00C01A14">
              <w:rPr>
                <w:b/>
                <w:i/>
              </w:rPr>
              <w:t>FC</w:t>
            </w:r>
          </w:p>
        </w:tc>
      </w:tr>
      <w:tr w:rsidR="00485094" w:rsidRPr="00745496" w:rsidTr="00453E80">
        <w:trPr>
          <w:trHeight w:val="288"/>
          <w:jc w:val="center"/>
        </w:trPr>
        <w:tc>
          <w:tcPr>
            <w:tcW w:w="1166" w:type="dxa"/>
            <w:tcBorders>
              <w:top w:val="double" w:sz="4" w:space="0" w:color="auto"/>
            </w:tcBorders>
            <w:shd w:val="clear" w:color="auto" w:fill="FFFFAF"/>
            <w:vAlign w:val="center"/>
          </w:tcPr>
          <w:p w:rsidR="00485094" w:rsidRDefault="00485094" w:rsidP="00453E80">
            <w:pPr>
              <w:pStyle w:val="tabletext1"/>
              <w:jc w:val="center"/>
              <w:rPr>
                <w:color w:val="000000"/>
              </w:rPr>
            </w:pPr>
            <w:r>
              <w:rPr>
                <w:color w:val="000000"/>
              </w:rPr>
              <w:t>67</w:t>
            </w:r>
          </w:p>
        </w:tc>
        <w:tc>
          <w:tcPr>
            <w:tcW w:w="830" w:type="dxa"/>
            <w:tcBorders>
              <w:top w:val="double" w:sz="4" w:space="0" w:color="auto"/>
            </w:tcBorders>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w:t>
            </w:r>
          </w:p>
        </w:tc>
        <w:tc>
          <w:tcPr>
            <w:tcW w:w="830" w:type="dxa"/>
            <w:tcBorders>
              <w:top w:val="double" w:sz="4" w:space="0" w:color="auto"/>
            </w:tcBorders>
            <w:vAlign w:val="center"/>
          </w:tcPr>
          <w:p w:rsidR="00485094" w:rsidRDefault="00485094" w:rsidP="00453E80">
            <w:pPr>
              <w:pStyle w:val="tabletext1"/>
              <w:jc w:val="center"/>
            </w:pPr>
            <w:r>
              <w:t>0</w:t>
            </w:r>
          </w:p>
        </w:tc>
        <w:tc>
          <w:tcPr>
            <w:tcW w:w="772" w:type="dxa"/>
            <w:tcBorders>
              <w:top w:val="double" w:sz="4" w:space="0" w:color="auto"/>
            </w:tcBorders>
            <w:vAlign w:val="center"/>
          </w:tcPr>
          <w:p w:rsidR="00485094" w:rsidRDefault="00485094" w:rsidP="00453E80">
            <w:pPr>
              <w:pStyle w:val="tabletext1"/>
              <w:jc w:val="center"/>
            </w:pPr>
            <w:r>
              <w:t>0</w:t>
            </w:r>
          </w:p>
        </w:tc>
        <w:tc>
          <w:tcPr>
            <w:tcW w:w="875" w:type="dxa"/>
            <w:tcBorders>
              <w:top w:val="double" w:sz="4" w:space="0" w:color="auto"/>
            </w:tcBorders>
            <w:vAlign w:val="center"/>
          </w:tcPr>
          <w:p w:rsidR="00485094" w:rsidRDefault="00485094" w:rsidP="00453E80">
            <w:pPr>
              <w:pStyle w:val="tabletext1"/>
              <w:jc w:val="center"/>
            </w:pPr>
            <w:r>
              <w:t>ISD</w:t>
            </w:r>
          </w:p>
        </w:tc>
        <w:tc>
          <w:tcPr>
            <w:tcW w:w="888" w:type="dxa"/>
            <w:tcBorders>
              <w:top w:val="double" w:sz="4" w:space="0" w:color="auto"/>
            </w:tcBorders>
            <w:vAlign w:val="center"/>
          </w:tcPr>
          <w:p w:rsidR="00485094" w:rsidRDefault="00485094" w:rsidP="00453E80">
            <w:pPr>
              <w:pStyle w:val="tabletext1"/>
              <w:jc w:val="center"/>
            </w:pPr>
            <w:r>
              <w:t>0</w:t>
            </w:r>
          </w:p>
        </w:tc>
        <w:tc>
          <w:tcPr>
            <w:tcW w:w="706" w:type="dxa"/>
            <w:tcBorders>
              <w:top w:val="double" w:sz="4" w:space="0" w:color="auto"/>
            </w:tcBorders>
            <w:vAlign w:val="center"/>
          </w:tcPr>
          <w:p w:rsidR="00485094" w:rsidRDefault="00485094" w:rsidP="00453E80">
            <w:pPr>
              <w:pStyle w:val="tabletext1"/>
              <w:jc w:val="center"/>
            </w:pPr>
            <w:r>
              <w:t>-</w:t>
            </w:r>
          </w:p>
        </w:tc>
        <w:tc>
          <w:tcPr>
            <w:tcW w:w="695" w:type="dxa"/>
            <w:tcBorders>
              <w:top w:val="double" w:sz="4" w:space="0" w:color="auto"/>
            </w:tcBorders>
            <w:vAlign w:val="center"/>
          </w:tcPr>
          <w:p w:rsidR="00485094" w:rsidRDefault="00485094" w:rsidP="00453E80">
            <w:pPr>
              <w:pStyle w:val="tabletext1"/>
              <w:jc w:val="center"/>
            </w:pPr>
            <w:r>
              <w:t>0</w:t>
            </w:r>
          </w:p>
        </w:tc>
        <w:tc>
          <w:tcPr>
            <w:tcW w:w="706" w:type="dxa"/>
            <w:tcBorders>
              <w:top w:val="double" w:sz="4" w:space="0" w:color="auto"/>
            </w:tcBorders>
            <w:vAlign w:val="center"/>
          </w:tcPr>
          <w:p w:rsidR="00485094" w:rsidRDefault="00485094" w:rsidP="00453E80">
            <w:pPr>
              <w:pStyle w:val="tabletext1"/>
              <w:jc w:val="center"/>
            </w:pPr>
            <w:r>
              <w:t>0</w:t>
            </w:r>
          </w:p>
        </w:tc>
        <w:tc>
          <w:tcPr>
            <w:tcW w:w="656" w:type="dxa"/>
            <w:tcBorders>
              <w:top w:val="double" w:sz="4" w:space="0" w:color="auto"/>
            </w:tcBorders>
            <w:vAlign w:val="center"/>
          </w:tcPr>
          <w:p w:rsidR="00485094" w:rsidRDefault="00485094" w:rsidP="00453E80">
            <w:pPr>
              <w:pStyle w:val="tabletext1"/>
              <w:jc w:val="center"/>
            </w:pPr>
            <w:r>
              <w:t>0</w:t>
            </w:r>
          </w:p>
        </w:tc>
        <w:tc>
          <w:tcPr>
            <w:tcW w:w="831" w:type="dxa"/>
            <w:tcBorders>
              <w:top w:val="double" w:sz="4" w:space="0" w:color="auto"/>
            </w:tcBorders>
            <w:vAlign w:val="center"/>
          </w:tcPr>
          <w:p w:rsidR="00485094" w:rsidRDefault="00485094" w:rsidP="00453E80">
            <w:pPr>
              <w:pStyle w:val="tabletext1"/>
              <w:jc w:val="center"/>
            </w:pPr>
            <w:r>
              <w:t>0</w:t>
            </w:r>
          </w:p>
        </w:tc>
        <w:tc>
          <w:tcPr>
            <w:tcW w:w="770" w:type="dxa"/>
            <w:tcBorders>
              <w:top w:val="double" w:sz="4" w:space="0" w:color="auto"/>
            </w:tcBorders>
            <w:vAlign w:val="center"/>
          </w:tcPr>
          <w:p w:rsidR="00485094" w:rsidRDefault="00485094" w:rsidP="00453E80">
            <w:pPr>
              <w:pStyle w:val="tabletext1"/>
              <w:jc w:val="center"/>
            </w:pPr>
            <w:r>
              <w:t>+</w:t>
            </w:r>
          </w:p>
        </w:tc>
        <w:tc>
          <w:tcPr>
            <w:tcW w:w="791" w:type="dxa"/>
            <w:tcBorders>
              <w:top w:val="double" w:sz="4" w:space="0" w:color="auto"/>
            </w:tcBorders>
            <w:vAlign w:val="center"/>
          </w:tcPr>
          <w:p w:rsidR="00485094" w:rsidRDefault="00485094" w:rsidP="00453E80">
            <w:pPr>
              <w:pStyle w:val="tabletext1"/>
              <w:jc w:val="center"/>
            </w:pPr>
            <w:r>
              <w:t>0</w:t>
            </w:r>
          </w:p>
        </w:tc>
        <w:tc>
          <w:tcPr>
            <w:tcW w:w="860" w:type="dxa"/>
            <w:tcBorders>
              <w:top w:val="double" w:sz="4" w:space="0" w:color="auto"/>
            </w:tcBorders>
            <w:vAlign w:val="center"/>
          </w:tcPr>
          <w:p w:rsidR="00485094" w:rsidRDefault="00485094" w:rsidP="00453E80">
            <w:pPr>
              <w:pStyle w:val="tabletext1"/>
              <w:jc w:val="center"/>
            </w:pPr>
            <w:r>
              <w:t>0</w:t>
            </w:r>
          </w:p>
        </w:tc>
        <w:tc>
          <w:tcPr>
            <w:tcW w:w="836" w:type="dxa"/>
            <w:tcBorders>
              <w:top w:val="double" w:sz="4" w:space="0" w:color="auto"/>
            </w:tcBorders>
            <w:vAlign w:val="center"/>
          </w:tcPr>
          <w:p w:rsidR="00485094" w:rsidRDefault="00485094" w:rsidP="00453E80">
            <w:pPr>
              <w:pStyle w:val="tabletext1"/>
              <w:jc w:val="center"/>
            </w:pPr>
            <w:r>
              <w:t>0</w:t>
            </w:r>
          </w:p>
        </w:tc>
        <w:tc>
          <w:tcPr>
            <w:tcW w:w="811" w:type="dxa"/>
            <w:tcBorders>
              <w:top w:val="double" w:sz="4" w:space="0" w:color="auto"/>
            </w:tcBorders>
            <w:vAlign w:val="center"/>
          </w:tcPr>
          <w:p w:rsidR="00485094" w:rsidRDefault="00485094" w:rsidP="00453E80">
            <w:pPr>
              <w:pStyle w:val="tabletext1"/>
              <w:jc w:val="center"/>
            </w:pPr>
            <w:r>
              <w:t>0</w:t>
            </w:r>
          </w:p>
        </w:tc>
        <w:tc>
          <w:tcPr>
            <w:tcW w:w="820" w:type="dxa"/>
            <w:tcBorders>
              <w:top w:val="double" w:sz="4" w:space="0" w:color="auto"/>
            </w:tcBorders>
            <w:vAlign w:val="center"/>
          </w:tcPr>
          <w:p w:rsidR="00485094"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91</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0</w:t>
            </w:r>
          </w:p>
        </w:tc>
        <w:tc>
          <w:tcPr>
            <w:tcW w:w="830" w:type="dxa"/>
            <w:vAlign w:val="center"/>
          </w:tcPr>
          <w:p w:rsidR="00485094" w:rsidRPr="00745496" w:rsidRDefault="00485094" w:rsidP="00453E80">
            <w:pPr>
              <w:pStyle w:val="tabletext1"/>
              <w:jc w:val="center"/>
            </w:pPr>
            <w:r>
              <w:t>0</w:t>
            </w:r>
          </w:p>
        </w:tc>
        <w:tc>
          <w:tcPr>
            <w:tcW w:w="772" w:type="dxa"/>
            <w:vAlign w:val="center"/>
          </w:tcPr>
          <w:p w:rsidR="00485094" w:rsidRPr="00745496" w:rsidRDefault="00485094" w:rsidP="00453E80">
            <w:pPr>
              <w:pStyle w:val="tabletext1"/>
              <w:jc w:val="center"/>
            </w:pPr>
            <w:r>
              <w:t>0</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w:t>
            </w:r>
          </w:p>
        </w:tc>
        <w:tc>
          <w:tcPr>
            <w:tcW w:w="706" w:type="dxa"/>
            <w:vAlign w:val="center"/>
          </w:tcPr>
          <w:p w:rsidR="00485094" w:rsidRPr="00745496" w:rsidRDefault="00485094" w:rsidP="00453E80">
            <w:pPr>
              <w:pStyle w:val="tabletext1"/>
              <w:jc w:val="center"/>
            </w:pPr>
            <w:r>
              <w:t>+</w:t>
            </w:r>
          </w:p>
        </w:tc>
        <w:tc>
          <w:tcPr>
            <w:tcW w:w="656" w:type="dxa"/>
            <w:vAlign w:val="center"/>
          </w:tcPr>
          <w:p w:rsidR="00485094" w:rsidRPr="00745496" w:rsidRDefault="00485094" w:rsidP="00453E80">
            <w:pPr>
              <w:pStyle w:val="tabletext1"/>
              <w:jc w:val="center"/>
            </w:pPr>
            <w:r>
              <w:t>-</w:t>
            </w:r>
          </w:p>
        </w:tc>
        <w:tc>
          <w:tcPr>
            <w:tcW w:w="831" w:type="dxa"/>
            <w:vAlign w:val="center"/>
          </w:tcPr>
          <w:p w:rsidR="00485094" w:rsidRPr="00745496" w:rsidRDefault="00485094" w:rsidP="00453E80">
            <w:pPr>
              <w:pStyle w:val="tabletext1"/>
              <w:jc w:val="center"/>
            </w:pPr>
            <w:r>
              <w:t>+</w:t>
            </w:r>
          </w:p>
        </w:tc>
        <w:tc>
          <w:tcPr>
            <w:tcW w:w="770" w:type="dxa"/>
            <w:vAlign w:val="center"/>
          </w:tcPr>
          <w:p w:rsidR="00485094" w:rsidRDefault="00485094" w:rsidP="00453E80">
            <w:pPr>
              <w:pStyle w:val="tabletext1"/>
              <w:jc w:val="center"/>
            </w:pPr>
            <w:r>
              <w:t>0</w:t>
            </w:r>
          </w:p>
        </w:tc>
        <w:tc>
          <w:tcPr>
            <w:tcW w:w="791" w:type="dxa"/>
            <w:vAlign w:val="center"/>
          </w:tcPr>
          <w:p w:rsidR="00485094" w:rsidRPr="00745496" w:rsidRDefault="00485094" w:rsidP="00453E80">
            <w:pPr>
              <w:pStyle w:val="tabletext1"/>
              <w:jc w:val="center"/>
            </w:pPr>
            <w:r>
              <w:t>0</w:t>
            </w:r>
          </w:p>
        </w:tc>
        <w:tc>
          <w:tcPr>
            <w:tcW w:w="860" w:type="dxa"/>
            <w:vAlign w:val="center"/>
          </w:tcPr>
          <w:p w:rsidR="00485094" w:rsidRPr="009749E0" w:rsidRDefault="00485094" w:rsidP="00453E80">
            <w:pPr>
              <w:pStyle w:val="tabletext1"/>
              <w:jc w:val="center"/>
            </w:pPr>
            <w:r>
              <w:t>0</w:t>
            </w:r>
          </w:p>
        </w:tc>
        <w:tc>
          <w:tcPr>
            <w:tcW w:w="836" w:type="dxa"/>
            <w:vAlign w:val="center"/>
          </w:tcPr>
          <w:p w:rsidR="00485094" w:rsidRDefault="00485094" w:rsidP="00453E80">
            <w:pPr>
              <w:pStyle w:val="tabletext1"/>
              <w:jc w:val="center"/>
            </w:pPr>
            <w:r>
              <w:t>0</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129</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0</w:t>
            </w:r>
          </w:p>
        </w:tc>
        <w:tc>
          <w:tcPr>
            <w:tcW w:w="830" w:type="dxa"/>
            <w:vAlign w:val="center"/>
          </w:tcPr>
          <w:p w:rsidR="00485094" w:rsidRPr="00745496" w:rsidRDefault="00485094" w:rsidP="00453E80">
            <w:pPr>
              <w:pStyle w:val="tabletext1"/>
              <w:jc w:val="center"/>
            </w:pPr>
            <w:r>
              <w:t>0</w:t>
            </w:r>
          </w:p>
        </w:tc>
        <w:tc>
          <w:tcPr>
            <w:tcW w:w="772" w:type="dxa"/>
            <w:vAlign w:val="center"/>
          </w:tcPr>
          <w:p w:rsidR="00485094" w:rsidRPr="00745496" w:rsidRDefault="00485094" w:rsidP="00453E80">
            <w:pPr>
              <w:pStyle w:val="tabletext1"/>
              <w:jc w:val="center"/>
            </w:pPr>
            <w:r>
              <w:t>0</w:t>
            </w:r>
          </w:p>
        </w:tc>
        <w:tc>
          <w:tcPr>
            <w:tcW w:w="875" w:type="dxa"/>
            <w:vAlign w:val="center"/>
          </w:tcPr>
          <w:p w:rsidR="00485094" w:rsidRDefault="00485094" w:rsidP="00453E80">
            <w:pPr>
              <w:pStyle w:val="tabletext1"/>
              <w:jc w:val="center"/>
            </w:pPr>
            <w:r>
              <w:t>-</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56" w:type="dxa"/>
            <w:vAlign w:val="center"/>
          </w:tcPr>
          <w:p w:rsidR="00485094" w:rsidRPr="00745496" w:rsidRDefault="00485094" w:rsidP="00453E80">
            <w:pPr>
              <w:pStyle w:val="tabletext1"/>
              <w:jc w:val="center"/>
            </w:pPr>
            <w:r>
              <w:t>0</w:t>
            </w:r>
          </w:p>
        </w:tc>
        <w:tc>
          <w:tcPr>
            <w:tcW w:w="831" w:type="dxa"/>
            <w:vAlign w:val="center"/>
          </w:tcPr>
          <w:p w:rsidR="00485094" w:rsidRPr="00745496" w:rsidRDefault="00485094" w:rsidP="00453E80">
            <w:pPr>
              <w:pStyle w:val="tabletext1"/>
              <w:jc w:val="center"/>
            </w:pPr>
            <w:r>
              <w:t>0</w:t>
            </w:r>
          </w:p>
        </w:tc>
        <w:tc>
          <w:tcPr>
            <w:tcW w:w="770" w:type="dxa"/>
            <w:vAlign w:val="center"/>
          </w:tcPr>
          <w:p w:rsidR="00485094" w:rsidRDefault="00485094" w:rsidP="00453E80">
            <w:pPr>
              <w:pStyle w:val="tabletext1"/>
              <w:jc w:val="center"/>
            </w:pPr>
            <w:r>
              <w:t>0</w:t>
            </w:r>
          </w:p>
        </w:tc>
        <w:tc>
          <w:tcPr>
            <w:tcW w:w="791" w:type="dxa"/>
            <w:vAlign w:val="center"/>
          </w:tcPr>
          <w:p w:rsidR="00485094" w:rsidRPr="00745496" w:rsidRDefault="00485094" w:rsidP="00453E80">
            <w:pPr>
              <w:pStyle w:val="tabletext1"/>
              <w:jc w:val="center"/>
            </w:pPr>
            <w:r>
              <w:t>0</w:t>
            </w:r>
          </w:p>
        </w:tc>
        <w:tc>
          <w:tcPr>
            <w:tcW w:w="860" w:type="dxa"/>
            <w:vAlign w:val="center"/>
          </w:tcPr>
          <w:p w:rsidR="00485094" w:rsidRPr="009749E0" w:rsidRDefault="00485094" w:rsidP="00453E80">
            <w:pPr>
              <w:pStyle w:val="tabletext1"/>
              <w:jc w:val="center"/>
            </w:pPr>
            <w:r>
              <w:t>0</w:t>
            </w:r>
          </w:p>
        </w:tc>
        <w:tc>
          <w:tcPr>
            <w:tcW w:w="836" w:type="dxa"/>
            <w:vAlign w:val="center"/>
          </w:tcPr>
          <w:p w:rsidR="00485094" w:rsidRDefault="00485094" w:rsidP="00453E80">
            <w:pPr>
              <w:pStyle w:val="tabletext1"/>
              <w:jc w:val="center"/>
            </w:pPr>
            <w:r>
              <w:t>0</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131</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0</w:t>
            </w:r>
          </w:p>
        </w:tc>
        <w:tc>
          <w:tcPr>
            <w:tcW w:w="830" w:type="dxa"/>
            <w:vAlign w:val="center"/>
          </w:tcPr>
          <w:p w:rsidR="00485094" w:rsidRPr="00745496" w:rsidRDefault="00485094" w:rsidP="00453E80">
            <w:pPr>
              <w:pStyle w:val="tabletext1"/>
              <w:jc w:val="center"/>
            </w:pPr>
            <w:r>
              <w:t>+</w:t>
            </w:r>
          </w:p>
        </w:tc>
        <w:tc>
          <w:tcPr>
            <w:tcW w:w="772" w:type="dxa"/>
            <w:vAlign w:val="center"/>
          </w:tcPr>
          <w:p w:rsidR="00485094" w:rsidRPr="00745496" w:rsidRDefault="00485094" w:rsidP="00453E80">
            <w:pPr>
              <w:pStyle w:val="tabletext1"/>
              <w:jc w:val="center"/>
            </w:pPr>
            <w:r>
              <w:t>-</w:t>
            </w:r>
          </w:p>
        </w:tc>
        <w:tc>
          <w:tcPr>
            <w:tcW w:w="875" w:type="dxa"/>
            <w:vAlign w:val="center"/>
          </w:tcPr>
          <w:p w:rsidR="00485094" w:rsidRDefault="00485094" w:rsidP="00453E80">
            <w:pPr>
              <w:pStyle w:val="tabletext1"/>
              <w:jc w:val="center"/>
            </w:pPr>
            <w:r>
              <w:t>-</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w:t>
            </w:r>
          </w:p>
        </w:tc>
        <w:tc>
          <w:tcPr>
            <w:tcW w:w="656" w:type="dxa"/>
            <w:vAlign w:val="center"/>
          </w:tcPr>
          <w:p w:rsidR="00485094" w:rsidRPr="00745496" w:rsidRDefault="00485094" w:rsidP="00453E80">
            <w:pPr>
              <w:pStyle w:val="tabletext1"/>
              <w:jc w:val="center"/>
            </w:pPr>
            <w:r>
              <w:t>+</w:t>
            </w:r>
          </w:p>
        </w:tc>
        <w:tc>
          <w:tcPr>
            <w:tcW w:w="831" w:type="dxa"/>
            <w:vAlign w:val="center"/>
          </w:tcPr>
          <w:p w:rsidR="00485094" w:rsidRPr="00745496" w:rsidRDefault="00485094" w:rsidP="00453E80">
            <w:pPr>
              <w:pStyle w:val="tabletext1"/>
              <w:jc w:val="center"/>
            </w:pPr>
            <w:r>
              <w:t>+</w:t>
            </w:r>
          </w:p>
        </w:tc>
        <w:tc>
          <w:tcPr>
            <w:tcW w:w="770" w:type="dxa"/>
            <w:vAlign w:val="center"/>
          </w:tcPr>
          <w:p w:rsidR="00485094" w:rsidRDefault="00485094" w:rsidP="00453E80">
            <w:pPr>
              <w:pStyle w:val="tabletext1"/>
              <w:jc w:val="center"/>
            </w:pPr>
            <w:r>
              <w:t>+</w:t>
            </w:r>
          </w:p>
        </w:tc>
        <w:tc>
          <w:tcPr>
            <w:tcW w:w="791" w:type="dxa"/>
            <w:vAlign w:val="center"/>
          </w:tcPr>
          <w:p w:rsidR="00485094" w:rsidRPr="00745496" w:rsidRDefault="00485094" w:rsidP="00453E80">
            <w:pPr>
              <w:pStyle w:val="tabletext1"/>
              <w:jc w:val="center"/>
            </w:pPr>
            <w:r>
              <w:t>+</w:t>
            </w:r>
          </w:p>
        </w:tc>
        <w:tc>
          <w:tcPr>
            <w:tcW w:w="860" w:type="dxa"/>
            <w:vAlign w:val="center"/>
          </w:tcPr>
          <w:p w:rsidR="00485094" w:rsidRPr="009749E0" w:rsidRDefault="00485094" w:rsidP="00453E80">
            <w:pPr>
              <w:pStyle w:val="tabletext1"/>
              <w:jc w:val="center"/>
            </w:pPr>
            <w:r>
              <w:t>+</w:t>
            </w:r>
          </w:p>
        </w:tc>
        <w:tc>
          <w:tcPr>
            <w:tcW w:w="836" w:type="dxa"/>
            <w:vAlign w:val="center"/>
          </w:tcPr>
          <w:p w:rsidR="00485094" w:rsidRDefault="00485094" w:rsidP="00453E80">
            <w:pPr>
              <w:pStyle w:val="tabletext1"/>
              <w:jc w:val="center"/>
            </w:pPr>
            <w:r>
              <w:t>-</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245</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0</w:t>
            </w:r>
          </w:p>
        </w:tc>
        <w:tc>
          <w:tcPr>
            <w:tcW w:w="830" w:type="dxa"/>
            <w:vAlign w:val="center"/>
          </w:tcPr>
          <w:p w:rsidR="00485094" w:rsidRPr="00745496" w:rsidRDefault="00485094" w:rsidP="00453E80">
            <w:pPr>
              <w:pStyle w:val="tabletext1"/>
              <w:jc w:val="center"/>
            </w:pPr>
            <w:r>
              <w:t>+</w:t>
            </w:r>
          </w:p>
        </w:tc>
        <w:tc>
          <w:tcPr>
            <w:tcW w:w="772" w:type="dxa"/>
            <w:vAlign w:val="center"/>
          </w:tcPr>
          <w:p w:rsidR="00485094" w:rsidRPr="00745496" w:rsidRDefault="00485094" w:rsidP="00453E80">
            <w:pPr>
              <w:pStyle w:val="tabletext1"/>
              <w:jc w:val="center"/>
            </w:pPr>
            <w:r>
              <w:t>0</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w:t>
            </w:r>
          </w:p>
        </w:tc>
        <w:tc>
          <w:tcPr>
            <w:tcW w:w="656" w:type="dxa"/>
            <w:vAlign w:val="center"/>
          </w:tcPr>
          <w:p w:rsidR="00485094" w:rsidRPr="00745496" w:rsidRDefault="00485094" w:rsidP="00453E80">
            <w:pPr>
              <w:pStyle w:val="tabletext1"/>
              <w:jc w:val="center"/>
            </w:pPr>
            <w:r>
              <w:t>0</w:t>
            </w:r>
          </w:p>
        </w:tc>
        <w:tc>
          <w:tcPr>
            <w:tcW w:w="831" w:type="dxa"/>
            <w:vAlign w:val="center"/>
          </w:tcPr>
          <w:p w:rsidR="00485094" w:rsidRPr="00745496" w:rsidRDefault="00485094" w:rsidP="00453E80">
            <w:pPr>
              <w:pStyle w:val="tabletext1"/>
              <w:jc w:val="center"/>
            </w:pPr>
            <w:r>
              <w:t>+</w:t>
            </w:r>
          </w:p>
        </w:tc>
        <w:tc>
          <w:tcPr>
            <w:tcW w:w="770" w:type="dxa"/>
            <w:vAlign w:val="center"/>
          </w:tcPr>
          <w:p w:rsidR="00485094" w:rsidRDefault="00485094" w:rsidP="00453E80">
            <w:pPr>
              <w:pStyle w:val="tabletext1"/>
              <w:jc w:val="center"/>
            </w:pPr>
            <w:r>
              <w:t>+</w:t>
            </w:r>
          </w:p>
        </w:tc>
        <w:tc>
          <w:tcPr>
            <w:tcW w:w="791" w:type="dxa"/>
            <w:vAlign w:val="center"/>
          </w:tcPr>
          <w:p w:rsidR="00485094" w:rsidRPr="00745496" w:rsidRDefault="00485094" w:rsidP="00453E80">
            <w:pPr>
              <w:pStyle w:val="tabletext1"/>
              <w:jc w:val="center"/>
            </w:pPr>
            <w:r>
              <w:t>0</w:t>
            </w:r>
          </w:p>
        </w:tc>
        <w:tc>
          <w:tcPr>
            <w:tcW w:w="860" w:type="dxa"/>
            <w:vAlign w:val="center"/>
          </w:tcPr>
          <w:p w:rsidR="00485094" w:rsidRPr="009749E0" w:rsidRDefault="00485094" w:rsidP="00453E80">
            <w:pPr>
              <w:pStyle w:val="tabletext1"/>
              <w:jc w:val="center"/>
            </w:pPr>
            <w:r>
              <w:t>+</w:t>
            </w:r>
          </w:p>
        </w:tc>
        <w:tc>
          <w:tcPr>
            <w:tcW w:w="836" w:type="dxa"/>
            <w:vAlign w:val="center"/>
          </w:tcPr>
          <w:p w:rsidR="00485094" w:rsidRDefault="00485094" w:rsidP="00453E80">
            <w:pPr>
              <w:pStyle w:val="tabletext1"/>
              <w:jc w:val="center"/>
            </w:pPr>
            <w:r>
              <w:t>0</w:t>
            </w:r>
          </w:p>
        </w:tc>
        <w:tc>
          <w:tcPr>
            <w:tcW w:w="811" w:type="dxa"/>
            <w:vAlign w:val="center"/>
          </w:tcPr>
          <w:p w:rsidR="00485094" w:rsidRPr="009749E0" w:rsidRDefault="00485094" w:rsidP="00453E80">
            <w:pPr>
              <w:pStyle w:val="tabletext1"/>
              <w:jc w:val="center"/>
            </w:pPr>
            <w:r>
              <w:t>+</w:t>
            </w:r>
          </w:p>
        </w:tc>
        <w:tc>
          <w:tcPr>
            <w:tcW w:w="820" w:type="dxa"/>
            <w:vAlign w:val="center"/>
          </w:tcPr>
          <w:p w:rsidR="00485094" w:rsidRPr="009749E0" w:rsidRDefault="00485094" w:rsidP="00453E80">
            <w:pPr>
              <w:pStyle w:val="tabletext1"/>
              <w:jc w:val="center"/>
            </w:pPr>
            <w:r>
              <w:t>+</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313</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0</w:t>
            </w:r>
          </w:p>
        </w:tc>
        <w:tc>
          <w:tcPr>
            <w:tcW w:w="830" w:type="dxa"/>
            <w:vAlign w:val="center"/>
          </w:tcPr>
          <w:p w:rsidR="00485094" w:rsidRPr="00745496" w:rsidRDefault="00485094" w:rsidP="00453E80">
            <w:pPr>
              <w:pStyle w:val="tabletext1"/>
              <w:jc w:val="center"/>
            </w:pPr>
            <w:r>
              <w:t>+</w:t>
            </w:r>
          </w:p>
        </w:tc>
        <w:tc>
          <w:tcPr>
            <w:tcW w:w="772" w:type="dxa"/>
            <w:vAlign w:val="center"/>
          </w:tcPr>
          <w:p w:rsidR="00485094" w:rsidRPr="00745496" w:rsidRDefault="00485094" w:rsidP="00453E80">
            <w:pPr>
              <w:pStyle w:val="tabletext1"/>
              <w:jc w:val="center"/>
            </w:pPr>
            <w:r>
              <w:t>0</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w:t>
            </w:r>
          </w:p>
        </w:tc>
        <w:tc>
          <w:tcPr>
            <w:tcW w:w="656" w:type="dxa"/>
            <w:vAlign w:val="center"/>
          </w:tcPr>
          <w:p w:rsidR="00485094" w:rsidRPr="00745496" w:rsidRDefault="00485094" w:rsidP="00453E80">
            <w:pPr>
              <w:pStyle w:val="tabletext1"/>
              <w:jc w:val="center"/>
            </w:pPr>
            <w:r>
              <w:t>0</w:t>
            </w:r>
          </w:p>
        </w:tc>
        <w:tc>
          <w:tcPr>
            <w:tcW w:w="831" w:type="dxa"/>
            <w:vAlign w:val="center"/>
          </w:tcPr>
          <w:p w:rsidR="00485094" w:rsidRPr="00745496" w:rsidRDefault="00485094" w:rsidP="00453E80">
            <w:pPr>
              <w:pStyle w:val="tabletext1"/>
              <w:jc w:val="center"/>
            </w:pPr>
            <w:r>
              <w:t>0</w:t>
            </w:r>
          </w:p>
        </w:tc>
        <w:tc>
          <w:tcPr>
            <w:tcW w:w="770" w:type="dxa"/>
            <w:vAlign w:val="center"/>
          </w:tcPr>
          <w:p w:rsidR="00485094" w:rsidRDefault="00485094" w:rsidP="00453E80">
            <w:pPr>
              <w:pStyle w:val="tabletext1"/>
              <w:jc w:val="center"/>
            </w:pPr>
            <w:r>
              <w:t>0</w:t>
            </w:r>
          </w:p>
        </w:tc>
        <w:tc>
          <w:tcPr>
            <w:tcW w:w="791" w:type="dxa"/>
            <w:vAlign w:val="center"/>
          </w:tcPr>
          <w:p w:rsidR="00485094" w:rsidRPr="00745496" w:rsidRDefault="00485094" w:rsidP="00453E80">
            <w:pPr>
              <w:pStyle w:val="tabletext1"/>
              <w:jc w:val="center"/>
            </w:pPr>
            <w:r>
              <w:t>+</w:t>
            </w:r>
          </w:p>
        </w:tc>
        <w:tc>
          <w:tcPr>
            <w:tcW w:w="860" w:type="dxa"/>
            <w:vAlign w:val="center"/>
          </w:tcPr>
          <w:p w:rsidR="00485094" w:rsidRPr="009749E0" w:rsidRDefault="00485094" w:rsidP="00453E80">
            <w:pPr>
              <w:pStyle w:val="tabletext1"/>
              <w:jc w:val="center"/>
            </w:pPr>
            <w:r>
              <w:t>+</w:t>
            </w:r>
          </w:p>
        </w:tc>
        <w:tc>
          <w:tcPr>
            <w:tcW w:w="836" w:type="dxa"/>
            <w:vAlign w:val="center"/>
          </w:tcPr>
          <w:p w:rsidR="00485094" w:rsidRDefault="00485094" w:rsidP="00453E80">
            <w:pPr>
              <w:pStyle w:val="tabletext1"/>
              <w:jc w:val="center"/>
            </w:pPr>
            <w:r>
              <w:t>0</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736</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0</w:t>
            </w:r>
          </w:p>
        </w:tc>
        <w:tc>
          <w:tcPr>
            <w:tcW w:w="830" w:type="dxa"/>
            <w:vAlign w:val="center"/>
          </w:tcPr>
          <w:p w:rsidR="00485094" w:rsidRPr="00745496" w:rsidRDefault="00485094" w:rsidP="00453E80">
            <w:pPr>
              <w:pStyle w:val="tabletext1"/>
              <w:jc w:val="center"/>
            </w:pPr>
            <w:r>
              <w:t>0</w:t>
            </w:r>
          </w:p>
        </w:tc>
        <w:tc>
          <w:tcPr>
            <w:tcW w:w="772" w:type="dxa"/>
            <w:vAlign w:val="center"/>
          </w:tcPr>
          <w:p w:rsidR="00485094" w:rsidRPr="00745496" w:rsidRDefault="00485094" w:rsidP="00453E80">
            <w:pPr>
              <w:pStyle w:val="tabletext1"/>
              <w:jc w:val="center"/>
            </w:pPr>
            <w:r>
              <w:t>0</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56" w:type="dxa"/>
            <w:vAlign w:val="center"/>
          </w:tcPr>
          <w:p w:rsidR="00485094" w:rsidRPr="00745496" w:rsidRDefault="00485094" w:rsidP="00453E80">
            <w:pPr>
              <w:pStyle w:val="tabletext1"/>
              <w:jc w:val="center"/>
            </w:pPr>
            <w:r>
              <w:t>0</w:t>
            </w:r>
          </w:p>
        </w:tc>
        <w:tc>
          <w:tcPr>
            <w:tcW w:w="831" w:type="dxa"/>
            <w:vAlign w:val="center"/>
          </w:tcPr>
          <w:p w:rsidR="00485094" w:rsidRPr="00745496" w:rsidRDefault="00485094" w:rsidP="00453E80">
            <w:pPr>
              <w:pStyle w:val="tabletext1"/>
              <w:jc w:val="center"/>
            </w:pPr>
            <w:r>
              <w:t>+</w:t>
            </w:r>
          </w:p>
        </w:tc>
        <w:tc>
          <w:tcPr>
            <w:tcW w:w="770" w:type="dxa"/>
            <w:vAlign w:val="center"/>
          </w:tcPr>
          <w:p w:rsidR="00485094" w:rsidRDefault="00485094" w:rsidP="00453E80">
            <w:pPr>
              <w:pStyle w:val="tabletext1"/>
              <w:jc w:val="center"/>
            </w:pPr>
            <w:r>
              <w:t>0</w:t>
            </w:r>
          </w:p>
        </w:tc>
        <w:tc>
          <w:tcPr>
            <w:tcW w:w="791" w:type="dxa"/>
            <w:vAlign w:val="center"/>
          </w:tcPr>
          <w:p w:rsidR="00485094" w:rsidRPr="00745496" w:rsidRDefault="00485094" w:rsidP="00453E80">
            <w:pPr>
              <w:pStyle w:val="tabletext1"/>
              <w:jc w:val="center"/>
            </w:pPr>
            <w:r>
              <w:t>0</w:t>
            </w:r>
          </w:p>
        </w:tc>
        <w:tc>
          <w:tcPr>
            <w:tcW w:w="860" w:type="dxa"/>
            <w:vAlign w:val="center"/>
          </w:tcPr>
          <w:p w:rsidR="00485094" w:rsidRPr="009749E0" w:rsidRDefault="00485094" w:rsidP="00453E80">
            <w:pPr>
              <w:pStyle w:val="tabletext1"/>
              <w:jc w:val="center"/>
            </w:pPr>
            <w:r>
              <w:t>0</w:t>
            </w:r>
          </w:p>
        </w:tc>
        <w:tc>
          <w:tcPr>
            <w:tcW w:w="836" w:type="dxa"/>
            <w:vAlign w:val="center"/>
          </w:tcPr>
          <w:p w:rsidR="00485094" w:rsidRDefault="00485094" w:rsidP="00453E80">
            <w:pPr>
              <w:pStyle w:val="tabletext1"/>
              <w:jc w:val="center"/>
            </w:pPr>
            <w:r>
              <w:t>0</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996</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w:t>
            </w:r>
          </w:p>
        </w:tc>
        <w:tc>
          <w:tcPr>
            <w:tcW w:w="830" w:type="dxa"/>
            <w:vAlign w:val="center"/>
          </w:tcPr>
          <w:p w:rsidR="00485094" w:rsidRPr="00745496" w:rsidRDefault="00485094" w:rsidP="00453E80">
            <w:pPr>
              <w:pStyle w:val="tabletext1"/>
              <w:jc w:val="center"/>
            </w:pPr>
            <w:r>
              <w:t>0</w:t>
            </w:r>
          </w:p>
        </w:tc>
        <w:tc>
          <w:tcPr>
            <w:tcW w:w="772" w:type="dxa"/>
            <w:vAlign w:val="center"/>
          </w:tcPr>
          <w:p w:rsidR="00485094" w:rsidRPr="00745496" w:rsidRDefault="00485094" w:rsidP="00453E80">
            <w:pPr>
              <w:pStyle w:val="tabletext1"/>
              <w:jc w:val="center"/>
            </w:pPr>
            <w:r>
              <w:t>0</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w:t>
            </w:r>
          </w:p>
        </w:tc>
        <w:tc>
          <w:tcPr>
            <w:tcW w:w="695" w:type="dxa"/>
            <w:vAlign w:val="center"/>
          </w:tcPr>
          <w:p w:rsidR="00485094" w:rsidRPr="00745496" w:rsidRDefault="00485094" w:rsidP="00453E80">
            <w:pPr>
              <w:pStyle w:val="tabletext1"/>
              <w:jc w:val="center"/>
            </w:pPr>
            <w:r>
              <w:t>-</w:t>
            </w:r>
          </w:p>
        </w:tc>
        <w:tc>
          <w:tcPr>
            <w:tcW w:w="706" w:type="dxa"/>
            <w:vAlign w:val="center"/>
          </w:tcPr>
          <w:p w:rsidR="00485094" w:rsidRPr="00745496" w:rsidRDefault="00485094" w:rsidP="00453E80">
            <w:pPr>
              <w:pStyle w:val="tabletext1"/>
              <w:jc w:val="center"/>
            </w:pPr>
            <w:r>
              <w:t>0</w:t>
            </w:r>
          </w:p>
        </w:tc>
        <w:tc>
          <w:tcPr>
            <w:tcW w:w="656" w:type="dxa"/>
            <w:vAlign w:val="center"/>
          </w:tcPr>
          <w:p w:rsidR="00485094" w:rsidRPr="00745496" w:rsidRDefault="00485094" w:rsidP="00453E80">
            <w:pPr>
              <w:pStyle w:val="tabletext1"/>
              <w:jc w:val="center"/>
            </w:pPr>
            <w:r>
              <w:t>-</w:t>
            </w:r>
          </w:p>
        </w:tc>
        <w:tc>
          <w:tcPr>
            <w:tcW w:w="831" w:type="dxa"/>
            <w:vAlign w:val="center"/>
          </w:tcPr>
          <w:p w:rsidR="00485094" w:rsidRPr="00745496" w:rsidRDefault="00485094" w:rsidP="00453E80">
            <w:pPr>
              <w:pStyle w:val="tabletext1"/>
              <w:jc w:val="center"/>
            </w:pPr>
            <w:r>
              <w:t>-</w:t>
            </w:r>
          </w:p>
        </w:tc>
        <w:tc>
          <w:tcPr>
            <w:tcW w:w="770" w:type="dxa"/>
            <w:vAlign w:val="center"/>
          </w:tcPr>
          <w:p w:rsidR="00485094" w:rsidRDefault="00485094" w:rsidP="00453E80">
            <w:pPr>
              <w:pStyle w:val="tabletext1"/>
              <w:jc w:val="center"/>
            </w:pPr>
            <w:r>
              <w:t>0</w:t>
            </w:r>
          </w:p>
        </w:tc>
        <w:tc>
          <w:tcPr>
            <w:tcW w:w="791" w:type="dxa"/>
            <w:vAlign w:val="center"/>
          </w:tcPr>
          <w:p w:rsidR="00485094" w:rsidRPr="00745496" w:rsidRDefault="00485094" w:rsidP="00453E80">
            <w:pPr>
              <w:pStyle w:val="tabletext1"/>
              <w:jc w:val="center"/>
            </w:pPr>
            <w:r>
              <w:t>0</w:t>
            </w:r>
          </w:p>
        </w:tc>
        <w:tc>
          <w:tcPr>
            <w:tcW w:w="860" w:type="dxa"/>
            <w:vAlign w:val="center"/>
          </w:tcPr>
          <w:p w:rsidR="00485094" w:rsidRPr="009749E0" w:rsidRDefault="00485094" w:rsidP="00453E80">
            <w:pPr>
              <w:pStyle w:val="tabletext1"/>
              <w:jc w:val="center"/>
            </w:pPr>
            <w:r>
              <w:t>0</w:t>
            </w:r>
          </w:p>
        </w:tc>
        <w:tc>
          <w:tcPr>
            <w:tcW w:w="836" w:type="dxa"/>
            <w:vAlign w:val="center"/>
          </w:tcPr>
          <w:p w:rsidR="00485094" w:rsidRDefault="00485094" w:rsidP="00453E80">
            <w:pPr>
              <w:pStyle w:val="tabletext1"/>
              <w:jc w:val="center"/>
            </w:pPr>
            <w:r>
              <w:t>0</w:t>
            </w:r>
          </w:p>
        </w:tc>
        <w:tc>
          <w:tcPr>
            <w:tcW w:w="811" w:type="dxa"/>
            <w:vAlign w:val="center"/>
          </w:tcPr>
          <w:p w:rsidR="00485094" w:rsidRPr="009749E0" w:rsidRDefault="00485094" w:rsidP="00453E80">
            <w:pPr>
              <w:pStyle w:val="tabletext1"/>
              <w:jc w:val="center"/>
            </w:pPr>
            <w:r>
              <w:t>+</w:t>
            </w:r>
          </w:p>
        </w:tc>
        <w:tc>
          <w:tcPr>
            <w:tcW w:w="820" w:type="dxa"/>
            <w:vAlign w:val="center"/>
          </w:tcPr>
          <w:p w:rsidR="00485094" w:rsidRPr="009749E0" w:rsidRDefault="00485094" w:rsidP="00453E80">
            <w:pPr>
              <w:pStyle w:val="tabletext1"/>
              <w:jc w:val="center"/>
            </w:pPr>
            <w:r>
              <w:t>+</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1087</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w:t>
            </w:r>
          </w:p>
        </w:tc>
        <w:tc>
          <w:tcPr>
            <w:tcW w:w="830" w:type="dxa"/>
            <w:vAlign w:val="center"/>
          </w:tcPr>
          <w:p w:rsidR="00485094" w:rsidRPr="00745496" w:rsidRDefault="00485094" w:rsidP="00453E80">
            <w:pPr>
              <w:pStyle w:val="tabletext1"/>
              <w:jc w:val="center"/>
            </w:pPr>
            <w:r>
              <w:t>0</w:t>
            </w:r>
          </w:p>
        </w:tc>
        <w:tc>
          <w:tcPr>
            <w:tcW w:w="772" w:type="dxa"/>
            <w:vAlign w:val="center"/>
          </w:tcPr>
          <w:p w:rsidR="00485094" w:rsidRPr="00745496" w:rsidRDefault="00485094" w:rsidP="00453E80">
            <w:pPr>
              <w:pStyle w:val="tabletext1"/>
              <w:jc w:val="center"/>
            </w:pPr>
            <w:r>
              <w:t>-</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56" w:type="dxa"/>
            <w:vAlign w:val="center"/>
          </w:tcPr>
          <w:p w:rsidR="00485094" w:rsidRPr="00745496" w:rsidRDefault="00485094" w:rsidP="00453E80">
            <w:pPr>
              <w:pStyle w:val="tabletext1"/>
              <w:jc w:val="center"/>
            </w:pPr>
            <w:r>
              <w:t>0</w:t>
            </w:r>
          </w:p>
        </w:tc>
        <w:tc>
          <w:tcPr>
            <w:tcW w:w="831" w:type="dxa"/>
            <w:vAlign w:val="center"/>
          </w:tcPr>
          <w:p w:rsidR="00485094" w:rsidRPr="00745496" w:rsidRDefault="00485094" w:rsidP="00453E80">
            <w:pPr>
              <w:pStyle w:val="tabletext1"/>
              <w:jc w:val="center"/>
            </w:pPr>
            <w:r>
              <w:t>0</w:t>
            </w:r>
          </w:p>
        </w:tc>
        <w:tc>
          <w:tcPr>
            <w:tcW w:w="770" w:type="dxa"/>
            <w:vAlign w:val="center"/>
          </w:tcPr>
          <w:p w:rsidR="00485094" w:rsidRDefault="00485094" w:rsidP="00453E80">
            <w:pPr>
              <w:pStyle w:val="tabletext1"/>
              <w:jc w:val="center"/>
            </w:pPr>
            <w:r>
              <w:t>0</w:t>
            </w:r>
          </w:p>
        </w:tc>
        <w:tc>
          <w:tcPr>
            <w:tcW w:w="791" w:type="dxa"/>
            <w:vAlign w:val="center"/>
          </w:tcPr>
          <w:p w:rsidR="00485094" w:rsidRPr="00745496" w:rsidRDefault="00485094" w:rsidP="00453E80">
            <w:pPr>
              <w:pStyle w:val="tabletext1"/>
              <w:jc w:val="center"/>
            </w:pPr>
            <w:r>
              <w:t>+</w:t>
            </w:r>
          </w:p>
        </w:tc>
        <w:tc>
          <w:tcPr>
            <w:tcW w:w="860" w:type="dxa"/>
            <w:vAlign w:val="center"/>
          </w:tcPr>
          <w:p w:rsidR="00485094" w:rsidRPr="009749E0" w:rsidRDefault="00485094" w:rsidP="00453E80">
            <w:pPr>
              <w:pStyle w:val="tabletext1"/>
              <w:jc w:val="center"/>
            </w:pPr>
            <w:r>
              <w:t>+</w:t>
            </w:r>
          </w:p>
        </w:tc>
        <w:tc>
          <w:tcPr>
            <w:tcW w:w="836" w:type="dxa"/>
            <w:vAlign w:val="center"/>
          </w:tcPr>
          <w:p w:rsidR="00485094" w:rsidRDefault="00485094" w:rsidP="00453E80">
            <w:pPr>
              <w:pStyle w:val="tabletext1"/>
              <w:jc w:val="center"/>
            </w:pPr>
            <w:r>
              <w:t>0</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1100</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0</w:t>
            </w:r>
          </w:p>
        </w:tc>
        <w:tc>
          <w:tcPr>
            <w:tcW w:w="830" w:type="dxa"/>
            <w:vAlign w:val="center"/>
          </w:tcPr>
          <w:p w:rsidR="00485094" w:rsidRPr="00745496" w:rsidRDefault="00485094" w:rsidP="00453E80">
            <w:pPr>
              <w:pStyle w:val="tabletext1"/>
              <w:jc w:val="center"/>
            </w:pPr>
            <w:r>
              <w:t>+</w:t>
            </w:r>
          </w:p>
        </w:tc>
        <w:tc>
          <w:tcPr>
            <w:tcW w:w="772" w:type="dxa"/>
            <w:vAlign w:val="center"/>
          </w:tcPr>
          <w:p w:rsidR="00485094" w:rsidRPr="00745496" w:rsidRDefault="00485094" w:rsidP="00453E80">
            <w:pPr>
              <w:pStyle w:val="tabletext1"/>
              <w:jc w:val="center"/>
            </w:pPr>
            <w:r>
              <w:t>-</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w:t>
            </w:r>
          </w:p>
        </w:tc>
        <w:tc>
          <w:tcPr>
            <w:tcW w:w="656" w:type="dxa"/>
            <w:vAlign w:val="center"/>
          </w:tcPr>
          <w:p w:rsidR="00485094" w:rsidRPr="00745496" w:rsidRDefault="00485094" w:rsidP="00453E80">
            <w:pPr>
              <w:pStyle w:val="tabletext1"/>
              <w:jc w:val="center"/>
            </w:pPr>
            <w:r>
              <w:t>0</w:t>
            </w:r>
          </w:p>
        </w:tc>
        <w:tc>
          <w:tcPr>
            <w:tcW w:w="831" w:type="dxa"/>
            <w:vAlign w:val="center"/>
          </w:tcPr>
          <w:p w:rsidR="00485094" w:rsidRPr="00745496" w:rsidRDefault="00485094" w:rsidP="00453E80">
            <w:pPr>
              <w:pStyle w:val="tabletext1"/>
              <w:jc w:val="center"/>
            </w:pPr>
            <w:r>
              <w:t>0</w:t>
            </w:r>
          </w:p>
        </w:tc>
        <w:tc>
          <w:tcPr>
            <w:tcW w:w="770" w:type="dxa"/>
            <w:vAlign w:val="center"/>
          </w:tcPr>
          <w:p w:rsidR="00485094" w:rsidRDefault="00485094" w:rsidP="00453E80">
            <w:pPr>
              <w:pStyle w:val="tabletext1"/>
              <w:jc w:val="center"/>
            </w:pPr>
            <w:r>
              <w:t>0</w:t>
            </w:r>
          </w:p>
        </w:tc>
        <w:tc>
          <w:tcPr>
            <w:tcW w:w="791" w:type="dxa"/>
            <w:vAlign w:val="center"/>
          </w:tcPr>
          <w:p w:rsidR="00485094" w:rsidRPr="00745496" w:rsidRDefault="00485094" w:rsidP="00453E80">
            <w:pPr>
              <w:pStyle w:val="tabletext1"/>
              <w:jc w:val="center"/>
            </w:pPr>
            <w:r>
              <w:t>+</w:t>
            </w:r>
          </w:p>
        </w:tc>
        <w:tc>
          <w:tcPr>
            <w:tcW w:w="860" w:type="dxa"/>
            <w:vAlign w:val="center"/>
          </w:tcPr>
          <w:p w:rsidR="00485094" w:rsidRPr="009749E0" w:rsidRDefault="00485094" w:rsidP="00453E80">
            <w:pPr>
              <w:pStyle w:val="tabletext1"/>
              <w:jc w:val="center"/>
            </w:pPr>
            <w:r>
              <w:t>+</w:t>
            </w:r>
          </w:p>
        </w:tc>
        <w:tc>
          <w:tcPr>
            <w:tcW w:w="836" w:type="dxa"/>
            <w:vAlign w:val="center"/>
          </w:tcPr>
          <w:p w:rsidR="00485094" w:rsidRDefault="00485094" w:rsidP="00453E80">
            <w:pPr>
              <w:pStyle w:val="tabletext1"/>
              <w:jc w:val="center"/>
            </w:pPr>
            <w:r>
              <w:t>+</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1417</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w:t>
            </w:r>
          </w:p>
        </w:tc>
        <w:tc>
          <w:tcPr>
            <w:tcW w:w="830" w:type="dxa"/>
            <w:vAlign w:val="center"/>
          </w:tcPr>
          <w:p w:rsidR="00485094" w:rsidRPr="00745496" w:rsidRDefault="00485094" w:rsidP="00453E80">
            <w:pPr>
              <w:pStyle w:val="tabletext1"/>
              <w:jc w:val="center"/>
            </w:pPr>
            <w:r>
              <w:t>+</w:t>
            </w:r>
          </w:p>
        </w:tc>
        <w:tc>
          <w:tcPr>
            <w:tcW w:w="772" w:type="dxa"/>
            <w:vAlign w:val="center"/>
          </w:tcPr>
          <w:p w:rsidR="00485094" w:rsidRPr="00745496" w:rsidRDefault="00485094" w:rsidP="00453E80">
            <w:pPr>
              <w:pStyle w:val="tabletext1"/>
              <w:jc w:val="center"/>
            </w:pPr>
            <w:r>
              <w:t>-</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w:t>
            </w:r>
          </w:p>
        </w:tc>
        <w:tc>
          <w:tcPr>
            <w:tcW w:w="706" w:type="dxa"/>
            <w:vAlign w:val="center"/>
          </w:tcPr>
          <w:p w:rsidR="00485094" w:rsidRPr="00745496" w:rsidRDefault="00485094" w:rsidP="00453E80">
            <w:pPr>
              <w:pStyle w:val="tabletext1"/>
              <w:jc w:val="center"/>
            </w:pPr>
            <w:r>
              <w:t>+</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w:t>
            </w:r>
          </w:p>
        </w:tc>
        <w:tc>
          <w:tcPr>
            <w:tcW w:w="656" w:type="dxa"/>
            <w:vAlign w:val="center"/>
          </w:tcPr>
          <w:p w:rsidR="00485094" w:rsidRPr="00745496" w:rsidRDefault="00485094" w:rsidP="00453E80">
            <w:pPr>
              <w:pStyle w:val="tabletext1"/>
              <w:jc w:val="center"/>
            </w:pPr>
            <w:r>
              <w:t>-</w:t>
            </w:r>
          </w:p>
        </w:tc>
        <w:tc>
          <w:tcPr>
            <w:tcW w:w="831" w:type="dxa"/>
            <w:vAlign w:val="center"/>
          </w:tcPr>
          <w:p w:rsidR="00485094" w:rsidRPr="00745496" w:rsidRDefault="00485094" w:rsidP="00453E80">
            <w:pPr>
              <w:pStyle w:val="tabletext1"/>
              <w:jc w:val="center"/>
            </w:pPr>
            <w:r>
              <w:t>+</w:t>
            </w:r>
          </w:p>
        </w:tc>
        <w:tc>
          <w:tcPr>
            <w:tcW w:w="770" w:type="dxa"/>
            <w:vAlign w:val="center"/>
          </w:tcPr>
          <w:p w:rsidR="00485094" w:rsidRDefault="00485094" w:rsidP="00453E80">
            <w:pPr>
              <w:pStyle w:val="tabletext1"/>
              <w:jc w:val="center"/>
            </w:pPr>
            <w:r>
              <w:t>0</w:t>
            </w:r>
          </w:p>
        </w:tc>
        <w:tc>
          <w:tcPr>
            <w:tcW w:w="791" w:type="dxa"/>
            <w:vAlign w:val="center"/>
          </w:tcPr>
          <w:p w:rsidR="00485094" w:rsidRPr="00745496" w:rsidRDefault="00485094" w:rsidP="00453E80">
            <w:pPr>
              <w:pStyle w:val="tabletext1"/>
              <w:jc w:val="center"/>
            </w:pPr>
            <w:r>
              <w:t>+</w:t>
            </w:r>
          </w:p>
        </w:tc>
        <w:tc>
          <w:tcPr>
            <w:tcW w:w="860" w:type="dxa"/>
            <w:vAlign w:val="center"/>
          </w:tcPr>
          <w:p w:rsidR="00485094" w:rsidRPr="009749E0" w:rsidRDefault="00485094" w:rsidP="00453E80">
            <w:pPr>
              <w:pStyle w:val="tabletext1"/>
              <w:jc w:val="center"/>
            </w:pPr>
            <w:r>
              <w:t>+</w:t>
            </w:r>
          </w:p>
        </w:tc>
        <w:tc>
          <w:tcPr>
            <w:tcW w:w="836" w:type="dxa"/>
            <w:vAlign w:val="center"/>
          </w:tcPr>
          <w:p w:rsidR="00485094" w:rsidRDefault="00485094" w:rsidP="00453E80">
            <w:pPr>
              <w:pStyle w:val="tabletext1"/>
              <w:jc w:val="center"/>
            </w:pPr>
            <w:r>
              <w:t>+</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1764</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0</w:t>
            </w:r>
          </w:p>
        </w:tc>
        <w:tc>
          <w:tcPr>
            <w:tcW w:w="830" w:type="dxa"/>
            <w:vAlign w:val="center"/>
          </w:tcPr>
          <w:p w:rsidR="00485094" w:rsidRPr="00745496" w:rsidRDefault="00485094" w:rsidP="00453E80">
            <w:pPr>
              <w:pStyle w:val="tabletext1"/>
              <w:jc w:val="center"/>
            </w:pPr>
            <w:r>
              <w:t>+</w:t>
            </w:r>
          </w:p>
        </w:tc>
        <w:tc>
          <w:tcPr>
            <w:tcW w:w="772" w:type="dxa"/>
            <w:vAlign w:val="center"/>
          </w:tcPr>
          <w:p w:rsidR="00485094" w:rsidRPr="00745496" w:rsidRDefault="00485094" w:rsidP="00453E80">
            <w:pPr>
              <w:pStyle w:val="tabletext1"/>
              <w:jc w:val="center"/>
            </w:pPr>
            <w:r>
              <w:t>0</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56" w:type="dxa"/>
            <w:vAlign w:val="center"/>
          </w:tcPr>
          <w:p w:rsidR="00485094" w:rsidRPr="00745496" w:rsidRDefault="00485094" w:rsidP="00453E80">
            <w:pPr>
              <w:pStyle w:val="tabletext1"/>
              <w:jc w:val="center"/>
            </w:pPr>
            <w:r>
              <w:t>-</w:t>
            </w:r>
          </w:p>
        </w:tc>
        <w:tc>
          <w:tcPr>
            <w:tcW w:w="831" w:type="dxa"/>
            <w:vAlign w:val="center"/>
          </w:tcPr>
          <w:p w:rsidR="00485094" w:rsidRPr="00745496" w:rsidRDefault="00485094" w:rsidP="00453E80">
            <w:pPr>
              <w:pStyle w:val="tabletext1"/>
              <w:jc w:val="center"/>
            </w:pPr>
            <w:r>
              <w:t>0</w:t>
            </w:r>
          </w:p>
        </w:tc>
        <w:tc>
          <w:tcPr>
            <w:tcW w:w="770" w:type="dxa"/>
            <w:vAlign w:val="center"/>
          </w:tcPr>
          <w:p w:rsidR="00485094" w:rsidRDefault="00485094" w:rsidP="00453E80">
            <w:pPr>
              <w:pStyle w:val="tabletext1"/>
              <w:jc w:val="center"/>
            </w:pPr>
            <w:r>
              <w:t>0</w:t>
            </w:r>
          </w:p>
        </w:tc>
        <w:tc>
          <w:tcPr>
            <w:tcW w:w="791" w:type="dxa"/>
            <w:vAlign w:val="center"/>
          </w:tcPr>
          <w:p w:rsidR="00485094" w:rsidRPr="00745496" w:rsidRDefault="00485094" w:rsidP="00453E80">
            <w:pPr>
              <w:pStyle w:val="tabletext1"/>
              <w:jc w:val="center"/>
            </w:pPr>
            <w:r>
              <w:t>0</w:t>
            </w:r>
          </w:p>
        </w:tc>
        <w:tc>
          <w:tcPr>
            <w:tcW w:w="860" w:type="dxa"/>
            <w:vAlign w:val="center"/>
          </w:tcPr>
          <w:p w:rsidR="00485094" w:rsidRPr="009749E0" w:rsidRDefault="00485094" w:rsidP="00453E80">
            <w:pPr>
              <w:pStyle w:val="tabletext1"/>
              <w:jc w:val="center"/>
            </w:pPr>
            <w:r>
              <w:t>0</w:t>
            </w:r>
          </w:p>
        </w:tc>
        <w:tc>
          <w:tcPr>
            <w:tcW w:w="836" w:type="dxa"/>
            <w:vAlign w:val="center"/>
          </w:tcPr>
          <w:p w:rsidR="00485094" w:rsidRDefault="00485094" w:rsidP="00453E80">
            <w:pPr>
              <w:pStyle w:val="tabletext1"/>
              <w:jc w:val="center"/>
            </w:pPr>
            <w:r>
              <w:t>+</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1781</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0</w:t>
            </w:r>
          </w:p>
        </w:tc>
        <w:tc>
          <w:tcPr>
            <w:tcW w:w="830" w:type="dxa"/>
            <w:vAlign w:val="center"/>
          </w:tcPr>
          <w:p w:rsidR="00485094" w:rsidRPr="00745496" w:rsidRDefault="00485094" w:rsidP="00453E80">
            <w:pPr>
              <w:pStyle w:val="tabletext1"/>
              <w:jc w:val="center"/>
            </w:pPr>
            <w:r>
              <w:t>-</w:t>
            </w:r>
          </w:p>
        </w:tc>
        <w:tc>
          <w:tcPr>
            <w:tcW w:w="772" w:type="dxa"/>
            <w:vAlign w:val="center"/>
          </w:tcPr>
          <w:p w:rsidR="00485094" w:rsidRPr="00745496" w:rsidRDefault="00485094" w:rsidP="00453E80">
            <w:pPr>
              <w:pStyle w:val="tabletext1"/>
              <w:jc w:val="center"/>
            </w:pPr>
            <w:r>
              <w:t>-</w:t>
            </w:r>
          </w:p>
        </w:tc>
        <w:tc>
          <w:tcPr>
            <w:tcW w:w="875" w:type="dxa"/>
            <w:vAlign w:val="center"/>
          </w:tcPr>
          <w:p w:rsidR="00485094" w:rsidRDefault="00485094" w:rsidP="00453E80">
            <w:pPr>
              <w:pStyle w:val="tabletext1"/>
              <w:jc w:val="center"/>
            </w:pPr>
            <w:r>
              <w:t>-</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w:t>
            </w:r>
          </w:p>
        </w:tc>
        <w:tc>
          <w:tcPr>
            <w:tcW w:w="695" w:type="dxa"/>
            <w:vAlign w:val="center"/>
          </w:tcPr>
          <w:p w:rsidR="00485094" w:rsidRPr="00745496" w:rsidRDefault="00485094" w:rsidP="00453E80">
            <w:pPr>
              <w:pStyle w:val="tabletext1"/>
              <w:jc w:val="center"/>
            </w:pPr>
            <w:r>
              <w:t>-</w:t>
            </w:r>
          </w:p>
        </w:tc>
        <w:tc>
          <w:tcPr>
            <w:tcW w:w="706" w:type="dxa"/>
            <w:vAlign w:val="center"/>
          </w:tcPr>
          <w:p w:rsidR="00485094" w:rsidRPr="00745496" w:rsidRDefault="00485094" w:rsidP="00453E80">
            <w:pPr>
              <w:pStyle w:val="tabletext1"/>
              <w:jc w:val="center"/>
            </w:pPr>
            <w:r>
              <w:t>0</w:t>
            </w:r>
          </w:p>
        </w:tc>
        <w:tc>
          <w:tcPr>
            <w:tcW w:w="656" w:type="dxa"/>
            <w:vAlign w:val="center"/>
          </w:tcPr>
          <w:p w:rsidR="00485094" w:rsidRPr="00745496" w:rsidRDefault="00485094" w:rsidP="00453E80">
            <w:pPr>
              <w:pStyle w:val="tabletext1"/>
              <w:jc w:val="center"/>
            </w:pPr>
            <w:r>
              <w:t>0</w:t>
            </w:r>
          </w:p>
        </w:tc>
        <w:tc>
          <w:tcPr>
            <w:tcW w:w="831" w:type="dxa"/>
            <w:vAlign w:val="center"/>
          </w:tcPr>
          <w:p w:rsidR="00485094" w:rsidRPr="00745496" w:rsidRDefault="00485094" w:rsidP="00453E80">
            <w:pPr>
              <w:pStyle w:val="tabletext1"/>
              <w:jc w:val="center"/>
            </w:pPr>
            <w:r>
              <w:t>+</w:t>
            </w:r>
          </w:p>
        </w:tc>
        <w:tc>
          <w:tcPr>
            <w:tcW w:w="770" w:type="dxa"/>
            <w:vAlign w:val="center"/>
          </w:tcPr>
          <w:p w:rsidR="00485094" w:rsidRDefault="00485094" w:rsidP="00453E80">
            <w:pPr>
              <w:pStyle w:val="tabletext1"/>
              <w:jc w:val="center"/>
            </w:pPr>
            <w:r>
              <w:t>+</w:t>
            </w:r>
          </w:p>
        </w:tc>
        <w:tc>
          <w:tcPr>
            <w:tcW w:w="791" w:type="dxa"/>
            <w:vAlign w:val="center"/>
          </w:tcPr>
          <w:p w:rsidR="00485094" w:rsidRPr="00745496" w:rsidRDefault="00485094" w:rsidP="00453E80">
            <w:pPr>
              <w:pStyle w:val="tabletext1"/>
              <w:jc w:val="center"/>
            </w:pPr>
            <w:r>
              <w:t>0</w:t>
            </w:r>
          </w:p>
        </w:tc>
        <w:tc>
          <w:tcPr>
            <w:tcW w:w="860" w:type="dxa"/>
            <w:vAlign w:val="center"/>
          </w:tcPr>
          <w:p w:rsidR="00485094" w:rsidRPr="009749E0" w:rsidRDefault="00485094" w:rsidP="00453E80">
            <w:pPr>
              <w:pStyle w:val="tabletext1"/>
              <w:jc w:val="center"/>
            </w:pPr>
            <w:r>
              <w:t>0</w:t>
            </w:r>
          </w:p>
        </w:tc>
        <w:tc>
          <w:tcPr>
            <w:tcW w:w="836" w:type="dxa"/>
            <w:vAlign w:val="center"/>
          </w:tcPr>
          <w:p w:rsidR="00485094" w:rsidRDefault="00485094" w:rsidP="00453E80">
            <w:pPr>
              <w:pStyle w:val="tabletext1"/>
              <w:jc w:val="center"/>
            </w:pPr>
            <w:r>
              <w:t>0</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1931</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w:t>
            </w:r>
          </w:p>
        </w:tc>
        <w:tc>
          <w:tcPr>
            <w:tcW w:w="830" w:type="dxa"/>
            <w:vAlign w:val="center"/>
          </w:tcPr>
          <w:p w:rsidR="00485094" w:rsidRPr="00745496" w:rsidRDefault="00485094" w:rsidP="00453E80">
            <w:pPr>
              <w:pStyle w:val="tabletext1"/>
              <w:jc w:val="center"/>
            </w:pPr>
            <w:r>
              <w:t>+</w:t>
            </w:r>
          </w:p>
        </w:tc>
        <w:tc>
          <w:tcPr>
            <w:tcW w:w="772" w:type="dxa"/>
            <w:vAlign w:val="center"/>
          </w:tcPr>
          <w:p w:rsidR="00485094" w:rsidRPr="00745496" w:rsidRDefault="00485094" w:rsidP="00453E80">
            <w:pPr>
              <w:pStyle w:val="tabletext1"/>
              <w:jc w:val="center"/>
            </w:pPr>
            <w:r>
              <w:t>0</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w:t>
            </w:r>
          </w:p>
        </w:tc>
        <w:tc>
          <w:tcPr>
            <w:tcW w:w="656" w:type="dxa"/>
            <w:vAlign w:val="center"/>
          </w:tcPr>
          <w:p w:rsidR="00485094" w:rsidRPr="00745496" w:rsidRDefault="00485094" w:rsidP="00453E80">
            <w:pPr>
              <w:pStyle w:val="tabletext1"/>
              <w:jc w:val="center"/>
            </w:pPr>
            <w:r>
              <w:t>+</w:t>
            </w:r>
          </w:p>
        </w:tc>
        <w:tc>
          <w:tcPr>
            <w:tcW w:w="831" w:type="dxa"/>
            <w:vAlign w:val="center"/>
          </w:tcPr>
          <w:p w:rsidR="00485094" w:rsidRPr="00745496" w:rsidRDefault="00485094" w:rsidP="00453E80">
            <w:pPr>
              <w:pStyle w:val="tabletext1"/>
              <w:jc w:val="center"/>
            </w:pPr>
            <w:r>
              <w:t>0</w:t>
            </w:r>
          </w:p>
        </w:tc>
        <w:tc>
          <w:tcPr>
            <w:tcW w:w="770" w:type="dxa"/>
            <w:vAlign w:val="center"/>
          </w:tcPr>
          <w:p w:rsidR="00485094" w:rsidRDefault="00485094" w:rsidP="00453E80">
            <w:pPr>
              <w:pStyle w:val="tabletext1"/>
              <w:jc w:val="center"/>
            </w:pPr>
            <w:r>
              <w:t>0</w:t>
            </w:r>
          </w:p>
        </w:tc>
        <w:tc>
          <w:tcPr>
            <w:tcW w:w="791" w:type="dxa"/>
            <w:vAlign w:val="center"/>
          </w:tcPr>
          <w:p w:rsidR="00485094" w:rsidRPr="00745496" w:rsidRDefault="00485094" w:rsidP="00453E80">
            <w:pPr>
              <w:pStyle w:val="tabletext1"/>
              <w:jc w:val="center"/>
            </w:pPr>
            <w:r>
              <w:t>+</w:t>
            </w:r>
          </w:p>
        </w:tc>
        <w:tc>
          <w:tcPr>
            <w:tcW w:w="860" w:type="dxa"/>
            <w:vAlign w:val="center"/>
          </w:tcPr>
          <w:p w:rsidR="00485094" w:rsidRPr="009749E0" w:rsidRDefault="00485094" w:rsidP="00453E80">
            <w:pPr>
              <w:pStyle w:val="tabletext1"/>
              <w:jc w:val="center"/>
            </w:pPr>
            <w:r>
              <w:t>0</w:t>
            </w:r>
          </w:p>
        </w:tc>
        <w:tc>
          <w:tcPr>
            <w:tcW w:w="836" w:type="dxa"/>
            <w:vAlign w:val="center"/>
          </w:tcPr>
          <w:p w:rsidR="00485094" w:rsidRDefault="00485094" w:rsidP="00453E80">
            <w:pPr>
              <w:pStyle w:val="tabletext1"/>
              <w:jc w:val="center"/>
            </w:pPr>
            <w:r>
              <w:t>+</w:t>
            </w:r>
          </w:p>
        </w:tc>
        <w:tc>
          <w:tcPr>
            <w:tcW w:w="811" w:type="dxa"/>
            <w:vAlign w:val="center"/>
          </w:tcPr>
          <w:p w:rsidR="00485094" w:rsidRPr="009749E0" w:rsidRDefault="00485094" w:rsidP="00453E80">
            <w:pPr>
              <w:pStyle w:val="tabletext1"/>
              <w:jc w:val="center"/>
            </w:pPr>
            <w:r>
              <w:t>+</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1943</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w:t>
            </w:r>
          </w:p>
        </w:tc>
        <w:tc>
          <w:tcPr>
            <w:tcW w:w="830" w:type="dxa"/>
            <w:vAlign w:val="center"/>
          </w:tcPr>
          <w:p w:rsidR="00485094" w:rsidRPr="00745496" w:rsidRDefault="00485094" w:rsidP="00453E80">
            <w:pPr>
              <w:pStyle w:val="tabletext1"/>
              <w:jc w:val="center"/>
            </w:pPr>
            <w:r>
              <w:t>0</w:t>
            </w:r>
          </w:p>
        </w:tc>
        <w:tc>
          <w:tcPr>
            <w:tcW w:w="772" w:type="dxa"/>
            <w:vAlign w:val="center"/>
          </w:tcPr>
          <w:p w:rsidR="00485094" w:rsidRPr="00745496" w:rsidRDefault="00485094" w:rsidP="00453E80">
            <w:pPr>
              <w:pStyle w:val="tabletext1"/>
              <w:jc w:val="center"/>
            </w:pPr>
            <w:r>
              <w:t>0</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w:t>
            </w:r>
          </w:p>
        </w:tc>
        <w:tc>
          <w:tcPr>
            <w:tcW w:w="656" w:type="dxa"/>
            <w:vAlign w:val="center"/>
          </w:tcPr>
          <w:p w:rsidR="00485094" w:rsidRPr="00745496" w:rsidRDefault="00485094" w:rsidP="00453E80">
            <w:pPr>
              <w:pStyle w:val="tabletext1"/>
              <w:jc w:val="center"/>
            </w:pPr>
            <w:r>
              <w:t>-</w:t>
            </w:r>
          </w:p>
        </w:tc>
        <w:tc>
          <w:tcPr>
            <w:tcW w:w="831" w:type="dxa"/>
            <w:vAlign w:val="center"/>
          </w:tcPr>
          <w:p w:rsidR="00485094" w:rsidRPr="00745496" w:rsidRDefault="00485094" w:rsidP="00453E80">
            <w:pPr>
              <w:pStyle w:val="tabletext1"/>
              <w:jc w:val="center"/>
            </w:pPr>
            <w:r>
              <w:t>-</w:t>
            </w:r>
          </w:p>
        </w:tc>
        <w:tc>
          <w:tcPr>
            <w:tcW w:w="770" w:type="dxa"/>
            <w:vAlign w:val="center"/>
          </w:tcPr>
          <w:p w:rsidR="00485094" w:rsidRDefault="00485094" w:rsidP="00453E80">
            <w:pPr>
              <w:pStyle w:val="tabletext1"/>
              <w:jc w:val="center"/>
            </w:pPr>
            <w:r>
              <w:t>0</w:t>
            </w:r>
          </w:p>
        </w:tc>
        <w:tc>
          <w:tcPr>
            <w:tcW w:w="791" w:type="dxa"/>
            <w:vAlign w:val="center"/>
          </w:tcPr>
          <w:p w:rsidR="00485094" w:rsidRPr="00745496" w:rsidRDefault="00485094" w:rsidP="00453E80">
            <w:pPr>
              <w:pStyle w:val="tabletext1"/>
              <w:jc w:val="center"/>
            </w:pPr>
            <w:r>
              <w:t>0</w:t>
            </w:r>
          </w:p>
        </w:tc>
        <w:tc>
          <w:tcPr>
            <w:tcW w:w="860" w:type="dxa"/>
            <w:vAlign w:val="center"/>
          </w:tcPr>
          <w:p w:rsidR="00485094" w:rsidRPr="009749E0" w:rsidRDefault="00485094" w:rsidP="00453E80">
            <w:pPr>
              <w:pStyle w:val="tabletext1"/>
              <w:jc w:val="center"/>
            </w:pPr>
            <w:r>
              <w:t>0</w:t>
            </w:r>
          </w:p>
        </w:tc>
        <w:tc>
          <w:tcPr>
            <w:tcW w:w="836" w:type="dxa"/>
            <w:vAlign w:val="center"/>
          </w:tcPr>
          <w:p w:rsidR="00485094" w:rsidRDefault="00485094" w:rsidP="00453E80">
            <w:pPr>
              <w:pStyle w:val="tabletext1"/>
              <w:jc w:val="center"/>
            </w:pPr>
            <w:r>
              <w:t>0</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2003</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0</w:t>
            </w:r>
          </w:p>
        </w:tc>
        <w:tc>
          <w:tcPr>
            <w:tcW w:w="830" w:type="dxa"/>
            <w:vAlign w:val="center"/>
          </w:tcPr>
          <w:p w:rsidR="00485094" w:rsidRPr="00745496" w:rsidRDefault="00485094" w:rsidP="00453E80">
            <w:pPr>
              <w:pStyle w:val="tabletext1"/>
              <w:jc w:val="center"/>
            </w:pPr>
            <w:r>
              <w:t>0</w:t>
            </w:r>
          </w:p>
        </w:tc>
        <w:tc>
          <w:tcPr>
            <w:tcW w:w="772" w:type="dxa"/>
            <w:vAlign w:val="center"/>
          </w:tcPr>
          <w:p w:rsidR="00485094" w:rsidRPr="00745496" w:rsidRDefault="00485094" w:rsidP="00453E80">
            <w:pPr>
              <w:pStyle w:val="tabletext1"/>
              <w:jc w:val="center"/>
            </w:pPr>
            <w:r>
              <w:t>0</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w:t>
            </w:r>
          </w:p>
        </w:tc>
        <w:tc>
          <w:tcPr>
            <w:tcW w:w="706" w:type="dxa"/>
            <w:vAlign w:val="center"/>
          </w:tcPr>
          <w:p w:rsidR="00485094" w:rsidRPr="00745496" w:rsidRDefault="00485094" w:rsidP="00453E80">
            <w:pPr>
              <w:pStyle w:val="tabletext1"/>
              <w:jc w:val="center"/>
            </w:pPr>
            <w:r>
              <w:t>0</w:t>
            </w:r>
          </w:p>
        </w:tc>
        <w:tc>
          <w:tcPr>
            <w:tcW w:w="656" w:type="dxa"/>
            <w:vAlign w:val="center"/>
          </w:tcPr>
          <w:p w:rsidR="00485094" w:rsidRPr="00745496" w:rsidRDefault="00485094" w:rsidP="00453E80">
            <w:pPr>
              <w:pStyle w:val="tabletext1"/>
              <w:jc w:val="center"/>
            </w:pPr>
            <w:r>
              <w:t>0</w:t>
            </w:r>
          </w:p>
        </w:tc>
        <w:tc>
          <w:tcPr>
            <w:tcW w:w="831" w:type="dxa"/>
            <w:vAlign w:val="center"/>
          </w:tcPr>
          <w:p w:rsidR="00485094" w:rsidRPr="00745496" w:rsidRDefault="00485094" w:rsidP="00453E80">
            <w:pPr>
              <w:pStyle w:val="tabletext1"/>
              <w:jc w:val="center"/>
            </w:pPr>
            <w:r>
              <w:t>0</w:t>
            </w:r>
          </w:p>
        </w:tc>
        <w:tc>
          <w:tcPr>
            <w:tcW w:w="770" w:type="dxa"/>
            <w:vAlign w:val="center"/>
          </w:tcPr>
          <w:p w:rsidR="00485094" w:rsidRDefault="00485094" w:rsidP="00453E80">
            <w:pPr>
              <w:pStyle w:val="tabletext1"/>
              <w:jc w:val="center"/>
            </w:pPr>
            <w:r>
              <w:t>0</w:t>
            </w:r>
          </w:p>
        </w:tc>
        <w:tc>
          <w:tcPr>
            <w:tcW w:w="791" w:type="dxa"/>
            <w:vAlign w:val="center"/>
          </w:tcPr>
          <w:p w:rsidR="00485094" w:rsidRPr="00745496" w:rsidRDefault="00485094" w:rsidP="00453E80">
            <w:pPr>
              <w:pStyle w:val="tabletext1"/>
              <w:jc w:val="center"/>
            </w:pPr>
            <w:r>
              <w:t>0</w:t>
            </w:r>
          </w:p>
        </w:tc>
        <w:tc>
          <w:tcPr>
            <w:tcW w:w="860" w:type="dxa"/>
            <w:vAlign w:val="center"/>
          </w:tcPr>
          <w:p w:rsidR="00485094" w:rsidRPr="009749E0" w:rsidRDefault="00485094" w:rsidP="00453E80">
            <w:pPr>
              <w:pStyle w:val="tabletext1"/>
              <w:jc w:val="center"/>
            </w:pPr>
            <w:r>
              <w:t>+</w:t>
            </w:r>
          </w:p>
        </w:tc>
        <w:tc>
          <w:tcPr>
            <w:tcW w:w="836" w:type="dxa"/>
            <w:vAlign w:val="center"/>
          </w:tcPr>
          <w:p w:rsidR="00485094" w:rsidRDefault="00485094" w:rsidP="00453E80">
            <w:pPr>
              <w:pStyle w:val="tabletext1"/>
              <w:jc w:val="center"/>
            </w:pPr>
            <w:r>
              <w:t>0</w:t>
            </w:r>
          </w:p>
        </w:tc>
        <w:tc>
          <w:tcPr>
            <w:tcW w:w="811" w:type="dxa"/>
            <w:vAlign w:val="center"/>
          </w:tcPr>
          <w:p w:rsidR="00485094" w:rsidRPr="009749E0" w:rsidRDefault="00485094" w:rsidP="00453E80">
            <w:pPr>
              <w:pStyle w:val="tabletext1"/>
              <w:jc w:val="center"/>
            </w:pPr>
            <w:r>
              <w:t>+</w:t>
            </w:r>
          </w:p>
        </w:tc>
        <w:tc>
          <w:tcPr>
            <w:tcW w:w="820" w:type="dxa"/>
            <w:vAlign w:val="center"/>
          </w:tcPr>
          <w:p w:rsidR="00485094" w:rsidRPr="006E1CD4" w:rsidRDefault="00485094" w:rsidP="00453E80">
            <w:pPr>
              <w:pStyle w:val="tabletext1"/>
              <w:jc w:val="center"/>
            </w:pPr>
            <w:r w:rsidRPr="006E1CD4">
              <w:t>+</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2259</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0</w:t>
            </w:r>
          </w:p>
        </w:tc>
        <w:tc>
          <w:tcPr>
            <w:tcW w:w="830" w:type="dxa"/>
            <w:vAlign w:val="center"/>
          </w:tcPr>
          <w:p w:rsidR="00485094" w:rsidRPr="00745496" w:rsidRDefault="00485094" w:rsidP="00453E80">
            <w:pPr>
              <w:pStyle w:val="tabletext1"/>
              <w:jc w:val="center"/>
            </w:pPr>
            <w:r>
              <w:t>+</w:t>
            </w:r>
          </w:p>
        </w:tc>
        <w:tc>
          <w:tcPr>
            <w:tcW w:w="772" w:type="dxa"/>
            <w:vAlign w:val="center"/>
          </w:tcPr>
          <w:p w:rsidR="00485094" w:rsidRPr="00745496" w:rsidRDefault="00485094" w:rsidP="00453E80">
            <w:pPr>
              <w:pStyle w:val="tabletext1"/>
              <w:jc w:val="center"/>
            </w:pPr>
            <w:r>
              <w:t>0</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56" w:type="dxa"/>
            <w:vAlign w:val="center"/>
          </w:tcPr>
          <w:p w:rsidR="00485094" w:rsidRPr="00745496" w:rsidRDefault="00485094" w:rsidP="00453E80">
            <w:pPr>
              <w:pStyle w:val="tabletext1"/>
              <w:jc w:val="center"/>
            </w:pPr>
            <w:r>
              <w:t>+</w:t>
            </w:r>
          </w:p>
        </w:tc>
        <w:tc>
          <w:tcPr>
            <w:tcW w:w="831" w:type="dxa"/>
            <w:vAlign w:val="center"/>
          </w:tcPr>
          <w:p w:rsidR="00485094" w:rsidRPr="00745496" w:rsidRDefault="00485094" w:rsidP="00453E80">
            <w:pPr>
              <w:pStyle w:val="tabletext1"/>
              <w:jc w:val="center"/>
            </w:pPr>
            <w:r>
              <w:t>0</w:t>
            </w:r>
          </w:p>
        </w:tc>
        <w:tc>
          <w:tcPr>
            <w:tcW w:w="770" w:type="dxa"/>
            <w:vAlign w:val="center"/>
          </w:tcPr>
          <w:p w:rsidR="00485094" w:rsidRDefault="00485094" w:rsidP="00453E80">
            <w:pPr>
              <w:pStyle w:val="tabletext1"/>
              <w:jc w:val="center"/>
            </w:pPr>
            <w:r>
              <w:t>0</w:t>
            </w:r>
          </w:p>
        </w:tc>
        <w:tc>
          <w:tcPr>
            <w:tcW w:w="791" w:type="dxa"/>
            <w:vAlign w:val="center"/>
          </w:tcPr>
          <w:p w:rsidR="00485094" w:rsidRPr="00745496" w:rsidRDefault="00485094" w:rsidP="00453E80">
            <w:pPr>
              <w:pStyle w:val="tabletext1"/>
              <w:jc w:val="center"/>
            </w:pPr>
            <w:r>
              <w:t>0</w:t>
            </w:r>
          </w:p>
        </w:tc>
        <w:tc>
          <w:tcPr>
            <w:tcW w:w="860" w:type="dxa"/>
            <w:vAlign w:val="center"/>
          </w:tcPr>
          <w:p w:rsidR="00485094" w:rsidRPr="009749E0" w:rsidRDefault="00485094" w:rsidP="00453E80">
            <w:pPr>
              <w:pStyle w:val="tabletext1"/>
              <w:jc w:val="center"/>
            </w:pPr>
            <w:r>
              <w:t>+</w:t>
            </w:r>
          </w:p>
        </w:tc>
        <w:tc>
          <w:tcPr>
            <w:tcW w:w="836" w:type="dxa"/>
            <w:vAlign w:val="center"/>
          </w:tcPr>
          <w:p w:rsidR="00485094" w:rsidRDefault="00485094" w:rsidP="00453E80">
            <w:pPr>
              <w:pStyle w:val="tabletext1"/>
              <w:jc w:val="center"/>
            </w:pPr>
            <w:r>
              <w:t>0</w:t>
            </w:r>
          </w:p>
        </w:tc>
        <w:tc>
          <w:tcPr>
            <w:tcW w:w="811" w:type="dxa"/>
            <w:vAlign w:val="center"/>
          </w:tcPr>
          <w:p w:rsidR="00485094" w:rsidRPr="009749E0" w:rsidRDefault="00485094" w:rsidP="00453E80">
            <w:pPr>
              <w:pStyle w:val="tabletext1"/>
              <w:jc w:val="center"/>
            </w:pPr>
            <w:r>
              <w:t>+</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2465</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w:t>
            </w:r>
          </w:p>
        </w:tc>
        <w:tc>
          <w:tcPr>
            <w:tcW w:w="830" w:type="dxa"/>
            <w:vAlign w:val="center"/>
          </w:tcPr>
          <w:p w:rsidR="00485094" w:rsidRPr="00745496" w:rsidRDefault="00485094" w:rsidP="00453E80">
            <w:pPr>
              <w:pStyle w:val="tabletext1"/>
              <w:jc w:val="center"/>
            </w:pPr>
            <w:r>
              <w:t>+</w:t>
            </w:r>
          </w:p>
        </w:tc>
        <w:tc>
          <w:tcPr>
            <w:tcW w:w="772" w:type="dxa"/>
            <w:vAlign w:val="center"/>
          </w:tcPr>
          <w:p w:rsidR="00485094" w:rsidRPr="00745496" w:rsidRDefault="00485094" w:rsidP="00453E80">
            <w:pPr>
              <w:pStyle w:val="tabletext1"/>
              <w:jc w:val="center"/>
            </w:pPr>
            <w:r>
              <w:t>0</w:t>
            </w:r>
          </w:p>
        </w:tc>
        <w:tc>
          <w:tcPr>
            <w:tcW w:w="875" w:type="dxa"/>
            <w:vAlign w:val="center"/>
          </w:tcPr>
          <w:p w:rsidR="00485094" w:rsidRDefault="00485094" w:rsidP="00453E80">
            <w:pPr>
              <w:pStyle w:val="tabletext1"/>
              <w:jc w:val="center"/>
            </w:pPr>
            <w:r>
              <w:t>-</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56" w:type="dxa"/>
            <w:vAlign w:val="center"/>
          </w:tcPr>
          <w:p w:rsidR="00485094" w:rsidRPr="00745496" w:rsidRDefault="00485094" w:rsidP="00453E80">
            <w:pPr>
              <w:pStyle w:val="tabletext1"/>
              <w:jc w:val="center"/>
            </w:pPr>
            <w:r>
              <w:t>0</w:t>
            </w:r>
          </w:p>
        </w:tc>
        <w:tc>
          <w:tcPr>
            <w:tcW w:w="831" w:type="dxa"/>
            <w:vAlign w:val="center"/>
          </w:tcPr>
          <w:p w:rsidR="00485094" w:rsidRPr="00745496" w:rsidRDefault="00485094" w:rsidP="00453E80">
            <w:pPr>
              <w:pStyle w:val="tabletext1"/>
              <w:jc w:val="center"/>
            </w:pPr>
            <w:r>
              <w:t>-</w:t>
            </w:r>
          </w:p>
        </w:tc>
        <w:tc>
          <w:tcPr>
            <w:tcW w:w="770" w:type="dxa"/>
            <w:vAlign w:val="center"/>
          </w:tcPr>
          <w:p w:rsidR="00485094" w:rsidRDefault="00485094" w:rsidP="00453E80">
            <w:pPr>
              <w:pStyle w:val="tabletext1"/>
              <w:jc w:val="center"/>
            </w:pPr>
            <w:r>
              <w:t>-</w:t>
            </w:r>
          </w:p>
        </w:tc>
        <w:tc>
          <w:tcPr>
            <w:tcW w:w="791" w:type="dxa"/>
            <w:vAlign w:val="center"/>
          </w:tcPr>
          <w:p w:rsidR="00485094" w:rsidRPr="00745496" w:rsidRDefault="00485094" w:rsidP="00453E80">
            <w:pPr>
              <w:pStyle w:val="tabletext1"/>
              <w:jc w:val="center"/>
            </w:pPr>
            <w:r>
              <w:t>0</w:t>
            </w:r>
          </w:p>
        </w:tc>
        <w:tc>
          <w:tcPr>
            <w:tcW w:w="860" w:type="dxa"/>
            <w:vAlign w:val="center"/>
          </w:tcPr>
          <w:p w:rsidR="00485094" w:rsidRPr="009749E0" w:rsidRDefault="00485094" w:rsidP="00453E80">
            <w:pPr>
              <w:pStyle w:val="tabletext1"/>
              <w:jc w:val="center"/>
            </w:pPr>
            <w:r>
              <w:t>0</w:t>
            </w:r>
          </w:p>
        </w:tc>
        <w:tc>
          <w:tcPr>
            <w:tcW w:w="836" w:type="dxa"/>
            <w:vAlign w:val="center"/>
          </w:tcPr>
          <w:p w:rsidR="00485094" w:rsidRDefault="00485094" w:rsidP="00453E80">
            <w:pPr>
              <w:pStyle w:val="tabletext1"/>
              <w:jc w:val="center"/>
            </w:pPr>
            <w:r>
              <w:t>+</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2793</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w:t>
            </w:r>
          </w:p>
        </w:tc>
        <w:tc>
          <w:tcPr>
            <w:tcW w:w="830" w:type="dxa"/>
            <w:vAlign w:val="center"/>
          </w:tcPr>
          <w:p w:rsidR="00485094" w:rsidRPr="00745496" w:rsidRDefault="00485094" w:rsidP="00453E80">
            <w:pPr>
              <w:pStyle w:val="tabletext1"/>
              <w:jc w:val="center"/>
            </w:pPr>
            <w:r>
              <w:t>+</w:t>
            </w:r>
          </w:p>
        </w:tc>
        <w:tc>
          <w:tcPr>
            <w:tcW w:w="772" w:type="dxa"/>
            <w:vAlign w:val="center"/>
          </w:tcPr>
          <w:p w:rsidR="00485094" w:rsidRPr="00745496" w:rsidRDefault="00485094" w:rsidP="00453E80">
            <w:pPr>
              <w:pStyle w:val="tabletext1"/>
              <w:jc w:val="center"/>
            </w:pPr>
            <w:r>
              <w:t>0</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56" w:type="dxa"/>
            <w:vAlign w:val="center"/>
          </w:tcPr>
          <w:p w:rsidR="00485094" w:rsidRPr="00745496" w:rsidRDefault="00485094" w:rsidP="00453E80">
            <w:pPr>
              <w:pStyle w:val="tabletext1"/>
              <w:jc w:val="center"/>
            </w:pPr>
            <w:r>
              <w:t>-</w:t>
            </w:r>
          </w:p>
        </w:tc>
        <w:tc>
          <w:tcPr>
            <w:tcW w:w="831" w:type="dxa"/>
            <w:vAlign w:val="center"/>
          </w:tcPr>
          <w:p w:rsidR="00485094" w:rsidRPr="00745496" w:rsidRDefault="00485094" w:rsidP="00453E80">
            <w:pPr>
              <w:pStyle w:val="tabletext1"/>
              <w:jc w:val="center"/>
            </w:pPr>
            <w:r>
              <w:t>0</w:t>
            </w:r>
          </w:p>
        </w:tc>
        <w:tc>
          <w:tcPr>
            <w:tcW w:w="770" w:type="dxa"/>
            <w:vAlign w:val="center"/>
          </w:tcPr>
          <w:p w:rsidR="00485094" w:rsidRDefault="00485094" w:rsidP="00453E80">
            <w:pPr>
              <w:pStyle w:val="tabletext1"/>
              <w:jc w:val="center"/>
            </w:pPr>
            <w:r>
              <w:t>+</w:t>
            </w:r>
          </w:p>
        </w:tc>
        <w:tc>
          <w:tcPr>
            <w:tcW w:w="791" w:type="dxa"/>
            <w:vAlign w:val="center"/>
          </w:tcPr>
          <w:p w:rsidR="00485094" w:rsidRPr="00745496" w:rsidRDefault="00485094" w:rsidP="00453E80">
            <w:pPr>
              <w:pStyle w:val="tabletext1"/>
              <w:jc w:val="center"/>
            </w:pPr>
            <w:r>
              <w:t>0</w:t>
            </w:r>
          </w:p>
        </w:tc>
        <w:tc>
          <w:tcPr>
            <w:tcW w:w="860" w:type="dxa"/>
            <w:vAlign w:val="center"/>
          </w:tcPr>
          <w:p w:rsidR="00485094" w:rsidRPr="009749E0" w:rsidRDefault="00485094" w:rsidP="00453E80">
            <w:pPr>
              <w:pStyle w:val="tabletext1"/>
              <w:jc w:val="center"/>
            </w:pPr>
            <w:r>
              <w:t>0</w:t>
            </w:r>
          </w:p>
        </w:tc>
        <w:tc>
          <w:tcPr>
            <w:tcW w:w="836" w:type="dxa"/>
            <w:vAlign w:val="center"/>
          </w:tcPr>
          <w:p w:rsidR="00485094" w:rsidRDefault="00485094" w:rsidP="00453E80">
            <w:pPr>
              <w:pStyle w:val="tabletext1"/>
              <w:jc w:val="center"/>
            </w:pPr>
            <w:r>
              <w:t>0</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2872</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w:t>
            </w:r>
          </w:p>
        </w:tc>
        <w:tc>
          <w:tcPr>
            <w:tcW w:w="830" w:type="dxa"/>
            <w:vAlign w:val="center"/>
          </w:tcPr>
          <w:p w:rsidR="00485094" w:rsidRPr="00745496" w:rsidRDefault="00485094" w:rsidP="00453E80">
            <w:pPr>
              <w:pStyle w:val="tabletext1"/>
              <w:jc w:val="center"/>
            </w:pPr>
            <w:r>
              <w:t>-</w:t>
            </w:r>
          </w:p>
        </w:tc>
        <w:tc>
          <w:tcPr>
            <w:tcW w:w="772" w:type="dxa"/>
            <w:vAlign w:val="center"/>
          </w:tcPr>
          <w:p w:rsidR="00485094" w:rsidRPr="00745496" w:rsidRDefault="00485094" w:rsidP="00453E80">
            <w:pPr>
              <w:pStyle w:val="tabletext1"/>
              <w:jc w:val="center"/>
            </w:pPr>
            <w:r>
              <w:t>0</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56" w:type="dxa"/>
            <w:vAlign w:val="center"/>
          </w:tcPr>
          <w:p w:rsidR="00485094" w:rsidRPr="00745496" w:rsidRDefault="00485094" w:rsidP="00453E80">
            <w:pPr>
              <w:pStyle w:val="tabletext1"/>
              <w:jc w:val="center"/>
            </w:pPr>
            <w:r>
              <w:t>0</w:t>
            </w:r>
          </w:p>
        </w:tc>
        <w:tc>
          <w:tcPr>
            <w:tcW w:w="831" w:type="dxa"/>
            <w:vAlign w:val="center"/>
          </w:tcPr>
          <w:p w:rsidR="00485094" w:rsidRPr="00745496" w:rsidRDefault="00485094" w:rsidP="00453E80">
            <w:pPr>
              <w:pStyle w:val="tabletext1"/>
              <w:jc w:val="center"/>
            </w:pPr>
            <w:r>
              <w:t>0</w:t>
            </w:r>
          </w:p>
        </w:tc>
        <w:tc>
          <w:tcPr>
            <w:tcW w:w="770" w:type="dxa"/>
            <w:vAlign w:val="center"/>
          </w:tcPr>
          <w:p w:rsidR="00485094" w:rsidRDefault="00485094" w:rsidP="00453E80">
            <w:pPr>
              <w:pStyle w:val="tabletext1"/>
              <w:jc w:val="center"/>
            </w:pPr>
            <w:r>
              <w:t>+</w:t>
            </w:r>
          </w:p>
        </w:tc>
        <w:tc>
          <w:tcPr>
            <w:tcW w:w="791" w:type="dxa"/>
            <w:vAlign w:val="center"/>
          </w:tcPr>
          <w:p w:rsidR="00485094" w:rsidRPr="00745496" w:rsidRDefault="00485094" w:rsidP="00453E80">
            <w:pPr>
              <w:pStyle w:val="tabletext1"/>
              <w:jc w:val="center"/>
            </w:pPr>
            <w:r>
              <w:t>0</w:t>
            </w:r>
          </w:p>
        </w:tc>
        <w:tc>
          <w:tcPr>
            <w:tcW w:w="860" w:type="dxa"/>
            <w:vAlign w:val="center"/>
          </w:tcPr>
          <w:p w:rsidR="00485094" w:rsidRPr="009749E0" w:rsidRDefault="00485094" w:rsidP="00453E80">
            <w:pPr>
              <w:pStyle w:val="tabletext1"/>
              <w:jc w:val="center"/>
            </w:pPr>
            <w:r>
              <w:t>0</w:t>
            </w:r>
          </w:p>
        </w:tc>
        <w:tc>
          <w:tcPr>
            <w:tcW w:w="836" w:type="dxa"/>
            <w:vAlign w:val="center"/>
          </w:tcPr>
          <w:p w:rsidR="00485094" w:rsidRDefault="00485094" w:rsidP="00453E80">
            <w:pPr>
              <w:pStyle w:val="tabletext1"/>
              <w:jc w:val="center"/>
            </w:pPr>
            <w:r>
              <w:t>0</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3109</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w:t>
            </w:r>
          </w:p>
        </w:tc>
        <w:tc>
          <w:tcPr>
            <w:tcW w:w="830" w:type="dxa"/>
            <w:vAlign w:val="center"/>
          </w:tcPr>
          <w:p w:rsidR="00485094" w:rsidRPr="00745496" w:rsidRDefault="00485094" w:rsidP="00453E80">
            <w:pPr>
              <w:pStyle w:val="tabletext1"/>
              <w:jc w:val="center"/>
            </w:pPr>
            <w:r>
              <w:t>+</w:t>
            </w:r>
          </w:p>
        </w:tc>
        <w:tc>
          <w:tcPr>
            <w:tcW w:w="772" w:type="dxa"/>
            <w:vAlign w:val="center"/>
          </w:tcPr>
          <w:p w:rsidR="00485094" w:rsidRPr="00745496" w:rsidRDefault="00485094" w:rsidP="00453E80">
            <w:pPr>
              <w:pStyle w:val="tabletext1"/>
              <w:jc w:val="center"/>
            </w:pPr>
            <w:r>
              <w:t>+</w:t>
            </w:r>
          </w:p>
        </w:tc>
        <w:tc>
          <w:tcPr>
            <w:tcW w:w="875" w:type="dxa"/>
            <w:vAlign w:val="center"/>
          </w:tcPr>
          <w:p w:rsidR="00485094" w:rsidRDefault="00485094" w:rsidP="00453E80">
            <w:pPr>
              <w:pStyle w:val="tabletext1"/>
              <w:jc w:val="center"/>
            </w:pPr>
            <w:r>
              <w:t>+</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w:t>
            </w:r>
          </w:p>
        </w:tc>
        <w:tc>
          <w:tcPr>
            <w:tcW w:w="656" w:type="dxa"/>
            <w:vAlign w:val="center"/>
          </w:tcPr>
          <w:p w:rsidR="00485094" w:rsidRPr="00745496" w:rsidRDefault="00485094" w:rsidP="00453E80">
            <w:pPr>
              <w:pStyle w:val="tabletext1"/>
              <w:jc w:val="center"/>
            </w:pPr>
            <w:r>
              <w:t>+</w:t>
            </w:r>
          </w:p>
        </w:tc>
        <w:tc>
          <w:tcPr>
            <w:tcW w:w="831" w:type="dxa"/>
            <w:vAlign w:val="center"/>
          </w:tcPr>
          <w:p w:rsidR="00485094" w:rsidRPr="00745496" w:rsidRDefault="00485094" w:rsidP="00453E80">
            <w:pPr>
              <w:pStyle w:val="tabletext1"/>
              <w:jc w:val="center"/>
            </w:pPr>
            <w:r>
              <w:t>+</w:t>
            </w:r>
          </w:p>
        </w:tc>
        <w:tc>
          <w:tcPr>
            <w:tcW w:w="770" w:type="dxa"/>
            <w:vAlign w:val="center"/>
          </w:tcPr>
          <w:p w:rsidR="00485094" w:rsidRDefault="00485094" w:rsidP="00453E80">
            <w:pPr>
              <w:pStyle w:val="tabletext1"/>
              <w:jc w:val="center"/>
            </w:pPr>
            <w:r>
              <w:t>+</w:t>
            </w:r>
          </w:p>
        </w:tc>
        <w:tc>
          <w:tcPr>
            <w:tcW w:w="791" w:type="dxa"/>
            <w:vAlign w:val="center"/>
          </w:tcPr>
          <w:p w:rsidR="00485094" w:rsidRPr="00745496" w:rsidRDefault="00485094" w:rsidP="00453E80">
            <w:pPr>
              <w:pStyle w:val="tabletext1"/>
              <w:jc w:val="center"/>
            </w:pPr>
            <w:r>
              <w:t>+</w:t>
            </w:r>
          </w:p>
        </w:tc>
        <w:tc>
          <w:tcPr>
            <w:tcW w:w="860" w:type="dxa"/>
            <w:vAlign w:val="center"/>
          </w:tcPr>
          <w:p w:rsidR="00485094" w:rsidRPr="009749E0" w:rsidRDefault="00485094" w:rsidP="00453E80">
            <w:pPr>
              <w:pStyle w:val="tabletext1"/>
              <w:jc w:val="center"/>
            </w:pPr>
            <w:r>
              <w:t>+</w:t>
            </w:r>
          </w:p>
        </w:tc>
        <w:tc>
          <w:tcPr>
            <w:tcW w:w="836" w:type="dxa"/>
            <w:vAlign w:val="center"/>
          </w:tcPr>
          <w:p w:rsidR="00485094" w:rsidRDefault="00485094" w:rsidP="00453E80">
            <w:pPr>
              <w:pStyle w:val="tabletext1"/>
              <w:jc w:val="center"/>
            </w:pPr>
            <w:r>
              <w:t>-</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3398</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0</w:t>
            </w:r>
          </w:p>
        </w:tc>
        <w:tc>
          <w:tcPr>
            <w:tcW w:w="830" w:type="dxa"/>
            <w:vAlign w:val="center"/>
          </w:tcPr>
          <w:p w:rsidR="00485094" w:rsidRPr="00745496" w:rsidRDefault="00485094" w:rsidP="00453E80">
            <w:pPr>
              <w:pStyle w:val="tabletext1"/>
              <w:jc w:val="center"/>
            </w:pPr>
            <w:r>
              <w:t>+</w:t>
            </w:r>
          </w:p>
        </w:tc>
        <w:tc>
          <w:tcPr>
            <w:tcW w:w="772" w:type="dxa"/>
            <w:vAlign w:val="center"/>
          </w:tcPr>
          <w:p w:rsidR="00485094" w:rsidRPr="00745496" w:rsidRDefault="00485094" w:rsidP="00453E80">
            <w:pPr>
              <w:pStyle w:val="tabletext1"/>
              <w:jc w:val="center"/>
            </w:pPr>
            <w:r>
              <w:t>+</w:t>
            </w:r>
          </w:p>
        </w:tc>
        <w:tc>
          <w:tcPr>
            <w:tcW w:w="875" w:type="dxa"/>
            <w:vAlign w:val="center"/>
          </w:tcPr>
          <w:p w:rsidR="00485094" w:rsidRDefault="00485094" w:rsidP="00453E80">
            <w:pPr>
              <w:pStyle w:val="tabletext1"/>
              <w:jc w:val="center"/>
            </w:pPr>
            <w:r>
              <w:t>+</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56" w:type="dxa"/>
            <w:vAlign w:val="center"/>
          </w:tcPr>
          <w:p w:rsidR="00485094" w:rsidRPr="00745496" w:rsidRDefault="00485094" w:rsidP="00453E80">
            <w:pPr>
              <w:pStyle w:val="tabletext1"/>
              <w:jc w:val="center"/>
            </w:pPr>
            <w:r>
              <w:t>-</w:t>
            </w:r>
          </w:p>
        </w:tc>
        <w:tc>
          <w:tcPr>
            <w:tcW w:w="831" w:type="dxa"/>
            <w:vAlign w:val="center"/>
          </w:tcPr>
          <w:p w:rsidR="00485094" w:rsidRPr="00745496" w:rsidRDefault="00485094" w:rsidP="00453E80">
            <w:pPr>
              <w:pStyle w:val="tabletext1"/>
              <w:jc w:val="center"/>
            </w:pPr>
            <w:r>
              <w:t>0</w:t>
            </w:r>
          </w:p>
        </w:tc>
        <w:tc>
          <w:tcPr>
            <w:tcW w:w="770" w:type="dxa"/>
            <w:vAlign w:val="center"/>
          </w:tcPr>
          <w:p w:rsidR="00485094" w:rsidRDefault="00485094" w:rsidP="00453E80">
            <w:pPr>
              <w:pStyle w:val="tabletext1"/>
              <w:jc w:val="center"/>
            </w:pPr>
            <w:r>
              <w:t>0</w:t>
            </w:r>
          </w:p>
        </w:tc>
        <w:tc>
          <w:tcPr>
            <w:tcW w:w="791" w:type="dxa"/>
            <w:vAlign w:val="center"/>
          </w:tcPr>
          <w:p w:rsidR="00485094" w:rsidRPr="00745496" w:rsidRDefault="00485094" w:rsidP="00453E80">
            <w:pPr>
              <w:pStyle w:val="tabletext1"/>
              <w:jc w:val="center"/>
            </w:pPr>
            <w:r>
              <w:t>0</w:t>
            </w:r>
          </w:p>
        </w:tc>
        <w:tc>
          <w:tcPr>
            <w:tcW w:w="860" w:type="dxa"/>
            <w:vAlign w:val="center"/>
          </w:tcPr>
          <w:p w:rsidR="00485094" w:rsidRPr="009749E0" w:rsidRDefault="00485094" w:rsidP="00453E80">
            <w:pPr>
              <w:pStyle w:val="tabletext1"/>
              <w:jc w:val="center"/>
            </w:pPr>
            <w:r>
              <w:t>+</w:t>
            </w:r>
          </w:p>
        </w:tc>
        <w:tc>
          <w:tcPr>
            <w:tcW w:w="836" w:type="dxa"/>
            <w:vAlign w:val="center"/>
          </w:tcPr>
          <w:p w:rsidR="00485094" w:rsidRDefault="00485094" w:rsidP="00453E80">
            <w:pPr>
              <w:pStyle w:val="tabletext1"/>
              <w:jc w:val="center"/>
            </w:pPr>
            <w:r>
              <w:t>+</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3490</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w:t>
            </w:r>
          </w:p>
        </w:tc>
        <w:tc>
          <w:tcPr>
            <w:tcW w:w="830" w:type="dxa"/>
            <w:vAlign w:val="center"/>
          </w:tcPr>
          <w:p w:rsidR="00485094" w:rsidRPr="00745496" w:rsidRDefault="00485094" w:rsidP="00453E80">
            <w:pPr>
              <w:pStyle w:val="tabletext1"/>
              <w:jc w:val="center"/>
            </w:pPr>
            <w:r>
              <w:t>-</w:t>
            </w:r>
          </w:p>
        </w:tc>
        <w:tc>
          <w:tcPr>
            <w:tcW w:w="772" w:type="dxa"/>
            <w:vAlign w:val="center"/>
          </w:tcPr>
          <w:p w:rsidR="00485094" w:rsidRPr="00745496" w:rsidRDefault="00485094" w:rsidP="00453E80">
            <w:pPr>
              <w:pStyle w:val="tabletext1"/>
              <w:jc w:val="center"/>
            </w:pPr>
            <w:r>
              <w:t>0</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w:t>
            </w:r>
          </w:p>
        </w:tc>
        <w:tc>
          <w:tcPr>
            <w:tcW w:w="706" w:type="dxa"/>
            <w:vAlign w:val="center"/>
          </w:tcPr>
          <w:p w:rsidR="00485094" w:rsidRPr="00745496" w:rsidRDefault="00485094" w:rsidP="00453E80">
            <w:pPr>
              <w:pStyle w:val="tabletext1"/>
              <w:jc w:val="center"/>
            </w:pPr>
            <w:r>
              <w:t>0</w:t>
            </w:r>
          </w:p>
        </w:tc>
        <w:tc>
          <w:tcPr>
            <w:tcW w:w="656" w:type="dxa"/>
            <w:vAlign w:val="center"/>
          </w:tcPr>
          <w:p w:rsidR="00485094" w:rsidRPr="00745496" w:rsidRDefault="00485094" w:rsidP="00453E80">
            <w:pPr>
              <w:pStyle w:val="tabletext1"/>
              <w:jc w:val="center"/>
            </w:pPr>
            <w:r>
              <w:t>0</w:t>
            </w:r>
          </w:p>
        </w:tc>
        <w:tc>
          <w:tcPr>
            <w:tcW w:w="831" w:type="dxa"/>
            <w:vAlign w:val="center"/>
          </w:tcPr>
          <w:p w:rsidR="00485094" w:rsidRPr="00745496" w:rsidRDefault="00485094" w:rsidP="00453E80">
            <w:pPr>
              <w:pStyle w:val="tabletext1"/>
              <w:jc w:val="center"/>
            </w:pPr>
            <w:r>
              <w:t>-</w:t>
            </w:r>
          </w:p>
        </w:tc>
        <w:tc>
          <w:tcPr>
            <w:tcW w:w="770" w:type="dxa"/>
            <w:vAlign w:val="center"/>
          </w:tcPr>
          <w:p w:rsidR="00485094" w:rsidRDefault="00485094" w:rsidP="00453E80">
            <w:pPr>
              <w:pStyle w:val="tabletext1"/>
              <w:jc w:val="center"/>
            </w:pPr>
            <w:r>
              <w:t>-</w:t>
            </w:r>
          </w:p>
        </w:tc>
        <w:tc>
          <w:tcPr>
            <w:tcW w:w="791" w:type="dxa"/>
            <w:vAlign w:val="center"/>
          </w:tcPr>
          <w:p w:rsidR="00485094" w:rsidRPr="00745496" w:rsidRDefault="00485094" w:rsidP="00453E80">
            <w:pPr>
              <w:pStyle w:val="tabletext1"/>
              <w:jc w:val="center"/>
            </w:pPr>
            <w:r>
              <w:t>0</w:t>
            </w:r>
          </w:p>
        </w:tc>
        <w:tc>
          <w:tcPr>
            <w:tcW w:w="860" w:type="dxa"/>
            <w:vAlign w:val="center"/>
          </w:tcPr>
          <w:p w:rsidR="00485094" w:rsidRPr="009749E0" w:rsidRDefault="00485094" w:rsidP="00453E80">
            <w:pPr>
              <w:pStyle w:val="tabletext1"/>
              <w:jc w:val="center"/>
            </w:pPr>
            <w:r>
              <w:t>-</w:t>
            </w:r>
          </w:p>
        </w:tc>
        <w:tc>
          <w:tcPr>
            <w:tcW w:w="836" w:type="dxa"/>
            <w:vAlign w:val="center"/>
          </w:tcPr>
          <w:p w:rsidR="00485094" w:rsidRDefault="00485094" w:rsidP="00453E80">
            <w:pPr>
              <w:pStyle w:val="tabletext1"/>
              <w:jc w:val="center"/>
            </w:pPr>
            <w:r>
              <w:t>+</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6490</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w:t>
            </w:r>
          </w:p>
        </w:tc>
        <w:tc>
          <w:tcPr>
            <w:tcW w:w="830" w:type="dxa"/>
            <w:vAlign w:val="center"/>
          </w:tcPr>
          <w:p w:rsidR="00485094" w:rsidRPr="00745496" w:rsidRDefault="00485094" w:rsidP="00453E80">
            <w:pPr>
              <w:pStyle w:val="tabletext1"/>
              <w:jc w:val="center"/>
            </w:pPr>
            <w:r>
              <w:t>-</w:t>
            </w:r>
          </w:p>
        </w:tc>
        <w:tc>
          <w:tcPr>
            <w:tcW w:w="772" w:type="dxa"/>
            <w:vAlign w:val="center"/>
          </w:tcPr>
          <w:p w:rsidR="00485094" w:rsidRPr="00745496" w:rsidRDefault="00485094" w:rsidP="00453E80">
            <w:pPr>
              <w:pStyle w:val="tabletext1"/>
              <w:jc w:val="center"/>
            </w:pPr>
            <w:r>
              <w:t>0</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w:t>
            </w:r>
          </w:p>
        </w:tc>
        <w:tc>
          <w:tcPr>
            <w:tcW w:w="706" w:type="dxa"/>
            <w:vAlign w:val="center"/>
          </w:tcPr>
          <w:p w:rsidR="00485094" w:rsidRPr="00745496" w:rsidRDefault="00485094" w:rsidP="00453E80">
            <w:pPr>
              <w:pStyle w:val="tabletext1"/>
              <w:jc w:val="center"/>
            </w:pPr>
            <w:r>
              <w:t>0</w:t>
            </w:r>
          </w:p>
        </w:tc>
        <w:tc>
          <w:tcPr>
            <w:tcW w:w="656" w:type="dxa"/>
            <w:vAlign w:val="center"/>
          </w:tcPr>
          <w:p w:rsidR="00485094" w:rsidRPr="00745496" w:rsidRDefault="00485094" w:rsidP="00453E80">
            <w:pPr>
              <w:pStyle w:val="tabletext1"/>
              <w:jc w:val="center"/>
            </w:pPr>
            <w:r>
              <w:t>0</w:t>
            </w:r>
          </w:p>
        </w:tc>
        <w:tc>
          <w:tcPr>
            <w:tcW w:w="831" w:type="dxa"/>
            <w:vAlign w:val="center"/>
          </w:tcPr>
          <w:p w:rsidR="00485094" w:rsidRPr="00745496" w:rsidRDefault="00485094" w:rsidP="00453E80">
            <w:pPr>
              <w:pStyle w:val="tabletext1"/>
              <w:jc w:val="center"/>
            </w:pPr>
            <w:r>
              <w:t>-</w:t>
            </w:r>
          </w:p>
        </w:tc>
        <w:tc>
          <w:tcPr>
            <w:tcW w:w="770" w:type="dxa"/>
            <w:vAlign w:val="center"/>
          </w:tcPr>
          <w:p w:rsidR="00485094" w:rsidRDefault="00485094" w:rsidP="00453E80">
            <w:pPr>
              <w:pStyle w:val="tabletext1"/>
              <w:jc w:val="center"/>
            </w:pPr>
            <w:r>
              <w:t>-</w:t>
            </w:r>
          </w:p>
        </w:tc>
        <w:tc>
          <w:tcPr>
            <w:tcW w:w="791" w:type="dxa"/>
            <w:vAlign w:val="center"/>
          </w:tcPr>
          <w:p w:rsidR="00485094" w:rsidRPr="00745496" w:rsidRDefault="00485094" w:rsidP="00453E80">
            <w:pPr>
              <w:pStyle w:val="tabletext1"/>
              <w:jc w:val="center"/>
            </w:pPr>
            <w:r>
              <w:t>0</w:t>
            </w:r>
          </w:p>
        </w:tc>
        <w:tc>
          <w:tcPr>
            <w:tcW w:w="860" w:type="dxa"/>
            <w:vAlign w:val="center"/>
          </w:tcPr>
          <w:p w:rsidR="00485094" w:rsidRPr="009749E0" w:rsidRDefault="00485094" w:rsidP="00453E80">
            <w:pPr>
              <w:pStyle w:val="tabletext1"/>
              <w:jc w:val="center"/>
            </w:pPr>
            <w:r>
              <w:t>-</w:t>
            </w:r>
          </w:p>
        </w:tc>
        <w:tc>
          <w:tcPr>
            <w:tcW w:w="836" w:type="dxa"/>
            <w:vAlign w:val="center"/>
          </w:tcPr>
          <w:p w:rsidR="00485094" w:rsidRDefault="00485094" w:rsidP="00453E80">
            <w:pPr>
              <w:pStyle w:val="tabletext1"/>
              <w:jc w:val="center"/>
            </w:pPr>
            <w:r>
              <w:t>+</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7934</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w:t>
            </w:r>
          </w:p>
        </w:tc>
        <w:tc>
          <w:tcPr>
            <w:tcW w:w="830" w:type="dxa"/>
            <w:vAlign w:val="center"/>
          </w:tcPr>
          <w:p w:rsidR="00485094" w:rsidRPr="00745496" w:rsidRDefault="00485094" w:rsidP="00453E80">
            <w:pPr>
              <w:pStyle w:val="tabletext1"/>
              <w:jc w:val="center"/>
            </w:pPr>
            <w:r>
              <w:t>-</w:t>
            </w:r>
          </w:p>
        </w:tc>
        <w:tc>
          <w:tcPr>
            <w:tcW w:w="772" w:type="dxa"/>
            <w:vAlign w:val="center"/>
          </w:tcPr>
          <w:p w:rsidR="00485094" w:rsidRPr="00745496" w:rsidRDefault="00485094" w:rsidP="00453E80">
            <w:pPr>
              <w:pStyle w:val="tabletext1"/>
              <w:jc w:val="center"/>
            </w:pPr>
            <w:r>
              <w:t>0</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56" w:type="dxa"/>
            <w:vAlign w:val="center"/>
          </w:tcPr>
          <w:p w:rsidR="00485094" w:rsidRPr="00745496" w:rsidRDefault="00485094" w:rsidP="00453E80">
            <w:pPr>
              <w:pStyle w:val="tabletext1"/>
              <w:jc w:val="center"/>
            </w:pPr>
            <w:r>
              <w:t>0</w:t>
            </w:r>
          </w:p>
        </w:tc>
        <w:tc>
          <w:tcPr>
            <w:tcW w:w="831" w:type="dxa"/>
            <w:vAlign w:val="center"/>
          </w:tcPr>
          <w:p w:rsidR="00485094" w:rsidRPr="00745496" w:rsidRDefault="00485094" w:rsidP="00453E80">
            <w:pPr>
              <w:pStyle w:val="tabletext1"/>
              <w:jc w:val="center"/>
            </w:pPr>
            <w:r>
              <w:t>-</w:t>
            </w:r>
          </w:p>
        </w:tc>
        <w:tc>
          <w:tcPr>
            <w:tcW w:w="770" w:type="dxa"/>
            <w:vAlign w:val="center"/>
          </w:tcPr>
          <w:p w:rsidR="00485094" w:rsidRDefault="00485094" w:rsidP="00453E80">
            <w:pPr>
              <w:pStyle w:val="tabletext1"/>
              <w:jc w:val="center"/>
            </w:pPr>
            <w:r>
              <w:t>-</w:t>
            </w:r>
          </w:p>
        </w:tc>
        <w:tc>
          <w:tcPr>
            <w:tcW w:w="791" w:type="dxa"/>
            <w:vAlign w:val="center"/>
          </w:tcPr>
          <w:p w:rsidR="00485094" w:rsidRPr="00745496" w:rsidRDefault="00485094" w:rsidP="00453E80">
            <w:pPr>
              <w:pStyle w:val="tabletext1"/>
              <w:jc w:val="center"/>
            </w:pPr>
            <w:r>
              <w:t>0</w:t>
            </w:r>
          </w:p>
        </w:tc>
        <w:tc>
          <w:tcPr>
            <w:tcW w:w="860" w:type="dxa"/>
            <w:vAlign w:val="center"/>
          </w:tcPr>
          <w:p w:rsidR="00485094" w:rsidRPr="009749E0" w:rsidRDefault="00485094" w:rsidP="00453E80">
            <w:pPr>
              <w:pStyle w:val="tabletext1"/>
              <w:jc w:val="center"/>
            </w:pPr>
            <w:r>
              <w:t>0</w:t>
            </w:r>
          </w:p>
        </w:tc>
        <w:tc>
          <w:tcPr>
            <w:tcW w:w="836" w:type="dxa"/>
            <w:vAlign w:val="center"/>
          </w:tcPr>
          <w:p w:rsidR="00485094" w:rsidRDefault="00485094" w:rsidP="00453E80">
            <w:pPr>
              <w:pStyle w:val="tabletext1"/>
              <w:jc w:val="center"/>
            </w:pPr>
            <w:r>
              <w:t>0</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bl>
    <w:p w:rsidR="00485094" w:rsidRDefault="00485094" w:rsidP="00692F31">
      <w:pPr>
        <w:pStyle w:val="BodyText2"/>
        <w:jc w:val="both"/>
        <w:rPr>
          <w:rFonts w:cs="Arial"/>
          <w:b/>
          <w:szCs w:val="22"/>
        </w:rPr>
      </w:pPr>
    </w:p>
    <w:p w:rsidR="00485094" w:rsidRDefault="00485094" w:rsidP="00692F31">
      <w:pPr>
        <w:pStyle w:val="BodyText2"/>
        <w:jc w:val="both"/>
        <w:rPr>
          <w:rFonts w:cs="Arial"/>
          <w:b/>
          <w:szCs w:val="22"/>
        </w:rPr>
        <w:sectPr w:rsidR="00485094" w:rsidSect="009876F8">
          <w:pgSz w:w="15840" w:h="12240" w:orient="landscape" w:code="1"/>
          <w:pgMar w:top="1440" w:right="1440" w:bottom="1440" w:left="1440" w:header="720" w:footer="720" w:gutter="0"/>
          <w:paperSrc w:first="261"/>
          <w:cols w:space="720"/>
          <w:docGrid w:linePitch="360"/>
        </w:sectPr>
      </w:pPr>
    </w:p>
    <w:p w:rsidR="00485094" w:rsidRDefault="00485094" w:rsidP="00692F31">
      <w:pPr>
        <w:pStyle w:val="Caption"/>
      </w:pPr>
      <w:bookmarkStart w:id="498" w:name="_Toc262464315"/>
      <w:bookmarkStart w:id="499" w:name="_Toc271280167"/>
      <w:r w:rsidRPr="00F30D85">
        <w:t xml:space="preserve">Figure </w:t>
      </w:r>
      <w:r>
        <w:t>6.22</w:t>
      </w:r>
      <w:r w:rsidRPr="00F30D85">
        <w:t xml:space="preserve">.  </w:t>
      </w:r>
      <w:r>
        <w:t>Ground</w:t>
      </w:r>
      <w:r w:rsidRPr="00F30D85">
        <w:t xml:space="preserve"> </w:t>
      </w:r>
      <w:r>
        <w:t>W</w:t>
      </w:r>
      <w:r w:rsidRPr="00F30D85">
        <w:t xml:space="preserve">ater </w:t>
      </w:r>
      <w:r>
        <w:t>T</w:t>
      </w:r>
      <w:r w:rsidRPr="00F30D85">
        <w:t xml:space="preserve">rends for </w:t>
      </w:r>
      <w:r>
        <w:t xml:space="preserve">Temperature, </w:t>
      </w:r>
      <w:r w:rsidRPr="00F30D85">
        <w:t>1999</w:t>
      </w:r>
      <w:r>
        <w:t>–</w:t>
      </w:r>
      <w:r w:rsidRPr="00F30D85">
        <w:t>2</w:t>
      </w:r>
      <w:r>
        <w:t>008</w:t>
      </w:r>
      <w:bookmarkEnd w:id="498"/>
      <w:bookmarkEnd w:id="499"/>
    </w:p>
    <w:p w:rsidR="00485094" w:rsidRDefault="00485094" w:rsidP="00692F31">
      <w:pPr>
        <w:pStyle w:val="BodyText2"/>
        <w:ind w:right="1440"/>
        <w:jc w:val="both"/>
        <w:rPr>
          <w:rFonts w:cs="Arial"/>
          <w:b/>
          <w:szCs w:val="22"/>
        </w:rPr>
      </w:pPr>
    </w:p>
    <w:p w:rsidR="00485094" w:rsidRDefault="001717CD" w:rsidP="00692F31">
      <w:pPr>
        <w:pStyle w:val="BodyText2"/>
        <w:ind w:right="1440"/>
        <w:jc w:val="both"/>
        <w:rPr>
          <w:rFonts w:cs="Arial"/>
          <w:b/>
          <w:szCs w:val="22"/>
        </w:rPr>
      </w:pPr>
      <w:r>
        <w:rPr>
          <w:rFonts w:cs="Arial"/>
          <w:b/>
          <w:noProof/>
          <w:szCs w:val="22"/>
        </w:rPr>
        <w:drawing>
          <wp:inline distT="0" distB="0" distL="0" distR="0">
            <wp:extent cx="5305425" cy="5943600"/>
            <wp:effectExtent l="19050" t="0" r="9525" b="0"/>
            <wp:docPr id="13" name="Picture 1" descr="Figure 6.22.  Ground Water Trends for Temperature, 1999–2008.  This is a map of the state of Florida showing the statewide ground water temperature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6.22.  Ground Water Trends for Temperature, 1999–2008"/>
                    <pic:cNvPicPr>
                      <a:picLocks noChangeAspect="1" noChangeArrowheads="1"/>
                    </pic:cNvPicPr>
                  </pic:nvPicPr>
                  <pic:blipFill>
                    <a:blip r:embed="rId108"/>
                    <a:srcRect/>
                    <a:stretch>
                      <a:fillRect/>
                    </a:stretch>
                  </pic:blipFill>
                  <pic:spPr bwMode="auto">
                    <a:xfrm>
                      <a:off x="0" y="0"/>
                      <a:ext cx="5305425" cy="5943600"/>
                    </a:xfrm>
                    <a:prstGeom prst="rect">
                      <a:avLst/>
                    </a:prstGeom>
                    <a:noFill/>
                    <a:ln w="9525">
                      <a:noFill/>
                      <a:miter lim="800000"/>
                      <a:headEnd/>
                      <a:tailEnd/>
                    </a:ln>
                  </pic:spPr>
                </pic:pic>
              </a:graphicData>
            </a:graphic>
          </wp:inline>
        </w:drawing>
      </w:r>
    </w:p>
    <w:p w:rsidR="00485094" w:rsidRDefault="00485094" w:rsidP="00692F31">
      <w:pPr>
        <w:pStyle w:val="BodyText2"/>
        <w:ind w:right="1440"/>
        <w:jc w:val="both"/>
        <w:rPr>
          <w:rFonts w:cs="Arial"/>
          <w:b/>
          <w:szCs w:val="22"/>
        </w:rPr>
      </w:pPr>
    </w:p>
    <w:p w:rsidR="00485094" w:rsidRDefault="00485094" w:rsidP="00692F31">
      <w:pPr>
        <w:pStyle w:val="BodyText2"/>
        <w:ind w:right="1440"/>
        <w:jc w:val="both"/>
        <w:rPr>
          <w:rFonts w:cs="Arial"/>
          <w:b/>
          <w:szCs w:val="22"/>
        </w:rPr>
      </w:pPr>
    </w:p>
    <w:p w:rsidR="00485094" w:rsidRPr="00A001D8" w:rsidRDefault="00485094" w:rsidP="00692F31">
      <w:pPr>
        <w:pStyle w:val="Bodytext"/>
        <w:rPr>
          <w:b/>
          <w:szCs w:val="22"/>
        </w:rPr>
      </w:pPr>
      <w:r w:rsidRPr="00A001D8">
        <w:rPr>
          <w:b/>
          <w:szCs w:val="22"/>
        </w:rPr>
        <w:t>Highlights:</w:t>
      </w:r>
    </w:p>
    <w:p w:rsidR="00485094" w:rsidRDefault="00485094" w:rsidP="00692F31">
      <w:pPr>
        <w:pStyle w:val="Bodytextreduced"/>
      </w:pPr>
    </w:p>
    <w:p w:rsidR="00485094" w:rsidRDefault="00485094" w:rsidP="00692F31">
      <w:pPr>
        <w:pStyle w:val="ListBullet"/>
      </w:pPr>
      <w:r>
        <w:t>The trend</w:t>
      </w:r>
      <w:r w:rsidRPr="00F30D85">
        <w:t xml:space="preserve"> </w:t>
      </w:r>
      <w:r>
        <w:t>analysis for the confined aquifer wells reported 5 stations with an increasing trend and 2 stations with a decreasing trend</w:t>
      </w:r>
      <w:r w:rsidRPr="00640A14">
        <w:t xml:space="preserve"> </w:t>
      </w:r>
      <w:r>
        <w:t xml:space="preserve">for temperature (Temp).  </w:t>
      </w:r>
    </w:p>
    <w:p w:rsidR="00485094" w:rsidRDefault="00485094" w:rsidP="00692F31">
      <w:pPr>
        <w:pStyle w:val="ListBullet"/>
        <w:rPr>
          <w:b/>
        </w:rPr>
      </w:pPr>
      <w:r>
        <w:t>There were 7 stations with increasing trends in the unconfined aquifer wells and 6 stations with a decreasing trend</w:t>
      </w:r>
      <w:r w:rsidRPr="00F30D85">
        <w:t>.</w:t>
      </w:r>
    </w:p>
    <w:p w:rsidR="00485094" w:rsidRDefault="00485094" w:rsidP="00692F31">
      <w:pPr>
        <w:rPr>
          <w:rFonts w:ascii="Arial" w:hAnsi="Arial" w:cs="Arial"/>
          <w:sz w:val="22"/>
          <w:szCs w:val="22"/>
        </w:rPr>
      </w:pPr>
      <w:r>
        <w:rPr>
          <w:rFonts w:ascii="Arial" w:hAnsi="Arial" w:cs="Arial"/>
          <w:sz w:val="22"/>
          <w:szCs w:val="22"/>
        </w:rPr>
        <w:br w:type="page"/>
      </w:r>
    </w:p>
    <w:p w:rsidR="00485094" w:rsidRDefault="00485094">
      <w:pPr>
        <w:pStyle w:val="Caption"/>
        <w:rPr>
          <w:rFonts w:cs="Arial"/>
          <w:szCs w:val="22"/>
        </w:rPr>
      </w:pPr>
      <w:bookmarkStart w:id="500" w:name="_Toc262464316"/>
      <w:bookmarkStart w:id="501" w:name="_Toc271280168"/>
      <w:r w:rsidRPr="00F30D85">
        <w:t xml:space="preserve">Figure </w:t>
      </w:r>
      <w:r>
        <w:t>6.23</w:t>
      </w:r>
      <w:r w:rsidRPr="00F30D85">
        <w:t xml:space="preserve">.  </w:t>
      </w:r>
      <w:r>
        <w:t>Ground</w:t>
      </w:r>
      <w:r w:rsidRPr="00F30D85">
        <w:t xml:space="preserve"> </w:t>
      </w:r>
      <w:r>
        <w:t>W</w:t>
      </w:r>
      <w:r w:rsidRPr="00F30D85">
        <w:t xml:space="preserve">ater </w:t>
      </w:r>
      <w:r>
        <w:t>T</w:t>
      </w:r>
      <w:r w:rsidRPr="00F30D85">
        <w:t xml:space="preserve">rends for </w:t>
      </w:r>
      <w:r>
        <w:t xml:space="preserve">Specific Conductance, </w:t>
      </w:r>
      <w:r w:rsidRPr="00F30D85">
        <w:t>1999</w:t>
      </w:r>
      <w:r>
        <w:t>–</w:t>
      </w:r>
      <w:r w:rsidRPr="00F30D85">
        <w:t>2</w:t>
      </w:r>
      <w:r>
        <w:t>008</w:t>
      </w:r>
      <w:bookmarkEnd w:id="500"/>
      <w:bookmarkEnd w:id="501"/>
    </w:p>
    <w:p w:rsidR="00485094" w:rsidRPr="00F847F0" w:rsidRDefault="00485094" w:rsidP="00F847F0">
      <w:pPr>
        <w:ind w:left="720"/>
        <w:rPr>
          <w:rFonts w:ascii="Arial" w:hAnsi="Arial" w:cs="Arial"/>
          <w:sz w:val="18"/>
          <w:szCs w:val="18"/>
        </w:rPr>
      </w:pPr>
    </w:p>
    <w:p w:rsidR="00485094" w:rsidRDefault="001717CD" w:rsidP="00692F31">
      <w:pPr>
        <w:rPr>
          <w:rFonts w:ascii="Arial" w:hAnsi="Arial" w:cs="Arial"/>
          <w:sz w:val="22"/>
          <w:szCs w:val="22"/>
        </w:rPr>
      </w:pPr>
      <w:r>
        <w:rPr>
          <w:rFonts w:ascii="Arial" w:hAnsi="Arial" w:cs="Arial"/>
          <w:noProof/>
          <w:sz w:val="22"/>
          <w:szCs w:val="22"/>
        </w:rPr>
        <w:drawing>
          <wp:inline distT="0" distB="0" distL="0" distR="0">
            <wp:extent cx="5495290" cy="6141720"/>
            <wp:effectExtent l="19050" t="0" r="0" b="0"/>
            <wp:docPr id="14" name="Picture 0" descr="Figure 6.23.  Ground Water Trends for Specific Conductance, 1999–2008.  This is a map of the state of Florida showing the statewide ground water specific conductance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igure 6.23.  Ground Water Trends for Specific Conductance, 1999–2008"/>
                    <pic:cNvPicPr>
                      <a:picLocks noChangeAspect="1" noChangeArrowheads="1"/>
                    </pic:cNvPicPr>
                  </pic:nvPicPr>
                  <pic:blipFill>
                    <a:blip r:embed="rId109"/>
                    <a:srcRect/>
                    <a:stretch>
                      <a:fillRect/>
                    </a:stretch>
                  </pic:blipFill>
                  <pic:spPr bwMode="auto">
                    <a:xfrm>
                      <a:off x="0" y="0"/>
                      <a:ext cx="5495290" cy="6141720"/>
                    </a:xfrm>
                    <a:prstGeom prst="rect">
                      <a:avLst/>
                    </a:prstGeom>
                    <a:noFill/>
                    <a:ln w="9525">
                      <a:noFill/>
                      <a:miter lim="800000"/>
                      <a:headEnd/>
                      <a:tailEnd/>
                    </a:ln>
                  </pic:spPr>
                </pic:pic>
              </a:graphicData>
            </a:graphic>
          </wp:inline>
        </w:drawing>
      </w:r>
    </w:p>
    <w:p w:rsidR="00485094" w:rsidRDefault="00485094" w:rsidP="00692F31">
      <w:pPr>
        <w:rPr>
          <w:rFonts w:ascii="Arial" w:hAnsi="Arial" w:cs="Arial"/>
          <w:sz w:val="22"/>
          <w:szCs w:val="22"/>
        </w:rPr>
      </w:pPr>
    </w:p>
    <w:p w:rsidR="00485094" w:rsidRPr="00A001D8" w:rsidRDefault="00485094" w:rsidP="00692F31">
      <w:pPr>
        <w:pStyle w:val="Bodytext"/>
        <w:rPr>
          <w:b/>
          <w:szCs w:val="22"/>
        </w:rPr>
      </w:pPr>
      <w:r w:rsidRPr="00A001D8">
        <w:rPr>
          <w:b/>
          <w:szCs w:val="22"/>
        </w:rPr>
        <w:t>Highlights:</w:t>
      </w:r>
    </w:p>
    <w:p w:rsidR="00485094" w:rsidRDefault="00485094" w:rsidP="00692F31">
      <w:pPr>
        <w:pStyle w:val="Bodytextreduced"/>
      </w:pPr>
    </w:p>
    <w:p w:rsidR="00485094" w:rsidRDefault="00485094" w:rsidP="00692F31">
      <w:pPr>
        <w:pStyle w:val="ListBullet"/>
      </w:pPr>
      <w:r>
        <w:t>The trend</w:t>
      </w:r>
      <w:r w:rsidRPr="00F30D85">
        <w:t xml:space="preserve"> </w:t>
      </w:r>
      <w:r>
        <w:t>analysis for the confined aquifer wells reported 5 stations with an increasing trend and 3 stations with a decreasing trend</w:t>
      </w:r>
      <w:r w:rsidRPr="00640A14">
        <w:t xml:space="preserve"> </w:t>
      </w:r>
      <w:r>
        <w:t xml:space="preserve">for specific conductance (SC).  </w:t>
      </w:r>
    </w:p>
    <w:p w:rsidR="00485094" w:rsidRDefault="00485094" w:rsidP="00692F31">
      <w:pPr>
        <w:pStyle w:val="ListBullet"/>
        <w:rPr>
          <w:b/>
        </w:rPr>
      </w:pPr>
      <w:r>
        <w:t>There were 12 stations with increasing trends in the unconfined aquifer wells and 6 stations with a decreasing trend</w:t>
      </w:r>
      <w:r w:rsidRPr="00F30D85">
        <w:t>.</w:t>
      </w:r>
    </w:p>
    <w:p w:rsidR="00485094" w:rsidRDefault="00485094" w:rsidP="00692F31">
      <w:pPr>
        <w:rPr>
          <w:rFonts w:ascii="Arial" w:hAnsi="Arial" w:cs="Arial"/>
          <w:sz w:val="22"/>
          <w:szCs w:val="22"/>
        </w:rPr>
      </w:pPr>
      <w:r>
        <w:rPr>
          <w:rFonts w:ascii="Arial" w:hAnsi="Arial" w:cs="Arial"/>
          <w:sz w:val="22"/>
          <w:szCs w:val="22"/>
        </w:rPr>
        <w:br w:type="page"/>
      </w:r>
    </w:p>
    <w:p w:rsidR="00485094" w:rsidRDefault="00485094" w:rsidP="00692F31">
      <w:pPr>
        <w:pStyle w:val="Caption"/>
      </w:pPr>
      <w:bookmarkStart w:id="502" w:name="_Toc262464317"/>
      <w:bookmarkStart w:id="503" w:name="_Toc271280169"/>
      <w:r w:rsidRPr="00F30D85">
        <w:t xml:space="preserve">Figure </w:t>
      </w:r>
      <w:r>
        <w:t>6.24.</w:t>
      </w:r>
      <w:r w:rsidRPr="00F30D85">
        <w:t xml:space="preserve">  </w:t>
      </w:r>
      <w:r>
        <w:t>Ground</w:t>
      </w:r>
      <w:r w:rsidRPr="00F30D85">
        <w:t xml:space="preserve"> </w:t>
      </w:r>
      <w:r>
        <w:t>W</w:t>
      </w:r>
      <w:r w:rsidRPr="00F30D85">
        <w:t xml:space="preserve">ater </w:t>
      </w:r>
      <w:r>
        <w:t>T</w:t>
      </w:r>
      <w:r w:rsidRPr="00F30D85">
        <w:t xml:space="preserve">rends for </w:t>
      </w:r>
      <w:r>
        <w:t>pH,</w:t>
      </w:r>
      <w:r w:rsidRPr="00F30D85">
        <w:t xml:space="preserve"> 1999</w:t>
      </w:r>
      <w:r>
        <w:t>–2008</w:t>
      </w:r>
      <w:bookmarkEnd w:id="502"/>
      <w:bookmarkEnd w:id="503"/>
    </w:p>
    <w:p w:rsidR="00485094" w:rsidRPr="00F847F0" w:rsidRDefault="00485094" w:rsidP="00692F31">
      <w:pPr>
        <w:ind w:left="720"/>
        <w:rPr>
          <w:rFonts w:ascii="Arial" w:hAnsi="Arial" w:cs="Arial"/>
          <w:sz w:val="18"/>
          <w:szCs w:val="18"/>
        </w:rPr>
      </w:pPr>
    </w:p>
    <w:p w:rsidR="00485094" w:rsidRDefault="001717CD" w:rsidP="00692F31">
      <w:pPr>
        <w:ind w:left="720"/>
        <w:jc w:val="center"/>
        <w:rPr>
          <w:rFonts w:ascii="Arial" w:hAnsi="Arial" w:cs="Arial"/>
          <w:sz w:val="22"/>
          <w:szCs w:val="22"/>
        </w:rPr>
      </w:pPr>
      <w:r>
        <w:rPr>
          <w:rFonts w:ascii="Arial" w:hAnsi="Arial" w:cs="Arial"/>
          <w:noProof/>
          <w:sz w:val="22"/>
          <w:szCs w:val="22"/>
        </w:rPr>
        <w:drawing>
          <wp:inline distT="0" distB="0" distL="0" distR="0">
            <wp:extent cx="5313680" cy="5943600"/>
            <wp:effectExtent l="19050" t="0" r="1270" b="0"/>
            <wp:docPr id="15" name="Picture 3" descr="Figure 6.24.  Ground Water Trends for pH, 1999–2008.  This is a map of the state of Florida showing the statewide ground water pH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6.24.  Ground Water Trends for pH, 1999–2008"/>
                    <pic:cNvPicPr>
                      <a:picLocks noChangeAspect="1" noChangeArrowheads="1"/>
                    </pic:cNvPicPr>
                  </pic:nvPicPr>
                  <pic:blipFill>
                    <a:blip r:embed="rId110"/>
                    <a:srcRect/>
                    <a:stretch>
                      <a:fillRect/>
                    </a:stretch>
                  </pic:blipFill>
                  <pic:spPr bwMode="auto">
                    <a:xfrm>
                      <a:off x="0" y="0"/>
                      <a:ext cx="5313680" cy="5943600"/>
                    </a:xfrm>
                    <a:prstGeom prst="rect">
                      <a:avLst/>
                    </a:prstGeom>
                    <a:noFill/>
                    <a:ln w="9525">
                      <a:noFill/>
                      <a:miter lim="800000"/>
                      <a:headEnd/>
                      <a:tailEnd/>
                    </a:ln>
                  </pic:spPr>
                </pic:pic>
              </a:graphicData>
            </a:graphic>
          </wp:inline>
        </w:drawing>
      </w:r>
    </w:p>
    <w:p w:rsidR="00485094" w:rsidRDefault="00485094" w:rsidP="00692F31">
      <w:pPr>
        <w:ind w:left="720"/>
        <w:rPr>
          <w:rFonts w:ascii="Arial" w:hAnsi="Arial" w:cs="Arial"/>
          <w:sz w:val="22"/>
          <w:szCs w:val="22"/>
        </w:rPr>
      </w:pPr>
    </w:p>
    <w:p w:rsidR="00485094" w:rsidRDefault="00485094" w:rsidP="00692F31">
      <w:pPr>
        <w:ind w:left="720"/>
        <w:rPr>
          <w:rFonts w:ascii="Arial" w:hAnsi="Arial" w:cs="Arial"/>
          <w:sz w:val="22"/>
          <w:szCs w:val="22"/>
        </w:rPr>
      </w:pPr>
    </w:p>
    <w:p w:rsidR="00485094" w:rsidRPr="00A001D8" w:rsidRDefault="00485094" w:rsidP="00692F31">
      <w:pPr>
        <w:pStyle w:val="Bodytext"/>
        <w:rPr>
          <w:b/>
          <w:szCs w:val="22"/>
        </w:rPr>
      </w:pPr>
      <w:r w:rsidRPr="00A001D8">
        <w:rPr>
          <w:b/>
          <w:szCs w:val="22"/>
        </w:rPr>
        <w:t>Highlights:</w:t>
      </w:r>
    </w:p>
    <w:p w:rsidR="00485094" w:rsidRDefault="00485094" w:rsidP="00692F31">
      <w:pPr>
        <w:pStyle w:val="Bodytextreduced"/>
      </w:pPr>
    </w:p>
    <w:p w:rsidR="00485094" w:rsidRPr="00A001D8" w:rsidRDefault="00485094" w:rsidP="00692F31">
      <w:pPr>
        <w:pStyle w:val="ListBullet"/>
        <w:rPr>
          <w:b/>
        </w:rPr>
      </w:pPr>
      <w:r>
        <w:t>The trend</w:t>
      </w:r>
      <w:r w:rsidRPr="00F30D85">
        <w:t xml:space="preserve"> </w:t>
      </w:r>
      <w:r>
        <w:t>analysis for the confined aquifer wells reported none of the stations with an increasing trend and 9 stations with a decreasing trend for pH.</w:t>
      </w:r>
    </w:p>
    <w:p w:rsidR="00485094" w:rsidRDefault="00485094" w:rsidP="00692F31">
      <w:pPr>
        <w:pStyle w:val="ListBullet"/>
        <w:rPr>
          <w:b/>
        </w:rPr>
      </w:pPr>
      <w:r>
        <w:t>There were 2 stations with increasing trends in the unconfined aquifer wells and 5 stations with a decreasing trend</w:t>
      </w:r>
      <w:r w:rsidRPr="00F30D85">
        <w:t>.</w:t>
      </w:r>
    </w:p>
    <w:p w:rsidR="00485094" w:rsidRDefault="00485094" w:rsidP="00692F31">
      <w:pPr>
        <w:pStyle w:val="Bodytextreduced"/>
      </w:pPr>
      <w:r>
        <w:br w:type="page"/>
      </w:r>
    </w:p>
    <w:p w:rsidR="00485094" w:rsidRDefault="00485094" w:rsidP="00692F31">
      <w:pPr>
        <w:pStyle w:val="Caption"/>
      </w:pPr>
      <w:bookmarkStart w:id="504" w:name="_Toc262464318"/>
      <w:bookmarkStart w:id="505" w:name="_Toc271280170"/>
      <w:r w:rsidRPr="00F30D85">
        <w:t xml:space="preserve">Figure </w:t>
      </w:r>
      <w:r>
        <w:t>6.25.</w:t>
      </w:r>
      <w:r w:rsidRPr="00F30D85">
        <w:t xml:space="preserve">  </w:t>
      </w:r>
      <w:r>
        <w:t>Ground</w:t>
      </w:r>
      <w:r w:rsidRPr="00F30D85">
        <w:t xml:space="preserve"> </w:t>
      </w:r>
      <w:r>
        <w:t>W</w:t>
      </w:r>
      <w:r w:rsidRPr="00F30D85">
        <w:t xml:space="preserve">ater </w:t>
      </w:r>
      <w:r>
        <w:t>T</w:t>
      </w:r>
      <w:r w:rsidRPr="00F30D85">
        <w:t xml:space="preserve">rends for </w:t>
      </w:r>
      <w:r>
        <w:t>Depth to Water,</w:t>
      </w:r>
      <w:r w:rsidRPr="00F30D85">
        <w:t xml:space="preserve"> 1999</w:t>
      </w:r>
      <w:r>
        <w:t>–2008</w:t>
      </w:r>
      <w:bookmarkEnd w:id="504"/>
      <w:bookmarkEnd w:id="505"/>
    </w:p>
    <w:p w:rsidR="00485094" w:rsidRPr="00F847F0" w:rsidRDefault="00485094" w:rsidP="00692F31">
      <w:pPr>
        <w:ind w:left="720"/>
        <w:rPr>
          <w:rFonts w:ascii="Arial" w:hAnsi="Arial" w:cs="Arial"/>
          <w:sz w:val="18"/>
          <w:szCs w:val="18"/>
        </w:rPr>
      </w:pPr>
    </w:p>
    <w:p w:rsidR="00485094" w:rsidRDefault="001717CD" w:rsidP="00692F31">
      <w:pPr>
        <w:ind w:left="720"/>
        <w:rPr>
          <w:rFonts w:ascii="Arial" w:hAnsi="Arial" w:cs="Arial"/>
          <w:sz w:val="22"/>
          <w:szCs w:val="22"/>
        </w:rPr>
      </w:pPr>
      <w:r>
        <w:rPr>
          <w:rFonts w:ascii="Arial" w:hAnsi="Arial" w:cs="Arial"/>
          <w:noProof/>
          <w:sz w:val="22"/>
          <w:szCs w:val="22"/>
        </w:rPr>
        <w:drawing>
          <wp:inline distT="0" distB="0" distL="0" distR="0">
            <wp:extent cx="5322570" cy="5943600"/>
            <wp:effectExtent l="19050" t="0" r="0" b="0"/>
            <wp:docPr id="16" name="Picture 4" descr="Figure 6.25.  Ground Water Trends for Depth to Water, 1999–2008.  This is a map of the state of Florida showing the statewide ground water depth to water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6.25.  Ground Water Trends for Depth to Water, 1999–2008 "/>
                    <pic:cNvPicPr>
                      <a:picLocks noChangeAspect="1" noChangeArrowheads="1"/>
                    </pic:cNvPicPr>
                  </pic:nvPicPr>
                  <pic:blipFill>
                    <a:blip r:embed="rId111"/>
                    <a:srcRect/>
                    <a:stretch>
                      <a:fillRect/>
                    </a:stretch>
                  </pic:blipFill>
                  <pic:spPr bwMode="auto">
                    <a:xfrm>
                      <a:off x="0" y="0"/>
                      <a:ext cx="5322570" cy="5943600"/>
                    </a:xfrm>
                    <a:prstGeom prst="rect">
                      <a:avLst/>
                    </a:prstGeom>
                    <a:noFill/>
                    <a:ln w="9525">
                      <a:noFill/>
                      <a:miter lim="800000"/>
                      <a:headEnd/>
                      <a:tailEnd/>
                    </a:ln>
                  </pic:spPr>
                </pic:pic>
              </a:graphicData>
            </a:graphic>
          </wp:inline>
        </w:drawing>
      </w:r>
    </w:p>
    <w:p w:rsidR="00485094" w:rsidRDefault="00485094" w:rsidP="00692F31">
      <w:pPr>
        <w:pStyle w:val="Bodytext"/>
        <w:rPr>
          <w:b/>
          <w:szCs w:val="22"/>
        </w:rPr>
      </w:pPr>
    </w:p>
    <w:p w:rsidR="00485094" w:rsidRPr="00A001D8" w:rsidRDefault="00485094" w:rsidP="00692F31">
      <w:pPr>
        <w:pStyle w:val="Bodytext"/>
        <w:rPr>
          <w:b/>
          <w:szCs w:val="22"/>
        </w:rPr>
      </w:pPr>
      <w:r w:rsidRPr="00A001D8">
        <w:rPr>
          <w:b/>
          <w:szCs w:val="22"/>
        </w:rPr>
        <w:t>Highlights:</w:t>
      </w:r>
    </w:p>
    <w:p w:rsidR="00485094" w:rsidRDefault="00485094" w:rsidP="00692F31">
      <w:pPr>
        <w:pStyle w:val="Bodytextreduced"/>
      </w:pPr>
    </w:p>
    <w:p w:rsidR="00485094" w:rsidRDefault="00485094" w:rsidP="00692F31">
      <w:pPr>
        <w:pStyle w:val="ListBullet"/>
        <w:rPr>
          <w:b/>
          <w:bCs/>
        </w:rPr>
      </w:pPr>
      <w:r>
        <w:t>The trend analysis for the confined aquifer wells reported 2 stations with an increasing trend and 2 stations with a decreasing trend for depth to water (water level [WL]).  Two stations did not have enough data to determine if a trend exists (ISD).  An increasing trend indicates the water level in the well is decreasing; a decreasing trend indicates the water level in the well is increasing.</w:t>
      </w:r>
    </w:p>
    <w:p w:rsidR="00485094" w:rsidRDefault="00485094" w:rsidP="00692F31">
      <w:pPr>
        <w:pStyle w:val="ListBullet"/>
      </w:pPr>
      <w:r>
        <w:t>There were 2 stations with an increasing trend in the unconfined aquifer wells and 4 stations with a decreasing trend.  One station did not have enough data to determine if a trend exists.</w:t>
      </w:r>
      <w:r w:rsidRPr="00D9080F">
        <w:rPr>
          <w:rFonts w:cs="Arial"/>
          <w:szCs w:val="22"/>
        </w:rPr>
        <w:br w:type="page"/>
      </w:r>
    </w:p>
    <w:p w:rsidR="00485094" w:rsidRDefault="00485094" w:rsidP="00692F31">
      <w:pPr>
        <w:pStyle w:val="Caption"/>
      </w:pPr>
      <w:bookmarkStart w:id="506" w:name="_Toc262464319"/>
      <w:bookmarkStart w:id="507" w:name="_Toc271280171"/>
      <w:r w:rsidRPr="00F30D85">
        <w:t xml:space="preserve">Figure </w:t>
      </w:r>
      <w:r>
        <w:t>6.26.</w:t>
      </w:r>
      <w:r w:rsidRPr="00F30D85">
        <w:t xml:space="preserve">  </w:t>
      </w:r>
      <w:r>
        <w:t>Ground</w:t>
      </w:r>
      <w:r w:rsidRPr="00F30D85">
        <w:t xml:space="preserve"> </w:t>
      </w:r>
      <w:r>
        <w:t>W</w:t>
      </w:r>
      <w:r w:rsidRPr="00F30D85">
        <w:t xml:space="preserve">ater </w:t>
      </w:r>
      <w:r>
        <w:t>T</w:t>
      </w:r>
      <w:r w:rsidRPr="00F30D85">
        <w:t xml:space="preserve">rends for </w:t>
      </w:r>
      <w:r>
        <w:t>Total Dissolved Solids,</w:t>
      </w:r>
      <w:r w:rsidRPr="00F30D85">
        <w:t xml:space="preserve"> 1999</w:t>
      </w:r>
      <w:r>
        <w:t>–2008</w:t>
      </w:r>
      <w:bookmarkEnd w:id="506"/>
      <w:bookmarkEnd w:id="507"/>
    </w:p>
    <w:p w:rsidR="00485094" w:rsidRPr="00F847F0" w:rsidRDefault="00485094" w:rsidP="00692F31">
      <w:pPr>
        <w:ind w:left="720"/>
        <w:rPr>
          <w:rFonts w:ascii="Arial" w:hAnsi="Arial" w:cs="Arial"/>
          <w:sz w:val="18"/>
          <w:szCs w:val="18"/>
        </w:rPr>
      </w:pPr>
    </w:p>
    <w:p w:rsidR="00485094" w:rsidRDefault="001717CD" w:rsidP="00692F31">
      <w:pPr>
        <w:ind w:left="720"/>
        <w:jc w:val="center"/>
        <w:rPr>
          <w:rFonts w:ascii="Arial" w:hAnsi="Arial" w:cs="Arial"/>
          <w:sz w:val="22"/>
          <w:szCs w:val="22"/>
        </w:rPr>
      </w:pPr>
      <w:r>
        <w:rPr>
          <w:rFonts w:ascii="Arial" w:hAnsi="Arial" w:cs="Arial"/>
          <w:noProof/>
          <w:sz w:val="22"/>
          <w:szCs w:val="22"/>
        </w:rPr>
        <w:drawing>
          <wp:inline distT="0" distB="0" distL="0" distR="0">
            <wp:extent cx="5313680" cy="5943600"/>
            <wp:effectExtent l="19050" t="0" r="1270" b="0"/>
            <wp:docPr id="17" name="Picture 1" descr="Figure 6.26.  Ground Water Trends for Total Dissolved Solids, 1999–2008.  This is a map of the state of Florida showing the statewide ground water total dissolved solids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6.26.  Ground Water Trends for Total Dissolved Solids, 1999–2008"/>
                    <pic:cNvPicPr>
                      <a:picLocks noChangeAspect="1" noChangeArrowheads="1"/>
                    </pic:cNvPicPr>
                  </pic:nvPicPr>
                  <pic:blipFill>
                    <a:blip r:embed="rId112"/>
                    <a:srcRect/>
                    <a:stretch>
                      <a:fillRect/>
                    </a:stretch>
                  </pic:blipFill>
                  <pic:spPr bwMode="auto">
                    <a:xfrm>
                      <a:off x="0" y="0"/>
                      <a:ext cx="5313680" cy="5943600"/>
                    </a:xfrm>
                    <a:prstGeom prst="rect">
                      <a:avLst/>
                    </a:prstGeom>
                    <a:noFill/>
                    <a:ln w="9525">
                      <a:noFill/>
                      <a:miter lim="800000"/>
                      <a:headEnd/>
                      <a:tailEnd/>
                    </a:ln>
                  </pic:spPr>
                </pic:pic>
              </a:graphicData>
            </a:graphic>
          </wp:inline>
        </w:drawing>
      </w:r>
    </w:p>
    <w:p w:rsidR="00485094" w:rsidRDefault="00485094" w:rsidP="00692F31">
      <w:pPr>
        <w:ind w:left="720"/>
        <w:rPr>
          <w:rFonts w:ascii="Arial" w:hAnsi="Arial" w:cs="Arial"/>
          <w:sz w:val="22"/>
          <w:szCs w:val="22"/>
        </w:rPr>
      </w:pPr>
    </w:p>
    <w:p w:rsidR="00485094" w:rsidRDefault="00485094" w:rsidP="00692F31">
      <w:pPr>
        <w:ind w:left="720"/>
        <w:rPr>
          <w:rFonts w:ascii="Arial" w:hAnsi="Arial" w:cs="Arial"/>
          <w:sz w:val="22"/>
          <w:szCs w:val="22"/>
        </w:rPr>
      </w:pPr>
    </w:p>
    <w:p w:rsidR="00485094" w:rsidRPr="00A001D8" w:rsidRDefault="00485094" w:rsidP="00692F31">
      <w:pPr>
        <w:pStyle w:val="Bodytext"/>
        <w:rPr>
          <w:b/>
          <w:szCs w:val="22"/>
        </w:rPr>
      </w:pPr>
      <w:r w:rsidRPr="00A001D8">
        <w:rPr>
          <w:b/>
          <w:szCs w:val="22"/>
        </w:rPr>
        <w:t>Highlights:</w:t>
      </w:r>
    </w:p>
    <w:p w:rsidR="00485094" w:rsidRDefault="00485094" w:rsidP="00692F31">
      <w:pPr>
        <w:pStyle w:val="Bodytextreduced"/>
      </w:pPr>
    </w:p>
    <w:p w:rsidR="00485094" w:rsidRPr="005D5FAC" w:rsidRDefault="00485094" w:rsidP="00692F31">
      <w:pPr>
        <w:pStyle w:val="ListBullet"/>
        <w:rPr>
          <w:b/>
        </w:rPr>
      </w:pPr>
      <w:r>
        <w:t>The trend</w:t>
      </w:r>
      <w:r w:rsidRPr="00F30D85">
        <w:t xml:space="preserve"> </w:t>
      </w:r>
      <w:r>
        <w:t xml:space="preserve">analysis for the confined aquifer wells reported none of the stations with an increasing trend and 2 stations with a decreasing trend for total dissolved solids (TDS).  </w:t>
      </w:r>
    </w:p>
    <w:p w:rsidR="00485094" w:rsidRPr="005D5FAC" w:rsidRDefault="00485094" w:rsidP="00692F31">
      <w:pPr>
        <w:pStyle w:val="ListBullet"/>
        <w:ind w:left="720"/>
        <w:rPr>
          <w:rFonts w:cs="Arial"/>
          <w:szCs w:val="22"/>
        </w:rPr>
      </w:pPr>
      <w:r>
        <w:t>There were 3 stations with an increasing trend in the unconfined aquifer wells and 2 stations with a decreasing trend</w:t>
      </w:r>
      <w:r w:rsidRPr="00F30D85">
        <w:t>.</w:t>
      </w:r>
    </w:p>
    <w:p w:rsidR="00485094" w:rsidRDefault="00485094" w:rsidP="00692F31">
      <w:pPr>
        <w:pStyle w:val="Bodytextreduced"/>
      </w:pPr>
      <w:r>
        <w:br w:type="page"/>
      </w:r>
    </w:p>
    <w:p w:rsidR="00485094" w:rsidRDefault="00485094" w:rsidP="00692F31">
      <w:pPr>
        <w:pStyle w:val="Caption"/>
      </w:pPr>
      <w:bookmarkStart w:id="508" w:name="_Toc262464320"/>
      <w:bookmarkStart w:id="509" w:name="_Toc271280172"/>
      <w:r w:rsidRPr="00F30D85">
        <w:t xml:space="preserve">Figure </w:t>
      </w:r>
      <w:r>
        <w:t>6.27.</w:t>
      </w:r>
      <w:r w:rsidRPr="00F30D85">
        <w:t xml:space="preserve">  </w:t>
      </w:r>
      <w:r>
        <w:t>Ground</w:t>
      </w:r>
      <w:r w:rsidRPr="00F30D85">
        <w:t xml:space="preserve"> </w:t>
      </w:r>
      <w:r>
        <w:t>W</w:t>
      </w:r>
      <w:r w:rsidRPr="00F30D85">
        <w:t xml:space="preserve">ater </w:t>
      </w:r>
      <w:r>
        <w:t>T</w:t>
      </w:r>
      <w:r w:rsidRPr="00F30D85">
        <w:t xml:space="preserve">rends for </w:t>
      </w:r>
      <w:r>
        <w:t>Nitrate + Nitrite,</w:t>
      </w:r>
      <w:r w:rsidRPr="00F30D85">
        <w:t xml:space="preserve"> 1999</w:t>
      </w:r>
      <w:r>
        <w:t>–2008</w:t>
      </w:r>
      <w:bookmarkEnd w:id="508"/>
      <w:bookmarkEnd w:id="509"/>
    </w:p>
    <w:p w:rsidR="00485094" w:rsidRPr="00F847F0" w:rsidRDefault="00485094" w:rsidP="00692F31">
      <w:pPr>
        <w:ind w:left="720"/>
        <w:rPr>
          <w:rFonts w:ascii="Arial" w:hAnsi="Arial" w:cs="Arial"/>
          <w:sz w:val="18"/>
          <w:szCs w:val="18"/>
        </w:rPr>
      </w:pPr>
    </w:p>
    <w:p w:rsidR="00485094" w:rsidRDefault="001717CD" w:rsidP="00692F31">
      <w:pPr>
        <w:ind w:left="720"/>
        <w:jc w:val="center"/>
        <w:rPr>
          <w:rFonts w:ascii="Arial" w:hAnsi="Arial" w:cs="Arial"/>
          <w:sz w:val="22"/>
          <w:szCs w:val="22"/>
        </w:rPr>
      </w:pPr>
      <w:r>
        <w:rPr>
          <w:rFonts w:ascii="Arial" w:hAnsi="Arial" w:cs="Arial"/>
          <w:noProof/>
          <w:sz w:val="22"/>
          <w:szCs w:val="22"/>
        </w:rPr>
        <w:drawing>
          <wp:inline distT="0" distB="0" distL="0" distR="0">
            <wp:extent cx="5313680" cy="5943600"/>
            <wp:effectExtent l="19050" t="0" r="1270" b="0"/>
            <wp:docPr id="18" name="Picture 5" descr="Figure 6.27.  Ground Water Trends for Nitrate + Nitrite, 1999–2008.  This is a map of the state of Florida showing the statewide ground water nitrate plus nitrite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6.27.  Ground Water Trends for Nitrate + Nitrite, 1999–2008"/>
                    <pic:cNvPicPr>
                      <a:picLocks noChangeAspect="1" noChangeArrowheads="1"/>
                    </pic:cNvPicPr>
                  </pic:nvPicPr>
                  <pic:blipFill>
                    <a:blip r:embed="rId113"/>
                    <a:srcRect/>
                    <a:stretch>
                      <a:fillRect/>
                    </a:stretch>
                  </pic:blipFill>
                  <pic:spPr bwMode="auto">
                    <a:xfrm>
                      <a:off x="0" y="0"/>
                      <a:ext cx="5313680" cy="5943600"/>
                    </a:xfrm>
                    <a:prstGeom prst="rect">
                      <a:avLst/>
                    </a:prstGeom>
                    <a:noFill/>
                    <a:ln w="9525">
                      <a:noFill/>
                      <a:miter lim="800000"/>
                      <a:headEnd/>
                      <a:tailEnd/>
                    </a:ln>
                  </pic:spPr>
                </pic:pic>
              </a:graphicData>
            </a:graphic>
          </wp:inline>
        </w:drawing>
      </w:r>
    </w:p>
    <w:p w:rsidR="00485094" w:rsidRDefault="00485094" w:rsidP="00692F31">
      <w:pPr>
        <w:ind w:left="720"/>
        <w:rPr>
          <w:rFonts w:ascii="Arial" w:hAnsi="Arial" w:cs="Arial"/>
          <w:sz w:val="22"/>
          <w:szCs w:val="22"/>
        </w:rPr>
      </w:pPr>
    </w:p>
    <w:p w:rsidR="00485094" w:rsidRDefault="00485094" w:rsidP="00692F31">
      <w:pPr>
        <w:ind w:left="720"/>
        <w:rPr>
          <w:rFonts w:ascii="Arial" w:hAnsi="Arial" w:cs="Arial"/>
          <w:sz w:val="22"/>
          <w:szCs w:val="22"/>
        </w:rPr>
      </w:pPr>
    </w:p>
    <w:p w:rsidR="00485094" w:rsidRPr="00A001D8" w:rsidRDefault="00485094" w:rsidP="00692F31">
      <w:pPr>
        <w:pStyle w:val="Bodytext"/>
        <w:rPr>
          <w:b/>
          <w:szCs w:val="22"/>
        </w:rPr>
      </w:pPr>
      <w:r w:rsidRPr="00A001D8">
        <w:rPr>
          <w:b/>
          <w:szCs w:val="22"/>
        </w:rPr>
        <w:t>Highlights:</w:t>
      </w:r>
    </w:p>
    <w:p w:rsidR="00485094" w:rsidRDefault="00485094" w:rsidP="00692F31">
      <w:pPr>
        <w:pStyle w:val="Bodytextreduced"/>
      </w:pPr>
    </w:p>
    <w:p w:rsidR="00485094" w:rsidRDefault="00485094" w:rsidP="00692F31">
      <w:pPr>
        <w:pStyle w:val="ListBullet"/>
      </w:pPr>
      <w:r>
        <w:t>The trend</w:t>
      </w:r>
      <w:r w:rsidRPr="00F30D85">
        <w:t xml:space="preserve"> </w:t>
      </w:r>
      <w:r>
        <w:t>analysis for the confined aquifer wells reported none of the stations with an increasing or decreasing trend for nitrate + nitrite (N</w:t>
      </w:r>
      <w:r w:rsidR="003A5E2D">
        <w:t>O</w:t>
      </w:r>
      <w:r w:rsidR="003A5E2D" w:rsidRPr="003A5E2D">
        <w:rPr>
          <w:vertAlign w:val="subscript"/>
        </w:rPr>
        <w:t>X</w:t>
      </w:r>
      <w:r>
        <w:t>).</w:t>
      </w:r>
    </w:p>
    <w:p w:rsidR="00485094" w:rsidRDefault="00485094" w:rsidP="00692F31">
      <w:pPr>
        <w:pStyle w:val="ListBullet"/>
        <w:rPr>
          <w:b/>
        </w:rPr>
      </w:pPr>
      <w:r>
        <w:t>There were 4 stations with an increasing trend in the unconfined aquifer wells and 2 stations with a decreasing trend</w:t>
      </w:r>
      <w:r w:rsidRPr="00F30D85">
        <w:t>.</w:t>
      </w:r>
    </w:p>
    <w:p w:rsidR="00485094" w:rsidRDefault="00485094" w:rsidP="00692F31">
      <w:pPr>
        <w:ind w:left="720"/>
        <w:rPr>
          <w:rFonts w:ascii="Arial" w:hAnsi="Arial" w:cs="Arial"/>
          <w:sz w:val="22"/>
          <w:szCs w:val="22"/>
        </w:rPr>
      </w:pPr>
    </w:p>
    <w:p w:rsidR="00485094" w:rsidRDefault="00485094" w:rsidP="00692F31">
      <w:pPr>
        <w:pStyle w:val="Bodytextreduced"/>
      </w:pPr>
      <w:r>
        <w:br w:type="page"/>
      </w:r>
    </w:p>
    <w:p w:rsidR="00485094" w:rsidRDefault="00485094" w:rsidP="00692F31">
      <w:pPr>
        <w:pStyle w:val="Caption"/>
      </w:pPr>
      <w:bookmarkStart w:id="510" w:name="_Toc262464321"/>
      <w:bookmarkStart w:id="511" w:name="_Toc271280173"/>
      <w:r w:rsidRPr="00F30D85">
        <w:t xml:space="preserve">Figure </w:t>
      </w:r>
      <w:r>
        <w:t>6.28.</w:t>
      </w:r>
      <w:r w:rsidRPr="00F30D85">
        <w:t xml:space="preserve">  </w:t>
      </w:r>
      <w:r>
        <w:t>Ground</w:t>
      </w:r>
      <w:r w:rsidRPr="00F30D85">
        <w:t xml:space="preserve"> </w:t>
      </w:r>
      <w:r>
        <w:t>W</w:t>
      </w:r>
      <w:r w:rsidRPr="00F30D85">
        <w:t xml:space="preserve">ater </w:t>
      </w:r>
      <w:r>
        <w:t>T</w:t>
      </w:r>
      <w:r w:rsidRPr="00F30D85">
        <w:t xml:space="preserve">rends for </w:t>
      </w:r>
      <w:r>
        <w:t>Phosphorus,</w:t>
      </w:r>
      <w:r w:rsidRPr="00F30D85">
        <w:t xml:space="preserve"> 1999</w:t>
      </w:r>
      <w:r>
        <w:t>–2008</w:t>
      </w:r>
      <w:bookmarkEnd w:id="510"/>
      <w:bookmarkEnd w:id="511"/>
    </w:p>
    <w:p w:rsidR="00485094" w:rsidRPr="00F847F0" w:rsidRDefault="00485094" w:rsidP="00692F31">
      <w:pPr>
        <w:ind w:left="720"/>
        <w:rPr>
          <w:rFonts w:ascii="Arial" w:hAnsi="Arial" w:cs="Arial"/>
          <w:sz w:val="18"/>
          <w:szCs w:val="18"/>
        </w:rPr>
      </w:pPr>
    </w:p>
    <w:p w:rsidR="00485094" w:rsidRDefault="001717CD" w:rsidP="00692F31">
      <w:pPr>
        <w:ind w:left="720"/>
        <w:jc w:val="center"/>
        <w:rPr>
          <w:rFonts w:ascii="Arial" w:hAnsi="Arial" w:cs="Arial"/>
          <w:sz w:val="22"/>
          <w:szCs w:val="22"/>
        </w:rPr>
      </w:pPr>
      <w:r>
        <w:rPr>
          <w:rFonts w:ascii="Arial" w:hAnsi="Arial" w:cs="Arial"/>
          <w:noProof/>
          <w:sz w:val="22"/>
          <w:szCs w:val="22"/>
        </w:rPr>
        <w:drawing>
          <wp:inline distT="0" distB="0" distL="0" distR="0">
            <wp:extent cx="5322570" cy="5934710"/>
            <wp:effectExtent l="19050" t="0" r="0" b="0"/>
            <wp:docPr id="19" name="Picture 3" descr="Figure 6.28.  Ground Water Trends for Phosphorus, 1999–2008.  This is a map of the state of Florida showing the statewide ground water phosphorus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6.28.  Ground Water Trends for Phosphorus, 1999–2008"/>
                    <pic:cNvPicPr>
                      <a:picLocks noChangeAspect="1" noChangeArrowheads="1"/>
                    </pic:cNvPicPr>
                  </pic:nvPicPr>
                  <pic:blipFill>
                    <a:blip r:embed="rId114"/>
                    <a:srcRect/>
                    <a:stretch>
                      <a:fillRect/>
                    </a:stretch>
                  </pic:blipFill>
                  <pic:spPr bwMode="auto">
                    <a:xfrm>
                      <a:off x="0" y="0"/>
                      <a:ext cx="5322570" cy="5934710"/>
                    </a:xfrm>
                    <a:prstGeom prst="rect">
                      <a:avLst/>
                    </a:prstGeom>
                    <a:noFill/>
                    <a:ln w="9525">
                      <a:noFill/>
                      <a:miter lim="800000"/>
                      <a:headEnd/>
                      <a:tailEnd/>
                    </a:ln>
                  </pic:spPr>
                </pic:pic>
              </a:graphicData>
            </a:graphic>
          </wp:inline>
        </w:drawing>
      </w:r>
    </w:p>
    <w:p w:rsidR="00485094" w:rsidRDefault="00485094" w:rsidP="00692F31">
      <w:pPr>
        <w:ind w:left="720"/>
        <w:rPr>
          <w:rFonts w:ascii="Arial" w:hAnsi="Arial" w:cs="Arial"/>
          <w:sz w:val="22"/>
          <w:szCs w:val="22"/>
        </w:rPr>
      </w:pPr>
    </w:p>
    <w:p w:rsidR="00485094" w:rsidRDefault="00485094" w:rsidP="00692F31">
      <w:pPr>
        <w:ind w:left="720"/>
        <w:rPr>
          <w:rFonts w:ascii="Arial" w:hAnsi="Arial" w:cs="Arial"/>
          <w:sz w:val="22"/>
          <w:szCs w:val="22"/>
        </w:rPr>
      </w:pPr>
    </w:p>
    <w:p w:rsidR="00485094" w:rsidRPr="00A001D8" w:rsidRDefault="00485094" w:rsidP="00692F31">
      <w:pPr>
        <w:pStyle w:val="Bodytext"/>
        <w:rPr>
          <w:b/>
          <w:szCs w:val="22"/>
        </w:rPr>
      </w:pPr>
      <w:r w:rsidRPr="00A001D8">
        <w:rPr>
          <w:b/>
          <w:szCs w:val="22"/>
        </w:rPr>
        <w:t>Highlights:</w:t>
      </w:r>
    </w:p>
    <w:p w:rsidR="00485094" w:rsidRDefault="00485094" w:rsidP="00692F31">
      <w:pPr>
        <w:pStyle w:val="Bodytextreduced"/>
      </w:pPr>
    </w:p>
    <w:p w:rsidR="00485094" w:rsidRPr="005D5FAC" w:rsidRDefault="00485094" w:rsidP="00692F31">
      <w:pPr>
        <w:pStyle w:val="ListBullet"/>
        <w:rPr>
          <w:b/>
        </w:rPr>
      </w:pPr>
      <w:r>
        <w:t>The trend</w:t>
      </w:r>
      <w:r w:rsidRPr="00F30D85">
        <w:t xml:space="preserve"> </w:t>
      </w:r>
      <w:r>
        <w:t xml:space="preserve">analysis for the confined aquifer wells reported 1 station with an increasing trend and 1 station with a decreasing trend for phosphorus (P).  </w:t>
      </w:r>
    </w:p>
    <w:p w:rsidR="00485094" w:rsidRDefault="00485094" w:rsidP="00692F31">
      <w:pPr>
        <w:pStyle w:val="ListBullet"/>
        <w:rPr>
          <w:b/>
        </w:rPr>
      </w:pPr>
      <w:r>
        <w:t>There were 2 stations with an increasing trend in the unconfined aquifer wells and 4 stations with a decreasing trend</w:t>
      </w:r>
      <w:r w:rsidRPr="00F30D85">
        <w:t>.</w:t>
      </w:r>
    </w:p>
    <w:p w:rsidR="00485094" w:rsidRDefault="00485094" w:rsidP="00692F31">
      <w:pPr>
        <w:ind w:left="720"/>
        <w:rPr>
          <w:rFonts w:ascii="Arial" w:hAnsi="Arial" w:cs="Arial"/>
          <w:sz w:val="22"/>
          <w:szCs w:val="22"/>
        </w:rPr>
      </w:pPr>
    </w:p>
    <w:p w:rsidR="00485094" w:rsidRDefault="00485094" w:rsidP="00692F31">
      <w:pPr>
        <w:pStyle w:val="Bodytextreduced"/>
      </w:pPr>
      <w:r>
        <w:br w:type="page"/>
      </w:r>
    </w:p>
    <w:p w:rsidR="00485094" w:rsidRDefault="00485094" w:rsidP="00692F31">
      <w:pPr>
        <w:pStyle w:val="Caption"/>
      </w:pPr>
      <w:bookmarkStart w:id="512" w:name="_Toc262464322"/>
      <w:bookmarkStart w:id="513" w:name="_Toc271280174"/>
      <w:r w:rsidRPr="00F30D85">
        <w:t xml:space="preserve">Figure </w:t>
      </w:r>
      <w:r>
        <w:t>6.29.</w:t>
      </w:r>
      <w:r w:rsidRPr="00F30D85">
        <w:t xml:space="preserve">  </w:t>
      </w:r>
      <w:r>
        <w:t>Ground</w:t>
      </w:r>
      <w:r w:rsidRPr="00F30D85">
        <w:t xml:space="preserve"> </w:t>
      </w:r>
      <w:r>
        <w:t>W</w:t>
      </w:r>
      <w:r w:rsidRPr="00F30D85">
        <w:t xml:space="preserve">ater </w:t>
      </w:r>
      <w:r>
        <w:t>T</w:t>
      </w:r>
      <w:r w:rsidRPr="00F30D85">
        <w:t xml:space="preserve">rends for </w:t>
      </w:r>
      <w:r>
        <w:t>Potassium,</w:t>
      </w:r>
      <w:r w:rsidRPr="00F30D85">
        <w:t xml:space="preserve"> 1999</w:t>
      </w:r>
      <w:r>
        <w:t>–2008</w:t>
      </w:r>
      <w:bookmarkEnd w:id="512"/>
      <w:bookmarkEnd w:id="513"/>
    </w:p>
    <w:p w:rsidR="00485094" w:rsidRPr="00F847F0" w:rsidRDefault="00485094" w:rsidP="00692F31">
      <w:pPr>
        <w:ind w:left="720"/>
        <w:rPr>
          <w:rFonts w:ascii="Arial" w:hAnsi="Arial" w:cs="Arial"/>
          <w:sz w:val="18"/>
          <w:szCs w:val="18"/>
        </w:rPr>
      </w:pPr>
    </w:p>
    <w:p w:rsidR="00485094" w:rsidRDefault="001717CD" w:rsidP="00692F31">
      <w:pPr>
        <w:ind w:left="720"/>
        <w:jc w:val="center"/>
        <w:rPr>
          <w:rFonts w:ascii="Arial" w:hAnsi="Arial" w:cs="Arial"/>
          <w:sz w:val="22"/>
          <w:szCs w:val="22"/>
        </w:rPr>
      </w:pPr>
      <w:r>
        <w:rPr>
          <w:rFonts w:ascii="Arial" w:hAnsi="Arial" w:cs="Arial"/>
          <w:noProof/>
          <w:sz w:val="22"/>
          <w:szCs w:val="22"/>
        </w:rPr>
        <w:drawing>
          <wp:inline distT="0" distB="0" distL="0" distR="0">
            <wp:extent cx="5322570" cy="5943600"/>
            <wp:effectExtent l="19050" t="0" r="0" b="0"/>
            <wp:docPr id="20" name="Picture 4" descr="Figure 6.29.  Ground Water Trends for Potassium, 1999–2008.  This is a map of the state of Florida showing the statewide ground water potassium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6.29.  Ground Water Trends for Potassium, 1999–2008"/>
                    <pic:cNvPicPr>
                      <a:picLocks noChangeAspect="1" noChangeArrowheads="1"/>
                    </pic:cNvPicPr>
                  </pic:nvPicPr>
                  <pic:blipFill>
                    <a:blip r:embed="rId115"/>
                    <a:srcRect/>
                    <a:stretch>
                      <a:fillRect/>
                    </a:stretch>
                  </pic:blipFill>
                  <pic:spPr bwMode="auto">
                    <a:xfrm>
                      <a:off x="0" y="0"/>
                      <a:ext cx="5322570" cy="5943600"/>
                    </a:xfrm>
                    <a:prstGeom prst="rect">
                      <a:avLst/>
                    </a:prstGeom>
                    <a:noFill/>
                    <a:ln w="9525">
                      <a:noFill/>
                      <a:miter lim="800000"/>
                      <a:headEnd/>
                      <a:tailEnd/>
                    </a:ln>
                  </pic:spPr>
                </pic:pic>
              </a:graphicData>
            </a:graphic>
          </wp:inline>
        </w:drawing>
      </w:r>
    </w:p>
    <w:p w:rsidR="00485094" w:rsidRDefault="00485094" w:rsidP="00692F31">
      <w:pPr>
        <w:ind w:left="720"/>
        <w:rPr>
          <w:rFonts w:ascii="Arial" w:hAnsi="Arial" w:cs="Arial"/>
          <w:sz w:val="22"/>
          <w:szCs w:val="22"/>
        </w:rPr>
      </w:pPr>
    </w:p>
    <w:p w:rsidR="00485094" w:rsidRDefault="00485094" w:rsidP="00692F31">
      <w:pPr>
        <w:ind w:left="720"/>
        <w:rPr>
          <w:rFonts w:ascii="Arial" w:hAnsi="Arial" w:cs="Arial"/>
          <w:sz w:val="22"/>
          <w:szCs w:val="22"/>
        </w:rPr>
      </w:pPr>
    </w:p>
    <w:p w:rsidR="00485094" w:rsidRPr="00A001D8" w:rsidRDefault="00485094" w:rsidP="00692F31">
      <w:pPr>
        <w:pStyle w:val="Bodytext"/>
        <w:rPr>
          <w:b/>
          <w:szCs w:val="22"/>
        </w:rPr>
      </w:pPr>
      <w:r w:rsidRPr="00A001D8">
        <w:rPr>
          <w:b/>
          <w:szCs w:val="22"/>
        </w:rPr>
        <w:t>Highlights:</w:t>
      </w:r>
    </w:p>
    <w:p w:rsidR="00485094" w:rsidRDefault="00485094" w:rsidP="00692F31">
      <w:pPr>
        <w:pStyle w:val="Bodytextreduced"/>
      </w:pPr>
    </w:p>
    <w:p w:rsidR="00485094" w:rsidRDefault="00485094" w:rsidP="00692F31">
      <w:pPr>
        <w:pStyle w:val="ListBullet"/>
      </w:pPr>
      <w:r>
        <w:t>The trend</w:t>
      </w:r>
      <w:r w:rsidRPr="00F30D85">
        <w:t xml:space="preserve"> </w:t>
      </w:r>
      <w:r>
        <w:t xml:space="preserve">analysis for the confined aquifer wells reported 8 stations with increasing trends and 1 station with a decreasing trend for potassium (K).  </w:t>
      </w:r>
    </w:p>
    <w:p w:rsidR="00485094" w:rsidRDefault="00485094" w:rsidP="00692F31">
      <w:pPr>
        <w:pStyle w:val="ListBullet"/>
        <w:rPr>
          <w:b/>
        </w:rPr>
      </w:pPr>
      <w:r>
        <w:t>There were 4 stations with an increasing trend in the unconfined aquifer wells, and no stations had a decreasing trend</w:t>
      </w:r>
      <w:r w:rsidRPr="00F30D85">
        <w:t>.</w:t>
      </w:r>
    </w:p>
    <w:p w:rsidR="00485094" w:rsidRDefault="00485094" w:rsidP="00692F31">
      <w:pPr>
        <w:ind w:left="720"/>
        <w:rPr>
          <w:rFonts w:ascii="Arial" w:hAnsi="Arial" w:cs="Arial"/>
          <w:sz w:val="22"/>
          <w:szCs w:val="22"/>
        </w:rPr>
      </w:pPr>
    </w:p>
    <w:p w:rsidR="00485094" w:rsidRDefault="00485094" w:rsidP="00692F31">
      <w:pPr>
        <w:pStyle w:val="Bodytextreduced"/>
      </w:pPr>
      <w:r>
        <w:br w:type="page"/>
      </w:r>
    </w:p>
    <w:p w:rsidR="00485094" w:rsidRDefault="00485094" w:rsidP="00692F31">
      <w:pPr>
        <w:pStyle w:val="Caption"/>
      </w:pPr>
      <w:bookmarkStart w:id="514" w:name="_Toc262464323"/>
      <w:bookmarkStart w:id="515" w:name="_Toc271280175"/>
      <w:r w:rsidRPr="00F30D85">
        <w:t xml:space="preserve">Figure </w:t>
      </w:r>
      <w:r>
        <w:t>6.30.</w:t>
      </w:r>
      <w:r w:rsidRPr="00F30D85">
        <w:t xml:space="preserve">  </w:t>
      </w:r>
      <w:r>
        <w:t>Ground</w:t>
      </w:r>
      <w:r w:rsidRPr="00F30D85">
        <w:t xml:space="preserve"> </w:t>
      </w:r>
      <w:r>
        <w:t>W</w:t>
      </w:r>
      <w:r w:rsidRPr="00F30D85">
        <w:t xml:space="preserve">ater </w:t>
      </w:r>
      <w:r>
        <w:t>T</w:t>
      </w:r>
      <w:r w:rsidRPr="00F30D85">
        <w:t xml:space="preserve">rends for </w:t>
      </w:r>
      <w:r>
        <w:t>Sulfate,</w:t>
      </w:r>
      <w:r w:rsidRPr="00F30D85">
        <w:t xml:space="preserve"> 1999</w:t>
      </w:r>
      <w:r>
        <w:t>–2008</w:t>
      </w:r>
      <w:bookmarkEnd w:id="514"/>
      <w:bookmarkEnd w:id="515"/>
    </w:p>
    <w:p w:rsidR="00485094" w:rsidRPr="00F847F0" w:rsidRDefault="00485094" w:rsidP="00692F31">
      <w:pPr>
        <w:rPr>
          <w:rFonts w:ascii="Arial" w:hAnsi="Arial" w:cs="Arial"/>
          <w:sz w:val="18"/>
          <w:szCs w:val="18"/>
        </w:rPr>
      </w:pPr>
    </w:p>
    <w:p w:rsidR="00485094" w:rsidRDefault="001717CD" w:rsidP="00692F31">
      <w:pPr>
        <w:ind w:left="720"/>
        <w:jc w:val="center"/>
        <w:rPr>
          <w:rFonts w:ascii="Arial" w:hAnsi="Arial" w:cs="Arial"/>
          <w:sz w:val="22"/>
          <w:szCs w:val="22"/>
        </w:rPr>
      </w:pPr>
      <w:r>
        <w:rPr>
          <w:rFonts w:ascii="Arial" w:hAnsi="Arial" w:cs="Arial"/>
          <w:noProof/>
          <w:sz w:val="22"/>
          <w:szCs w:val="22"/>
        </w:rPr>
        <w:drawing>
          <wp:inline distT="0" distB="0" distL="0" distR="0">
            <wp:extent cx="5322570" cy="5952490"/>
            <wp:effectExtent l="19050" t="0" r="0" b="0"/>
            <wp:docPr id="21" name="Picture 5" descr="Figure 6.30.  Ground Water Trends for Sulfate, 1999–2008.  This is a map of the state of Florida showing the statewide ground water sulfate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6.30.  Ground Water Trends for Sulfate, 1999–2008"/>
                    <pic:cNvPicPr>
                      <a:picLocks noChangeAspect="1" noChangeArrowheads="1"/>
                    </pic:cNvPicPr>
                  </pic:nvPicPr>
                  <pic:blipFill>
                    <a:blip r:embed="rId116"/>
                    <a:srcRect/>
                    <a:stretch>
                      <a:fillRect/>
                    </a:stretch>
                  </pic:blipFill>
                  <pic:spPr bwMode="auto">
                    <a:xfrm>
                      <a:off x="0" y="0"/>
                      <a:ext cx="5322570" cy="5952490"/>
                    </a:xfrm>
                    <a:prstGeom prst="rect">
                      <a:avLst/>
                    </a:prstGeom>
                    <a:noFill/>
                    <a:ln w="9525">
                      <a:noFill/>
                      <a:miter lim="800000"/>
                      <a:headEnd/>
                      <a:tailEnd/>
                    </a:ln>
                  </pic:spPr>
                </pic:pic>
              </a:graphicData>
            </a:graphic>
          </wp:inline>
        </w:drawing>
      </w:r>
    </w:p>
    <w:p w:rsidR="00485094" w:rsidRDefault="00485094" w:rsidP="00692F31">
      <w:pPr>
        <w:ind w:left="720"/>
        <w:rPr>
          <w:rFonts w:ascii="Arial" w:hAnsi="Arial" w:cs="Arial"/>
          <w:sz w:val="22"/>
          <w:szCs w:val="22"/>
        </w:rPr>
      </w:pPr>
    </w:p>
    <w:p w:rsidR="00485094" w:rsidRDefault="00485094" w:rsidP="00692F31">
      <w:pPr>
        <w:ind w:left="720"/>
        <w:rPr>
          <w:rFonts w:ascii="Arial" w:hAnsi="Arial" w:cs="Arial"/>
          <w:sz w:val="22"/>
          <w:szCs w:val="22"/>
        </w:rPr>
      </w:pPr>
    </w:p>
    <w:p w:rsidR="00485094" w:rsidRPr="00A001D8" w:rsidRDefault="00485094" w:rsidP="00692F31">
      <w:pPr>
        <w:pStyle w:val="Bodytext"/>
        <w:rPr>
          <w:b/>
          <w:szCs w:val="22"/>
        </w:rPr>
      </w:pPr>
      <w:r w:rsidRPr="00A001D8">
        <w:rPr>
          <w:b/>
          <w:szCs w:val="22"/>
        </w:rPr>
        <w:t>Highlights:</w:t>
      </w:r>
    </w:p>
    <w:p w:rsidR="00485094" w:rsidRDefault="00485094" w:rsidP="00692F31">
      <w:pPr>
        <w:pStyle w:val="Bodytextreduced"/>
      </w:pPr>
    </w:p>
    <w:p w:rsidR="00485094" w:rsidRDefault="00485094" w:rsidP="00692F31">
      <w:pPr>
        <w:pStyle w:val="ListBullet"/>
      </w:pPr>
      <w:r>
        <w:t>The trend</w:t>
      </w:r>
      <w:r w:rsidRPr="00F30D85">
        <w:t xml:space="preserve"> </w:t>
      </w:r>
      <w:r>
        <w:t>analysis for the confined aquifer wells reported 3 stations with an increasing trend and none of the stations with a decreasing trend for sulfate (S</w:t>
      </w:r>
      <w:r w:rsidR="003A5E2D">
        <w:t>O</w:t>
      </w:r>
      <w:r w:rsidR="003A5E2D" w:rsidRPr="003A5E2D">
        <w:rPr>
          <w:vertAlign w:val="subscript"/>
        </w:rPr>
        <w:t>4</w:t>
      </w:r>
      <w:r>
        <w:t xml:space="preserve">).  </w:t>
      </w:r>
    </w:p>
    <w:p w:rsidR="00485094" w:rsidRDefault="00485094" w:rsidP="00692F31">
      <w:pPr>
        <w:pStyle w:val="ListBullet"/>
      </w:pPr>
      <w:r>
        <w:t>There were 4 stations with an increasing trend in the unconfined aquifer wells and 7 stations with a decreasing trend</w:t>
      </w:r>
      <w:r w:rsidRPr="00F30D85">
        <w:t>.</w:t>
      </w:r>
    </w:p>
    <w:p w:rsidR="00485094" w:rsidRDefault="00485094" w:rsidP="00692F31">
      <w:pPr>
        <w:pStyle w:val="Bodytextreduced"/>
      </w:pPr>
      <w:r>
        <w:br w:type="page"/>
      </w:r>
    </w:p>
    <w:p w:rsidR="00485094" w:rsidRDefault="00485094" w:rsidP="00692F31">
      <w:pPr>
        <w:pStyle w:val="Caption"/>
      </w:pPr>
      <w:bookmarkStart w:id="516" w:name="_Toc262464324"/>
      <w:bookmarkStart w:id="517" w:name="_Toc271280176"/>
      <w:r w:rsidRPr="00F30D85">
        <w:t xml:space="preserve">Figure </w:t>
      </w:r>
      <w:r>
        <w:t>6.31.</w:t>
      </w:r>
      <w:r w:rsidRPr="00F30D85">
        <w:t xml:space="preserve">  </w:t>
      </w:r>
      <w:r>
        <w:t>Ground</w:t>
      </w:r>
      <w:r w:rsidRPr="00F30D85">
        <w:t xml:space="preserve"> </w:t>
      </w:r>
      <w:r>
        <w:t>Water T</w:t>
      </w:r>
      <w:r w:rsidRPr="00F30D85">
        <w:t xml:space="preserve">rends for </w:t>
      </w:r>
      <w:r>
        <w:t>Sodium,</w:t>
      </w:r>
      <w:r w:rsidRPr="00F30D85">
        <w:t xml:space="preserve"> 1999</w:t>
      </w:r>
      <w:r>
        <w:t>–2008</w:t>
      </w:r>
      <w:bookmarkEnd w:id="516"/>
      <w:bookmarkEnd w:id="517"/>
    </w:p>
    <w:p w:rsidR="00485094" w:rsidRPr="00F847F0" w:rsidRDefault="00485094" w:rsidP="00692F31">
      <w:pPr>
        <w:ind w:left="720"/>
        <w:rPr>
          <w:rFonts w:ascii="Arial" w:hAnsi="Arial" w:cs="Arial"/>
          <w:sz w:val="18"/>
          <w:szCs w:val="18"/>
        </w:rPr>
      </w:pPr>
    </w:p>
    <w:p w:rsidR="00485094" w:rsidRDefault="001717CD" w:rsidP="00692F31">
      <w:pPr>
        <w:ind w:left="720"/>
        <w:jc w:val="center"/>
        <w:rPr>
          <w:rFonts w:ascii="Arial" w:hAnsi="Arial" w:cs="Arial"/>
          <w:sz w:val="22"/>
          <w:szCs w:val="22"/>
        </w:rPr>
      </w:pPr>
      <w:r>
        <w:rPr>
          <w:rFonts w:ascii="Arial" w:hAnsi="Arial" w:cs="Arial"/>
          <w:noProof/>
          <w:sz w:val="22"/>
          <w:szCs w:val="22"/>
        </w:rPr>
        <w:drawing>
          <wp:inline distT="0" distB="0" distL="0" distR="0">
            <wp:extent cx="5322570" cy="5943600"/>
            <wp:effectExtent l="19050" t="0" r="0" b="0"/>
            <wp:docPr id="22" name="Picture 6" descr="Figure 6.31.  Ground Water Trends for Sodium, 1999–2008.  This is a map of the state of Florida showing the statewide ground water sodium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6.31.  Ground Water Trends for Sodium, 1999–2008"/>
                    <pic:cNvPicPr>
                      <a:picLocks noChangeAspect="1" noChangeArrowheads="1"/>
                    </pic:cNvPicPr>
                  </pic:nvPicPr>
                  <pic:blipFill>
                    <a:blip r:embed="rId117"/>
                    <a:srcRect/>
                    <a:stretch>
                      <a:fillRect/>
                    </a:stretch>
                  </pic:blipFill>
                  <pic:spPr bwMode="auto">
                    <a:xfrm>
                      <a:off x="0" y="0"/>
                      <a:ext cx="5322570" cy="5943600"/>
                    </a:xfrm>
                    <a:prstGeom prst="rect">
                      <a:avLst/>
                    </a:prstGeom>
                    <a:noFill/>
                    <a:ln w="9525">
                      <a:noFill/>
                      <a:miter lim="800000"/>
                      <a:headEnd/>
                      <a:tailEnd/>
                    </a:ln>
                  </pic:spPr>
                </pic:pic>
              </a:graphicData>
            </a:graphic>
          </wp:inline>
        </w:drawing>
      </w:r>
    </w:p>
    <w:p w:rsidR="00485094" w:rsidRDefault="00485094" w:rsidP="00692F31">
      <w:pPr>
        <w:ind w:left="720"/>
        <w:rPr>
          <w:rFonts w:ascii="Arial" w:hAnsi="Arial" w:cs="Arial"/>
          <w:sz w:val="22"/>
          <w:szCs w:val="22"/>
        </w:rPr>
      </w:pPr>
    </w:p>
    <w:p w:rsidR="00485094" w:rsidRDefault="00485094" w:rsidP="00692F31">
      <w:pPr>
        <w:ind w:left="720"/>
        <w:rPr>
          <w:rFonts w:ascii="Arial" w:hAnsi="Arial" w:cs="Arial"/>
          <w:sz w:val="22"/>
          <w:szCs w:val="22"/>
        </w:rPr>
      </w:pPr>
    </w:p>
    <w:p w:rsidR="00485094" w:rsidRPr="00A001D8" w:rsidRDefault="00485094" w:rsidP="00692F31">
      <w:pPr>
        <w:pStyle w:val="Bodytext"/>
        <w:rPr>
          <w:b/>
          <w:szCs w:val="22"/>
        </w:rPr>
      </w:pPr>
      <w:r w:rsidRPr="00A001D8">
        <w:rPr>
          <w:b/>
          <w:szCs w:val="22"/>
        </w:rPr>
        <w:t>Highlights:</w:t>
      </w:r>
    </w:p>
    <w:p w:rsidR="00485094" w:rsidRDefault="00485094" w:rsidP="00692F31">
      <w:pPr>
        <w:pStyle w:val="Bodytextreduced"/>
      </w:pPr>
    </w:p>
    <w:p w:rsidR="00485094" w:rsidRDefault="00485094" w:rsidP="00692F31">
      <w:pPr>
        <w:pStyle w:val="ListBullet"/>
      </w:pPr>
      <w:r>
        <w:t>The t</w:t>
      </w:r>
      <w:r w:rsidRPr="00F30D85">
        <w:t xml:space="preserve">rend </w:t>
      </w:r>
      <w:r>
        <w:t>analysis for the confined aquifer wells reported 5 stations with an increasing trend and none of the stations with a decreasing trend for sodium (N</w:t>
      </w:r>
      <w:r w:rsidR="003A5E2D">
        <w:t>a</w:t>
      </w:r>
      <w:r>
        <w:t xml:space="preserve">).  </w:t>
      </w:r>
    </w:p>
    <w:p w:rsidR="00485094" w:rsidRDefault="00485094" w:rsidP="00692F31">
      <w:pPr>
        <w:pStyle w:val="ListBullet"/>
      </w:pPr>
      <w:r>
        <w:t>There were 7 stations with an increasing trend in the unconfined aquifer wells and 6 stations with a decreasing trend</w:t>
      </w:r>
      <w:r w:rsidRPr="00F30D85">
        <w:t>.</w:t>
      </w:r>
    </w:p>
    <w:p w:rsidR="00485094" w:rsidRDefault="00485094" w:rsidP="00692F31">
      <w:pPr>
        <w:pStyle w:val="Bodytextreduced"/>
      </w:pPr>
      <w:r>
        <w:br w:type="page"/>
      </w:r>
    </w:p>
    <w:p w:rsidR="00485094" w:rsidRDefault="00485094" w:rsidP="00692F31">
      <w:pPr>
        <w:pStyle w:val="Caption"/>
      </w:pPr>
      <w:bookmarkStart w:id="518" w:name="_Toc262464325"/>
      <w:bookmarkStart w:id="519" w:name="_Toc271280177"/>
      <w:r w:rsidRPr="00F30D85">
        <w:t xml:space="preserve">Figure </w:t>
      </w:r>
      <w:r>
        <w:t>6.32.</w:t>
      </w:r>
      <w:r w:rsidRPr="00F30D85">
        <w:t xml:space="preserve">  </w:t>
      </w:r>
      <w:r>
        <w:t>Ground</w:t>
      </w:r>
      <w:r w:rsidRPr="00F30D85">
        <w:t xml:space="preserve"> </w:t>
      </w:r>
      <w:r>
        <w:t>Water T</w:t>
      </w:r>
      <w:r w:rsidRPr="00F30D85">
        <w:t xml:space="preserve">rends for </w:t>
      </w:r>
      <w:r>
        <w:t>Chloride,</w:t>
      </w:r>
      <w:r w:rsidRPr="00F30D85">
        <w:t xml:space="preserve"> 1999</w:t>
      </w:r>
      <w:r>
        <w:t>–2008</w:t>
      </w:r>
      <w:bookmarkEnd w:id="518"/>
      <w:bookmarkEnd w:id="519"/>
    </w:p>
    <w:p w:rsidR="00485094" w:rsidRDefault="00485094" w:rsidP="00692F31">
      <w:pPr>
        <w:pStyle w:val="BodyText2"/>
        <w:ind w:left="720" w:right="1440"/>
        <w:jc w:val="both"/>
        <w:rPr>
          <w:rFonts w:cs="Arial"/>
          <w:b/>
          <w:szCs w:val="22"/>
        </w:rPr>
      </w:pPr>
    </w:p>
    <w:p w:rsidR="00485094" w:rsidRDefault="001717CD" w:rsidP="00692F31">
      <w:pPr>
        <w:pStyle w:val="BodyText2"/>
        <w:ind w:left="720" w:right="1440"/>
        <w:jc w:val="center"/>
        <w:rPr>
          <w:rFonts w:cs="Arial"/>
          <w:b/>
          <w:szCs w:val="22"/>
        </w:rPr>
      </w:pPr>
      <w:r>
        <w:rPr>
          <w:rFonts w:cs="Arial"/>
          <w:b/>
          <w:noProof/>
          <w:szCs w:val="22"/>
        </w:rPr>
        <w:drawing>
          <wp:inline distT="0" distB="0" distL="0" distR="0">
            <wp:extent cx="5322570" cy="5943600"/>
            <wp:effectExtent l="19050" t="0" r="0" b="0"/>
            <wp:docPr id="23" name="Picture 6" descr="Figure 6.32.  Ground Water Trends for Chloride, 1999–2008.  This is a map of the state of Florida showing the statewide ground water chloride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6.32.  Ground Water Trends for Chloride, 1999–2008"/>
                    <pic:cNvPicPr>
                      <a:picLocks noChangeAspect="1" noChangeArrowheads="1"/>
                    </pic:cNvPicPr>
                  </pic:nvPicPr>
                  <pic:blipFill>
                    <a:blip r:embed="rId118"/>
                    <a:srcRect/>
                    <a:stretch>
                      <a:fillRect/>
                    </a:stretch>
                  </pic:blipFill>
                  <pic:spPr bwMode="auto">
                    <a:xfrm>
                      <a:off x="0" y="0"/>
                      <a:ext cx="5322570" cy="5943600"/>
                    </a:xfrm>
                    <a:prstGeom prst="rect">
                      <a:avLst/>
                    </a:prstGeom>
                    <a:noFill/>
                    <a:ln w="9525">
                      <a:noFill/>
                      <a:miter lim="800000"/>
                      <a:headEnd/>
                      <a:tailEnd/>
                    </a:ln>
                  </pic:spPr>
                </pic:pic>
              </a:graphicData>
            </a:graphic>
          </wp:inline>
        </w:drawing>
      </w:r>
    </w:p>
    <w:p w:rsidR="00485094" w:rsidRDefault="00485094" w:rsidP="00692F31">
      <w:pPr>
        <w:pStyle w:val="BodyText2"/>
        <w:ind w:left="720" w:right="1440"/>
        <w:jc w:val="both"/>
        <w:rPr>
          <w:rFonts w:cs="Arial"/>
          <w:b/>
          <w:szCs w:val="22"/>
        </w:rPr>
      </w:pPr>
    </w:p>
    <w:p w:rsidR="00485094" w:rsidRDefault="00485094" w:rsidP="00692F31">
      <w:pPr>
        <w:pStyle w:val="BodyText2"/>
        <w:ind w:left="720" w:right="1440"/>
        <w:jc w:val="both"/>
        <w:rPr>
          <w:rFonts w:cs="Arial"/>
          <w:b/>
          <w:szCs w:val="22"/>
        </w:rPr>
      </w:pPr>
    </w:p>
    <w:p w:rsidR="00485094" w:rsidRPr="00A001D8" w:rsidRDefault="00485094" w:rsidP="00692F31">
      <w:pPr>
        <w:pStyle w:val="Bodytext"/>
        <w:rPr>
          <w:b/>
          <w:szCs w:val="22"/>
        </w:rPr>
      </w:pPr>
      <w:r w:rsidRPr="00A001D8">
        <w:rPr>
          <w:b/>
          <w:szCs w:val="22"/>
        </w:rPr>
        <w:t>Highlights:</w:t>
      </w:r>
    </w:p>
    <w:p w:rsidR="00485094" w:rsidRDefault="00485094" w:rsidP="00692F31">
      <w:pPr>
        <w:pStyle w:val="Bodytextreduced"/>
      </w:pPr>
    </w:p>
    <w:p w:rsidR="00485094" w:rsidRDefault="00485094" w:rsidP="00692F31">
      <w:pPr>
        <w:pStyle w:val="ListBullet"/>
      </w:pPr>
      <w:r>
        <w:t>The t</w:t>
      </w:r>
      <w:r w:rsidRPr="00F30D85">
        <w:t xml:space="preserve">rend </w:t>
      </w:r>
      <w:r>
        <w:t>analysis for the confined aquifer wells reported 9 stations with an increasing trend and 1 station with a decreasing trend for chloride (</w:t>
      </w:r>
      <w:proofErr w:type="spellStart"/>
      <w:r>
        <w:t>C</w:t>
      </w:r>
      <w:r w:rsidR="003A5E2D">
        <w:t>l</w:t>
      </w:r>
      <w:proofErr w:type="spellEnd"/>
      <w:r>
        <w:t>).</w:t>
      </w:r>
    </w:p>
    <w:p w:rsidR="00485094" w:rsidRDefault="00485094" w:rsidP="00692F31">
      <w:pPr>
        <w:pStyle w:val="ListBullet"/>
        <w:rPr>
          <w:b/>
        </w:rPr>
      </w:pPr>
      <w:r>
        <w:t>There were 7 stations with an increasing trend in the unconfined aquifer wells and 4 stations with a decreasing trend</w:t>
      </w:r>
      <w:r w:rsidRPr="00F30D85">
        <w:t>.</w:t>
      </w:r>
    </w:p>
    <w:p w:rsidR="00485094" w:rsidRDefault="00485094" w:rsidP="00692F31">
      <w:pPr>
        <w:pStyle w:val="BodyText2"/>
        <w:ind w:left="720" w:right="1440"/>
        <w:jc w:val="both"/>
        <w:rPr>
          <w:rFonts w:cs="Arial"/>
          <w:b/>
          <w:szCs w:val="22"/>
        </w:rPr>
      </w:pPr>
    </w:p>
    <w:p w:rsidR="00485094" w:rsidRDefault="00485094" w:rsidP="00692F31">
      <w:pPr>
        <w:pStyle w:val="BodyText2"/>
        <w:ind w:left="720" w:right="1440"/>
        <w:jc w:val="both"/>
        <w:rPr>
          <w:rFonts w:cs="Arial"/>
          <w:b/>
          <w:szCs w:val="22"/>
        </w:rPr>
      </w:pPr>
      <w:r>
        <w:rPr>
          <w:rFonts w:cs="Arial"/>
          <w:b/>
          <w:szCs w:val="22"/>
        </w:rPr>
        <w:br w:type="page"/>
      </w:r>
    </w:p>
    <w:p w:rsidR="00485094" w:rsidRDefault="00485094" w:rsidP="00692F31">
      <w:pPr>
        <w:pStyle w:val="Caption"/>
      </w:pPr>
      <w:bookmarkStart w:id="520" w:name="_Toc262464326"/>
      <w:bookmarkStart w:id="521" w:name="_Toc271280178"/>
      <w:r w:rsidRPr="00F30D85">
        <w:t xml:space="preserve">Figure </w:t>
      </w:r>
      <w:r>
        <w:t>6.33.</w:t>
      </w:r>
      <w:r w:rsidRPr="00F30D85">
        <w:t xml:space="preserve">  </w:t>
      </w:r>
      <w:r>
        <w:t>Ground</w:t>
      </w:r>
      <w:r w:rsidRPr="00F30D85">
        <w:t xml:space="preserve"> </w:t>
      </w:r>
      <w:r>
        <w:t>W</w:t>
      </w:r>
      <w:r w:rsidRPr="00F30D85">
        <w:t xml:space="preserve">ater </w:t>
      </w:r>
      <w:r>
        <w:t>T</w:t>
      </w:r>
      <w:r w:rsidRPr="00F30D85">
        <w:t xml:space="preserve">rends for </w:t>
      </w:r>
      <w:r>
        <w:t>Calcium,</w:t>
      </w:r>
      <w:r w:rsidRPr="00F30D85">
        <w:t xml:space="preserve"> 1999</w:t>
      </w:r>
      <w:r>
        <w:t>–2008</w:t>
      </w:r>
      <w:bookmarkEnd w:id="520"/>
      <w:bookmarkEnd w:id="521"/>
    </w:p>
    <w:p w:rsidR="00485094" w:rsidRDefault="00485094" w:rsidP="00692F31">
      <w:pPr>
        <w:pStyle w:val="BodyText2"/>
        <w:ind w:left="720" w:right="1440"/>
        <w:jc w:val="both"/>
        <w:rPr>
          <w:rFonts w:cs="Arial"/>
          <w:b/>
          <w:szCs w:val="22"/>
        </w:rPr>
      </w:pPr>
    </w:p>
    <w:p w:rsidR="00485094" w:rsidRDefault="001717CD" w:rsidP="00692F31">
      <w:pPr>
        <w:pStyle w:val="BodyText2"/>
        <w:ind w:left="720" w:right="1440"/>
        <w:jc w:val="center"/>
        <w:rPr>
          <w:rFonts w:cs="Arial"/>
          <w:b/>
          <w:szCs w:val="22"/>
        </w:rPr>
      </w:pPr>
      <w:r>
        <w:rPr>
          <w:rFonts w:cs="Arial"/>
          <w:b/>
          <w:noProof/>
          <w:szCs w:val="22"/>
        </w:rPr>
        <w:drawing>
          <wp:inline distT="0" distB="0" distL="0" distR="0">
            <wp:extent cx="5322570" cy="5943600"/>
            <wp:effectExtent l="19050" t="0" r="0" b="0"/>
            <wp:docPr id="24" name="Picture 7" descr="Figure 6.33.  Ground Water Trends for Calcium, 1999–2008.  This is a map of the state of Florida showing the statewide ground water calcium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6.33.  Ground Water Trends for Calcium, 1999–2008"/>
                    <pic:cNvPicPr>
                      <a:picLocks noChangeAspect="1" noChangeArrowheads="1"/>
                    </pic:cNvPicPr>
                  </pic:nvPicPr>
                  <pic:blipFill>
                    <a:blip r:embed="rId119"/>
                    <a:srcRect/>
                    <a:stretch>
                      <a:fillRect/>
                    </a:stretch>
                  </pic:blipFill>
                  <pic:spPr bwMode="auto">
                    <a:xfrm>
                      <a:off x="0" y="0"/>
                      <a:ext cx="5322570" cy="5943600"/>
                    </a:xfrm>
                    <a:prstGeom prst="rect">
                      <a:avLst/>
                    </a:prstGeom>
                    <a:noFill/>
                    <a:ln w="9525">
                      <a:noFill/>
                      <a:miter lim="800000"/>
                      <a:headEnd/>
                      <a:tailEnd/>
                    </a:ln>
                  </pic:spPr>
                </pic:pic>
              </a:graphicData>
            </a:graphic>
          </wp:inline>
        </w:drawing>
      </w:r>
    </w:p>
    <w:p w:rsidR="00485094" w:rsidRDefault="00485094" w:rsidP="00692F31">
      <w:pPr>
        <w:pStyle w:val="BodyText2"/>
        <w:ind w:left="720" w:right="1440"/>
        <w:jc w:val="both"/>
        <w:rPr>
          <w:rFonts w:cs="Arial"/>
          <w:b/>
          <w:szCs w:val="22"/>
        </w:rPr>
      </w:pPr>
    </w:p>
    <w:p w:rsidR="00485094" w:rsidRDefault="00485094" w:rsidP="00692F31">
      <w:pPr>
        <w:pStyle w:val="BodyText2"/>
        <w:ind w:left="720" w:right="1440"/>
        <w:jc w:val="both"/>
        <w:rPr>
          <w:rFonts w:cs="Arial"/>
          <w:b/>
          <w:szCs w:val="22"/>
        </w:rPr>
      </w:pPr>
    </w:p>
    <w:p w:rsidR="00485094" w:rsidRPr="00A001D8" w:rsidRDefault="00485094" w:rsidP="00692F31">
      <w:pPr>
        <w:pStyle w:val="Bodytext"/>
        <w:rPr>
          <w:b/>
          <w:szCs w:val="22"/>
        </w:rPr>
      </w:pPr>
      <w:r w:rsidRPr="00A001D8">
        <w:rPr>
          <w:b/>
          <w:szCs w:val="22"/>
        </w:rPr>
        <w:t>Highlights:</w:t>
      </w:r>
    </w:p>
    <w:p w:rsidR="00485094" w:rsidRDefault="00485094" w:rsidP="00692F31">
      <w:pPr>
        <w:pStyle w:val="Bodytextreduced"/>
      </w:pPr>
    </w:p>
    <w:p w:rsidR="00485094" w:rsidRPr="005D5FAC" w:rsidRDefault="00485094" w:rsidP="00692F31">
      <w:pPr>
        <w:pStyle w:val="ListBullet"/>
        <w:rPr>
          <w:szCs w:val="22"/>
        </w:rPr>
      </w:pPr>
      <w:r>
        <w:rPr>
          <w:szCs w:val="22"/>
        </w:rPr>
        <w:t>The trend</w:t>
      </w:r>
      <w:r w:rsidRPr="005D5FAC">
        <w:rPr>
          <w:szCs w:val="22"/>
        </w:rPr>
        <w:t xml:space="preserve"> analysis for the confined aquifer wells reported </w:t>
      </w:r>
      <w:r>
        <w:rPr>
          <w:szCs w:val="22"/>
        </w:rPr>
        <w:t>3</w:t>
      </w:r>
      <w:r w:rsidRPr="005D5FAC">
        <w:rPr>
          <w:szCs w:val="22"/>
        </w:rPr>
        <w:t xml:space="preserve"> stations with an increasing trend and none of the stations with a decr</w:t>
      </w:r>
      <w:r w:rsidRPr="005D5FAC">
        <w:t>easing trend for calcium (C</w:t>
      </w:r>
      <w:r w:rsidR="003A5E2D">
        <w:t>a</w:t>
      </w:r>
      <w:r w:rsidRPr="005D5FAC">
        <w:t>).</w:t>
      </w:r>
    </w:p>
    <w:p w:rsidR="00485094" w:rsidRPr="005D5FAC" w:rsidRDefault="00485094" w:rsidP="00692F31">
      <w:pPr>
        <w:pStyle w:val="ListBullet"/>
        <w:rPr>
          <w:szCs w:val="22"/>
        </w:rPr>
      </w:pPr>
      <w:r w:rsidRPr="005D5FAC">
        <w:rPr>
          <w:szCs w:val="22"/>
        </w:rPr>
        <w:t xml:space="preserve">There were </w:t>
      </w:r>
      <w:r>
        <w:rPr>
          <w:szCs w:val="22"/>
        </w:rPr>
        <w:t xml:space="preserve">7 </w:t>
      </w:r>
      <w:r w:rsidRPr="005D5FAC">
        <w:rPr>
          <w:szCs w:val="22"/>
        </w:rPr>
        <w:t xml:space="preserve">stations with </w:t>
      </w:r>
      <w:r>
        <w:rPr>
          <w:szCs w:val="22"/>
        </w:rPr>
        <w:t xml:space="preserve">an </w:t>
      </w:r>
      <w:r w:rsidRPr="005D5FAC">
        <w:rPr>
          <w:szCs w:val="22"/>
        </w:rPr>
        <w:t xml:space="preserve">increasing trend in the unconfined aquifer </w:t>
      </w:r>
      <w:r>
        <w:rPr>
          <w:szCs w:val="22"/>
        </w:rPr>
        <w:t xml:space="preserve">wells </w:t>
      </w:r>
      <w:r w:rsidRPr="005D5FAC">
        <w:rPr>
          <w:szCs w:val="22"/>
        </w:rPr>
        <w:t>and no</w:t>
      </w:r>
      <w:r>
        <w:rPr>
          <w:szCs w:val="22"/>
        </w:rPr>
        <w:t>ne of the</w:t>
      </w:r>
      <w:r w:rsidRPr="005D5FAC">
        <w:rPr>
          <w:szCs w:val="22"/>
        </w:rPr>
        <w:t xml:space="preserve"> stations with a decreasing trend.</w:t>
      </w:r>
    </w:p>
    <w:p w:rsidR="00485094" w:rsidRDefault="00485094" w:rsidP="00692F31">
      <w:pPr>
        <w:pStyle w:val="BodyText2"/>
        <w:ind w:right="1440"/>
        <w:jc w:val="both"/>
        <w:rPr>
          <w:rFonts w:cs="Arial"/>
          <w:b/>
          <w:szCs w:val="22"/>
        </w:rPr>
      </w:pPr>
    </w:p>
    <w:p w:rsidR="00485094" w:rsidRDefault="00485094" w:rsidP="00692F31">
      <w:pPr>
        <w:pStyle w:val="BodyText2"/>
        <w:ind w:right="1440"/>
        <w:jc w:val="both"/>
        <w:rPr>
          <w:rFonts w:cs="Arial"/>
          <w:szCs w:val="22"/>
        </w:rPr>
      </w:pPr>
      <w:r>
        <w:rPr>
          <w:rFonts w:cs="Arial"/>
          <w:b/>
          <w:szCs w:val="22"/>
        </w:rPr>
        <w:br w:type="page"/>
      </w:r>
    </w:p>
    <w:p w:rsidR="00485094" w:rsidRDefault="00485094" w:rsidP="00692F31">
      <w:pPr>
        <w:pStyle w:val="Caption"/>
      </w:pPr>
      <w:bookmarkStart w:id="522" w:name="_Toc262464327"/>
      <w:bookmarkStart w:id="523" w:name="_Toc271280179"/>
      <w:r w:rsidRPr="00F30D85">
        <w:t xml:space="preserve">Figure </w:t>
      </w:r>
      <w:r>
        <w:t>6.34.</w:t>
      </w:r>
      <w:r w:rsidRPr="00F30D85">
        <w:t xml:space="preserve">  </w:t>
      </w:r>
      <w:r>
        <w:t>Ground</w:t>
      </w:r>
      <w:r w:rsidRPr="00F30D85">
        <w:t xml:space="preserve"> </w:t>
      </w:r>
      <w:r>
        <w:t>Water T</w:t>
      </w:r>
      <w:r w:rsidRPr="00F30D85">
        <w:t xml:space="preserve">rends for </w:t>
      </w:r>
      <w:r>
        <w:t>Magnesium,</w:t>
      </w:r>
      <w:r w:rsidRPr="00F30D85">
        <w:t xml:space="preserve"> 1999</w:t>
      </w:r>
      <w:r>
        <w:t>–2008</w:t>
      </w:r>
      <w:bookmarkEnd w:id="522"/>
      <w:bookmarkEnd w:id="523"/>
    </w:p>
    <w:p w:rsidR="00485094" w:rsidRDefault="00485094" w:rsidP="00692F31">
      <w:pPr>
        <w:pStyle w:val="BodyText2"/>
        <w:ind w:left="720" w:right="1440"/>
        <w:jc w:val="both"/>
        <w:rPr>
          <w:rFonts w:cs="Arial"/>
          <w:b/>
          <w:szCs w:val="22"/>
        </w:rPr>
      </w:pPr>
    </w:p>
    <w:p w:rsidR="00485094" w:rsidRDefault="001717CD" w:rsidP="00692F31">
      <w:pPr>
        <w:pStyle w:val="BodyText2"/>
        <w:ind w:left="720" w:right="1440"/>
        <w:jc w:val="center"/>
        <w:rPr>
          <w:rFonts w:cs="Arial"/>
          <w:b/>
          <w:szCs w:val="22"/>
        </w:rPr>
      </w:pPr>
      <w:r>
        <w:rPr>
          <w:rFonts w:cs="Arial"/>
          <w:b/>
          <w:noProof/>
          <w:szCs w:val="22"/>
        </w:rPr>
        <w:drawing>
          <wp:inline distT="0" distB="0" distL="0" distR="0">
            <wp:extent cx="5322570" cy="5943600"/>
            <wp:effectExtent l="19050" t="0" r="0" b="0"/>
            <wp:docPr id="25" name="Picture 9" descr="Figure 6.34.  Ground Water Trends for Magnesium, 1999–2008.  This is a map of the state of Florida showing the statewide ground water magnesium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6.34.  Ground Water Trends for Magnesium, 1999–2008"/>
                    <pic:cNvPicPr>
                      <a:picLocks noChangeAspect="1" noChangeArrowheads="1"/>
                    </pic:cNvPicPr>
                  </pic:nvPicPr>
                  <pic:blipFill>
                    <a:blip r:embed="rId120"/>
                    <a:srcRect/>
                    <a:stretch>
                      <a:fillRect/>
                    </a:stretch>
                  </pic:blipFill>
                  <pic:spPr bwMode="auto">
                    <a:xfrm>
                      <a:off x="0" y="0"/>
                      <a:ext cx="5322570" cy="5943600"/>
                    </a:xfrm>
                    <a:prstGeom prst="rect">
                      <a:avLst/>
                    </a:prstGeom>
                    <a:noFill/>
                    <a:ln w="9525">
                      <a:noFill/>
                      <a:miter lim="800000"/>
                      <a:headEnd/>
                      <a:tailEnd/>
                    </a:ln>
                  </pic:spPr>
                </pic:pic>
              </a:graphicData>
            </a:graphic>
          </wp:inline>
        </w:drawing>
      </w:r>
    </w:p>
    <w:p w:rsidR="00485094" w:rsidRDefault="00485094" w:rsidP="00692F31">
      <w:pPr>
        <w:pStyle w:val="BodyText2"/>
        <w:ind w:left="720" w:right="1440"/>
        <w:jc w:val="both"/>
        <w:rPr>
          <w:rFonts w:cs="Arial"/>
          <w:b/>
          <w:szCs w:val="22"/>
        </w:rPr>
      </w:pPr>
    </w:p>
    <w:p w:rsidR="00485094" w:rsidRDefault="00485094" w:rsidP="00692F31">
      <w:pPr>
        <w:pStyle w:val="BodyText2"/>
        <w:ind w:left="720" w:right="1440"/>
        <w:jc w:val="both"/>
        <w:rPr>
          <w:rFonts w:cs="Arial"/>
          <w:b/>
          <w:szCs w:val="22"/>
        </w:rPr>
      </w:pPr>
    </w:p>
    <w:p w:rsidR="00485094" w:rsidRPr="00A001D8" w:rsidRDefault="00485094" w:rsidP="00692F31">
      <w:pPr>
        <w:pStyle w:val="Bodytext"/>
        <w:rPr>
          <w:b/>
          <w:szCs w:val="22"/>
        </w:rPr>
      </w:pPr>
      <w:r w:rsidRPr="00A001D8">
        <w:rPr>
          <w:b/>
          <w:szCs w:val="22"/>
        </w:rPr>
        <w:t>Highlights:</w:t>
      </w:r>
    </w:p>
    <w:p w:rsidR="00485094" w:rsidRDefault="00485094" w:rsidP="00692F31">
      <w:pPr>
        <w:pStyle w:val="Bodytextreduced"/>
      </w:pPr>
    </w:p>
    <w:p w:rsidR="00485094" w:rsidRDefault="00485094" w:rsidP="00692F31">
      <w:pPr>
        <w:pStyle w:val="ListBullet"/>
      </w:pPr>
      <w:r>
        <w:t>The trend</w:t>
      </w:r>
      <w:r w:rsidRPr="00F30D85">
        <w:t xml:space="preserve"> </w:t>
      </w:r>
      <w:r>
        <w:t>analysis for the confined aquifer wells reported 5 stations with an increasing trend and no stations with a decreasing trend for magnesium (M</w:t>
      </w:r>
      <w:r w:rsidR="003A5E2D">
        <w:t>g</w:t>
      </w:r>
      <w:r>
        <w:t xml:space="preserve">).  </w:t>
      </w:r>
    </w:p>
    <w:p w:rsidR="00485094" w:rsidRDefault="00485094" w:rsidP="00692F31">
      <w:pPr>
        <w:pStyle w:val="ListBullet"/>
        <w:rPr>
          <w:b/>
        </w:rPr>
      </w:pPr>
      <w:r>
        <w:t xml:space="preserve">There were 10 stations with an increasing trend in the unconfined aquifer </w:t>
      </w:r>
      <w:r>
        <w:rPr>
          <w:szCs w:val="22"/>
        </w:rPr>
        <w:t xml:space="preserve">wells </w:t>
      </w:r>
      <w:r>
        <w:t>and 2 stations with a decreasing trend</w:t>
      </w:r>
      <w:r w:rsidRPr="00F30D85">
        <w:t>.</w:t>
      </w:r>
    </w:p>
    <w:p w:rsidR="00485094" w:rsidRDefault="00485094" w:rsidP="00692F31">
      <w:pPr>
        <w:pStyle w:val="BodyText2"/>
        <w:ind w:left="720" w:right="1440"/>
        <w:jc w:val="both"/>
        <w:rPr>
          <w:rFonts w:cs="Arial"/>
          <w:b/>
          <w:szCs w:val="22"/>
        </w:rPr>
      </w:pPr>
    </w:p>
    <w:p w:rsidR="00485094" w:rsidRPr="00BA565D" w:rsidRDefault="00485094" w:rsidP="00692F31">
      <w:pPr>
        <w:pStyle w:val="Bodytextreduced"/>
      </w:pPr>
      <w:r>
        <w:rPr>
          <w:b/>
        </w:rPr>
        <w:br w:type="page"/>
      </w:r>
    </w:p>
    <w:p w:rsidR="00485094" w:rsidRDefault="00485094" w:rsidP="00692F31">
      <w:pPr>
        <w:pStyle w:val="Caption"/>
      </w:pPr>
      <w:bookmarkStart w:id="524" w:name="_Toc262464328"/>
      <w:bookmarkStart w:id="525" w:name="_Toc271280180"/>
      <w:r w:rsidRPr="00F30D85">
        <w:t xml:space="preserve">Figure </w:t>
      </w:r>
      <w:r>
        <w:t>6.35.</w:t>
      </w:r>
      <w:r w:rsidRPr="00F30D85">
        <w:t xml:space="preserve">  </w:t>
      </w:r>
      <w:r>
        <w:t>Ground</w:t>
      </w:r>
      <w:r w:rsidRPr="00F30D85">
        <w:t xml:space="preserve"> </w:t>
      </w:r>
      <w:r>
        <w:t>W</w:t>
      </w:r>
      <w:r w:rsidRPr="00F30D85">
        <w:t xml:space="preserve">ater </w:t>
      </w:r>
      <w:r>
        <w:t>T</w:t>
      </w:r>
      <w:r w:rsidRPr="00F30D85">
        <w:t xml:space="preserve">rends for </w:t>
      </w:r>
      <w:r>
        <w:t>Alkalinity,</w:t>
      </w:r>
      <w:r w:rsidRPr="00F30D85">
        <w:t xml:space="preserve"> 1999</w:t>
      </w:r>
      <w:r>
        <w:rPr>
          <w:rFonts w:ascii="Times New Roman" w:hAnsi="Times New Roman"/>
        </w:rPr>
        <w:t>–</w:t>
      </w:r>
      <w:r>
        <w:t>2008</w:t>
      </w:r>
      <w:bookmarkEnd w:id="524"/>
      <w:bookmarkEnd w:id="525"/>
    </w:p>
    <w:p w:rsidR="00485094" w:rsidRDefault="00485094" w:rsidP="00692F31">
      <w:pPr>
        <w:pStyle w:val="BodyText2"/>
        <w:ind w:right="1440"/>
        <w:jc w:val="both"/>
        <w:rPr>
          <w:rFonts w:cs="Arial"/>
          <w:b/>
          <w:szCs w:val="22"/>
        </w:rPr>
      </w:pPr>
    </w:p>
    <w:p w:rsidR="00485094" w:rsidRDefault="001717CD" w:rsidP="00692F31">
      <w:pPr>
        <w:pStyle w:val="BodyText2"/>
        <w:ind w:right="1440"/>
        <w:jc w:val="center"/>
        <w:rPr>
          <w:rFonts w:cs="Arial"/>
          <w:b/>
          <w:szCs w:val="22"/>
        </w:rPr>
      </w:pPr>
      <w:r>
        <w:rPr>
          <w:rFonts w:cs="Arial"/>
          <w:b/>
          <w:noProof/>
          <w:szCs w:val="22"/>
        </w:rPr>
        <w:drawing>
          <wp:inline distT="0" distB="0" distL="0" distR="0">
            <wp:extent cx="5305425" cy="5943600"/>
            <wp:effectExtent l="19050" t="0" r="9525" b="0"/>
            <wp:docPr id="26" name="Picture 11" descr="Figure 6.35.  Ground Water Trends for Alkalinity, 1999–2008.  This is a map of the state of Florida showing the statewide ground water alkalinity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6.35.  Ground Water Trends for Alkalinity, 1999–2008"/>
                    <pic:cNvPicPr>
                      <a:picLocks noChangeAspect="1" noChangeArrowheads="1"/>
                    </pic:cNvPicPr>
                  </pic:nvPicPr>
                  <pic:blipFill>
                    <a:blip r:embed="rId121"/>
                    <a:srcRect/>
                    <a:stretch>
                      <a:fillRect/>
                    </a:stretch>
                  </pic:blipFill>
                  <pic:spPr bwMode="auto">
                    <a:xfrm>
                      <a:off x="0" y="0"/>
                      <a:ext cx="5305425" cy="5943600"/>
                    </a:xfrm>
                    <a:prstGeom prst="rect">
                      <a:avLst/>
                    </a:prstGeom>
                    <a:noFill/>
                    <a:ln w="9525">
                      <a:noFill/>
                      <a:miter lim="800000"/>
                      <a:headEnd/>
                      <a:tailEnd/>
                    </a:ln>
                  </pic:spPr>
                </pic:pic>
              </a:graphicData>
            </a:graphic>
          </wp:inline>
        </w:drawing>
      </w:r>
    </w:p>
    <w:p w:rsidR="00485094" w:rsidRDefault="00485094" w:rsidP="00692F31">
      <w:pPr>
        <w:pStyle w:val="BodyText2"/>
        <w:ind w:right="1440"/>
        <w:jc w:val="both"/>
        <w:rPr>
          <w:rFonts w:cs="Arial"/>
          <w:b/>
          <w:szCs w:val="22"/>
        </w:rPr>
      </w:pPr>
    </w:p>
    <w:p w:rsidR="00485094" w:rsidRDefault="00485094" w:rsidP="00692F31">
      <w:pPr>
        <w:pStyle w:val="BodyText2"/>
        <w:ind w:right="1440"/>
        <w:jc w:val="both"/>
        <w:rPr>
          <w:rFonts w:cs="Arial"/>
          <w:b/>
          <w:szCs w:val="22"/>
        </w:rPr>
      </w:pPr>
    </w:p>
    <w:p w:rsidR="00485094" w:rsidRPr="00A001D8" w:rsidRDefault="00485094" w:rsidP="00692F31">
      <w:pPr>
        <w:pStyle w:val="Bodytext"/>
        <w:rPr>
          <w:b/>
          <w:szCs w:val="22"/>
        </w:rPr>
      </w:pPr>
      <w:r w:rsidRPr="00A001D8">
        <w:rPr>
          <w:b/>
          <w:szCs w:val="22"/>
        </w:rPr>
        <w:t>Highlights:</w:t>
      </w:r>
    </w:p>
    <w:p w:rsidR="00485094" w:rsidRDefault="00485094" w:rsidP="00692F31">
      <w:pPr>
        <w:pStyle w:val="Bodytextreduced"/>
      </w:pPr>
    </w:p>
    <w:p w:rsidR="00485094" w:rsidRDefault="00485094" w:rsidP="00692F31">
      <w:pPr>
        <w:pStyle w:val="ListBullet"/>
      </w:pPr>
      <w:r>
        <w:t>The trend</w:t>
      </w:r>
      <w:r w:rsidRPr="00F30D85">
        <w:t xml:space="preserve"> </w:t>
      </w:r>
      <w:r>
        <w:t xml:space="preserve">analysis for the confined aquifer wells reported 4 stations with an increasing trend and 1 station with a decreasing trend for alkalinity (ALK).  </w:t>
      </w:r>
    </w:p>
    <w:p w:rsidR="00485094" w:rsidRDefault="00485094" w:rsidP="00692F31">
      <w:pPr>
        <w:pStyle w:val="ListBullet"/>
        <w:rPr>
          <w:b/>
        </w:rPr>
      </w:pPr>
      <w:r>
        <w:t>There were 8 stations with an increasing trend in the unconfined aquifer wells and 2 stations with a decreasing trend</w:t>
      </w:r>
      <w:r w:rsidRPr="00F30D85">
        <w:t>.</w:t>
      </w:r>
    </w:p>
    <w:p w:rsidR="00485094" w:rsidRDefault="00485094" w:rsidP="00692F31">
      <w:pPr>
        <w:pStyle w:val="BodyText2"/>
        <w:ind w:right="1440"/>
        <w:jc w:val="both"/>
        <w:rPr>
          <w:rFonts w:cs="Arial"/>
          <w:b/>
          <w:szCs w:val="22"/>
        </w:rPr>
      </w:pPr>
    </w:p>
    <w:p w:rsidR="00485094" w:rsidRPr="00BA565D" w:rsidRDefault="00485094" w:rsidP="00692F31">
      <w:pPr>
        <w:pStyle w:val="Bodytextreduced"/>
      </w:pPr>
      <w:r>
        <w:rPr>
          <w:b/>
        </w:rPr>
        <w:br w:type="page"/>
      </w:r>
    </w:p>
    <w:p w:rsidR="00485094" w:rsidRDefault="00485094" w:rsidP="00692F31">
      <w:pPr>
        <w:pStyle w:val="Caption"/>
      </w:pPr>
      <w:bookmarkStart w:id="526" w:name="_Toc262464329"/>
      <w:bookmarkStart w:id="527" w:name="_Toc271280181"/>
      <w:r w:rsidRPr="00F30D85">
        <w:t xml:space="preserve">Figure </w:t>
      </w:r>
      <w:r>
        <w:t>6.36.</w:t>
      </w:r>
      <w:r w:rsidRPr="00F30D85">
        <w:t xml:space="preserve">  </w:t>
      </w:r>
      <w:r>
        <w:t>Ground</w:t>
      </w:r>
      <w:r w:rsidRPr="00F30D85">
        <w:t xml:space="preserve"> </w:t>
      </w:r>
      <w:r>
        <w:t>Water T</w:t>
      </w:r>
      <w:r w:rsidRPr="00F30D85">
        <w:t xml:space="preserve">rends for </w:t>
      </w:r>
      <w:r>
        <w:t>Total Coliform,</w:t>
      </w:r>
      <w:r w:rsidRPr="00F30D85">
        <w:t xml:space="preserve"> 1999</w:t>
      </w:r>
      <w:r>
        <w:t>–2008</w:t>
      </w:r>
      <w:bookmarkEnd w:id="526"/>
      <w:bookmarkEnd w:id="527"/>
    </w:p>
    <w:p w:rsidR="00485094" w:rsidRDefault="00485094" w:rsidP="00692F31">
      <w:pPr>
        <w:pStyle w:val="BodyText2"/>
        <w:ind w:right="1440"/>
        <w:jc w:val="both"/>
        <w:rPr>
          <w:rFonts w:cs="Arial"/>
          <w:b/>
          <w:szCs w:val="22"/>
        </w:rPr>
      </w:pPr>
    </w:p>
    <w:p w:rsidR="00485094" w:rsidRDefault="001717CD" w:rsidP="00692F31">
      <w:pPr>
        <w:pStyle w:val="BodyText2"/>
        <w:ind w:right="1440"/>
        <w:jc w:val="center"/>
        <w:rPr>
          <w:rFonts w:cs="Arial"/>
          <w:b/>
          <w:szCs w:val="22"/>
        </w:rPr>
      </w:pPr>
      <w:r>
        <w:rPr>
          <w:rFonts w:cs="Arial"/>
          <w:b/>
          <w:noProof/>
          <w:szCs w:val="22"/>
        </w:rPr>
        <w:drawing>
          <wp:inline distT="0" distB="0" distL="0" distR="0">
            <wp:extent cx="5322570" cy="5943600"/>
            <wp:effectExtent l="19050" t="0" r="0" b="0"/>
            <wp:docPr id="27" name="Picture 8" descr="Figure 6.36.  Ground Water Trends for Total Coliform, 1999–2008.  This is a map of the state of Florida showing the statewide ground water total coliform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6.36.  Ground Water Trends for Total Coliform, 1999–2008"/>
                    <pic:cNvPicPr>
                      <a:picLocks noChangeAspect="1" noChangeArrowheads="1"/>
                    </pic:cNvPicPr>
                  </pic:nvPicPr>
                  <pic:blipFill>
                    <a:blip r:embed="rId122"/>
                    <a:srcRect/>
                    <a:stretch>
                      <a:fillRect/>
                    </a:stretch>
                  </pic:blipFill>
                  <pic:spPr bwMode="auto">
                    <a:xfrm>
                      <a:off x="0" y="0"/>
                      <a:ext cx="5322570" cy="5943600"/>
                    </a:xfrm>
                    <a:prstGeom prst="rect">
                      <a:avLst/>
                    </a:prstGeom>
                    <a:noFill/>
                    <a:ln w="9525">
                      <a:noFill/>
                      <a:miter lim="800000"/>
                      <a:headEnd/>
                      <a:tailEnd/>
                    </a:ln>
                  </pic:spPr>
                </pic:pic>
              </a:graphicData>
            </a:graphic>
          </wp:inline>
        </w:drawing>
      </w:r>
    </w:p>
    <w:p w:rsidR="00485094" w:rsidRDefault="00485094" w:rsidP="00692F31">
      <w:pPr>
        <w:pStyle w:val="BodyText2"/>
        <w:ind w:right="1440"/>
        <w:jc w:val="both"/>
        <w:rPr>
          <w:rFonts w:cs="Arial"/>
          <w:b/>
          <w:szCs w:val="22"/>
        </w:rPr>
      </w:pPr>
    </w:p>
    <w:p w:rsidR="00485094" w:rsidRDefault="00485094" w:rsidP="00692F31">
      <w:pPr>
        <w:pStyle w:val="BodyText2"/>
        <w:ind w:right="1440"/>
        <w:jc w:val="both"/>
        <w:rPr>
          <w:rFonts w:cs="Arial"/>
          <w:b/>
          <w:szCs w:val="22"/>
        </w:rPr>
      </w:pPr>
    </w:p>
    <w:p w:rsidR="00485094" w:rsidRPr="00A001D8" w:rsidRDefault="00485094" w:rsidP="00692F31">
      <w:pPr>
        <w:pStyle w:val="Bodytext"/>
        <w:rPr>
          <w:b/>
          <w:szCs w:val="22"/>
        </w:rPr>
      </w:pPr>
      <w:r w:rsidRPr="00A001D8">
        <w:rPr>
          <w:b/>
          <w:szCs w:val="22"/>
        </w:rPr>
        <w:t>Highlights:</w:t>
      </w:r>
    </w:p>
    <w:p w:rsidR="00485094" w:rsidRDefault="00485094" w:rsidP="00692F31">
      <w:pPr>
        <w:pStyle w:val="Bodytextreduced"/>
      </w:pPr>
    </w:p>
    <w:p w:rsidR="00485094" w:rsidRPr="00BA565D" w:rsidRDefault="00485094" w:rsidP="00692F31">
      <w:pPr>
        <w:pStyle w:val="ListBullet"/>
        <w:rPr>
          <w:b/>
        </w:rPr>
      </w:pPr>
      <w:r>
        <w:t>The trend</w:t>
      </w:r>
      <w:r w:rsidRPr="00F30D85">
        <w:t xml:space="preserve"> </w:t>
      </w:r>
      <w:r>
        <w:t xml:space="preserve">analysis for the confined aquifer wells reported 2 stations with an increasing trend and none of the stations with a decreasing trend for total coliform (TC).  </w:t>
      </w:r>
    </w:p>
    <w:p w:rsidR="00485094" w:rsidRDefault="00485094" w:rsidP="00692F31">
      <w:pPr>
        <w:pStyle w:val="ListBullet"/>
        <w:rPr>
          <w:b/>
        </w:rPr>
      </w:pPr>
      <w:r>
        <w:t>There were 5 stations with an increasing trend in the unconfined aquifer wells and none of the stations with a decreasing trend</w:t>
      </w:r>
      <w:r w:rsidRPr="00F30D85">
        <w:t>.</w:t>
      </w:r>
    </w:p>
    <w:p w:rsidR="00485094" w:rsidRDefault="00485094" w:rsidP="00692F31">
      <w:pPr>
        <w:pStyle w:val="BodyText2"/>
        <w:ind w:right="1440"/>
        <w:jc w:val="both"/>
        <w:rPr>
          <w:rFonts w:cs="Arial"/>
          <w:b/>
          <w:szCs w:val="22"/>
        </w:rPr>
      </w:pPr>
    </w:p>
    <w:p w:rsidR="00485094" w:rsidRDefault="00485094" w:rsidP="00692F31">
      <w:pPr>
        <w:pStyle w:val="Bodytextreduced"/>
      </w:pPr>
      <w:r>
        <w:br w:type="page"/>
      </w:r>
    </w:p>
    <w:p w:rsidR="00485094" w:rsidRDefault="00485094" w:rsidP="00692F31">
      <w:pPr>
        <w:pStyle w:val="Caption"/>
      </w:pPr>
      <w:bookmarkStart w:id="528" w:name="_Toc262464330"/>
      <w:bookmarkStart w:id="529" w:name="_Toc271280182"/>
      <w:r w:rsidRPr="00F30D85">
        <w:t xml:space="preserve">Figure </w:t>
      </w:r>
      <w:r>
        <w:t>6.37.</w:t>
      </w:r>
      <w:r w:rsidRPr="00F30D85">
        <w:t xml:space="preserve">  </w:t>
      </w:r>
      <w:r>
        <w:t>Ground</w:t>
      </w:r>
      <w:r w:rsidRPr="00F30D85">
        <w:t xml:space="preserve"> </w:t>
      </w:r>
      <w:r>
        <w:t>Water T</w:t>
      </w:r>
      <w:r w:rsidRPr="00F30D85">
        <w:t xml:space="preserve">rends for </w:t>
      </w:r>
      <w:r>
        <w:t xml:space="preserve">Fecal Coliform, </w:t>
      </w:r>
      <w:r w:rsidRPr="00F30D85">
        <w:t>1999</w:t>
      </w:r>
      <w:r>
        <w:t>–2008</w:t>
      </w:r>
      <w:bookmarkEnd w:id="528"/>
      <w:bookmarkEnd w:id="529"/>
    </w:p>
    <w:p w:rsidR="00485094" w:rsidRDefault="00485094" w:rsidP="00692F31">
      <w:pPr>
        <w:pStyle w:val="BodyText2"/>
        <w:ind w:right="1440"/>
        <w:jc w:val="both"/>
        <w:rPr>
          <w:rFonts w:cs="Arial"/>
          <w:b/>
          <w:szCs w:val="22"/>
        </w:rPr>
      </w:pPr>
    </w:p>
    <w:p w:rsidR="00485094" w:rsidRDefault="001717CD" w:rsidP="00692F31">
      <w:pPr>
        <w:pStyle w:val="BodyText2"/>
        <w:ind w:right="1440"/>
        <w:jc w:val="center"/>
        <w:rPr>
          <w:rFonts w:cs="Arial"/>
          <w:b/>
          <w:szCs w:val="22"/>
        </w:rPr>
      </w:pPr>
      <w:r>
        <w:rPr>
          <w:rFonts w:cs="Arial"/>
          <w:b/>
          <w:noProof/>
          <w:szCs w:val="22"/>
        </w:rPr>
        <w:drawing>
          <wp:inline distT="0" distB="0" distL="0" distR="0">
            <wp:extent cx="5322570" cy="5943600"/>
            <wp:effectExtent l="19050" t="0" r="0" b="0"/>
            <wp:docPr id="28" name="Picture 9" descr="Figure 6.37.  Ground Water Trends for Fecal Coliform, 1999–2008.  This is a map of the state of Florida showing the statewide ground water fecal coliform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6.37.  Ground Water Trends for Fecal Coliform, 1999–2008"/>
                    <pic:cNvPicPr>
                      <a:picLocks noChangeAspect="1" noChangeArrowheads="1"/>
                    </pic:cNvPicPr>
                  </pic:nvPicPr>
                  <pic:blipFill>
                    <a:blip r:embed="rId123"/>
                    <a:srcRect/>
                    <a:stretch>
                      <a:fillRect/>
                    </a:stretch>
                  </pic:blipFill>
                  <pic:spPr bwMode="auto">
                    <a:xfrm>
                      <a:off x="0" y="0"/>
                      <a:ext cx="5322570" cy="5943600"/>
                    </a:xfrm>
                    <a:prstGeom prst="rect">
                      <a:avLst/>
                    </a:prstGeom>
                    <a:noFill/>
                    <a:ln w="9525">
                      <a:noFill/>
                      <a:miter lim="800000"/>
                      <a:headEnd/>
                      <a:tailEnd/>
                    </a:ln>
                  </pic:spPr>
                </pic:pic>
              </a:graphicData>
            </a:graphic>
          </wp:inline>
        </w:drawing>
      </w:r>
    </w:p>
    <w:p w:rsidR="00485094" w:rsidRDefault="00485094" w:rsidP="00692F31">
      <w:pPr>
        <w:pStyle w:val="BodyText2"/>
        <w:ind w:right="1440"/>
        <w:jc w:val="both"/>
        <w:rPr>
          <w:rFonts w:cs="Arial"/>
          <w:b/>
          <w:szCs w:val="22"/>
        </w:rPr>
      </w:pPr>
    </w:p>
    <w:p w:rsidR="00485094" w:rsidRDefault="00485094" w:rsidP="00692F31">
      <w:pPr>
        <w:pStyle w:val="BodyText2"/>
        <w:ind w:right="1440"/>
        <w:jc w:val="both"/>
        <w:rPr>
          <w:rFonts w:cs="Arial"/>
          <w:b/>
          <w:szCs w:val="22"/>
        </w:rPr>
      </w:pPr>
    </w:p>
    <w:p w:rsidR="00485094" w:rsidRPr="00A001D8" w:rsidRDefault="00485094" w:rsidP="00692F31">
      <w:pPr>
        <w:pStyle w:val="Bodytext"/>
        <w:rPr>
          <w:b/>
          <w:szCs w:val="22"/>
        </w:rPr>
      </w:pPr>
      <w:r w:rsidRPr="00A001D8">
        <w:rPr>
          <w:b/>
          <w:szCs w:val="22"/>
        </w:rPr>
        <w:t>Highlights:</w:t>
      </w:r>
    </w:p>
    <w:p w:rsidR="00485094" w:rsidRDefault="00485094" w:rsidP="00692F31">
      <w:pPr>
        <w:pStyle w:val="Bodytextreduced"/>
      </w:pPr>
    </w:p>
    <w:p w:rsidR="00485094" w:rsidRPr="00BA565D" w:rsidRDefault="00485094" w:rsidP="00692F31">
      <w:pPr>
        <w:pStyle w:val="ListBullet"/>
        <w:rPr>
          <w:b/>
        </w:rPr>
      </w:pPr>
      <w:r>
        <w:t>The trend</w:t>
      </w:r>
      <w:r w:rsidRPr="00F30D85">
        <w:t xml:space="preserve"> </w:t>
      </w:r>
      <w:r>
        <w:t xml:space="preserve">analysis for the confined aquifer wells reported 3 stations with an increasing trend and none of the stations with a decreasing trend for fecal coliform (FC).  </w:t>
      </w:r>
    </w:p>
    <w:p w:rsidR="00485094" w:rsidRDefault="00485094" w:rsidP="00692F31">
      <w:pPr>
        <w:pStyle w:val="ListBullet"/>
        <w:rPr>
          <w:b/>
        </w:rPr>
      </w:pPr>
      <w:r>
        <w:t>There were 3 stations with an increasing trend in the unconfined aquifer wells and none of the stations with a decreasing trend</w:t>
      </w:r>
      <w:r w:rsidRPr="00F30D85">
        <w:t>.</w:t>
      </w:r>
    </w:p>
    <w:bookmarkEnd w:id="489"/>
    <w:p w:rsidR="00485094" w:rsidRDefault="00485094" w:rsidP="00692F31">
      <w:pPr>
        <w:pStyle w:val="BodyText2"/>
        <w:ind w:right="1440"/>
        <w:jc w:val="both"/>
      </w:pPr>
    </w:p>
    <w:p w:rsidR="00485094" w:rsidRDefault="00485094" w:rsidP="00692F31">
      <w:pPr>
        <w:pStyle w:val="Bodytextreduced"/>
      </w:pPr>
      <w:r>
        <w:br w:type="page"/>
      </w:r>
    </w:p>
    <w:p w:rsidR="00FC6EE0" w:rsidRDefault="00FC6EE0" w:rsidP="00FC6EE0">
      <w:pPr>
        <w:pStyle w:val="Bodytextreduced"/>
      </w:pPr>
      <w:bookmarkStart w:id="530" w:name="_Chapter_7.__1"/>
      <w:bookmarkStart w:id="531" w:name="_Toc271279980"/>
      <w:bookmarkEnd w:id="530"/>
    </w:p>
    <w:p w:rsidR="00485094" w:rsidRDefault="00485094" w:rsidP="00E0259A">
      <w:pPr>
        <w:pStyle w:val="Heading1"/>
      </w:pPr>
      <w:r>
        <w:t xml:space="preserve">Chapter 7.  Introduction to Strategic Monitoring </w:t>
      </w:r>
      <w:bookmarkEnd w:id="466"/>
      <w:r>
        <w:t>and assessment</w:t>
      </w:r>
      <w:bookmarkEnd w:id="531"/>
    </w:p>
    <w:p w:rsidR="00485094" w:rsidRDefault="00485094" w:rsidP="00923878"/>
    <w:p w:rsidR="00485094" w:rsidRDefault="00485094" w:rsidP="004449BF">
      <w:pPr>
        <w:pStyle w:val="Heading2"/>
      </w:pPr>
      <w:bookmarkStart w:id="532" w:name="_Toc254269884"/>
      <w:bookmarkStart w:id="533" w:name="_Toc255822539"/>
      <w:bookmarkStart w:id="534" w:name="_Toc271279981"/>
      <w:r>
        <w:t>Approach to the Comprehensive Assessment:  Sections 305(b) and 303(d)</w:t>
      </w:r>
      <w:bookmarkEnd w:id="532"/>
      <w:bookmarkEnd w:id="533"/>
      <w:bookmarkEnd w:id="534"/>
    </w:p>
    <w:p w:rsidR="00485094" w:rsidRDefault="00485094" w:rsidP="005F5866">
      <w:pPr>
        <w:pStyle w:val="Bodytext"/>
        <w:rPr>
          <w:color w:val="000000"/>
          <w:szCs w:val="22"/>
        </w:rPr>
      </w:pPr>
      <w:r w:rsidRPr="003A021B">
        <w:t xml:space="preserve">The EPA has requested that the states merge their reporting requirements under the </w:t>
      </w:r>
      <w:r>
        <w:t>CWA</w:t>
      </w:r>
      <w:r w:rsidRPr="003A021B">
        <w:t xml:space="preserve"> for Section 305(b) surface water quality reports and Section 303(d) lists of impaired waters into an Integrated Water Quality Monitoring and Assessment Report (Wayland, 2001).  </w:t>
      </w:r>
      <w:r w:rsidRPr="003A021B">
        <w:rPr>
          <w:color w:val="000000"/>
          <w:szCs w:val="22"/>
        </w:rPr>
        <w:t xml:space="preserve">Following the EPA’s guidance, </w:t>
      </w:r>
      <w:r>
        <w:rPr>
          <w:color w:val="000000"/>
          <w:szCs w:val="22"/>
        </w:rPr>
        <w:t>FDEP</w:t>
      </w:r>
      <w:r w:rsidRPr="003A021B">
        <w:rPr>
          <w:color w:val="000000"/>
          <w:szCs w:val="22"/>
        </w:rPr>
        <w:t xml:space="preserve"> delineated waterbodies or waterbody segments in each basin, assessed them for impairment based on individual parameters, and then placed </w:t>
      </w:r>
      <w:r>
        <w:rPr>
          <w:color w:val="000000"/>
          <w:szCs w:val="22"/>
        </w:rPr>
        <w:t>each assessment</w:t>
      </w:r>
      <w:r w:rsidRPr="003A021B">
        <w:rPr>
          <w:color w:val="000000"/>
          <w:szCs w:val="22"/>
        </w:rPr>
        <w:t xml:space="preserve"> into one of five major assessment categories and subcategories.  These categories provide information on a waterbody’s status based on water quality, sufficiency of data, and the need for </w:t>
      </w:r>
      <w:r w:rsidRPr="00213E18">
        <w:rPr>
          <w:color w:val="000000"/>
          <w:szCs w:val="22"/>
        </w:rPr>
        <w:t xml:space="preserve">TMDL development </w:t>
      </w:r>
      <w:r w:rsidRPr="00213E18">
        <w:rPr>
          <w:i/>
          <w:color w:val="000000"/>
          <w:szCs w:val="22"/>
        </w:rPr>
        <w:t>(</w:t>
      </w:r>
      <w:r w:rsidRPr="00213E18">
        <w:rPr>
          <w:b/>
          <w:i/>
          <w:color w:val="000000"/>
          <w:szCs w:val="22"/>
        </w:rPr>
        <w:t>Table 7.1</w:t>
      </w:r>
      <w:r w:rsidRPr="00213E18">
        <w:rPr>
          <w:i/>
          <w:color w:val="000000"/>
          <w:szCs w:val="22"/>
        </w:rPr>
        <w:t>).</w:t>
      </w:r>
      <w:r w:rsidRPr="00213E18">
        <w:rPr>
          <w:color w:val="000000"/>
          <w:szCs w:val="22"/>
        </w:rPr>
        <w:t xml:space="preserve">  </w:t>
      </w:r>
    </w:p>
    <w:p w:rsidR="00485094" w:rsidRDefault="00485094" w:rsidP="005F5866">
      <w:pPr>
        <w:pStyle w:val="Bodytext"/>
        <w:rPr>
          <w:color w:val="000000"/>
          <w:szCs w:val="22"/>
        </w:rPr>
      </w:pPr>
    </w:p>
    <w:p w:rsidR="00485094" w:rsidRPr="00B106AA" w:rsidRDefault="00485094" w:rsidP="005F5866">
      <w:pPr>
        <w:pStyle w:val="Bodytext"/>
        <w:rPr>
          <w:color w:val="000000"/>
          <w:szCs w:val="22"/>
        </w:rPr>
      </w:pPr>
      <w:r w:rsidRPr="00213E18">
        <w:rPr>
          <w:color w:val="000000"/>
          <w:szCs w:val="22"/>
        </w:rPr>
        <w:t>The EPA allows states to develop individual subcategories to</w:t>
      </w:r>
      <w:r>
        <w:rPr>
          <w:color w:val="000000"/>
          <w:szCs w:val="22"/>
        </w:rPr>
        <w:t xml:space="preserve"> fit a unique or specialized set of circumstances.  These subcategories must be consistent with the purpose of the more general category and must be approved by the EPA during its review of each state’s methodology for developing lists of impaired waters.  In addition, EPA requires that states describe the categories and subcategories it applies to the public.  In Florida, these procedures are clearly presented during the development of each year’s group of impaired waters lists.  </w:t>
      </w:r>
    </w:p>
    <w:p w:rsidR="00485094" w:rsidRDefault="00485094" w:rsidP="005F5866">
      <w:pPr>
        <w:pStyle w:val="BodyText0"/>
        <w:rPr>
          <w:color w:val="000000"/>
        </w:rPr>
      </w:pPr>
    </w:p>
    <w:p w:rsidR="00485094" w:rsidRPr="003A021B" w:rsidRDefault="00485094" w:rsidP="000D304A">
      <w:pPr>
        <w:pStyle w:val="BodyText0"/>
        <w:rPr>
          <w:sz w:val="22"/>
          <w:szCs w:val="22"/>
        </w:rPr>
      </w:pPr>
      <w:r w:rsidRPr="003A021B">
        <w:rPr>
          <w:sz w:val="22"/>
          <w:szCs w:val="22"/>
        </w:rPr>
        <w:t xml:space="preserve">The primary purpose of the assessments for the </w:t>
      </w:r>
      <w:hyperlink r:id="rId124" w:history="1">
        <w:r w:rsidRPr="00FA7EAD">
          <w:rPr>
            <w:rStyle w:val="Hyperlink"/>
            <w:sz w:val="22"/>
            <w:szCs w:val="22"/>
          </w:rPr>
          <w:t>Watershed Assessment Program</w:t>
        </w:r>
      </w:hyperlink>
      <w:r>
        <w:rPr>
          <w:sz w:val="22"/>
          <w:szCs w:val="22"/>
        </w:rPr>
        <w:t xml:space="preserve"> and </w:t>
      </w:r>
      <w:hyperlink r:id="rId125" w:history="1">
        <w:r w:rsidRPr="00FA7EAD">
          <w:rPr>
            <w:rStyle w:val="Hyperlink"/>
            <w:sz w:val="22"/>
            <w:szCs w:val="22"/>
          </w:rPr>
          <w:t>TMDL Program</w:t>
        </w:r>
      </w:hyperlink>
      <w:r w:rsidRPr="003A021B">
        <w:rPr>
          <w:sz w:val="22"/>
          <w:szCs w:val="22"/>
        </w:rPr>
        <w:t xml:space="preserve"> is to determine if waterbodies or waterbody segments </w:t>
      </w:r>
      <w:r>
        <w:rPr>
          <w:sz w:val="22"/>
          <w:szCs w:val="22"/>
        </w:rPr>
        <w:t>should</w:t>
      </w:r>
      <w:r w:rsidRPr="003A021B">
        <w:rPr>
          <w:sz w:val="22"/>
          <w:szCs w:val="22"/>
        </w:rPr>
        <w:t xml:space="preserve"> be placed on the Verified List of impaired waterbodies.  The listings are made in accordance with evaluation thresholds and data sufficiency and data quality requirements in the IWR (</w:t>
      </w:r>
      <w:r>
        <w:rPr>
          <w:sz w:val="22"/>
          <w:szCs w:val="22"/>
        </w:rPr>
        <w:t>Chapter</w:t>
      </w:r>
      <w:r w:rsidRPr="003A021B">
        <w:rPr>
          <w:sz w:val="22"/>
          <w:szCs w:val="22"/>
        </w:rPr>
        <w:t xml:space="preserve"> 62-303, F.A.C.).  The results of the assessment are used to identify waters in each basin for which TMDLs will be developed.</w:t>
      </w:r>
    </w:p>
    <w:p w:rsidR="00485094" w:rsidRPr="003A021B" w:rsidRDefault="00485094" w:rsidP="000D304A">
      <w:pPr>
        <w:pStyle w:val="BodyText0"/>
        <w:rPr>
          <w:color w:val="000000"/>
          <w:sz w:val="22"/>
          <w:szCs w:val="22"/>
        </w:rPr>
      </w:pPr>
    </w:p>
    <w:p w:rsidR="00485094" w:rsidRPr="003A021B" w:rsidRDefault="00485094" w:rsidP="000D304A">
      <w:pPr>
        <w:pStyle w:val="BodyText0"/>
        <w:rPr>
          <w:color w:val="000000"/>
          <w:sz w:val="22"/>
          <w:szCs w:val="22"/>
        </w:rPr>
      </w:pPr>
      <w:r w:rsidRPr="003A021B">
        <w:rPr>
          <w:color w:val="000000"/>
          <w:sz w:val="22"/>
          <w:szCs w:val="22"/>
        </w:rPr>
        <w:t xml:space="preserve">Determining impairment in individual waterbodies takes place in two phases.  First, in each river basin FDEP evaluates the existing water quality data, using the methodology prescribed in the IWR, to determine whether waters are potentially impaired.  </w:t>
      </w:r>
      <w:r w:rsidRPr="003A021B">
        <w:rPr>
          <w:sz w:val="22"/>
          <w:szCs w:val="22"/>
        </w:rPr>
        <w:t xml:space="preserve">Waters found to be potentially impaired </w:t>
      </w:r>
      <w:r w:rsidRPr="003A021B">
        <w:rPr>
          <w:color w:val="000000"/>
          <w:sz w:val="22"/>
          <w:szCs w:val="22"/>
        </w:rPr>
        <w:t xml:space="preserve">are included on a </w:t>
      </w:r>
      <w:r w:rsidRPr="003A021B">
        <w:rPr>
          <w:i/>
          <w:color w:val="000000"/>
          <w:sz w:val="22"/>
          <w:szCs w:val="22"/>
        </w:rPr>
        <w:t>Planning List</w:t>
      </w:r>
      <w:r w:rsidRPr="003A021B">
        <w:rPr>
          <w:color w:val="000000"/>
          <w:sz w:val="22"/>
          <w:szCs w:val="22"/>
        </w:rPr>
        <w:t xml:space="preserve"> for further assessment under Subsections 403.067(2) and (3), F.S.  As required by Subsection 403.067(2), F.S., the Planning List is </w:t>
      </w:r>
      <w:r>
        <w:rPr>
          <w:color w:val="000000"/>
          <w:sz w:val="22"/>
          <w:szCs w:val="22"/>
        </w:rPr>
        <w:t xml:space="preserve">included as part of the master list, but it is </w:t>
      </w:r>
      <w:r w:rsidRPr="003A021B">
        <w:rPr>
          <w:color w:val="000000"/>
          <w:sz w:val="22"/>
          <w:szCs w:val="22"/>
        </w:rPr>
        <w:t>not used to administer or implement any regulatory program</w:t>
      </w:r>
      <w:r>
        <w:rPr>
          <w:color w:val="000000"/>
          <w:sz w:val="22"/>
          <w:szCs w:val="22"/>
        </w:rPr>
        <w:t xml:space="preserve"> and is submitted to the EPA for informational purposes only.</w:t>
      </w:r>
    </w:p>
    <w:p w:rsidR="00485094" w:rsidRPr="003A021B" w:rsidRDefault="00485094" w:rsidP="000D304A">
      <w:pPr>
        <w:pStyle w:val="BodyText0"/>
        <w:rPr>
          <w:color w:val="000000"/>
          <w:sz w:val="22"/>
          <w:szCs w:val="22"/>
        </w:rPr>
      </w:pPr>
    </w:p>
    <w:p w:rsidR="00485094" w:rsidRPr="003A021B" w:rsidRDefault="00485094" w:rsidP="000D304A">
      <w:pPr>
        <w:pStyle w:val="BodyText0"/>
        <w:rPr>
          <w:color w:val="000000"/>
          <w:sz w:val="22"/>
          <w:szCs w:val="22"/>
        </w:rPr>
      </w:pPr>
      <w:r w:rsidRPr="003A021B">
        <w:rPr>
          <w:color w:val="000000"/>
          <w:sz w:val="22"/>
          <w:szCs w:val="22"/>
        </w:rPr>
        <w:t>The second step is to assess waters on the Planning List under Subsection 403.067(3), F.S., as part of FDEP’s watershed management approach.  FDEP carries out additional data gathering and strategic monitoring, focusing on these potentially impaired waters, and determines—using the methodology in the IWR—if a waterbody is, in fact, impaired and if the impairment is caused by pollutant discharges.</w:t>
      </w:r>
    </w:p>
    <w:p w:rsidR="00485094" w:rsidRPr="005F26C1" w:rsidRDefault="00485094" w:rsidP="000D304A">
      <w:pPr>
        <w:pStyle w:val="Bodytextreduced"/>
      </w:pPr>
      <w:r>
        <w:br w:type="page"/>
      </w:r>
    </w:p>
    <w:p w:rsidR="00485094" w:rsidRDefault="00485094" w:rsidP="005F5866">
      <w:pPr>
        <w:pStyle w:val="Tableheading"/>
      </w:pPr>
      <w:bookmarkStart w:id="535" w:name="_Toc254267130"/>
      <w:bookmarkStart w:id="536" w:name="_Toc255807505"/>
      <w:bookmarkStart w:id="537" w:name="_Toc271280111"/>
      <w:r w:rsidRPr="005F26C1">
        <w:t xml:space="preserve">Table </w:t>
      </w:r>
      <w:r>
        <w:t>7.1.</w:t>
      </w:r>
      <w:r w:rsidRPr="005F26C1">
        <w:t xml:space="preserve">  Categories for Waterbodies or Waterbody Segments in the 20</w:t>
      </w:r>
      <w:r>
        <w:t xml:space="preserve">10 </w:t>
      </w:r>
      <w:r w:rsidRPr="005F26C1">
        <w:t>Integrated Report</w:t>
      </w:r>
      <w:bookmarkEnd w:id="535"/>
      <w:bookmarkEnd w:id="536"/>
      <w:bookmarkEnd w:id="537"/>
    </w:p>
    <w:p w:rsidR="00485094" w:rsidRDefault="00485094" w:rsidP="00FE4395">
      <w:pPr>
        <w:pStyle w:val="TabledescriptionBF"/>
      </w:pPr>
      <w:r>
        <w:t>This is a three-column table.  Column 1 lists the waterbody categories, Column 2 provides a description, and Column 3 provides comments.</w:t>
      </w:r>
    </w:p>
    <w:p w:rsidR="00485094" w:rsidRPr="00FE4395" w:rsidRDefault="00485094" w:rsidP="00FE4395">
      <w:pPr>
        <w:pStyle w:val="Bodytextreduced"/>
        <w:rPr>
          <w:szCs w:val="16"/>
        </w:rPr>
      </w:pPr>
    </w:p>
    <w:p w:rsidR="00485094" w:rsidRPr="00FE4395" w:rsidRDefault="00485094" w:rsidP="00FE4395">
      <w:pPr>
        <w:pStyle w:val="Bodytextreduced"/>
        <w:rPr>
          <w:szCs w:val="16"/>
        </w:rPr>
      </w:pPr>
      <w:r w:rsidRPr="00FE4395">
        <w:rPr>
          <w:b/>
          <w:szCs w:val="16"/>
        </w:rPr>
        <w:t>Note:</w:t>
      </w:r>
      <w:r w:rsidRPr="00FE4395">
        <w:rPr>
          <w:szCs w:val="16"/>
        </w:rPr>
        <w:t xml:space="preserve">  The descriptions in this table are consistent with the EPA’s integrated assessment categories.  In the </w:t>
      </w:r>
      <w:r>
        <w:rPr>
          <w:szCs w:val="16"/>
        </w:rPr>
        <w:t>Basin</w:t>
      </w:r>
      <w:r w:rsidRPr="00FE4395">
        <w:rPr>
          <w:szCs w:val="16"/>
        </w:rPr>
        <w:t xml:space="preserve"> Status Reports for Groups 1 through 3 and in the Water Quality Assessment Reports for Groups 1 through 2 that were previously produced, Categories 4b and 4c were reversed.  That is, the description of Category 4b was previously listed as Category 4c, and the description of Category 4c was listed as Category 4b.</w:t>
      </w:r>
    </w:p>
    <w:p w:rsidR="00485094" w:rsidRPr="00FE4395" w:rsidRDefault="00485094" w:rsidP="00FE4395">
      <w:pPr>
        <w:pStyle w:val="Bodytextreduced"/>
        <w:rPr>
          <w:szCs w:val="16"/>
        </w:rPr>
      </w:pPr>
    </w:p>
    <w:p w:rsidR="00485094" w:rsidRPr="00FE4395" w:rsidRDefault="00485094" w:rsidP="00FE4395">
      <w:pPr>
        <w:pStyle w:val="Bodytextreduced"/>
        <w:rPr>
          <w:szCs w:val="22"/>
        </w:rPr>
      </w:pPr>
      <w:r w:rsidRPr="00FE4395">
        <w:rPr>
          <w:szCs w:val="16"/>
        </w:rPr>
        <w:t>Waterbodies that are verified impaired due to specified pollutants, and therefore require a TMDL, are listed under Category 5 in the Integrated Report; waterbodies with water quality impairments due to other causes, or unknown causes, are listed under Category 4c.  Although TMDLs are not established for Category 4c waterbodies, these waterbodies still may be addressed through a watershed management program (for example, the Kissimmee River restoration).</w:t>
      </w:r>
    </w:p>
    <w:p w:rsidR="00485094" w:rsidRPr="00FE4395" w:rsidRDefault="00485094" w:rsidP="00FE4395">
      <w:pPr>
        <w:pStyle w:val="Bodytextreduced"/>
      </w:pPr>
    </w:p>
    <w:p w:rsidR="00485094" w:rsidRPr="00FE4395" w:rsidRDefault="00485094" w:rsidP="00FE4395">
      <w:pPr>
        <w:pStyle w:val="Bodytextreduced"/>
        <w:rPr>
          <w:szCs w:val="16"/>
        </w:rPr>
      </w:pPr>
      <w:r w:rsidRPr="00FE4395">
        <w:rPr>
          <w:szCs w:val="16"/>
          <w:vertAlign w:val="superscript"/>
        </w:rPr>
        <w:t>1</w:t>
      </w:r>
      <w:r w:rsidRPr="00FE4395">
        <w:rPr>
          <w:szCs w:val="16"/>
        </w:rPr>
        <w:t xml:space="preserve"> For purposes of the TMDL Program, pollutants are chemical and biological constituents, introduced by humans into a waterbody, that may result in pollution (water quality impairment).  There are other causes of pollution, such as the physical alteration of a waterbody (for example, canals, dams, and ditches).  However, TMDLs are established only for impairments caused by pollutants (a TMDL quantifies how much of a given pollutant a waterbody can receive and still meet its designated uses).</w:t>
      </w:r>
    </w:p>
    <w:p w:rsidR="00485094" w:rsidRPr="00FE4395" w:rsidRDefault="00485094" w:rsidP="00FE4395">
      <w:pPr>
        <w:pStyle w:val="Bodytextreduced"/>
        <w:rPr>
          <w:szCs w:val="16"/>
        </w:rPr>
      </w:pPr>
    </w:p>
    <w:tbl>
      <w:tblPr>
        <w:tblW w:w="10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76"/>
        <w:gridCol w:w="3841"/>
        <w:gridCol w:w="5096"/>
      </w:tblGrid>
      <w:tr w:rsidR="00485094" w:rsidRPr="0054245F" w:rsidTr="00E86B70">
        <w:trPr>
          <w:trHeight w:val="350"/>
          <w:tblHeader/>
          <w:jc w:val="center"/>
        </w:trPr>
        <w:tc>
          <w:tcPr>
            <w:tcW w:w="1076" w:type="dxa"/>
            <w:tcBorders>
              <w:bottom w:val="double" w:sz="4" w:space="0" w:color="auto"/>
            </w:tcBorders>
            <w:shd w:val="clear" w:color="auto" w:fill="BDFFFF"/>
            <w:vAlign w:val="center"/>
          </w:tcPr>
          <w:p w:rsidR="00485094" w:rsidRPr="0054245F" w:rsidRDefault="00485094" w:rsidP="005F5866">
            <w:pPr>
              <w:pStyle w:val="TableText"/>
              <w:jc w:val="center"/>
              <w:rPr>
                <w:b/>
                <w:i/>
              </w:rPr>
            </w:pPr>
            <w:r w:rsidRPr="0054245F">
              <w:rPr>
                <w:b/>
                <w:i/>
              </w:rPr>
              <w:t>Category</w:t>
            </w:r>
          </w:p>
        </w:tc>
        <w:tc>
          <w:tcPr>
            <w:tcW w:w="3841" w:type="dxa"/>
            <w:tcBorders>
              <w:bottom w:val="double" w:sz="4" w:space="0" w:color="auto"/>
            </w:tcBorders>
            <w:shd w:val="clear" w:color="auto" w:fill="BDFFFF"/>
            <w:vAlign w:val="center"/>
          </w:tcPr>
          <w:p w:rsidR="00485094" w:rsidRPr="0054245F" w:rsidRDefault="00485094" w:rsidP="005F5866">
            <w:pPr>
              <w:pStyle w:val="TableText"/>
              <w:jc w:val="center"/>
              <w:rPr>
                <w:b/>
                <w:i/>
              </w:rPr>
            </w:pPr>
            <w:r w:rsidRPr="0054245F">
              <w:rPr>
                <w:b/>
                <w:i/>
              </w:rPr>
              <w:t>Description</w:t>
            </w:r>
          </w:p>
        </w:tc>
        <w:tc>
          <w:tcPr>
            <w:tcW w:w="5096" w:type="dxa"/>
            <w:tcBorders>
              <w:bottom w:val="double" w:sz="4" w:space="0" w:color="auto"/>
            </w:tcBorders>
            <w:shd w:val="clear" w:color="auto" w:fill="BDFFFF"/>
            <w:vAlign w:val="center"/>
          </w:tcPr>
          <w:p w:rsidR="00485094" w:rsidRPr="0054245F" w:rsidRDefault="00485094" w:rsidP="005F5866">
            <w:pPr>
              <w:pStyle w:val="TableText"/>
              <w:jc w:val="center"/>
              <w:rPr>
                <w:b/>
                <w:i/>
              </w:rPr>
            </w:pPr>
            <w:r w:rsidRPr="0054245F">
              <w:rPr>
                <w:b/>
                <w:i/>
              </w:rPr>
              <w:t>Comments</w:t>
            </w:r>
          </w:p>
        </w:tc>
      </w:tr>
      <w:tr w:rsidR="00485094" w:rsidTr="00E86B70">
        <w:trPr>
          <w:jc w:val="center"/>
        </w:trPr>
        <w:tc>
          <w:tcPr>
            <w:tcW w:w="1076" w:type="dxa"/>
            <w:tcBorders>
              <w:top w:val="double" w:sz="4" w:space="0" w:color="auto"/>
            </w:tcBorders>
            <w:shd w:val="clear" w:color="auto" w:fill="FFFFCC"/>
            <w:vAlign w:val="center"/>
          </w:tcPr>
          <w:p w:rsidR="00485094" w:rsidRDefault="00485094" w:rsidP="005F5866">
            <w:pPr>
              <w:pStyle w:val="TableText"/>
              <w:jc w:val="center"/>
            </w:pPr>
            <w:r>
              <w:t>1</w:t>
            </w:r>
          </w:p>
        </w:tc>
        <w:tc>
          <w:tcPr>
            <w:tcW w:w="3841" w:type="dxa"/>
            <w:tcBorders>
              <w:top w:val="double" w:sz="4" w:space="0" w:color="auto"/>
            </w:tcBorders>
            <w:vAlign w:val="center"/>
          </w:tcPr>
          <w:p w:rsidR="00485094" w:rsidRDefault="00485094" w:rsidP="005F5866">
            <w:pPr>
              <w:pStyle w:val="TableText"/>
            </w:pPr>
            <w:r>
              <w:t>Attaining all designated uses</w:t>
            </w:r>
          </w:p>
        </w:tc>
        <w:tc>
          <w:tcPr>
            <w:tcW w:w="5096" w:type="dxa"/>
            <w:tcBorders>
              <w:top w:val="double" w:sz="4" w:space="0" w:color="auto"/>
            </w:tcBorders>
            <w:vAlign w:val="center"/>
          </w:tcPr>
          <w:p w:rsidR="00485094" w:rsidRDefault="00485094" w:rsidP="005F5866">
            <w:pPr>
              <w:pStyle w:val="TableText"/>
            </w:pPr>
            <w:r>
              <w:t>If use attainment is verified for a waterbody or segment that was previously listed as impaired, FDEP will propose that it be delisted.</w:t>
            </w:r>
          </w:p>
        </w:tc>
      </w:tr>
      <w:tr w:rsidR="00485094" w:rsidTr="00FE4395">
        <w:trPr>
          <w:jc w:val="center"/>
        </w:trPr>
        <w:tc>
          <w:tcPr>
            <w:tcW w:w="1076" w:type="dxa"/>
            <w:shd w:val="clear" w:color="auto" w:fill="FFFFCC"/>
            <w:vAlign w:val="center"/>
          </w:tcPr>
          <w:p w:rsidR="00485094" w:rsidRDefault="00485094" w:rsidP="005F5866">
            <w:pPr>
              <w:pStyle w:val="TableText"/>
              <w:jc w:val="center"/>
            </w:pPr>
            <w:r>
              <w:t>2</w:t>
            </w:r>
          </w:p>
        </w:tc>
        <w:tc>
          <w:tcPr>
            <w:tcW w:w="3841" w:type="dxa"/>
            <w:vAlign w:val="center"/>
          </w:tcPr>
          <w:p w:rsidR="00485094" w:rsidRDefault="00485094" w:rsidP="005F5866">
            <w:pPr>
              <w:pStyle w:val="TableText"/>
            </w:pPr>
            <w:r>
              <w:t>Attaining some designated uses and insufficient or no information or data are present to determine if remaining uses are attained</w:t>
            </w:r>
          </w:p>
        </w:tc>
        <w:tc>
          <w:tcPr>
            <w:tcW w:w="5096" w:type="dxa"/>
            <w:vAlign w:val="center"/>
          </w:tcPr>
          <w:p w:rsidR="00485094" w:rsidRDefault="00485094" w:rsidP="005F5866">
            <w:pPr>
              <w:pStyle w:val="TableText"/>
            </w:pPr>
            <w:r>
              <w:t>If attainment is verified for some designated uses of a waterbody or segment, FDEP will propose partial delisting for the uses attained.  Future monitoring will be recommended to determine if remaining uses are attained.</w:t>
            </w:r>
          </w:p>
        </w:tc>
      </w:tr>
      <w:tr w:rsidR="00485094" w:rsidTr="00FE4395">
        <w:trPr>
          <w:jc w:val="center"/>
        </w:trPr>
        <w:tc>
          <w:tcPr>
            <w:tcW w:w="1076" w:type="dxa"/>
            <w:shd w:val="clear" w:color="auto" w:fill="FFFFCC"/>
            <w:vAlign w:val="center"/>
          </w:tcPr>
          <w:p w:rsidR="00485094" w:rsidRDefault="00485094" w:rsidP="005F5866">
            <w:pPr>
              <w:pStyle w:val="TableText"/>
              <w:jc w:val="center"/>
            </w:pPr>
            <w:r>
              <w:t>3a</w:t>
            </w:r>
          </w:p>
        </w:tc>
        <w:tc>
          <w:tcPr>
            <w:tcW w:w="3841" w:type="dxa"/>
            <w:vAlign w:val="center"/>
          </w:tcPr>
          <w:p w:rsidR="00485094" w:rsidRDefault="00485094" w:rsidP="005F5866">
            <w:pPr>
              <w:pStyle w:val="TableText"/>
            </w:pPr>
            <w:r>
              <w:t>No data and information are present to determine if any designated use is attained</w:t>
            </w:r>
          </w:p>
        </w:tc>
        <w:tc>
          <w:tcPr>
            <w:tcW w:w="5096" w:type="dxa"/>
            <w:vAlign w:val="center"/>
          </w:tcPr>
          <w:p w:rsidR="00485094" w:rsidRDefault="00485094" w:rsidP="005F5866">
            <w:pPr>
              <w:pStyle w:val="TableText"/>
            </w:pPr>
            <w:r>
              <w:t>Future monitoring will be recommended to determine if designated uses are attained.</w:t>
            </w:r>
          </w:p>
        </w:tc>
      </w:tr>
      <w:tr w:rsidR="00485094" w:rsidTr="00FE4395">
        <w:trPr>
          <w:jc w:val="center"/>
        </w:trPr>
        <w:tc>
          <w:tcPr>
            <w:tcW w:w="1076" w:type="dxa"/>
            <w:shd w:val="clear" w:color="auto" w:fill="FFFFCC"/>
            <w:vAlign w:val="center"/>
          </w:tcPr>
          <w:p w:rsidR="00485094" w:rsidRDefault="00485094" w:rsidP="005F5866">
            <w:pPr>
              <w:pStyle w:val="TableText"/>
              <w:jc w:val="center"/>
            </w:pPr>
            <w:r>
              <w:t>3b</w:t>
            </w:r>
          </w:p>
        </w:tc>
        <w:tc>
          <w:tcPr>
            <w:tcW w:w="3841" w:type="dxa"/>
            <w:vAlign w:val="center"/>
          </w:tcPr>
          <w:p w:rsidR="00485094" w:rsidRDefault="00485094" w:rsidP="005F5866">
            <w:pPr>
              <w:pStyle w:val="TableText"/>
            </w:pPr>
            <w:r>
              <w:t>Some data and information are present but not enough to determine if any designated use is attained</w:t>
            </w:r>
          </w:p>
        </w:tc>
        <w:tc>
          <w:tcPr>
            <w:tcW w:w="5096" w:type="dxa"/>
            <w:vAlign w:val="center"/>
          </w:tcPr>
          <w:p w:rsidR="00485094" w:rsidRDefault="00485094" w:rsidP="005F5866">
            <w:pPr>
              <w:pStyle w:val="TableText"/>
            </w:pPr>
            <w:r>
              <w:t>Future monitoring will be recommended to gather sufficient information and data to determine if designated uses are attained.</w:t>
            </w:r>
          </w:p>
        </w:tc>
      </w:tr>
      <w:tr w:rsidR="00485094" w:rsidTr="00FE4395">
        <w:trPr>
          <w:jc w:val="center"/>
        </w:trPr>
        <w:tc>
          <w:tcPr>
            <w:tcW w:w="1076" w:type="dxa"/>
            <w:shd w:val="clear" w:color="auto" w:fill="FFFFCC"/>
            <w:vAlign w:val="center"/>
          </w:tcPr>
          <w:p w:rsidR="00485094" w:rsidRDefault="00485094" w:rsidP="005F5866">
            <w:pPr>
              <w:pStyle w:val="TableText"/>
              <w:jc w:val="center"/>
            </w:pPr>
            <w:r>
              <w:t>3c</w:t>
            </w:r>
          </w:p>
        </w:tc>
        <w:tc>
          <w:tcPr>
            <w:tcW w:w="3841" w:type="dxa"/>
            <w:vAlign w:val="center"/>
          </w:tcPr>
          <w:p w:rsidR="00485094" w:rsidRPr="00BD7EA0" w:rsidRDefault="00485094" w:rsidP="005F5866">
            <w:pPr>
              <w:rPr>
                <w:rFonts w:ascii="Arial" w:hAnsi="Arial"/>
                <w:sz w:val="18"/>
              </w:rPr>
            </w:pPr>
            <w:r w:rsidRPr="00BD7EA0">
              <w:rPr>
                <w:rStyle w:val="EndnoteReference"/>
                <w:rFonts w:ascii="Arial" w:hAnsi="Arial"/>
                <w:sz w:val="18"/>
                <w:vertAlign w:val="baseline"/>
              </w:rPr>
              <w:t xml:space="preserve">Enough data and information </w:t>
            </w:r>
            <w:r w:rsidRPr="00BD7EA0">
              <w:rPr>
                <w:rFonts w:ascii="Arial" w:hAnsi="Arial"/>
                <w:sz w:val="18"/>
              </w:rPr>
              <w:t xml:space="preserve">are present </w:t>
            </w:r>
            <w:r w:rsidRPr="00BD7EA0">
              <w:rPr>
                <w:rStyle w:val="EndnoteReference"/>
                <w:rFonts w:ascii="Arial" w:hAnsi="Arial"/>
                <w:sz w:val="18"/>
                <w:vertAlign w:val="baseline"/>
              </w:rPr>
              <w:t xml:space="preserve">to determine </w:t>
            </w:r>
            <w:r w:rsidRPr="00BD7EA0">
              <w:rPr>
                <w:rFonts w:ascii="Arial" w:hAnsi="Arial"/>
                <w:sz w:val="18"/>
              </w:rPr>
              <w:t>that one or more</w:t>
            </w:r>
            <w:r w:rsidRPr="00BD7EA0">
              <w:rPr>
                <w:rStyle w:val="EndnoteReference"/>
                <w:rFonts w:ascii="Arial" w:hAnsi="Arial"/>
                <w:sz w:val="18"/>
                <w:vertAlign w:val="baseline"/>
              </w:rPr>
              <w:t xml:space="preserve"> designated use</w:t>
            </w:r>
            <w:r w:rsidRPr="00BD7EA0">
              <w:rPr>
                <w:rFonts w:ascii="Arial" w:hAnsi="Arial"/>
                <w:sz w:val="18"/>
              </w:rPr>
              <w:t>s</w:t>
            </w:r>
            <w:r w:rsidRPr="00BD7EA0">
              <w:rPr>
                <w:rStyle w:val="EndnoteReference"/>
                <w:rFonts w:ascii="Arial" w:hAnsi="Arial"/>
                <w:sz w:val="18"/>
                <w:vertAlign w:val="baseline"/>
              </w:rPr>
              <w:t xml:space="preserve"> </w:t>
            </w:r>
            <w:r w:rsidRPr="00BD7EA0">
              <w:rPr>
                <w:rFonts w:ascii="Arial" w:hAnsi="Arial"/>
                <w:sz w:val="18"/>
              </w:rPr>
              <w:t>may not be attained according to</w:t>
            </w:r>
            <w:r w:rsidRPr="00BD7EA0">
              <w:rPr>
                <w:rStyle w:val="EndnoteReference"/>
                <w:rFonts w:ascii="Arial" w:hAnsi="Arial"/>
                <w:sz w:val="18"/>
                <w:vertAlign w:val="baseline"/>
              </w:rPr>
              <w:t xml:space="preserve"> the Planning List methodology</w:t>
            </w:r>
          </w:p>
        </w:tc>
        <w:tc>
          <w:tcPr>
            <w:tcW w:w="5096" w:type="dxa"/>
            <w:vAlign w:val="center"/>
          </w:tcPr>
          <w:p w:rsidR="00485094" w:rsidRDefault="00485094" w:rsidP="005F5866">
            <w:pPr>
              <w:pStyle w:val="TableText"/>
            </w:pPr>
            <w:r>
              <w:t>A waterbody or segment is potentially impaired for one or more designated uses.  These waters will be prioritized for future monitoring to verify use attainment or impaired status.</w:t>
            </w:r>
          </w:p>
        </w:tc>
      </w:tr>
      <w:tr w:rsidR="00485094" w:rsidTr="00FE4395">
        <w:trPr>
          <w:jc w:val="center"/>
        </w:trPr>
        <w:tc>
          <w:tcPr>
            <w:tcW w:w="1076" w:type="dxa"/>
            <w:shd w:val="clear" w:color="auto" w:fill="FFFFCC"/>
            <w:vAlign w:val="center"/>
          </w:tcPr>
          <w:p w:rsidR="00485094" w:rsidRDefault="00485094" w:rsidP="005F5866">
            <w:pPr>
              <w:pStyle w:val="TableText"/>
              <w:jc w:val="center"/>
            </w:pPr>
            <w:r>
              <w:t>3d</w:t>
            </w:r>
          </w:p>
        </w:tc>
        <w:tc>
          <w:tcPr>
            <w:tcW w:w="3841" w:type="dxa"/>
            <w:vAlign w:val="center"/>
          </w:tcPr>
          <w:p w:rsidR="00485094" w:rsidRDefault="00485094" w:rsidP="005F5866">
            <w:pPr>
              <w:pStyle w:val="TableText"/>
            </w:pPr>
            <w:r>
              <w:t>Enough data and information are present to determine that one or more designated uses are not attained according to the Verified List methodology</w:t>
            </w:r>
          </w:p>
        </w:tc>
        <w:tc>
          <w:tcPr>
            <w:tcW w:w="5096" w:type="dxa"/>
            <w:vAlign w:val="center"/>
          </w:tcPr>
          <w:p w:rsidR="00485094" w:rsidRDefault="00485094" w:rsidP="005F5866">
            <w:pPr>
              <w:pStyle w:val="TableText"/>
            </w:pPr>
            <w:r>
              <w:t>A waterbody or segment exceeds Verified List evaluation criteria and may be listed as impaired at the end of Phase 2 of the watershed management cycle.  However, the data have not yet been fully evaluated and the waters have not been formally verified as impaired.  Further monitoring and analysis may be necessary.</w:t>
            </w:r>
          </w:p>
          <w:p w:rsidR="00485094" w:rsidRDefault="00485094" w:rsidP="005F5866">
            <w:pPr>
              <w:pStyle w:val="TableText"/>
            </w:pPr>
            <w:r w:rsidRPr="00C45C80">
              <w:rPr>
                <w:b/>
              </w:rPr>
              <w:t>NOTE:</w:t>
            </w:r>
            <w:r>
              <w:t xml:space="preserve">  This category is applicable only to the Status Report.  Waters that pass the Verified List criteria at this stage of the process are placed in Category 5.</w:t>
            </w:r>
          </w:p>
        </w:tc>
      </w:tr>
      <w:tr w:rsidR="00485094" w:rsidTr="00FE4395">
        <w:trPr>
          <w:jc w:val="center"/>
        </w:trPr>
        <w:tc>
          <w:tcPr>
            <w:tcW w:w="1076" w:type="dxa"/>
            <w:shd w:val="clear" w:color="auto" w:fill="FFFFCC"/>
            <w:vAlign w:val="center"/>
          </w:tcPr>
          <w:p w:rsidR="00485094" w:rsidRDefault="00485094" w:rsidP="005F5866">
            <w:pPr>
              <w:pStyle w:val="TableText"/>
              <w:jc w:val="center"/>
            </w:pPr>
            <w:r>
              <w:t>4a</w:t>
            </w:r>
          </w:p>
        </w:tc>
        <w:tc>
          <w:tcPr>
            <w:tcW w:w="3841" w:type="dxa"/>
            <w:vAlign w:val="center"/>
          </w:tcPr>
          <w:p w:rsidR="00485094" w:rsidRDefault="00485094" w:rsidP="005F5866">
            <w:pPr>
              <w:pStyle w:val="TableText"/>
            </w:pPr>
            <w:r>
              <w:t>Impaired for one or more designated uses but does not require TMDL development because a TMDL has already been completed</w:t>
            </w:r>
          </w:p>
        </w:tc>
        <w:tc>
          <w:tcPr>
            <w:tcW w:w="5096" w:type="dxa"/>
            <w:vAlign w:val="center"/>
          </w:tcPr>
          <w:p w:rsidR="00485094" w:rsidRDefault="00485094" w:rsidP="00EE4CFE">
            <w:pPr>
              <w:pStyle w:val="TableText"/>
            </w:pPr>
            <w:r>
              <w:t>After the EPA approves a TMDL for the impaired waterbody or segment, it will be included in a B</w:t>
            </w:r>
            <w:r w:rsidR="00EE4CFE">
              <w:t>MAP</w:t>
            </w:r>
            <w:r>
              <w:t xml:space="preserve"> to reduce pollutant loading toward attainment of designated use(s).</w:t>
            </w:r>
          </w:p>
        </w:tc>
      </w:tr>
      <w:tr w:rsidR="00485094" w:rsidTr="00FE4395">
        <w:trPr>
          <w:jc w:val="center"/>
        </w:trPr>
        <w:tc>
          <w:tcPr>
            <w:tcW w:w="1076" w:type="dxa"/>
            <w:shd w:val="clear" w:color="auto" w:fill="FFFFCC"/>
            <w:vAlign w:val="center"/>
          </w:tcPr>
          <w:p w:rsidR="00485094" w:rsidRDefault="00485094" w:rsidP="005F5866">
            <w:pPr>
              <w:pStyle w:val="TableText"/>
              <w:jc w:val="center"/>
            </w:pPr>
            <w:r>
              <w:t>4b</w:t>
            </w:r>
          </w:p>
        </w:tc>
        <w:tc>
          <w:tcPr>
            <w:tcW w:w="3841" w:type="dxa"/>
            <w:vAlign w:val="center"/>
          </w:tcPr>
          <w:p w:rsidR="00485094" w:rsidRDefault="00485094" w:rsidP="005F5866">
            <w:pPr>
              <w:pStyle w:val="TableText"/>
            </w:pPr>
            <w:r>
              <w:t>Impaired for one or more designated uses but does not require TMDL development because the water will attain water quality standards due to existing or proposed measures</w:t>
            </w:r>
          </w:p>
        </w:tc>
        <w:tc>
          <w:tcPr>
            <w:tcW w:w="5096" w:type="dxa"/>
            <w:vAlign w:val="center"/>
          </w:tcPr>
          <w:p w:rsidR="00485094" w:rsidRDefault="00485094" w:rsidP="005F5866">
            <w:pPr>
              <w:pStyle w:val="TableText"/>
            </w:pPr>
            <w:r>
              <w:t>Pollutant control mechanisms designed to attain applicable water quality standards within a reasonable time frame are either proposed or in place.</w:t>
            </w:r>
          </w:p>
        </w:tc>
      </w:tr>
      <w:tr w:rsidR="00485094" w:rsidTr="00FE4395">
        <w:trPr>
          <w:jc w:val="center"/>
        </w:trPr>
        <w:tc>
          <w:tcPr>
            <w:tcW w:w="1076" w:type="dxa"/>
            <w:shd w:val="clear" w:color="auto" w:fill="FFFFCC"/>
            <w:vAlign w:val="center"/>
          </w:tcPr>
          <w:p w:rsidR="00485094" w:rsidRDefault="00485094" w:rsidP="005F5866">
            <w:pPr>
              <w:pStyle w:val="TableText"/>
              <w:jc w:val="center"/>
            </w:pPr>
            <w:r>
              <w:t>4c</w:t>
            </w:r>
          </w:p>
        </w:tc>
        <w:tc>
          <w:tcPr>
            <w:tcW w:w="3841" w:type="dxa"/>
            <w:vAlign w:val="center"/>
          </w:tcPr>
          <w:p w:rsidR="00485094" w:rsidRDefault="00485094" w:rsidP="005F5866">
            <w:pPr>
              <w:pStyle w:val="TableText"/>
            </w:pPr>
            <w:r>
              <w:t>Impaired for one or more criteria or designated uses but does not require TMDL development because impairment is not caused by a pollutant</w:t>
            </w:r>
          </w:p>
        </w:tc>
        <w:tc>
          <w:tcPr>
            <w:tcW w:w="5096" w:type="dxa"/>
            <w:vAlign w:val="center"/>
          </w:tcPr>
          <w:p w:rsidR="00485094" w:rsidRDefault="00485094">
            <w:pPr>
              <w:pStyle w:val="TableText"/>
            </w:pPr>
            <w:r w:rsidRPr="00D817CD">
              <w:t xml:space="preserve">This category includes waterbodies or segments that are impaired because of naturally occurring conditions or pollution.  This typically applies to impairments tied to low </w:t>
            </w:r>
            <w:r>
              <w:t xml:space="preserve">DO </w:t>
            </w:r>
            <w:r w:rsidRPr="00D817CD">
              <w:t>or elevated iron concentrations.  The impairment is not caused by specific pollutants, but is believed to be natural or caused by pollution.</w:t>
            </w:r>
            <w:r w:rsidRPr="00D817CD">
              <w:rPr>
                <w:vertAlign w:val="superscript"/>
              </w:rPr>
              <w:t>1</w:t>
            </w:r>
          </w:p>
        </w:tc>
      </w:tr>
      <w:tr w:rsidR="00485094" w:rsidTr="00FE4395">
        <w:trPr>
          <w:jc w:val="center"/>
        </w:trPr>
        <w:tc>
          <w:tcPr>
            <w:tcW w:w="1076" w:type="dxa"/>
            <w:shd w:val="clear" w:color="auto" w:fill="FFFFCC"/>
            <w:vAlign w:val="center"/>
          </w:tcPr>
          <w:p w:rsidR="00485094" w:rsidRDefault="00485094" w:rsidP="005F5866">
            <w:pPr>
              <w:pStyle w:val="TableText"/>
              <w:jc w:val="center"/>
            </w:pPr>
            <w:r>
              <w:t>4d</w:t>
            </w:r>
          </w:p>
        </w:tc>
        <w:tc>
          <w:tcPr>
            <w:tcW w:w="3841" w:type="dxa"/>
            <w:vAlign w:val="center"/>
          </w:tcPr>
          <w:p w:rsidR="00485094" w:rsidRDefault="00485094" w:rsidP="005F5866">
            <w:pPr>
              <w:pStyle w:val="TableText"/>
            </w:pPr>
            <w:r>
              <w:t>No causative pollutant has been identified</w:t>
            </w:r>
          </w:p>
        </w:tc>
        <w:tc>
          <w:tcPr>
            <w:tcW w:w="5096" w:type="dxa"/>
            <w:vAlign w:val="center"/>
          </w:tcPr>
          <w:p w:rsidR="00485094" w:rsidRPr="00D817CD" w:rsidRDefault="00485094" w:rsidP="00E22C45">
            <w:pPr>
              <w:pStyle w:val="TableText"/>
              <w:rPr>
                <w:highlight w:val="yellow"/>
              </w:rPr>
            </w:pPr>
            <w:r w:rsidRPr="00D817CD">
              <w:t xml:space="preserve">The waterbody does not meet its applicable criteria, but no causative pollutant has been identified.  This typically applies to low </w:t>
            </w:r>
            <w:r>
              <w:t>DO</w:t>
            </w:r>
            <w:r w:rsidRPr="00D817CD">
              <w:t xml:space="preserve"> or failed biological assessments.  All available </w:t>
            </w:r>
            <w:r>
              <w:t xml:space="preserve">biological data, </w:t>
            </w:r>
            <w:r w:rsidRPr="00D817CD">
              <w:t xml:space="preserve">TN, TP, </w:t>
            </w:r>
            <w:r>
              <w:t>and biological oxygen demand (</w:t>
            </w:r>
            <w:r w:rsidRPr="00D817CD">
              <w:t>BOD</w:t>
            </w:r>
            <w:r>
              <w:t>)</w:t>
            </w:r>
            <w:r w:rsidRPr="00D817CD">
              <w:t xml:space="preserve"> data</w:t>
            </w:r>
            <w:r>
              <w:t>,</w:t>
            </w:r>
            <w:r w:rsidRPr="00D817CD">
              <w:t xml:space="preserve"> and land use have been assessed.</w:t>
            </w:r>
          </w:p>
        </w:tc>
      </w:tr>
      <w:tr w:rsidR="00485094" w:rsidTr="00FE4395">
        <w:trPr>
          <w:jc w:val="center"/>
        </w:trPr>
        <w:tc>
          <w:tcPr>
            <w:tcW w:w="1076" w:type="dxa"/>
            <w:shd w:val="clear" w:color="auto" w:fill="FFFFCC"/>
            <w:vAlign w:val="center"/>
          </w:tcPr>
          <w:p w:rsidR="00485094" w:rsidRDefault="00485094" w:rsidP="005F5866">
            <w:pPr>
              <w:pStyle w:val="TableText"/>
              <w:jc w:val="center"/>
            </w:pPr>
            <w:r>
              <w:t>4e</w:t>
            </w:r>
          </w:p>
        </w:tc>
        <w:tc>
          <w:tcPr>
            <w:tcW w:w="3841" w:type="dxa"/>
            <w:vAlign w:val="center"/>
          </w:tcPr>
          <w:p w:rsidR="00485094" w:rsidRDefault="00485094" w:rsidP="005F5866">
            <w:pPr>
              <w:pStyle w:val="TableText"/>
            </w:pPr>
            <w:r>
              <w:t>Impaired, but recently completed or ongoing restoration activities should restore the designated uses of the waterbody</w:t>
            </w:r>
          </w:p>
        </w:tc>
        <w:tc>
          <w:tcPr>
            <w:tcW w:w="5096" w:type="dxa"/>
            <w:vAlign w:val="center"/>
          </w:tcPr>
          <w:p w:rsidR="00485094" w:rsidRPr="00D817CD" w:rsidRDefault="00485094" w:rsidP="005F5866">
            <w:pPr>
              <w:pStyle w:val="TableText"/>
              <w:rPr>
                <w:highlight w:val="yellow"/>
              </w:rPr>
            </w:pPr>
            <w:r>
              <w:t xml:space="preserve">Restoration activities for this waterbody have been completed or are ongoing, such that once the activities are completed or the waterbody has had a chance to stabilize, FDEP believes it will meet its designated uses.  </w:t>
            </w:r>
          </w:p>
        </w:tc>
      </w:tr>
      <w:tr w:rsidR="00485094" w:rsidTr="00FE4395">
        <w:trPr>
          <w:jc w:val="center"/>
        </w:trPr>
        <w:tc>
          <w:tcPr>
            <w:tcW w:w="1076" w:type="dxa"/>
            <w:shd w:val="clear" w:color="auto" w:fill="FFFFCC"/>
            <w:vAlign w:val="center"/>
          </w:tcPr>
          <w:p w:rsidR="00485094" w:rsidRDefault="00485094" w:rsidP="005F5866">
            <w:pPr>
              <w:pStyle w:val="TableText"/>
              <w:jc w:val="center"/>
            </w:pPr>
            <w:r>
              <w:t>5</w:t>
            </w:r>
          </w:p>
        </w:tc>
        <w:tc>
          <w:tcPr>
            <w:tcW w:w="3841" w:type="dxa"/>
            <w:vAlign w:val="center"/>
          </w:tcPr>
          <w:p w:rsidR="00485094" w:rsidRDefault="00485094" w:rsidP="005F5866">
            <w:pPr>
              <w:pStyle w:val="TableText"/>
            </w:pPr>
            <w:r>
              <w:t>One or more designated uses is not attained and a TMDL is required</w:t>
            </w:r>
          </w:p>
        </w:tc>
        <w:tc>
          <w:tcPr>
            <w:tcW w:w="5096" w:type="dxa"/>
            <w:vAlign w:val="center"/>
          </w:tcPr>
          <w:p w:rsidR="00485094" w:rsidRDefault="00485094" w:rsidP="005F5866">
            <w:pPr>
              <w:pStyle w:val="TableText"/>
            </w:pPr>
            <w:r>
              <w:t>Waterbodies or segments in this category are impaired for one or more designated uses by a pollutant or pollutants.  Waters in this category are included on the basin-specific Verified List adopted by FDEP’s Secretary as Florida’s impaired waters list and submitted to the EPA as Florida’s 303(d) list of impaired waters at the end of Phase 2.</w:t>
            </w:r>
          </w:p>
        </w:tc>
      </w:tr>
    </w:tbl>
    <w:p w:rsidR="00485094" w:rsidRDefault="00485094" w:rsidP="00FE4395">
      <w:pPr>
        <w:pStyle w:val="Bodytextreduced"/>
      </w:pPr>
    </w:p>
    <w:p w:rsidR="00485094" w:rsidRPr="000D304A" w:rsidRDefault="00485094" w:rsidP="000D304A">
      <w:pPr>
        <w:pStyle w:val="Bodytextreduced"/>
      </w:pPr>
    </w:p>
    <w:p w:rsidR="00485094" w:rsidRPr="003A021B" w:rsidRDefault="00485094" w:rsidP="005F5866">
      <w:pPr>
        <w:pStyle w:val="BodyText0"/>
        <w:rPr>
          <w:color w:val="000000"/>
          <w:sz w:val="22"/>
          <w:szCs w:val="22"/>
        </w:rPr>
      </w:pPr>
      <w:r w:rsidRPr="003A021B">
        <w:rPr>
          <w:color w:val="000000"/>
          <w:sz w:val="22"/>
          <w:szCs w:val="22"/>
        </w:rPr>
        <w:t xml:space="preserve">A </w:t>
      </w:r>
      <w:r w:rsidRPr="003A021B">
        <w:rPr>
          <w:i/>
          <w:color w:val="000000"/>
          <w:sz w:val="22"/>
          <w:szCs w:val="22"/>
        </w:rPr>
        <w:t>Verified List</w:t>
      </w:r>
      <w:r w:rsidRPr="003A021B">
        <w:rPr>
          <w:color w:val="000000"/>
          <w:sz w:val="22"/>
          <w:szCs w:val="22"/>
        </w:rPr>
        <w:t xml:space="preserve"> of impaired waters</w:t>
      </w:r>
      <w:r>
        <w:rPr>
          <w:color w:val="000000"/>
          <w:sz w:val="22"/>
          <w:szCs w:val="22"/>
        </w:rPr>
        <w:t xml:space="preserve"> is produced based on the results of this updated evaluation</w:t>
      </w:r>
      <w:r w:rsidRPr="003A021B">
        <w:rPr>
          <w:color w:val="000000"/>
          <w:sz w:val="22"/>
          <w:szCs w:val="22"/>
        </w:rPr>
        <w:t xml:space="preserve">.  The </w:t>
      </w:r>
      <w:r>
        <w:rPr>
          <w:color w:val="000000"/>
          <w:sz w:val="22"/>
          <w:szCs w:val="22"/>
        </w:rPr>
        <w:t xml:space="preserve">thresholds and data requirements </w:t>
      </w:r>
      <w:r w:rsidRPr="003A021B">
        <w:rPr>
          <w:color w:val="000000"/>
          <w:sz w:val="22"/>
          <w:szCs w:val="22"/>
        </w:rPr>
        <w:t xml:space="preserve">for the Verified List are </w:t>
      </w:r>
      <w:r>
        <w:rPr>
          <w:color w:val="000000"/>
          <w:sz w:val="22"/>
          <w:szCs w:val="22"/>
        </w:rPr>
        <w:t xml:space="preserve">generally </w:t>
      </w:r>
      <w:r w:rsidRPr="003A021B">
        <w:rPr>
          <w:color w:val="000000"/>
          <w:sz w:val="22"/>
          <w:szCs w:val="22"/>
        </w:rPr>
        <w:t xml:space="preserve">more stringent than those for the Planning List.  </w:t>
      </w:r>
    </w:p>
    <w:p w:rsidR="00485094" w:rsidRDefault="00485094" w:rsidP="006C41CE">
      <w:pPr>
        <w:pStyle w:val="BodyText0"/>
        <w:rPr>
          <w:color w:val="000000"/>
          <w:sz w:val="22"/>
          <w:szCs w:val="22"/>
        </w:rPr>
      </w:pPr>
    </w:p>
    <w:p w:rsidR="00485094" w:rsidRPr="003A021B" w:rsidRDefault="00485094" w:rsidP="006C41CE">
      <w:pPr>
        <w:pStyle w:val="BodyText0"/>
        <w:rPr>
          <w:color w:val="000000"/>
          <w:sz w:val="22"/>
          <w:szCs w:val="22"/>
        </w:rPr>
      </w:pPr>
      <w:r w:rsidRPr="003A021B">
        <w:rPr>
          <w:color w:val="000000"/>
          <w:sz w:val="22"/>
          <w:szCs w:val="22"/>
        </w:rPr>
        <w:t>The Verified List</w:t>
      </w:r>
      <w:r w:rsidRPr="003A021B">
        <w:rPr>
          <w:sz w:val="22"/>
          <w:szCs w:val="22"/>
        </w:rPr>
        <w:t xml:space="preserve"> is adopted by Secretarial Order in accordance with the FWRA.  Once adopted, the list is submitted to the EPA for approval as </w:t>
      </w:r>
      <w:r>
        <w:rPr>
          <w:sz w:val="22"/>
          <w:szCs w:val="22"/>
        </w:rPr>
        <w:t xml:space="preserve">an update to </w:t>
      </w:r>
      <w:r w:rsidRPr="003A021B">
        <w:rPr>
          <w:sz w:val="22"/>
          <w:szCs w:val="22"/>
        </w:rPr>
        <w:t>the state’s Section 303(d) list of impaired waters.</w:t>
      </w:r>
      <w:r>
        <w:rPr>
          <w:sz w:val="22"/>
          <w:szCs w:val="22"/>
        </w:rPr>
        <w:t xml:space="preserve">  </w:t>
      </w:r>
      <w:r w:rsidRPr="003A021B">
        <w:rPr>
          <w:color w:val="000000"/>
          <w:sz w:val="22"/>
          <w:szCs w:val="22"/>
        </w:rPr>
        <w:t>FDEP is required to develop TMDLs for waters on the Verified List under Subsection 403.067(4), F.S.  A w</w:t>
      </w:r>
      <w:r w:rsidRPr="003A021B">
        <w:rPr>
          <w:sz w:val="22"/>
          <w:szCs w:val="22"/>
        </w:rPr>
        <w:t xml:space="preserve">atershed management plan (called a Basin Management Action Plan, or BMAP) to reduce the amount of pollutants that cause impairments </w:t>
      </w:r>
      <w:r>
        <w:rPr>
          <w:sz w:val="22"/>
          <w:szCs w:val="22"/>
        </w:rPr>
        <w:t>may</w:t>
      </w:r>
      <w:r w:rsidRPr="003A021B">
        <w:rPr>
          <w:sz w:val="22"/>
          <w:szCs w:val="22"/>
        </w:rPr>
        <w:t xml:space="preserve"> also be produced and implemented</w:t>
      </w:r>
      <w:r w:rsidRPr="003A021B">
        <w:rPr>
          <w:color w:val="000000"/>
          <w:sz w:val="22"/>
          <w:szCs w:val="22"/>
        </w:rPr>
        <w:t>.</w:t>
      </w:r>
    </w:p>
    <w:p w:rsidR="00485094" w:rsidRDefault="00485094" w:rsidP="005F5866">
      <w:pPr>
        <w:pStyle w:val="Bodytext"/>
        <w:rPr>
          <w:snapToGrid w:val="0"/>
        </w:rPr>
      </w:pPr>
    </w:p>
    <w:p w:rsidR="00485094" w:rsidRPr="003F21F8" w:rsidRDefault="00485094" w:rsidP="00456F87">
      <w:pPr>
        <w:pStyle w:val="Bodytext"/>
        <w:rPr>
          <w:color w:val="000000"/>
        </w:rPr>
      </w:pPr>
      <w:r w:rsidRPr="003F21F8">
        <w:rPr>
          <w:snapToGrid w:val="0"/>
        </w:rPr>
        <w:t>To implement the watershed cycle, the state’s river basins have been divided into five groups within each of FDEP’s six districts statewide, and each district assess</w:t>
      </w:r>
      <w:r w:rsidR="00A03A97">
        <w:rPr>
          <w:snapToGrid w:val="0"/>
        </w:rPr>
        <w:t>es</w:t>
      </w:r>
      <w:r w:rsidRPr="003F21F8">
        <w:rPr>
          <w:snapToGrid w:val="0"/>
        </w:rPr>
        <w:t xml:space="preserve"> one basin each year.  </w:t>
      </w:r>
      <w:r w:rsidRPr="003F21F8">
        <w:rPr>
          <w:b/>
          <w:i/>
          <w:snapToGrid w:val="0"/>
        </w:rPr>
        <w:t xml:space="preserve">Table 7.2 </w:t>
      </w:r>
      <w:r w:rsidRPr="003F21F8">
        <w:rPr>
          <w:snapToGrid w:val="0"/>
        </w:rPr>
        <w:t xml:space="preserve">shows the basin groups for implementing the cycle in FDEP’s districts.  </w:t>
      </w:r>
      <w:r w:rsidRPr="003F21F8">
        <w:rPr>
          <w:b/>
          <w:i/>
          <w:snapToGrid w:val="0"/>
        </w:rPr>
        <w:t>Table 7.3,</w:t>
      </w:r>
      <w:r w:rsidRPr="003F21F8">
        <w:rPr>
          <w:b/>
          <w:snapToGrid w:val="0"/>
        </w:rPr>
        <w:t xml:space="preserve"> </w:t>
      </w:r>
      <w:r w:rsidRPr="003F21F8">
        <w:rPr>
          <w:snapToGrid w:val="0"/>
        </w:rPr>
        <w:t>which lists the basin rotation schedule for TMDL development and implementation, shows that it will take nine years to complete one full cycle of the state.  Over time, the 1998 303(d) listing, as</w:t>
      </w:r>
      <w:r>
        <w:rPr>
          <w:snapToGrid w:val="0"/>
        </w:rPr>
        <w:t xml:space="preserve"> </w:t>
      </w:r>
      <w:r w:rsidRPr="003F21F8">
        <w:rPr>
          <w:snapToGrid w:val="0"/>
        </w:rPr>
        <w:t>well as the listings for preceding cycles (Cycle 1, Cycle 2, etc.), are all taken into account in the subsequent cycle and result in an integrated assessment that includes consideration of the assessment in each cycle as well as an assessment of the entire period of record.  This results in a conservative approach to keeping problem waters on the list.</w:t>
      </w:r>
    </w:p>
    <w:p w:rsidR="00485094" w:rsidRPr="003F21F8" w:rsidRDefault="00485094" w:rsidP="00456F87">
      <w:pPr>
        <w:pStyle w:val="BodyText0"/>
        <w:rPr>
          <w:color w:val="000000"/>
          <w:sz w:val="22"/>
          <w:szCs w:val="22"/>
        </w:rPr>
      </w:pPr>
    </w:p>
    <w:p w:rsidR="00485094" w:rsidRDefault="00485094" w:rsidP="00456F87">
      <w:pPr>
        <w:pStyle w:val="Bodytext"/>
        <w:rPr>
          <w:snapToGrid w:val="0"/>
        </w:rPr>
      </w:pPr>
      <w:r w:rsidRPr="003F21F8">
        <w:rPr>
          <w:snapToGrid w:val="0"/>
        </w:rPr>
        <w:t>The watershed management cycle is an iterative, or repeated, process.  One of its key components is that the effectiveness of management activities (TMDL implementation) will be monitored in successive cycles.  Monitoring conducted in Phase 2 of subsequent cycles will be targeted at evaluating whether water quality objectives are being met and whether individual waters are no longer impaired.  FDEP also will track the implementation of scheduled restoration activities, whether required or voluntary, to ensure continued progress towards meeting the TMDLs.</w:t>
      </w:r>
    </w:p>
    <w:p w:rsidR="00485094" w:rsidRPr="003F21F8" w:rsidRDefault="00485094" w:rsidP="005F5866">
      <w:pPr>
        <w:pStyle w:val="Bodytextreduced"/>
        <w:rPr>
          <w:snapToGrid w:val="0"/>
        </w:rPr>
      </w:pPr>
    </w:p>
    <w:p w:rsidR="00485094" w:rsidRDefault="00485094">
      <w:pPr>
        <w:rPr>
          <w:rFonts w:ascii="Arial" w:hAnsi="Arial"/>
          <w:snapToGrid w:val="0"/>
          <w:sz w:val="16"/>
          <w:szCs w:val="20"/>
        </w:rPr>
      </w:pPr>
      <w:r>
        <w:rPr>
          <w:snapToGrid w:val="0"/>
        </w:rPr>
        <w:br w:type="page"/>
      </w:r>
    </w:p>
    <w:p w:rsidR="00485094" w:rsidRPr="003F21F8" w:rsidRDefault="00485094" w:rsidP="005F5866">
      <w:pPr>
        <w:pStyle w:val="Tableheading"/>
      </w:pPr>
      <w:bookmarkStart w:id="538" w:name="_Toc254267131"/>
      <w:bookmarkStart w:id="539" w:name="_Toc255807506"/>
      <w:bookmarkStart w:id="540" w:name="_Toc271280112"/>
      <w:r w:rsidRPr="003F21F8">
        <w:t>Table 7.2.  Basin Groups for Implementing the Watershed Management Cycle,</w:t>
      </w:r>
      <w:r w:rsidRPr="003F21F8">
        <w:br/>
        <w:t>by FDEP District Office</w:t>
      </w:r>
      <w:bookmarkEnd w:id="538"/>
      <w:bookmarkEnd w:id="539"/>
      <w:bookmarkEnd w:id="540"/>
    </w:p>
    <w:p w:rsidR="00485094" w:rsidRPr="003F21F8" w:rsidRDefault="00485094" w:rsidP="00FE4395">
      <w:pPr>
        <w:pStyle w:val="TabledescriptionBF"/>
      </w:pPr>
      <w:r w:rsidRPr="003F21F8">
        <w:t>This is a six-column table.  Column 1 lists the FDEP districts, and Columns 2 through 5 list the Group 1 through 5 basins, respectively.</w:t>
      </w:r>
    </w:p>
    <w:p w:rsidR="00485094" w:rsidRPr="003F21F8" w:rsidRDefault="00485094" w:rsidP="00FE4395">
      <w:pPr>
        <w:pStyle w:val="Bodytextreduced"/>
      </w:pPr>
    </w:p>
    <w:p w:rsidR="00485094" w:rsidRPr="003F21F8" w:rsidRDefault="00485094" w:rsidP="00FE4395">
      <w:pPr>
        <w:pStyle w:val="Bodytextreduced"/>
      </w:pPr>
      <w:r w:rsidRPr="003F21F8">
        <w:t>- = Empty cell/no basin sampled</w:t>
      </w:r>
    </w:p>
    <w:tbl>
      <w:tblPr>
        <w:tblW w:w="946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tblPr>
      <w:tblGrid>
        <w:gridCol w:w="1098"/>
        <w:gridCol w:w="1710"/>
        <w:gridCol w:w="1710"/>
        <w:gridCol w:w="1710"/>
        <w:gridCol w:w="1800"/>
        <w:gridCol w:w="1440"/>
      </w:tblGrid>
      <w:tr w:rsidR="00485094" w:rsidRPr="003F21F8" w:rsidTr="00065680">
        <w:trPr>
          <w:trHeight w:val="576"/>
          <w:jc w:val="center"/>
        </w:trPr>
        <w:tc>
          <w:tcPr>
            <w:tcW w:w="1098" w:type="dxa"/>
            <w:tcBorders>
              <w:bottom w:val="double" w:sz="4" w:space="0" w:color="auto"/>
            </w:tcBorders>
            <w:shd w:val="clear" w:color="auto" w:fill="C9FFFF"/>
            <w:vAlign w:val="bottom"/>
          </w:tcPr>
          <w:p w:rsidR="00485094" w:rsidRPr="003F21F8" w:rsidRDefault="00485094" w:rsidP="00065680">
            <w:pPr>
              <w:pStyle w:val="TableText"/>
              <w:jc w:val="center"/>
              <w:rPr>
                <w:b/>
                <w:i/>
              </w:rPr>
            </w:pPr>
            <w:r w:rsidRPr="003F21F8">
              <w:rPr>
                <w:b/>
                <w:i/>
              </w:rPr>
              <w:t>FDEP District</w:t>
            </w:r>
          </w:p>
        </w:tc>
        <w:tc>
          <w:tcPr>
            <w:tcW w:w="1710" w:type="dxa"/>
            <w:tcBorders>
              <w:bottom w:val="double" w:sz="4" w:space="0" w:color="auto"/>
            </w:tcBorders>
            <w:shd w:val="clear" w:color="auto" w:fill="C9FFFF"/>
            <w:vAlign w:val="bottom"/>
          </w:tcPr>
          <w:p w:rsidR="00485094" w:rsidRPr="003F21F8" w:rsidRDefault="00485094" w:rsidP="00065680">
            <w:pPr>
              <w:pStyle w:val="TableText"/>
              <w:jc w:val="center"/>
              <w:rPr>
                <w:b/>
                <w:i/>
              </w:rPr>
            </w:pPr>
            <w:r w:rsidRPr="003F21F8">
              <w:rPr>
                <w:b/>
                <w:i/>
              </w:rPr>
              <w:t>Group 1</w:t>
            </w:r>
          </w:p>
          <w:p w:rsidR="00485094" w:rsidRPr="003F21F8" w:rsidRDefault="00485094" w:rsidP="00065680">
            <w:pPr>
              <w:pStyle w:val="TableText"/>
              <w:jc w:val="center"/>
              <w:rPr>
                <w:b/>
                <w:i/>
              </w:rPr>
            </w:pPr>
            <w:r w:rsidRPr="003F21F8">
              <w:rPr>
                <w:b/>
                <w:i/>
              </w:rPr>
              <w:t>Basins</w:t>
            </w:r>
          </w:p>
          <w:p w:rsidR="00485094" w:rsidRPr="003F21F8" w:rsidRDefault="00485094" w:rsidP="00065680">
            <w:pPr>
              <w:pStyle w:val="TableText"/>
              <w:jc w:val="center"/>
              <w:rPr>
                <w:b/>
                <w:i/>
              </w:rPr>
            </w:pPr>
            <w:r w:rsidRPr="003F21F8">
              <w:rPr>
                <w:b/>
                <w:i/>
              </w:rPr>
              <w:t>(2004)</w:t>
            </w:r>
          </w:p>
        </w:tc>
        <w:tc>
          <w:tcPr>
            <w:tcW w:w="1710" w:type="dxa"/>
            <w:tcBorders>
              <w:bottom w:val="double" w:sz="4" w:space="0" w:color="auto"/>
            </w:tcBorders>
            <w:shd w:val="clear" w:color="auto" w:fill="C9FFFF"/>
            <w:vAlign w:val="bottom"/>
          </w:tcPr>
          <w:p w:rsidR="00485094" w:rsidRPr="003F21F8" w:rsidRDefault="00485094" w:rsidP="00065680">
            <w:pPr>
              <w:pStyle w:val="TableText"/>
              <w:jc w:val="center"/>
              <w:rPr>
                <w:b/>
                <w:i/>
              </w:rPr>
            </w:pPr>
            <w:r w:rsidRPr="003F21F8">
              <w:rPr>
                <w:b/>
                <w:i/>
              </w:rPr>
              <w:t>Group 2</w:t>
            </w:r>
          </w:p>
          <w:p w:rsidR="00485094" w:rsidRPr="003F21F8" w:rsidRDefault="00485094" w:rsidP="00065680">
            <w:pPr>
              <w:pStyle w:val="TableText"/>
              <w:jc w:val="center"/>
              <w:rPr>
                <w:b/>
                <w:i/>
              </w:rPr>
            </w:pPr>
            <w:r w:rsidRPr="003F21F8">
              <w:rPr>
                <w:b/>
                <w:i/>
              </w:rPr>
              <w:t>Basins</w:t>
            </w:r>
          </w:p>
          <w:p w:rsidR="00485094" w:rsidRPr="003F21F8" w:rsidRDefault="00485094" w:rsidP="00065680">
            <w:pPr>
              <w:pStyle w:val="TableText"/>
              <w:jc w:val="center"/>
              <w:rPr>
                <w:b/>
                <w:i/>
              </w:rPr>
            </w:pPr>
            <w:r w:rsidRPr="003F21F8">
              <w:rPr>
                <w:b/>
                <w:i/>
              </w:rPr>
              <w:t>(2005)</w:t>
            </w:r>
          </w:p>
        </w:tc>
        <w:tc>
          <w:tcPr>
            <w:tcW w:w="1710" w:type="dxa"/>
            <w:tcBorders>
              <w:bottom w:val="double" w:sz="4" w:space="0" w:color="auto"/>
            </w:tcBorders>
            <w:shd w:val="clear" w:color="auto" w:fill="C9FFFF"/>
            <w:vAlign w:val="bottom"/>
          </w:tcPr>
          <w:p w:rsidR="00485094" w:rsidRPr="003F21F8" w:rsidRDefault="00485094" w:rsidP="00065680">
            <w:pPr>
              <w:pStyle w:val="TableText"/>
              <w:jc w:val="center"/>
              <w:rPr>
                <w:b/>
                <w:i/>
              </w:rPr>
            </w:pPr>
            <w:r w:rsidRPr="003F21F8">
              <w:rPr>
                <w:b/>
                <w:i/>
              </w:rPr>
              <w:t>Group 3</w:t>
            </w:r>
          </w:p>
          <w:p w:rsidR="00485094" w:rsidRPr="003F21F8" w:rsidRDefault="00485094" w:rsidP="00065680">
            <w:pPr>
              <w:pStyle w:val="TableText"/>
              <w:jc w:val="center"/>
              <w:rPr>
                <w:b/>
                <w:i/>
              </w:rPr>
            </w:pPr>
            <w:r w:rsidRPr="003F21F8">
              <w:rPr>
                <w:b/>
                <w:i/>
              </w:rPr>
              <w:t>Basins</w:t>
            </w:r>
          </w:p>
          <w:p w:rsidR="00485094" w:rsidRPr="003F21F8" w:rsidRDefault="00485094" w:rsidP="00065680">
            <w:pPr>
              <w:pStyle w:val="TableText"/>
              <w:jc w:val="center"/>
              <w:rPr>
                <w:b/>
                <w:i/>
              </w:rPr>
            </w:pPr>
            <w:r w:rsidRPr="003F21F8">
              <w:rPr>
                <w:b/>
                <w:i/>
              </w:rPr>
              <w:t>(2006)</w:t>
            </w:r>
          </w:p>
        </w:tc>
        <w:tc>
          <w:tcPr>
            <w:tcW w:w="1800" w:type="dxa"/>
            <w:tcBorders>
              <w:bottom w:val="double" w:sz="4" w:space="0" w:color="auto"/>
            </w:tcBorders>
            <w:shd w:val="clear" w:color="auto" w:fill="C9FFFF"/>
            <w:vAlign w:val="bottom"/>
          </w:tcPr>
          <w:p w:rsidR="00485094" w:rsidRPr="003F21F8" w:rsidRDefault="00485094" w:rsidP="00065680">
            <w:pPr>
              <w:pStyle w:val="TableText"/>
              <w:jc w:val="center"/>
              <w:rPr>
                <w:b/>
                <w:i/>
              </w:rPr>
            </w:pPr>
            <w:r w:rsidRPr="003F21F8">
              <w:rPr>
                <w:b/>
                <w:i/>
              </w:rPr>
              <w:t>Group 4</w:t>
            </w:r>
          </w:p>
          <w:p w:rsidR="00485094" w:rsidRPr="003F21F8" w:rsidRDefault="00485094" w:rsidP="00065680">
            <w:pPr>
              <w:pStyle w:val="TableText"/>
              <w:jc w:val="center"/>
              <w:rPr>
                <w:b/>
                <w:i/>
              </w:rPr>
            </w:pPr>
            <w:r w:rsidRPr="003F21F8">
              <w:rPr>
                <w:b/>
                <w:i/>
              </w:rPr>
              <w:t>Basins</w:t>
            </w:r>
          </w:p>
          <w:p w:rsidR="00485094" w:rsidRPr="003F21F8" w:rsidRDefault="00485094" w:rsidP="00065680">
            <w:pPr>
              <w:pStyle w:val="TableText"/>
              <w:jc w:val="center"/>
              <w:rPr>
                <w:b/>
                <w:i/>
              </w:rPr>
            </w:pPr>
            <w:r w:rsidRPr="003F21F8">
              <w:rPr>
                <w:b/>
                <w:i/>
              </w:rPr>
              <w:t>(2007)</w:t>
            </w:r>
          </w:p>
        </w:tc>
        <w:tc>
          <w:tcPr>
            <w:tcW w:w="1440" w:type="dxa"/>
            <w:tcBorders>
              <w:bottom w:val="double" w:sz="4" w:space="0" w:color="auto"/>
            </w:tcBorders>
            <w:shd w:val="clear" w:color="auto" w:fill="C9FFFF"/>
            <w:vAlign w:val="bottom"/>
          </w:tcPr>
          <w:p w:rsidR="00485094" w:rsidRPr="003F21F8" w:rsidRDefault="00485094" w:rsidP="00065680">
            <w:pPr>
              <w:pStyle w:val="TableText"/>
              <w:jc w:val="center"/>
              <w:rPr>
                <w:b/>
                <w:i/>
              </w:rPr>
            </w:pPr>
            <w:r w:rsidRPr="003F21F8">
              <w:rPr>
                <w:b/>
                <w:i/>
              </w:rPr>
              <w:t>Group 5</w:t>
            </w:r>
          </w:p>
          <w:p w:rsidR="00485094" w:rsidRPr="003F21F8" w:rsidRDefault="00485094" w:rsidP="00065680">
            <w:pPr>
              <w:pStyle w:val="TableText"/>
              <w:jc w:val="center"/>
              <w:rPr>
                <w:b/>
                <w:i/>
              </w:rPr>
            </w:pPr>
            <w:r w:rsidRPr="003F21F8">
              <w:rPr>
                <w:b/>
                <w:i/>
              </w:rPr>
              <w:t>Basins</w:t>
            </w:r>
          </w:p>
          <w:p w:rsidR="00485094" w:rsidRPr="003F21F8" w:rsidRDefault="00485094" w:rsidP="00065680">
            <w:pPr>
              <w:pStyle w:val="TableText"/>
              <w:jc w:val="center"/>
              <w:rPr>
                <w:b/>
                <w:i/>
              </w:rPr>
            </w:pPr>
            <w:r w:rsidRPr="003F21F8">
              <w:rPr>
                <w:b/>
                <w:i/>
              </w:rPr>
              <w:t>(2008)</w:t>
            </w:r>
          </w:p>
        </w:tc>
      </w:tr>
      <w:tr w:rsidR="00485094" w:rsidRPr="003F21F8" w:rsidTr="00065680">
        <w:trPr>
          <w:jc w:val="center"/>
        </w:trPr>
        <w:tc>
          <w:tcPr>
            <w:tcW w:w="1098" w:type="dxa"/>
            <w:tcBorders>
              <w:top w:val="double" w:sz="4" w:space="0" w:color="auto"/>
            </w:tcBorders>
            <w:shd w:val="clear" w:color="auto" w:fill="FFFFCC"/>
            <w:vAlign w:val="center"/>
          </w:tcPr>
          <w:p w:rsidR="00485094" w:rsidRPr="003F21F8" w:rsidRDefault="00485094" w:rsidP="00065680">
            <w:pPr>
              <w:pStyle w:val="TableText"/>
              <w:jc w:val="center"/>
            </w:pPr>
            <w:r w:rsidRPr="003F21F8">
              <w:t>Northwest</w:t>
            </w:r>
          </w:p>
        </w:tc>
        <w:tc>
          <w:tcPr>
            <w:tcW w:w="1710" w:type="dxa"/>
            <w:tcBorders>
              <w:top w:val="double" w:sz="4" w:space="0" w:color="auto"/>
            </w:tcBorders>
            <w:vAlign w:val="center"/>
          </w:tcPr>
          <w:p w:rsidR="00485094" w:rsidRPr="003F21F8" w:rsidRDefault="00485094" w:rsidP="00065680">
            <w:pPr>
              <w:pStyle w:val="TableText"/>
              <w:jc w:val="center"/>
            </w:pPr>
            <w:r w:rsidRPr="003F21F8">
              <w:t>Ochlockonee–</w:t>
            </w:r>
          </w:p>
          <w:p w:rsidR="00485094" w:rsidRPr="003F21F8" w:rsidRDefault="00485094" w:rsidP="00065680">
            <w:pPr>
              <w:pStyle w:val="TableText"/>
              <w:jc w:val="center"/>
            </w:pPr>
            <w:r w:rsidRPr="003F21F8">
              <w:t>St. Marks</w:t>
            </w:r>
          </w:p>
        </w:tc>
        <w:tc>
          <w:tcPr>
            <w:tcW w:w="1710" w:type="dxa"/>
            <w:tcBorders>
              <w:top w:val="double" w:sz="4" w:space="0" w:color="auto"/>
            </w:tcBorders>
            <w:vAlign w:val="center"/>
          </w:tcPr>
          <w:p w:rsidR="00485094" w:rsidRPr="003F21F8" w:rsidRDefault="00485094" w:rsidP="00065680">
            <w:pPr>
              <w:pStyle w:val="TableText"/>
              <w:jc w:val="center"/>
            </w:pPr>
            <w:r w:rsidRPr="003F21F8">
              <w:t>Apalachicola–Chipola</w:t>
            </w:r>
          </w:p>
        </w:tc>
        <w:tc>
          <w:tcPr>
            <w:tcW w:w="1710" w:type="dxa"/>
            <w:tcBorders>
              <w:top w:val="double" w:sz="4" w:space="0" w:color="auto"/>
            </w:tcBorders>
            <w:vAlign w:val="center"/>
          </w:tcPr>
          <w:p w:rsidR="00485094" w:rsidRPr="003F21F8" w:rsidRDefault="00485094" w:rsidP="00065680">
            <w:pPr>
              <w:pStyle w:val="TableText"/>
              <w:jc w:val="center"/>
            </w:pPr>
            <w:r w:rsidRPr="003F21F8">
              <w:t>Choctawhatchee– St. Andrew</w:t>
            </w:r>
          </w:p>
        </w:tc>
        <w:tc>
          <w:tcPr>
            <w:tcW w:w="1800" w:type="dxa"/>
            <w:tcBorders>
              <w:top w:val="double" w:sz="4" w:space="0" w:color="auto"/>
            </w:tcBorders>
            <w:vAlign w:val="center"/>
          </w:tcPr>
          <w:p w:rsidR="00485094" w:rsidRPr="003F21F8" w:rsidRDefault="00485094" w:rsidP="00065680">
            <w:pPr>
              <w:pStyle w:val="TableText"/>
              <w:jc w:val="center"/>
            </w:pPr>
            <w:r w:rsidRPr="003F21F8">
              <w:t>Pensacola</w:t>
            </w:r>
          </w:p>
        </w:tc>
        <w:tc>
          <w:tcPr>
            <w:tcW w:w="1440" w:type="dxa"/>
            <w:tcBorders>
              <w:top w:val="double" w:sz="4" w:space="0" w:color="auto"/>
            </w:tcBorders>
            <w:vAlign w:val="center"/>
          </w:tcPr>
          <w:p w:rsidR="00485094" w:rsidRPr="003F21F8" w:rsidRDefault="00485094" w:rsidP="00065680">
            <w:pPr>
              <w:pStyle w:val="TableText"/>
              <w:jc w:val="center"/>
            </w:pPr>
            <w:r w:rsidRPr="003F21F8">
              <w:t>Perdido</w:t>
            </w:r>
          </w:p>
        </w:tc>
      </w:tr>
      <w:tr w:rsidR="00485094" w:rsidRPr="003F21F8" w:rsidTr="00065680">
        <w:trPr>
          <w:jc w:val="center"/>
        </w:trPr>
        <w:tc>
          <w:tcPr>
            <w:tcW w:w="1098" w:type="dxa"/>
            <w:shd w:val="clear" w:color="auto" w:fill="FFFFCC"/>
            <w:vAlign w:val="center"/>
          </w:tcPr>
          <w:p w:rsidR="00485094" w:rsidRPr="003F21F8" w:rsidRDefault="00485094" w:rsidP="00065680">
            <w:pPr>
              <w:pStyle w:val="TableText"/>
              <w:jc w:val="center"/>
            </w:pPr>
            <w:r w:rsidRPr="003F21F8">
              <w:t>Northeast</w:t>
            </w:r>
          </w:p>
        </w:tc>
        <w:tc>
          <w:tcPr>
            <w:tcW w:w="1710" w:type="dxa"/>
            <w:vAlign w:val="center"/>
          </w:tcPr>
          <w:p w:rsidR="00485094" w:rsidRPr="003F21F8" w:rsidRDefault="00485094" w:rsidP="00065680">
            <w:pPr>
              <w:pStyle w:val="TableText"/>
              <w:jc w:val="center"/>
            </w:pPr>
            <w:r w:rsidRPr="003F21F8">
              <w:t>Suwannee</w:t>
            </w:r>
          </w:p>
        </w:tc>
        <w:tc>
          <w:tcPr>
            <w:tcW w:w="1710" w:type="dxa"/>
            <w:vAlign w:val="center"/>
          </w:tcPr>
          <w:p w:rsidR="00485094" w:rsidRPr="003F21F8" w:rsidRDefault="00485094" w:rsidP="00065680">
            <w:pPr>
              <w:pStyle w:val="TableText"/>
              <w:jc w:val="center"/>
            </w:pPr>
            <w:r w:rsidRPr="003F21F8">
              <w:t>Lower St. Johns</w:t>
            </w:r>
          </w:p>
        </w:tc>
        <w:tc>
          <w:tcPr>
            <w:tcW w:w="1710" w:type="dxa"/>
            <w:vAlign w:val="center"/>
          </w:tcPr>
          <w:p w:rsidR="00485094" w:rsidRPr="003F21F8" w:rsidRDefault="00485094" w:rsidP="00065680">
            <w:pPr>
              <w:pStyle w:val="TableText"/>
              <w:jc w:val="center"/>
            </w:pPr>
            <w:r w:rsidRPr="003F21F8">
              <w:t>-</w:t>
            </w:r>
          </w:p>
        </w:tc>
        <w:tc>
          <w:tcPr>
            <w:tcW w:w="1800" w:type="dxa"/>
            <w:vAlign w:val="center"/>
          </w:tcPr>
          <w:p w:rsidR="00485094" w:rsidRPr="003F21F8" w:rsidRDefault="00485094" w:rsidP="00065680">
            <w:pPr>
              <w:pStyle w:val="TableText"/>
              <w:jc w:val="center"/>
            </w:pPr>
            <w:r w:rsidRPr="003F21F8">
              <w:t>Nassau–St. Marys</w:t>
            </w:r>
          </w:p>
        </w:tc>
        <w:tc>
          <w:tcPr>
            <w:tcW w:w="1440" w:type="dxa"/>
            <w:vAlign w:val="center"/>
          </w:tcPr>
          <w:p w:rsidR="00485094" w:rsidRPr="003F21F8" w:rsidRDefault="00485094" w:rsidP="00065680">
            <w:pPr>
              <w:pStyle w:val="TableText"/>
              <w:jc w:val="center"/>
            </w:pPr>
            <w:r w:rsidRPr="003F21F8">
              <w:t>Upper East Coast</w:t>
            </w:r>
          </w:p>
        </w:tc>
      </w:tr>
      <w:tr w:rsidR="00485094" w:rsidRPr="003F21F8" w:rsidTr="00065680">
        <w:trPr>
          <w:jc w:val="center"/>
        </w:trPr>
        <w:tc>
          <w:tcPr>
            <w:tcW w:w="1098" w:type="dxa"/>
            <w:shd w:val="clear" w:color="auto" w:fill="FFFFCC"/>
            <w:vAlign w:val="center"/>
          </w:tcPr>
          <w:p w:rsidR="00485094" w:rsidRPr="003F21F8" w:rsidRDefault="00485094" w:rsidP="00065680">
            <w:pPr>
              <w:pStyle w:val="TableText"/>
              <w:jc w:val="center"/>
            </w:pPr>
            <w:r w:rsidRPr="003F21F8">
              <w:t>Central</w:t>
            </w:r>
          </w:p>
        </w:tc>
        <w:tc>
          <w:tcPr>
            <w:tcW w:w="1710" w:type="dxa"/>
            <w:vAlign w:val="center"/>
          </w:tcPr>
          <w:p w:rsidR="00485094" w:rsidRPr="003F21F8" w:rsidRDefault="00485094" w:rsidP="00065680">
            <w:pPr>
              <w:pStyle w:val="TableText"/>
              <w:jc w:val="center"/>
            </w:pPr>
            <w:r w:rsidRPr="003F21F8">
              <w:t>Ocklawaha</w:t>
            </w:r>
          </w:p>
        </w:tc>
        <w:tc>
          <w:tcPr>
            <w:tcW w:w="1710" w:type="dxa"/>
            <w:vAlign w:val="center"/>
          </w:tcPr>
          <w:p w:rsidR="00485094" w:rsidRPr="003F21F8" w:rsidRDefault="00485094" w:rsidP="00065680">
            <w:pPr>
              <w:pStyle w:val="TableText"/>
              <w:jc w:val="center"/>
            </w:pPr>
            <w:r w:rsidRPr="003F21F8">
              <w:t>Middle St. Johns</w:t>
            </w:r>
          </w:p>
        </w:tc>
        <w:tc>
          <w:tcPr>
            <w:tcW w:w="1710" w:type="dxa"/>
            <w:vAlign w:val="center"/>
          </w:tcPr>
          <w:p w:rsidR="00485094" w:rsidRPr="003F21F8" w:rsidRDefault="00485094" w:rsidP="00065680">
            <w:pPr>
              <w:pStyle w:val="TableText"/>
              <w:jc w:val="center"/>
            </w:pPr>
            <w:r w:rsidRPr="003F21F8">
              <w:t>Upper St. Johns</w:t>
            </w:r>
          </w:p>
        </w:tc>
        <w:tc>
          <w:tcPr>
            <w:tcW w:w="1800" w:type="dxa"/>
            <w:vAlign w:val="center"/>
          </w:tcPr>
          <w:p w:rsidR="00485094" w:rsidRPr="003F21F8" w:rsidRDefault="00485094" w:rsidP="00065680">
            <w:pPr>
              <w:pStyle w:val="TableText"/>
              <w:jc w:val="center"/>
            </w:pPr>
            <w:r w:rsidRPr="003F21F8">
              <w:t>Kissimmee River</w:t>
            </w:r>
          </w:p>
        </w:tc>
        <w:tc>
          <w:tcPr>
            <w:tcW w:w="1440" w:type="dxa"/>
            <w:vAlign w:val="center"/>
          </w:tcPr>
          <w:p w:rsidR="00485094" w:rsidRPr="003F21F8" w:rsidRDefault="00485094" w:rsidP="00065680">
            <w:pPr>
              <w:pStyle w:val="TableText"/>
              <w:jc w:val="center"/>
            </w:pPr>
            <w:r w:rsidRPr="003F21F8">
              <w:t>Indian River Lagoon</w:t>
            </w:r>
          </w:p>
        </w:tc>
      </w:tr>
      <w:tr w:rsidR="00485094" w:rsidRPr="003F21F8" w:rsidTr="00065680">
        <w:trPr>
          <w:jc w:val="center"/>
        </w:trPr>
        <w:tc>
          <w:tcPr>
            <w:tcW w:w="1098" w:type="dxa"/>
            <w:shd w:val="clear" w:color="auto" w:fill="FFFFCC"/>
            <w:vAlign w:val="center"/>
          </w:tcPr>
          <w:p w:rsidR="00485094" w:rsidRPr="003F21F8" w:rsidRDefault="00485094" w:rsidP="00065680">
            <w:pPr>
              <w:pStyle w:val="TableText"/>
              <w:jc w:val="center"/>
            </w:pPr>
            <w:r w:rsidRPr="003F21F8">
              <w:t>Southwest</w:t>
            </w:r>
          </w:p>
        </w:tc>
        <w:tc>
          <w:tcPr>
            <w:tcW w:w="1710" w:type="dxa"/>
            <w:vAlign w:val="center"/>
          </w:tcPr>
          <w:p w:rsidR="00485094" w:rsidRPr="003F21F8" w:rsidRDefault="00485094" w:rsidP="00065680">
            <w:pPr>
              <w:pStyle w:val="TableText"/>
              <w:jc w:val="center"/>
            </w:pPr>
            <w:r w:rsidRPr="003F21F8">
              <w:t>Tampa Bay</w:t>
            </w:r>
          </w:p>
        </w:tc>
        <w:tc>
          <w:tcPr>
            <w:tcW w:w="1710" w:type="dxa"/>
            <w:vAlign w:val="center"/>
          </w:tcPr>
          <w:p w:rsidR="00485094" w:rsidRPr="003F21F8" w:rsidRDefault="00485094" w:rsidP="00065680">
            <w:pPr>
              <w:pStyle w:val="TableText"/>
              <w:jc w:val="center"/>
            </w:pPr>
            <w:r w:rsidRPr="003F21F8">
              <w:t>Tampa Bay Tributaries</w:t>
            </w:r>
          </w:p>
        </w:tc>
        <w:tc>
          <w:tcPr>
            <w:tcW w:w="1710" w:type="dxa"/>
            <w:vAlign w:val="center"/>
          </w:tcPr>
          <w:p w:rsidR="00485094" w:rsidRPr="003F21F8" w:rsidRDefault="00485094" w:rsidP="00065680">
            <w:pPr>
              <w:pStyle w:val="TableText"/>
              <w:jc w:val="center"/>
            </w:pPr>
            <w:r w:rsidRPr="003F21F8">
              <w:t>Sarasota Bay–Peace–Myakka</w:t>
            </w:r>
          </w:p>
        </w:tc>
        <w:tc>
          <w:tcPr>
            <w:tcW w:w="1800" w:type="dxa"/>
            <w:vAlign w:val="center"/>
          </w:tcPr>
          <w:p w:rsidR="00485094" w:rsidRPr="003F21F8" w:rsidRDefault="00485094" w:rsidP="00065680">
            <w:pPr>
              <w:pStyle w:val="TableText"/>
              <w:jc w:val="center"/>
            </w:pPr>
            <w:r w:rsidRPr="003F21F8">
              <w:t>Withlacoochee</w:t>
            </w:r>
          </w:p>
        </w:tc>
        <w:tc>
          <w:tcPr>
            <w:tcW w:w="1440" w:type="dxa"/>
            <w:vAlign w:val="center"/>
          </w:tcPr>
          <w:p w:rsidR="00485094" w:rsidRPr="003F21F8" w:rsidRDefault="00485094" w:rsidP="00065680">
            <w:pPr>
              <w:pStyle w:val="TableText"/>
              <w:jc w:val="center"/>
            </w:pPr>
            <w:r w:rsidRPr="003F21F8">
              <w:t>Springs Coast</w:t>
            </w:r>
          </w:p>
        </w:tc>
      </w:tr>
      <w:tr w:rsidR="00485094" w:rsidRPr="003F21F8" w:rsidTr="00065680">
        <w:trPr>
          <w:jc w:val="center"/>
        </w:trPr>
        <w:tc>
          <w:tcPr>
            <w:tcW w:w="1098" w:type="dxa"/>
            <w:shd w:val="clear" w:color="auto" w:fill="FFFFCC"/>
            <w:vAlign w:val="center"/>
          </w:tcPr>
          <w:p w:rsidR="00485094" w:rsidRPr="003F21F8" w:rsidRDefault="00485094" w:rsidP="00065680">
            <w:pPr>
              <w:pStyle w:val="TableText"/>
              <w:jc w:val="center"/>
            </w:pPr>
            <w:r w:rsidRPr="003F21F8">
              <w:t>South</w:t>
            </w:r>
          </w:p>
        </w:tc>
        <w:tc>
          <w:tcPr>
            <w:tcW w:w="1710" w:type="dxa"/>
            <w:vAlign w:val="center"/>
          </w:tcPr>
          <w:p w:rsidR="00485094" w:rsidRPr="003F21F8" w:rsidRDefault="00485094" w:rsidP="00065680">
            <w:pPr>
              <w:pStyle w:val="TableText"/>
              <w:jc w:val="center"/>
            </w:pPr>
            <w:r w:rsidRPr="003F21F8">
              <w:t>Everglades West</w:t>
            </w:r>
          </w:p>
          <w:p w:rsidR="00485094" w:rsidRPr="003F21F8" w:rsidRDefault="00485094" w:rsidP="00065680">
            <w:pPr>
              <w:pStyle w:val="TableText"/>
              <w:jc w:val="center"/>
            </w:pPr>
            <w:r w:rsidRPr="003F21F8">
              <w:t>Coast</w:t>
            </w:r>
          </w:p>
        </w:tc>
        <w:tc>
          <w:tcPr>
            <w:tcW w:w="1710" w:type="dxa"/>
            <w:vAlign w:val="center"/>
          </w:tcPr>
          <w:p w:rsidR="00485094" w:rsidRPr="003F21F8" w:rsidRDefault="00485094" w:rsidP="00065680">
            <w:pPr>
              <w:pStyle w:val="TableText"/>
              <w:jc w:val="center"/>
            </w:pPr>
            <w:r w:rsidRPr="003F21F8">
              <w:t>Charlotte Harbor</w:t>
            </w:r>
          </w:p>
        </w:tc>
        <w:tc>
          <w:tcPr>
            <w:tcW w:w="1710" w:type="dxa"/>
            <w:vAlign w:val="center"/>
          </w:tcPr>
          <w:p w:rsidR="00485094" w:rsidRPr="003F21F8" w:rsidRDefault="00485094" w:rsidP="00065680">
            <w:pPr>
              <w:pStyle w:val="TableText"/>
              <w:jc w:val="center"/>
            </w:pPr>
            <w:r w:rsidRPr="003F21F8">
              <w:t>Caloosahatchee</w:t>
            </w:r>
          </w:p>
        </w:tc>
        <w:tc>
          <w:tcPr>
            <w:tcW w:w="1800" w:type="dxa"/>
            <w:vAlign w:val="center"/>
          </w:tcPr>
          <w:p w:rsidR="00485094" w:rsidRPr="003F21F8" w:rsidRDefault="00485094" w:rsidP="00065680">
            <w:pPr>
              <w:pStyle w:val="TableText"/>
              <w:jc w:val="center"/>
            </w:pPr>
            <w:r w:rsidRPr="003F21F8">
              <w:t>Fisheating Creek</w:t>
            </w:r>
          </w:p>
        </w:tc>
        <w:tc>
          <w:tcPr>
            <w:tcW w:w="1440" w:type="dxa"/>
            <w:vAlign w:val="center"/>
          </w:tcPr>
          <w:p w:rsidR="00485094" w:rsidRPr="003F21F8" w:rsidRDefault="00485094" w:rsidP="00065680">
            <w:pPr>
              <w:pStyle w:val="TableText"/>
              <w:jc w:val="center"/>
            </w:pPr>
            <w:r w:rsidRPr="003F21F8">
              <w:t>Florida Keys</w:t>
            </w:r>
          </w:p>
        </w:tc>
      </w:tr>
      <w:tr w:rsidR="00485094" w:rsidRPr="006C41CE" w:rsidTr="00065680">
        <w:trPr>
          <w:jc w:val="center"/>
        </w:trPr>
        <w:tc>
          <w:tcPr>
            <w:tcW w:w="1098" w:type="dxa"/>
            <w:shd w:val="clear" w:color="auto" w:fill="FFFFCC"/>
            <w:vAlign w:val="center"/>
          </w:tcPr>
          <w:p w:rsidR="00485094" w:rsidRPr="003F21F8" w:rsidRDefault="00485094" w:rsidP="00065680">
            <w:pPr>
              <w:pStyle w:val="TableText"/>
              <w:jc w:val="center"/>
            </w:pPr>
            <w:r w:rsidRPr="003F21F8">
              <w:t>Southeast</w:t>
            </w:r>
          </w:p>
        </w:tc>
        <w:tc>
          <w:tcPr>
            <w:tcW w:w="1710" w:type="dxa"/>
            <w:vAlign w:val="center"/>
          </w:tcPr>
          <w:p w:rsidR="00485094" w:rsidRPr="003F21F8" w:rsidRDefault="00485094" w:rsidP="00065680">
            <w:pPr>
              <w:pStyle w:val="TableText"/>
              <w:jc w:val="center"/>
            </w:pPr>
            <w:r w:rsidRPr="003F21F8">
              <w:t>Lake Okeechobee</w:t>
            </w:r>
          </w:p>
        </w:tc>
        <w:tc>
          <w:tcPr>
            <w:tcW w:w="1710" w:type="dxa"/>
            <w:vAlign w:val="center"/>
          </w:tcPr>
          <w:p w:rsidR="00485094" w:rsidRPr="003F21F8" w:rsidRDefault="00485094" w:rsidP="00065680">
            <w:pPr>
              <w:pStyle w:val="TableText"/>
              <w:jc w:val="center"/>
            </w:pPr>
            <w:r w:rsidRPr="003F21F8">
              <w:t>St. Lucie–Loxahatchee</w:t>
            </w:r>
          </w:p>
        </w:tc>
        <w:tc>
          <w:tcPr>
            <w:tcW w:w="1710" w:type="dxa"/>
            <w:vAlign w:val="center"/>
          </w:tcPr>
          <w:p w:rsidR="00485094" w:rsidRPr="003F21F8" w:rsidRDefault="00485094" w:rsidP="00065680">
            <w:pPr>
              <w:pStyle w:val="TableText"/>
              <w:jc w:val="center"/>
            </w:pPr>
            <w:r w:rsidRPr="003F21F8">
              <w:t>Lake Worth Lagoon–</w:t>
            </w:r>
          </w:p>
          <w:p w:rsidR="00485094" w:rsidRPr="003F21F8" w:rsidRDefault="00485094" w:rsidP="00065680">
            <w:pPr>
              <w:pStyle w:val="TableText"/>
              <w:jc w:val="center"/>
            </w:pPr>
            <w:r w:rsidRPr="003F21F8">
              <w:t>Palm Beach Coast</w:t>
            </w:r>
          </w:p>
        </w:tc>
        <w:tc>
          <w:tcPr>
            <w:tcW w:w="1800" w:type="dxa"/>
            <w:vAlign w:val="center"/>
          </w:tcPr>
          <w:p w:rsidR="00485094" w:rsidRPr="003F21F8" w:rsidRDefault="00485094" w:rsidP="00065680">
            <w:pPr>
              <w:pStyle w:val="TableText"/>
              <w:jc w:val="center"/>
            </w:pPr>
            <w:r w:rsidRPr="003F21F8">
              <w:t>Southeast Coast–Biscayne Bay</w:t>
            </w:r>
          </w:p>
        </w:tc>
        <w:tc>
          <w:tcPr>
            <w:tcW w:w="1440" w:type="dxa"/>
            <w:vAlign w:val="center"/>
          </w:tcPr>
          <w:p w:rsidR="00485094" w:rsidRPr="003F21F8" w:rsidRDefault="00485094" w:rsidP="00065680">
            <w:pPr>
              <w:pStyle w:val="TableText"/>
              <w:jc w:val="center"/>
            </w:pPr>
            <w:r w:rsidRPr="003F21F8">
              <w:t>Everglades</w:t>
            </w:r>
          </w:p>
        </w:tc>
      </w:tr>
    </w:tbl>
    <w:p w:rsidR="00485094" w:rsidRDefault="00485094" w:rsidP="00FE4395">
      <w:pPr>
        <w:pStyle w:val="Bodytextreduced"/>
        <w:rPr>
          <w:snapToGrid w:val="0"/>
          <w:highlight w:val="yellow"/>
        </w:rPr>
      </w:pPr>
    </w:p>
    <w:p w:rsidR="00485094" w:rsidRPr="006C41CE" w:rsidRDefault="00485094" w:rsidP="00FE4395">
      <w:pPr>
        <w:pStyle w:val="Bodytextreduced"/>
        <w:rPr>
          <w:snapToGrid w:val="0"/>
          <w:highlight w:val="yellow"/>
        </w:rPr>
      </w:pPr>
    </w:p>
    <w:p w:rsidR="00485094" w:rsidRPr="003F21F8" w:rsidRDefault="00485094" w:rsidP="005F5866">
      <w:pPr>
        <w:pStyle w:val="Tableheading"/>
      </w:pPr>
      <w:bookmarkStart w:id="541" w:name="_Toc254267132"/>
      <w:bookmarkStart w:id="542" w:name="_Toc255807507"/>
      <w:bookmarkStart w:id="543" w:name="_Toc271280113"/>
      <w:r w:rsidRPr="003F21F8">
        <w:t>Table 7.3.  Basin Rotation Schedule for TMDL Development and Implementation</w:t>
      </w:r>
      <w:bookmarkEnd w:id="541"/>
      <w:bookmarkEnd w:id="542"/>
      <w:bookmarkEnd w:id="543"/>
    </w:p>
    <w:p w:rsidR="00485094" w:rsidRDefault="00485094" w:rsidP="00E86B70">
      <w:pPr>
        <w:pStyle w:val="TabledescriptionBF"/>
      </w:pPr>
      <w:r>
        <w:t>This is an 11-column table.  Column 1 lists the basin group, and Columns 2 through 11 list the phase of the basin cycle for Years 1 through 10, respectively.</w:t>
      </w:r>
    </w:p>
    <w:p w:rsidR="00485094" w:rsidRDefault="00485094" w:rsidP="00E86B70">
      <w:pPr>
        <w:pStyle w:val="Bodytextreduced"/>
      </w:pPr>
    </w:p>
    <w:p w:rsidR="00485094" w:rsidRPr="003F21F8" w:rsidRDefault="00485094" w:rsidP="00E86B70">
      <w:pPr>
        <w:pStyle w:val="Bodytextreduced"/>
        <w:rPr>
          <w:szCs w:val="16"/>
        </w:rPr>
      </w:pPr>
      <w:r w:rsidRPr="003F21F8">
        <w:rPr>
          <w:b/>
          <w:szCs w:val="16"/>
        </w:rPr>
        <w:t>Note:</w:t>
      </w:r>
      <w:r w:rsidRPr="003F21F8">
        <w:rPr>
          <w:szCs w:val="16"/>
        </w:rPr>
        <w:t xml:space="preserve">  The projected years for Phases 3, 4, and 5 may change due to accelerated local activities, length of plan development, legal challenges, etc.</w:t>
      </w:r>
    </w:p>
    <w:p w:rsidR="00485094" w:rsidRDefault="00485094" w:rsidP="00E86B70">
      <w:pPr>
        <w:pStyle w:val="Bodytextreduced"/>
      </w:pPr>
      <w:r>
        <w:t>- = Empty cell/no data</w:t>
      </w:r>
    </w:p>
    <w:p w:rsidR="00485094" w:rsidRPr="005E2ED6" w:rsidRDefault="00485094" w:rsidP="00E86B70">
      <w:pPr>
        <w:pStyle w:val="Tablefootnote"/>
      </w:pPr>
      <w:r w:rsidRPr="005E2ED6">
        <w:t>* Projected years for Phases 3, 4, and 5 may change due to accelerated local activities, length of plan development, legal challenges, etc.</w:t>
      </w:r>
    </w:p>
    <w:p w:rsidR="00485094" w:rsidRDefault="00485094" w:rsidP="00E86B70">
      <w:pPr>
        <w:pStyle w:val="Bodytextreduced"/>
      </w:pPr>
      <w:r>
        <w:t>** First five-year cycle = High-priority waters</w:t>
      </w:r>
    </w:p>
    <w:p w:rsidR="00485094" w:rsidRPr="00134AAF" w:rsidRDefault="00485094" w:rsidP="00E86B70">
      <w:pPr>
        <w:pStyle w:val="Bodytextreduced"/>
      </w:pPr>
      <w:r w:rsidRPr="00134AAF">
        <w:rPr>
          <w:vertAlign w:val="superscript"/>
        </w:rPr>
        <w:t>+</w:t>
      </w:r>
      <w:r>
        <w:rPr>
          <w:vertAlign w:val="superscript"/>
        </w:rPr>
        <w:t xml:space="preserve"> </w:t>
      </w:r>
      <w:r w:rsidRPr="00134AAF">
        <w:t xml:space="preserve"> </w:t>
      </w:r>
      <w:r>
        <w:t>Second five-year cycle = Medium-priority waters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F"/>
      </w:tblPr>
      <w:tblGrid>
        <w:gridCol w:w="1170"/>
        <w:gridCol w:w="819"/>
        <w:gridCol w:w="819"/>
        <w:gridCol w:w="819"/>
        <w:gridCol w:w="819"/>
        <w:gridCol w:w="819"/>
        <w:gridCol w:w="819"/>
        <w:gridCol w:w="819"/>
        <w:gridCol w:w="819"/>
        <w:gridCol w:w="819"/>
        <w:gridCol w:w="819"/>
      </w:tblGrid>
      <w:tr w:rsidR="00485094" w:rsidRPr="000F2909" w:rsidTr="00E86B70">
        <w:trPr>
          <w:trHeight w:val="129"/>
          <w:jc w:val="center"/>
        </w:trPr>
        <w:tc>
          <w:tcPr>
            <w:tcW w:w="1170" w:type="dxa"/>
            <w:tcBorders>
              <w:bottom w:val="double" w:sz="4" w:space="0" w:color="auto"/>
            </w:tcBorders>
            <w:shd w:val="clear" w:color="auto" w:fill="BDFFFF"/>
            <w:vAlign w:val="center"/>
          </w:tcPr>
          <w:p w:rsidR="00485094" w:rsidRPr="000F2909" w:rsidRDefault="00485094" w:rsidP="00E6035C">
            <w:pPr>
              <w:pStyle w:val="TableText"/>
              <w:jc w:val="center"/>
              <w:rPr>
                <w:rFonts w:ascii="Arial Bold" w:hAnsi="Arial Bold"/>
                <w:b/>
                <w:i/>
              </w:rPr>
            </w:pPr>
            <w:r w:rsidRPr="000F2909">
              <w:rPr>
                <w:rFonts w:ascii="Arial Bold" w:hAnsi="Arial Bold"/>
                <w:b/>
                <w:i/>
              </w:rPr>
              <w:t>Basin Group</w:t>
            </w:r>
          </w:p>
        </w:tc>
        <w:tc>
          <w:tcPr>
            <w:tcW w:w="819" w:type="dxa"/>
            <w:tcBorders>
              <w:bottom w:val="double" w:sz="4" w:space="0" w:color="auto"/>
            </w:tcBorders>
            <w:shd w:val="clear" w:color="auto" w:fill="BDFFFF"/>
            <w:vAlign w:val="center"/>
          </w:tcPr>
          <w:p w:rsidR="00485094" w:rsidRPr="000F2909" w:rsidRDefault="00485094" w:rsidP="00E6035C">
            <w:pPr>
              <w:pStyle w:val="TableText"/>
              <w:jc w:val="center"/>
              <w:rPr>
                <w:rFonts w:ascii="Arial Bold" w:hAnsi="Arial Bold"/>
                <w:b/>
                <w:i/>
              </w:rPr>
            </w:pPr>
            <w:r w:rsidRPr="000F2909">
              <w:rPr>
                <w:rFonts w:ascii="Arial Bold" w:hAnsi="Arial Bold"/>
                <w:b/>
                <w:i/>
              </w:rPr>
              <w:t>Year 00/01</w:t>
            </w:r>
          </w:p>
        </w:tc>
        <w:tc>
          <w:tcPr>
            <w:tcW w:w="819" w:type="dxa"/>
            <w:tcBorders>
              <w:bottom w:val="double" w:sz="4" w:space="0" w:color="auto"/>
            </w:tcBorders>
            <w:shd w:val="clear" w:color="auto" w:fill="BDFFFF"/>
            <w:vAlign w:val="center"/>
          </w:tcPr>
          <w:p w:rsidR="00485094" w:rsidRPr="000F2909" w:rsidRDefault="00485094" w:rsidP="00E6035C">
            <w:pPr>
              <w:pStyle w:val="TableText"/>
              <w:jc w:val="center"/>
              <w:rPr>
                <w:rFonts w:ascii="Arial Bold" w:hAnsi="Arial Bold"/>
                <w:b/>
                <w:i/>
              </w:rPr>
            </w:pPr>
            <w:r w:rsidRPr="000F2909">
              <w:rPr>
                <w:rFonts w:ascii="Arial Bold" w:hAnsi="Arial Bold"/>
                <w:b/>
                <w:i/>
              </w:rPr>
              <w:t>Year 01/02</w:t>
            </w:r>
          </w:p>
        </w:tc>
        <w:tc>
          <w:tcPr>
            <w:tcW w:w="819" w:type="dxa"/>
            <w:tcBorders>
              <w:bottom w:val="double" w:sz="4" w:space="0" w:color="auto"/>
            </w:tcBorders>
            <w:shd w:val="clear" w:color="auto" w:fill="BDFFFF"/>
            <w:vAlign w:val="center"/>
          </w:tcPr>
          <w:p w:rsidR="00485094" w:rsidRPr="000F2909" w:rsidRDefault="00485094" w:rsidP="00E6035C">
            <w:pPr>
              <w:pStyle w:val="TableText"/>
              <w:jc w:val="center"/>
              <w:rPr>
                <w:rFonts w:ascii="Arial Bold" w:hAnsi="Arial Bold"/>
                <w:b/>
                <w:i/>
              </w:rPr>
            </w:pPr>
            <w:r w:rsidRPr="000F2909">
              <w:rPr>
                <w:rFonts w:ascii="Arial Bold" w:hAnsi="Arial Bold"/>
                <w:b/>
                <w:i/>
              </w:rPr>
              <w:t>Year 02/03*</w:t>
            </w:r>
          </w:p>
        </w:tc>
        <w:tc>
          <w:tcPr>
            <w:tcW w:w="819" w:type="dxa"/>
            <w:tcBorders>
              <w:bottom w:val="double" w:sz="4" w:space="0" w:color="auto"/>
            </w:tcBorders>
            <w:shd w:val="clear" w:color="auto" w:fill="BDFFFF"/>
            <w:vAlign w:val="center"/>
          </w:tcPr>
          <w:p w:rsidR="00485094" w:rsidRPr="000F2909" w:rsidRDefault="00485094" w:rsidP="00E6035C">
            <w:pPr>
              <w:pStyle w:val="TableText"/>
              <w:jc w:val="center"/>
              <w:rPr>
                <w:rFonts w:ascii="Arial Bold" w:hAnsi="Arial Bold"/>
                <w:b/>
                <w:i/>
              </w:rPr>
            </w:pPr>
            <w:r w:rsidRPr="000F2909">
              <w:rPr>
                <w:rFonts w:ascii="Arial Bold" w:hAnsi="Arial Bold"/>
                <w:b/>
                <w:i/>
              </w:rPr>
              <w:t>Year 03*/04*</w:t>
            </w:r>
          </w:p>
        </w:tc>
        <w:tc>
          <w:tcPr>
            <w:tcW w:w="819" w:type="dxa"/>
            <w:tcBorders>
              <w:bottom w:val="double" w:sz="4" w:space="0" w:color="auto"/>
            </w:tcBorders>
            <w:shd w:val="clear" w:color="auto" w:fill="BDFFFF"/>
            <w:vAlign w:val="center"/>
          </w:tcPr>
          <w:p w:rsidR="00485094" w:rsidRPr="000F2909" w:rsidRDefault="00485094" w:rsidP="00E6035C">
            <w:pPr>
              <w:pStyle w:val="TableText"/>
              <w:jc w:val="center"/>
              <w:rPr>
                <w:rFonts w:ascii="Arial Bold" w:hAnsi="Arial Bold"/>
                <w:b/>
                <w:i/>
              </w:rPr>
            </w:pPr>
            <w:r w:rsidRPr="000F2909">
              <w:rPr>
                <w:rFonts w:ascii="Arial Bold" w:hAnsi="Arial Bold"/>
                <w:b/>
                <w:i/>
              </w:rPr>
              <w:t>Year 04*/05*</w:t>
            </w:r>
          </w:p>
        </w:tc>
        <w:tc>
          <w:tcPr>
            <w:tcW w:w="819" w:type="dxa"/>
            <w:tcBorders>
              <w:bottom w:val="double" w:sz="4" w:space="0" w:color="auto"/>
            </w:tcBorders>
            <w:shd w:val="clear" w:color="auto" w:fill="BDFFFF"/>
            <w:vAlign w:val="center"/>
          </w:tcPr>
          <w:p w:rsidR="00485094" w:rsidRPr="000F2909" w:rsidRDefault="00485094" w:rsidP="00E6035C">
            <w:pPr>
              <w:pStyle w:val="TableText"/>
              <w:jc w:val="center"/>
              <w:rPr>
                <w:rFonts w:ascii="Arial Bold" w:hAnsi="Arial Bold"/>
                <w:b/>
                <w:i/>
              </w:rPr>
            </w:pPr>
            <w:r w:rsidRPr="000F2909">
              <w:rPr>
                <w:rFonts w:ascii="Arial Bold" w:hAnsi="Arial Bold"/>
                <w:b/>
                <w:i/>
              </w:rPr>
              <w:t>Year 05*/06</w:t>
            </w:r>
          </w:p>
        </w:tc>
        <w:tc>
          <w:tcPr>
            <w:tcW w:w="819" w:type="dxa"/>
            <w:tcBorders>
              <w:bottom w:val="double" w:sz="4" w:space="0" w:color="auto"/>
            </w:tcBorders>
            <w:shd w:val="clear" w:color="auto" w:fill="BDFFFF"/>
            <w:vAlign w:val="center"/>
          </w:tcPr>
          <w:p w:rsidR="00485094" w:rsidRPr="000F2909" w:rsidRDefault="00485094" w:rsidP="00E6035C">
            <w:pPr>
              <w:pStyle w:val="TableText"/>
              <w:jc w:val="center"/>
              <w:rPr>
                <w:rFonts w:ascii="Arial Bold" w:hAnsi="Arial Bold"/>
                <w:b/>
                <w:i/>
              </w:rPr>
            </w:pPr>
            <w:r w:rsidRPr="000F2909">
              <w:rPr>
                <w:rFonts w:ascii="Arial Bold" w:hAnsi="Arial Bold"/>
                <w:b/>
                <w:i/>
              </w:rPr>
              <w:t>Year 06/07</w:t>
            </w:r>
          </w:p>
        </w:tc>
        <w:tc>
          <w:tcPr>
            <w:tcW w:w="819" w:type="dxa"/>
            <w:tcBorders>
              <w:bottom w:val="double" w:sz="4" w:space="0" w:color="auto"/>
            </w:tcBorders>
            <w:shd w:val="clear" w:color="auto" w:fill="BDFFFF"/>
            <w:vAlign w:val="center"/>
          </w:tcPr>
          <w:p w:rsidR="00485094" w:rsidRPr="000F2909" w:rsidRDefault="00485094" w:rsidP="00E6035C">
            <w:pPr>
              <w:pStyle w:val="TableText"/>
              <w:jc w:val="center"/>
              <w:rPr>
                <w:rFonts w:ascii="Arial Bold" w:hAnsi="Arial Bold"/>
                <w:b/>
                <w:i/>
              </w:rPr>
            </w:pPr>
            <w:r w:rsidRPr="000F2909">
              <w:rPr>
                <w:rFonts w:ascii="Arial Bold" w:hAnsi="Arial Bold"/>
                <w:b/>
                <w:i/>
              </w:rPr>
              <w:t>Year 07/08</w:t>
            </w:r>
          </w:p>
        </w:tc>
        <w:tc>
          <w:tcPr>
            <w:tcW w:w="819" w:type="dxa"/>
            <w:tcBorders>
              <w:bottom w:val="double" w:sz="4" w:space="0" w:color="auto"/>
            </w:tcBorders>
            <w:shd w:val="clear" w:color="auto" w:fill="BDFFFF"/>
            <w:vAlign w:val="center"/>
          </w:tcPr>
          <w:p w:rsidR="00485094" w:rsidRPr="000F2909" w:rsidRDefault="00485094" w:rsidP="00E6035C">
            <w:pPr>
              <w:pStyle w:val="TableText"/>
              <w:jc w:val="center"/>
              <w:rPr>
                <w:rFonts w:ascii="Arial Bold" w:hAnsi="Arial Bold"/>
                <w:b/>
                <w:i/>
              </w:rPr>
            </w:pPr>
            <w:r w:rsidRPr="000F2909">
              <w:rPr>
                <w:rFonts w:ascii="Arial Bold" w:hAnsi="Arial Bold"/>
                <w:b/>
                <w:i/>
              </w:rPr>
              <w:t>Year 08/09</w:t>
            </w:r>
          </w:p>
        </w:tc>
        <w:tc>
          <w:tcPr>
            <w:tcW w:w="819" w:type="dxa"/>
            <w:tcBorders>
              <w:bottom w:val="double" w:sz="4" w:space="0" w:color="auto"/>
            </w:tcBorders>
            <w:shd w:val="clear" w:color="auto" w:fill="BDFFFF"/>
            <w:vAlign w:val="center"/>
          </w:tcPr>
          <w:p w:rsidR="00485094" w:rsidRPr="000F2909" w:rsidRDefault="00485094" w:rsidP="00E6035C">
            <w:pPr>
              <w:pStyle w:val="TableText"/>
              <w:jc w:val="center"/>
              <w:rPr>
                <w:rFonts w:ascii="Arial Bold" w:hAnsi="Arial Bold"/>
                <w:b/>
                <w:i/>
              </w:rPr>
            </w:pPr>
            <w:r w:rsidRPr="000F2909">
              <w:rPr>
                <w:rFonts w:ascii="Arial Bold" w:hAnsi="Arial Bold"/>
                <w:b/>
                <w:i/>
              </w:rPr>
              <w:t>Year 09/10</w:t>
            </w:r>
          </w:p>
        </w:tc>
      </w:tr>
      <w:tr w:rsidR="00485094" w:rsidTr="00E86B70">
        <w:trPr>
          <w:jc w:val="center"/>
        </w:trPr>
        <w:tc>
          <w:tcPr>
            <w:tcW w:w="1170" w:type="dxa"/>
            <w:tcBorders>
              <w:top w:val="double" w:sz="4" w:space="0" w:color="auto"/>
            </w:tcBorders>
            <w:vAlign w:val="center"/>
          </w:tcPr>
          <w:p w:rsidR="00485094" w:rsidRDefault="00485094" w:rsidP="00E6035C">
            <w:pPr>
              <w:pStyle w:val="TableText"/>
              <w:jc w:val="center"/>
            </w:pPr>
            <w:r>
              <w:t>Group 1</w:t>
            </w:r>
          </w:p>
        </w:tc>
        <w:tc>
          <w:tcPr>
            <w:tcW w:w="819" w:type="dxa"/>
            <w:tcBorders>
              <w:top w:val="double" w:sz="4" w:space="0" w:color="auto"/>
            </w:tcBorders>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1</w:t>
            </w:r>
            <w:r w:rsidRPr="00387524">
              <w:t>**</w:t>
            </w:r>
          </w:p>
        </w:tc>
        <w:tc>
          <w:tcPr>
            <w:tcW w:w="819" w:type="dxa"/>
            <w:tcBorders>
              <w:top w:val="double" w:sz="4" w:space="0" w:color="auto"/>
            </w:tcBorders>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2</w:t>
            </w:r>
            <w:r w:rsidRPr="00387524">
              <w:t>**</w:t>
            </w:r>
          </w:p>
        </w:tc>
        <w:tc>
          <w:tcPr>
            <w:tcW w:w="819" w:type="dxa"/>
            <w:tcBorders>
              <w:top w:val="double" w:sz="4" w:space="0" w:color="auto"/>
            </w:tcBorders>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3</w:t>
            </w:r>
            <w:r w:rsidRPr="00387524">
              <w:t>**</w:t>
            </w:r>
          </w:p>
        </w:tc>
        <w:tc>
          <w:tcPr>
            <w:tcW w:w="819" w:type="dxa"/>
            <w:tcBorders>
              <w:top w:val="double" w:sz="4" w:space="0" w:color="auto"/>
            </w:tcBorders>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4</w:t>
            </w:r>
            <w:r w:rsidRPr="00387524">
              <w:t>**</w:t>
            </w:r>
          </w:p>
        </w:tc>
        <w:tc>
          <w:tcPr>
            <w:tcW w:w="819" w:type="dxa"/>
            <w:tcBorders>
              <w:top w:val="double" w:sz="4" w:space="0" w:color="auto"/>
            </w:tcBorders>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5</w:t>
            </w:r>
            <w:r w:rsidRPr="00387524">
              <w:t>**</w:t>
            </w:r>
          </w:p>
        </w:tc>
        <w:tc>
          <w:tcPr>
            <w:tcW w:w="819" w:type="dxa"/>
            <w:tcBorders>
              <w:top w:val="double" w:sz="4" w:space="0" w:color="auto"/>
            </w:tcBorders>
            <w:shd w:val="clear" w:color="auto" w:fill="FFFFFF"/>
            <w:vAlign w:val="center"/>
          </w:tcPr>
          <w:p w:rsidR="00485094" w:rsidRPr="00387524" w:rsidRDefault="00485094" w:rsidP="00E6035C">
            <w:pPr>
              <w:pStyle w:val="TableText"/>
              <w:jc w:val="center"/>
              <w:rPr>
                <w:rFonts w:ascii="Arial Bold" w:hAnsi="Arial Bold"/>
              </w:rPr>
            </w:pPr>
            <w:r w:rsidRPr="00387524">
              <w:rPr>
                <w:rFonts w:ascii="Arial Bold" w:hAnsi="Arial Bold"/>
              </w:rPr>
              <w:t>Phase 1</w:t>
            </w:r>
            <w:r w:rsidRPr="00387524">
              <w:rPr>
                <w:rFonts w:ascii="Arial Bold" w:hAnsi="Arial Bold"/>
                <w:vertAlign w:val="superscript"/>
              </w:rPr>
              <w:t>+</w:t>
            </w:r>
          </w:p>
        </w:tc>
        <w:tc>
          <w:tcPr>
            <w:tcW w:w="819" w:type="dxa"/>
            <w:tcBorders>
              <w:top w:val="double" w:sz="4" w:space="0" w:color="auto"/>
            </w:tcBorders>
            <w:vAlign w:val="center"/>
          </w:tcPr>
          <w:p w:rsidR="00485094" w:rsidRPr="00387524" w:rsidRDefault="00485094" w:rsidP="00E6035C">
            <w:pPr>
              <w:pStyle w:val="TableText"/>
              <w:jc w:val="center"/>
              <w:rPr>
                <w:rFonts w:ascii="Arial Bold" w:hAnsi="Arial Bold"/>
              </w:rPr>
            </w:pPr>
            <w:r w:rsidRPr="00387524">
              <w:rPr>
                <w:rFonts w:ascii="Arial Bold" w:hAnsi="Arial Bold"/>
              </w:rPr>
              <w:t>Phase 2</w:t>
            </w:r>
            <w:r w:rsidRPr="00387524">
              <w:rPr>
                <w:rFonts w:ascii="Arial Bold" w:hAnsi="Arial Bold"/>
                <w:vertAlign w:val="superscript"/>
              </w:rPr>
              <w:t>+</w:t>
            </w:r>
          </w:p>
        </w:tc>
        <w:tc>
          <w:tcPr>
            <w:tcW w:w="819" w:type="dxa"/>
            <w:tcBorders>
              <w:top w:val="double" w:sz="4" w:space="0" w:color="auto"/>
            </w:tcBorders>
            <w:vAlign w:val="center"/>
          </w:tcPr>
          <w:p w:rsidR="00485094" w:rsidRPr="00387524" w:rsidRDefault="00485094" w:rsidP="00E6035C">
            <w:pPr>
              <w:pStyle w:val="TableText"/>
              <w:jc w:val="center"/>
              <w:rPr>
                <w:rFonts w:ascii="Arial Bold" w:hAnsi="Arial Bold"/>
              </w:rPr>
            </w:pPr>
            <w:r w:rsidRPr="00387524">
              <w:rPr>
                <w:rFonts w:ascii="Arial Bold" w:hAnsi="Arial Bold"/>
              </w:rPr>
              <w:t>Phase 3</w:t>
            </w:r>
            <w:r w:rsidRPr="00387524">
              <w:rPr>
                <w:rFonts w:ascii="Arial Bold" w:hAnsi="Arial Bold"/>
                <w:vertAlign w:val="superscript"/>
              </w:rPr>
              <w:t>+</w:t>
            </w:r>
          </w:p>
        </w:tc>
        <w:tc>
          <w:tcPr>
            <w:tcW w:w="819" w:type="dxa"/>
            <w:tcBorders>
              <w:top w:val="double" w:sz="4" w:space="0" w:color="auto"/>
            </w:tcBorders>
            <w:vAlign w:val="center"/>
          </w:tcPr>
          <w:p w:rsidR="00485094" w:rsidRPr="00387524" w:rsidRDefault="00485094" w:rsidP="00E6035C">
            <w:pPr>
              <w:pStyle w:val="TableText"/>
              <w:jc w:val="center"/>
              <w:rPr>
                <w:rFonts w:ascii="Arial Bold" w:hAnsi="Arial Bold"/>
              </w:rPr>
            </w:pPr>
            <w:r w:rsidRPr="00387524">
              <w:rPr>
                <w:rFonts w:ascii="Arial Bold" w:hAnsi="Arial Bold"/>
              </w:rPr>
              <w:t>Phase 4</w:t>
            </w:r>
            <w:r w:rsidRPr="00387524">
              <w:rPr>
                <w:rFonts w:ascii="Arial Bold" w:hAnsi="Arial Bold"/>
                <w:vertAlign w:val="superscript"/>
              </w:rPr>
              <w:t>+</w:t>
            </w:r>
          </w:p>
        </w:tc>
        <w:tc>
          <w:tcPr>
            <w:tcW w:w="819" w:type="dxa"/>
            <w:tcBorders>
              <w:top w:val="double" w:sz="4" w:space="0" w:color="auto"/>
            </w:tcBorders>
            <w:vAlign w:val="center"/>
          </w:tcPr>
          <w:p w:rsidR="00485094" w:rsidRPr="00387524" w:rsidRDefault="00485094" w:rsidP="00E6035C">
            <w:pPr>
              <w:pStyle w:val="TableText"/>
              <w:jc w:val="center"/>
              <w:rPr>
                <w:rFonts w:ascii="Arial Bold" w:hAnsi="Arial Bold"/>
              </w:rPr>
            </w:pPr>
            <w:r w:rsidRPr="00387524">
              <w:rPr>
                <w:rFonts w:ascii="Arial Bold" w:hAnsi="Arial Bold"/>
              </w:rPr>
              <w:t>Phase 5</w:t>
            </w:r>
            <w:r w:rsidRPr="00387524">
              <w:rPr>
                <w:rFonts w:ascii="Arial Bold" w:hAnsi="Arial Bold"/>
                <w:vertAlign w:val="superscript"/>
              </w:rPr>
              <w:t>+</w:t>
            </w:r>
          </w:p>
        </w:tc>
      </w:tr>
      <w:tr w:rsidR="00485094" w:rsidTr="00E86B70">
        <w:trPr>
          <w:jc w:val="center"/>
        </w:trPr>
        <w:tc>
          <w:tcPr>
            <w:tcW w:w="1170" w:type="dxa"/>
            <w:vAlign w:val="center"/>
          </w:tcPr>
          <w:p w:rsidR="00485094" w:rsidRDefault="00485094" w:rsidP="00E6035C">
            <w:pPr>
              <w:pStyle w:val="TableText"/>
              <w:jc w:val="center"/>
            </w:pPr>
            <w:r>
              <w:t>Group 2</w:t>
            </w:r>
          </w:p>
        </w:tc>
        <w:tc>
          <w:tcPr>
            <w:tcW w:w="819" w:type="dxa"/>
            <w:vAlign w:val="center"/>
          </w:tcPr>
          <w:p w:rsidR="00485094" w:rsidRPr="00387524" w:rsidRDefault="00485094" w:rsidP="00E6035C">
            <w:pPr>
              <w:pStyle w:val="TableText"/>
              <w:jc w:val="center"/>
            </w:pP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1</w:t>
            </w: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2</w:t>
            </w: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3</w:t>
            </w: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4</w:t>
            </w: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5</w:t>
            </w:r>
            <w:r w:rsidRPr="00387524">
              <w:t>**</w:t>
            </w:r>
          </w:p>
        </w:tc>
        <w:tc>
          <w:tcPr>
            <w:tcW w:w="819" w:type="dxa"/>
            <w:vAlign w:val="center"/>
          </w:tcPr>
          <w:p w:rsidR="00485094" w:rsidRPr="00387524" w:rsidRDefault="00485094" w:rsidP="00E6035C">
            <w:pPr>
              <w:pStyle w:val="TableText"/>
              <w:jc w:val="center"/>
              <w:rPr>
                <w:rFonts w:ascii="Arial Bold" w:hAnsi="Arial Bold"/>
              </w:rPr>
            </w:pPr>
            <w:r w:rsidRPr="00387524">
              <w:rPr>
                <w:rFonts w:ascii="Arial Bold" w:hAnsi="Arial Bold"/>
              </w:rPr>
              <w:t>Phase 1</w:t>
            </w:r>
            <w:r w:rsidRPr="00387524">
              <w:rPr>
                <w:rFonts w:ascii="Arial Bold" w:hAnsi="Arial Bold"/>
                <w:vertAlign w:val="superscript"/>
              </w:rPr>
              <w:t>+</w:t>
            </w:r>
          </w:p>
        </w:tc>
        <w:tc>
          <w:tcPr>
            <w:tcW w:w="819" w:type="dxa"/>
            <w:vAlign w:val="center"/>
          </w:tcPr>
          <w:p w:rsidR="00485094" w:rsidRPr="00387524" w:rsidRDefault="00485094" w:rsidP="00E6035C">
            <w:pPr>
              <w:pStyle w:val="TableText"/>
              <w:jc w:val="center"/>
              <w:rPr>
                <w:rFonts w:ascii="Arial Bold" w:hAnsi="Arial Bold"/>
              </w:rPr>
            </w:pPr>
            <w:r w:rsidRPr="00387524">
              <w:rPr>
                <w:rFonts w:ascii="Arial Bold" w:hAnsi="Arial Bold"/>
              </w:rPr>
              <w:t>Phase 2</w:t>
            </w:r>
            <w:r w:rsidRPr="00387524">
              <w:rPr>
                <w:rFonts w:ascii="Arial Bold" w:hAnsi="Arial Bold"/>
                <w:vertAlign w:val="superscript"/>
              </w:rPr>
              <w:t>+</w:t>
            </w:r>
          </w:p>
        </w:tc>
        <w:tc>
          <w:tcPr>
            <w:tcW w:w="819" w:type="dxa"/>
            <w:vAlign w:val="center"/>
          </w:tcPr>
          <w:p w:rsidR="00485094" w:rsidRPr="00387524" w:rsidRDefault="00485094" w:rsidP="00E6035C">
            <w:pPr>
              <w:pStyle w:val="TableText"/>
              <w:jc w:val="center"/>
              <w:rPr>
                <w:rFonts w:ascii="Arial Bold" w:hAnsi="Arial Bold"/>
              </w:rPr>
            </w:pPr>
            <w:r w:rsidRPr="00387524">
              <w:rPr>
                <w:rFonts w:ascii="Arial Bold" w:hAnsi="Arial Bold"/>
              </w:rPr>
              <w:t>Phase 3</w:t>
            </w:r>
            <w:r w:rsidRPr="00387524">
              <w:rPr>
                <w:rFonts w:ascii="Arial Bold" w:hAnsi="Arial Bold"/>
                <w:vertAlign w:val="superscript"/>
              </w:rPr>
              <w:t>+</w:t>
            </w:r>
          </w:p>
        </w:tc>
        <w:tc>
          <w:tcPr>
            <w:tcW w:w="819" w:type="dxa"/>
            <w:vAlign w:val="center"/>
          </w:tcPr>
          <w:p w:rsidR="00485094" w:rsidRPr="00387524" w:rsidRDefault="00485094" w:rsidP="00E6035C">
            <w:pPr>
              <w:pStyle w:val="TableText"/>
              <w:jc w:val="center"/>
              <w:rPr>
                <w:rFonts w:ascii="Arial Bold" w:hAnsi="Arial Bold"/>
              </w:rPr>
            </w:pPr>
            <w:r w:rsidRPr="00387524">
              <w:rPr>
                <w:rFonts w:ascii="Arial Bold" w:hAnsi="Arial Bold"/>
              </w:rPr>
              <w:t>Phase 4</w:t>
            </w:r>
            <w:r w:rsidRPr="00387524">
              <w:rPr>
                <w:rFonts w:ascii="Arial Bold" w:hAnsi="Arial Bold"/>
                <w:vertAlign w:val="superscript"/>
              </w:rPr>
              <w:t>+</w:t>
            </w:r>
          </w:p>
        </w:tc>
      </w:tr>
      <w:tr w:rsidR="00485094" w:rsidTr="00E86B70">
        <w:trPr>
          <w:jc w:val="center"/>
        </w:trPr>
        <w:tc>
          <w:tcPr>
            <w:tcW w:w="1170" w:type="dxa"/>
            <w:vAlign w:val="center"/>
          </w:tcPr>
          <w:p w:rsidR="00485094" w:rsidRDefault="00485094" w:rsidP="00E6035C">
            <w:pPr>
              <w:pStyle w:val="TableText"/>
              <w:jc w:val="center"/>
            </w:pPr>
            <w:r>
              <w:t>Group 3</w:t>
            </w:r>
          </w:p>
        </w:tc>
        <w:tc>
          <w:tcPr>
            <w:tcW w:w="819" w:type="dxa"/>
            <w:vAlign w:val="center"/>
          </w:tcPr>
          <w:p w:rsidR="00485094" w:rsidRPr="00387524" w:rsidRDefault="00485094" w:rsidP="00E6035C">
            <w:pPr>
              <w:pStyle w:val="TableText"/>
              <w:jc w:val="center"/>
            </w:pPr>
            <w:r w:rsidRPr="00387524">
              <w:t>-</w:t>
            </w:r>
          </w:p>
        </w:tc>
        <w:tc>
          <w:tcPr>
            <w:tcW w:w="819" w:type="dxa"/>
            <w:vAlign w:val="center"/>
          </w:tcPr>
          <w:p w:rsidR="00485094" w:rsidRPr="00387524" w:rsidRDefault="00485094" w:rsidP="00E6035C">
            <w:pPr>
              <w:pStyle w:val="TableText"/>
              <w:jc w:val="center"/>
            </w:pP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1</w:t>
            </w: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2</w:t>
            </w: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3</w:t>
            </w: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4</w:t>
            </w: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5</w:t>
            </w:r>
            <w:r w:rsidRPr="00387524">
              <w:t>**</w:t>
            </w:r>
          </w:p>
        </w:tc>
        <w:tc>
          <w:tcPr>
            <w:tcW w:w="819" w:type="dxa"/>
            <w:vAlign w:val="center"/>
          </w:tcPr>
          <w:p w:rsidR="00485094" w:rsidRPr="00387524" w:rsidRDefault="00485094" w:rsidP="00E6035C">
            <w:pPr>
              <w:pStyle w:val="TableText"/>
              <w:jc w:val="center"/>
              <w:rPr>
                <w:rFonts w:ascii="Arial Bold" w:hAnsi="Arial Bold"/>
              </w:rPr>
            </w:pPr>
            <w:r w:rsidRPr="00387524">
              <w:rPr>
                <w:rFonts w:ascii="Arial Bold" w:hAnsi="Arial Bold"/>
              </w:rPr>
              <w:t>Phase 1</w:t>
            </w:r>
            <w:r w:rsidRPr="00387524">
              <w:rPr>
                <w:rFonts w:ascii="Arial Bold" w:hAnsi="Arial Bold"/>
                <w:vertAlign w:val="superscript"/>
              </w:rPr>
              <w:t>+</w:t>
            </w:r>
          </w:p>
        </w:tc>
        <w:tc>
          <w:tcPr>
            <w:tcW w:w="819" w:type="dxa"/>
            <w:vAlign w:val="center"/>
          </w:tcPr>
          <w:p w:rsidR="00485094" w:rsidRPr="00387524" w:rsidRDefault="00485094" w:rsidP="00E6035C">
            <w:pPr>
              <w:pStyle w:val="TableText"/>
              <w:jc w:val="center"/>
              <w:rPr>
                <w:rFonts w:ascii="Arial Bold" w:hAnsi="Arial Bold"/>
              </w:rPr>
            </w:pPr>
            <w:r w:rsidRPr="00387524">
              <w:rPr>
                <w:rFonts w:ascii="Arial Bold" w:hAnsi="Arial Bold"/>
              </w:rPr>
              <w:t>Phase 2</w:t>
            </w:r>
            <w:r w:rsidRPr="00387524">
              <w:rPr>
                <w:rFonts w:ascii="Arial Bold" w:hAnsi="Arial Bold"/>
                <w:vertAlign w:val="superscript"/>
              </w:rPr>
              <w:t>+</w:t>
            </w:r>
          </w:p>
        </w:tc>
        <w:tc>
          <w:tcPr>
            <w:tcW w:w="819" w:type="dxa"/>
            <w:vAlign w:val="center"/>
          </w:tcPr>
          <w:p w:rsidR="00485094" w:rsidRPr="00387524" w:rsidRDefault="00485094" w:rsidP="00E6035C">
            <w:pPr>
              <w:pStyle w:val="TableText"/>
              <w:jc w:val="center"/>
              <w:rPr>
                <w:rFonts w:ascii="Arial Bold" w:hAnsi="Arial Bold"/>
              </w:rPr>
            </w:pPr>
            <w:r w:rsidRPr="00387524">
              <w:rPr>
                <w:rFonts w:ascii="Arial Bold" w:hAnsi="Arial Bold"/>
              </w:rPr>
              <w:t>Phase 3</w:t>
            </w:r>
            <w:r w:rsidRPr="00387524">
              <w:rPr>
                <w:rFonts w:ascii="Arial Bold" w:hAnsi="Arial Bold"/>
                <w:vertAlign w:val="superscript"/>
              </w:rPr>
              <w:t>+</w:t>
            </w:r>
          </w:p>
        </w:tc>
      </w:tr>
      <w:tr w:rsidR="00485094" w:rsidTr="00E86B70">
        <w:trPr>
          <w:jc w:val="center"/>
        </w:trPr>
        <w:tc>
          <w:tcPr>
            <w:tcW w:w="1170" w:type="dxa"/>
            <w:vAlign w:val="center"/>
          </w:tcPr>
          <w:p w:rsidR="00485094" w:rsidRDefault="00485094" w:rsidP="00E6035C">
            <w:pPr>
              <w:pStyle w:val="TableText"/>
              <w:jc w:val="center"/>
            </w:pPr>
            <w:r>
              <w:t>Group 4</w:t>
            </w:r>
          </w:p>
        </w:tc>
        <w:tc>
          <w:tcPr>
            <w:tcW w:w="819" w:type="dxa"/>
            <w:vAlign w:val="center"/>
          </w:tcPr>
          <w:p w:rsidR="00485094" w:rsidRPr="00387524" w:rsidRDefault="00485094" w:rsidP="00E6035C">
            <w:pPr>
              <w:pStyle w:val="TableText"/>
              <w:jc w:val="center"/>
            </w:pPr>
            <w:r w:rsidRPr="00387524">
              <w:t>-</w:t>
            </w:r>
          </w:p>
        </w:tc>
        <w:tc>
          <w:tcPr>
            <w:tcW w:w="819" w:type="dxa"/>
            <w:vAlign w:val="center"/>
          </w:tcPr>
          <w:p w:rsidR="00485094" w:rsidRPr="00387524" w:rsidRDefault="00485094" w:rsidP="00E6035C">
            <w:pPr>
              <w:pStyle w:val="TableText"/>
              <w:jc w:val="center"/>
            </w:pPr>
            <w:r w:rsidRPr="00387524">
              <w:t>-</w:t>
            </w:r>
          </w:p>
        </w:tc>
        <w:tc>
          <w:tcPr>
            <w:tcW w:w="819" w:type="dxa"/>
            <w:vAlign w:val="center"/>
          </w:tcPr>
          <w:p w:rsidR="00485094" w:rsidRPr="00387524" w:rsidRDefault="00485094" w:rsidP="00E6035C">
            <w:pPr>
              <w:pStyle w:val="TableText"/>
              <w:jc w:val="center"/>
            </w:pP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1</w:t>
            </w: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2</w:t>
            </w: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3</w:t>
            </w: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4</w:t>
            </w: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5</w:t>
            </w:r>
            <w:r w:rsidRPr="00387524">
              <w:t>**</w:t>
            </w:r>
          </w:p>
        </w:tc>
        <w:tc>
          <w:tcPr>
            <w:tcW w:w="819" w:type="dxa"/>
            <w:vAlign w:val="center"/>
          </w:tcPr>
          <w:p w:rsidR="00485094" w:rsidRPr="00387524" w:rsidRDefault="00485094" w:rsidP="00E6035C">
            <w:pPr>
              <w:pStyle w:val="TableText"/>
              <w:jc w:val="center"/>
              <w:rPr>
                <w:rFonts w:ascii="Arial Bold" w:hAnsi="Arial Bold"/>
              </w:rPr>
            </w:pPr>
            <w:r w:rsidRPr="00387524">
              <w:rPr>
                <w:rFonts w:ascii="Arial Bold" w:hAnsi="Arial Bold"/>
              </w:rPr>
              <w:t>Phase 1</w:t>
            </w:r>
            <w:r w:rsidRPr="00387524">
              <w:rPr>
                <w:rFonts w:ascii="Arial Bold" w:hAnsi="Arial Bold"/>
                <w:vertAlign w:val="superscript"/>
              </w:rPr>
              <w:t>+</w:t>
            </w:r>
          </w:p>
        </w:tc>
        <w:tc>
          <w:tcPr>
            <w:tcW w:w="819" w:type="dxa"/>
            <w:vAlign w:val="center"/>
          </w:tcPr>
          <w:p w:rsidR="00485094" w:rsidRPr="00387524" w:rsidRDefault="00485094" w:rsidP="00E6035C">
            <w:pPr>
              <w:pStyle w:val="TableText"/>
              <w:jc w:val="center"/>
              <w:rPr>
                <w:rFonts w:ascii="Arial Bold" w:hAnsi="Arial Bold"/>
              </w:rPr>
            </w:pPr>
            <w:r w:rsidRPr="00387524">
              <w:rPr>
                <w:rFonts w:ascii="Arial Bold" w:hAnsi="Arial Bold"/>
              </w:rPr>
              <w:t>Phase 2</w:t>
            </w:r>
            <w:r w:rsidRPr="00387524">
              <w:rPr>
                <w:rFonts w:ascii="Arial Bold" w:hAnsi="Arial Bold"/>
                <w:vertAlign w:val="superscript"/>
              </w:rPr>
              <w:t>+</w:t>
            </w:r>
          </w:p>
        </w:tc>
      </w:tr>
      <w:tr w:rsidR="00485094" w:rsidTr="00E86B70">
        <w:trPr>
          <w:jc w:val="center"/>
        </w:trPr>
        <w:tc>
          <w:tcPr>
            <w:tcW w:w="1170" w:type="dxa"/>
            <w:vAlign w:val="center"/>
          </w:tcPr>
          <w:p w:rsidR="00485094" w:rsidRDefault="00485094" w:rsidP="00E6035C">
            <w:pPr>
              <w:pStyle w:val="TableText"/>
              <w:jc w:val="center"/>
            </w:pPr>
            <w:r>
              <w:t>Group 5</w:t>
            </w:r>
          </w:p>
        </w:tc>
        <w:tc>
          <w:tcPr>
            <w:tcW w:w="819" w:type="dxa"/>
            <w:vAlign w:val="center"/>
          </w:tcPr>
          <w:p w:rsidR="00485094" w:rsidRPr="00387524" w:rsidRDefault="00485094" w:rsidP="00E6035C">
            <w:pPr>
              <w:pStyle w:val="TableText"/>
              <w:jc w:val="center"/>
            </w:pPr>
            <w:r w:rsidRPr="00387524">
              <w:t>-</w:t>
            </w:r>
          </w:p>
        </w:tc>
        <w:tc>
          <w:tcPr>
            <w:tcW w:w="819" w:type="dxa"/>
            <w:vAlign w:val="center"/>
          </w:tcPr>
          <w:p w:rsidR="00485094" w:rsidRPr="00387524" w:rsidRDefault="00485094" w:rsidP="00E6035C">
            <w:pPr>
              <w:pStyle w:val="TableText"/>
              <w:jc w:val="center"/>
            </w:pPr>
            <w:r w:rsidRPr="00387524">
              <w:t>-</w:t>
            </w:r>
          </w:p>
        </w:tc>
        <w:tc>
          <w:tcPr>
            <w:tcW w:w="819" w:type="dxa"/>
            <w:vAlign w:val="center"/>
          </w:tcPr>
          <w:p w:rsidR="00485094" w:rsidRPr="00387524" w:rsidRDefault="00485094" w:rsidP="00E6035C">
            <w:pPr>
              <w:pStyle w:val="TableText"/>
              <w:jc w:val="center"/>
            </w:pPr>
            <w:r w:rsidRPr="00387524">
              <w:t>-</w:t>
            </w:r>
          </w:p>
        </w:tc>
        <w:tc>
          <w:tcPr>
            <w:tcW w:w="819" w:type="dxa"/>
            <w:vAlign w:val="center"/>
          </w:tcPr>
          <w:p w:rsidR="00485094" w:rsidRPr="00387524" w:rsidRDefault="00485094" w:rsidP="00E6035C">
            <w:pPr>
              <w:pStyle w:val="TableText"/>
              <w:jc w:val="center"/>
            </w:pP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1</w:t>
            </w: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2</w:t>
            </w: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3</w:t>
            </w: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4</w:t>
            </w: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5</w:t>
            </w:r>
            <w:r w:rsidRPr="00387524">
              <w:t>**</w:t>
            </w:r>
          </w:p>
        </w:tc>
        <w:tc>
          <w:tcPr>
            <w:tcW w:w="819" w:type="dxa"/>
            <w:vAlign w:val="center"/>
          </w:tcPr>
          <w:p w:rsidR="00485094" w:rsidRPr="00387524" w:rsidRDefault="00485094" w:rsidP="00E6035C">
            <w:pPr>
              <w:pStyle w:val="TableText"/>
              <w:jc w:val="center"/>
              <w:rPr>
                <w:rFonts w:ascii="Arial Bold" w:hAnsi="Arial Bold"/>
              </w:rPr>
            </w:pPr>
            <w:r w:rsidRPr="00387524">
              <w:rPr>
                <w:rFonts w:ascii="Arial Bold" w:hAnsi="Arial Bold"/>
              </w:rPr>
              <w:t>Phase 1</w:t>
            </w:r>
            <w:r w:rsidRPr="00387524">
              <w:rPr>
                <w:rFonts w:ascii="Arial Bold" w:hAnsi="Arial Bold"/>
                <w:vertAlign w:val="superscript"/>
              </w:rPr>
              <w:t>+</w:t>
            </w:r>
          </w:p>
        </w:tc>
      </w:tr>
    </w:tbl>
    <w:p w:rsidR="00485094" w:rsidRDefault="00485094" w:rsidP="00E86B70">
      <w:pPr>
        <w:pStyle w:val="Bodytextreduced"/>
      </w:pPr>
    </w:p>
    <w:p w:rsidR="00485094" w:rsidRDefault="00485094" w:rsidP="000D304A">
      <w:pPr>
        <w:pStyle w:val="Bodytextreduced"/>
        <w:rPr>
          <w:snapToGrid w:val="0"/>
        </w:rPr>
      </w:pPr>
    </w:p>
    <w:p w:rsidR="00485094" w:rsidRDefault="00485094" w:rsidP="004449BF">
      <w:pPr>
        <w:pStyle w:val="Heading2"/>
      </w:pPr>
      <w:bookmarkStart w:id="544" w:name="_Toc254269885"/>
      <w:bookmarkStart w:id="545" w:name="_Toc255822540"/>
      <w:bookmarkStart w:id="546" w:name="_Toc271279982"/>
      <w:r>
        <w:t>Determining A</w:t>
      </w:r>
      <w:r w:rsidRPr="00284535">
        <w:t>ttainment of Designated Use(s)</w:t>
      </w:r>
      <w:bookmarkEnd w:id="544"/>
      <w:bookmarkEnd w:id="545"/>
      <w:bookmarkEnd w:id="546"/>
    </w:p>
    <w:p w:rsidR="00485094" w:rsidRDefault="00485094" w:rsidP="005F5866">
      <w:pPr>
        <w:pStyle w:val="Bodytext"/>
      </w:pPr>
      <w:r>
        <w:t>T</w:t>
      </w:r>
      <w:r w:rsidRPr="00815973">
        <w:t xml:space="preserve">he designated uses of a given waterbody are established using the surface water quality classification system described </w:t>
      </w:r>
      <w:r>
        <w:t xml:space="preserve">in the section on Florida’s </w:t>
      </w:r>
      <w:r w:rsidRPr="009E07BE">
        <w:t>Water Quality Standards Program</w:t>
      </w:r>
      <w:r>
        <w:t xml:space="preserve"> in </w:t>
      </w:r>
      <w:hyperlink w:anchor="_Chapter_11:_" w:history="1">
        <w:r w:rsidRPr="00512DF2">
          <w:rPr>
            <w:rStyle w:val="Hyperlink"/>
          </w:rPr>
          <w:t>Chapter 11</w:t>
        </w:r>
      </w:hyperlink>
      <w:r>
        <w:t>.  Specific w</w:t>
      </w:r>
      <w:r w:rsidRPr="000615B5">
        <w:t xml:space="preserve">ater quality criteria, expressed as numeric or narrative limits for specific parameters, describe the water quality necessary to maintain </w:t>
      </w:r>
      <w:r>
        <w:t xml:space="preserve">each of </w:t>
      </w:r>
      <w:r w:rsidRPr="000615B5">
        <w:t>these uses for s</w:t>
      </w:r>
      <w:r>
        <w:t>urface water and ground water.</w:t>
      </w:r>
    </w:p>
    <w:p w:rsidR="00485094" w:rsidRDefault="00485094" w:rsidP="005F5866">
      <w:pPr>
        <w:pStyle w:val="Bodytext"/>
      </w:pPr>
    </w:p>
    <w:p w:rsidR="00485094" w:rsidRPr="00815973" w:rsidRDefault="00485094" w:rsidP="005F5866">
      <w:pPr>
        <w:pStyle w:val="Bodytext"/>
      </w:pPr>
      <w:r>
        <w:t xml:space="preserve">It </w:t>
      </w:r>
      <w:r w:rsidRPr="00815973">
        <w:t>is important to note</w:t>
      </w:r>
      <w:r>
        <w:t>, however,</w:t>
      </w:r>
      <w:r w:rsidRPr="00815973">
        <w:t xml:space="preserve"> that the EPA uses slightly different terminology in its description of designated uses.  Because </w:t>
      </w:r>
      <w:r>
        <w:t>FDEP</w:t>
      </w:r>
      <w:r w:rsidRPr="00815973">
        <w:t xml:space="preserve"> is required to provide use attainment status for both the state’s 305(b) report and the state’s 303(d) list of impaired waters, </w:t>
      </w:r>
      <w:r>
        <w:t>FDEP</w:t>
      </w:r>
      <w:r w:rsidRPr="00815973">
        <w:t xml:space="preserve"> uses EPA terminology when assessing waters for use attainment.  The water quality evaluations and decision processes for listing impaired waters that are defined in Florida’s IWR are based on the following designated use attainment categories:</w:t>
      </w:r>
    </w:p>
    <w:p w:rsidR="00485094" w:rsidRDefault="00485094" w:rsidP="00456F87">
      <w:pPr>
        <w:pStyle w:val="Bodytextreduced"/>
        <w:rPr>
          <w:snapToGrid w:val="0"/>
        </w:rPr>
      </w:pPr>
    </w:p>
    <w:p w:rsidR="00485094" w:rsidRPr="008F78DD" w:rsidRDefault="00485094" w:rsidP="00FE4395">
      <w:pPr>
        <w:pStyle w:val="ListBullet"/>
      </w:pPr>
      <w:r w:rsidRPr="008F78DD">
        <w:t>Aquatic Life Use Support</w:t>
      </w:r>
      <w:r>
        <w:t>–</w:t>
      </w:r>
      <w:r w:rsidRPr="008F78DD">
        <w:t>Based Attainment</w:t>
      </w:r>
    </w:p>
    <w:p w:rsidR="00485094" w:rsidRPr="008F78DD" w:rsidRDefault="00485094" w:rsidP="00FE4395">
      <w:pPr>
        <w:pStyle w:val="ListBullet"/>
      </w:pPr>
      <w:r w:rsidRPr="008F78DD">
        <w:t>Primary Contact and Recreation Attainment</w:t>
      </w:r>
    </w:p>
    <w:p w:rsidR="00485094" w:rsidRPr="008F78DD" w:rsidRDefault="00485094" w:rsidP="00FE4395">
      <w:pPr>
        <w:pStyle w:val="ListBullet"/>
      </w:pPr>
      <w:r w:rsidRPr="008F78DD">
        <w:t>Fish and Shellfish Consumption Attainment</w:t>
      </w:r>
    </w:p>
    <w:p w:rsidR="00485094" w:rsidRPr="008F78DD" w:rsidRDefault="00485094" w:rsidP="00FE4395">
      <w:pPr>
        <w:pStyle w:val="ListBullet"/>
      </w:pPr>
      <w:r w:rsidRPr="008F78DD">
        <w:t>Drinking Water Use Attainment</w:t>
      </w:r>
    </w:p>
    <w:p w:rsidR="00485094" w:rsidRPr="008F78DD" w:rsidRDefault="00485094" w:rsidP="00FE4395">
      <w:pPr>
        <w:pStyle w:val="ListBullet"/>
      </w:pPr>
      <w:r w:rsidRPr="008F78DD">
        <w:t>Protection of Human Health</w:t>
      </w:r>
    </w:p>
    <w:p w:rsidR="00485094" w:rsidRDefault="00485094" w:rsidP="00CE04F4">
      <w:pPr>
        <w:pStyle w:val="Bodytextreduced"/>
      </w:pPr>
    </w:p>
    <w:p w:rsidR="00485094" w:rsidRPr="00815973" w:rsidRDefault="00485094" w:rsidP="005F5866">
      <w:pPr>
        <w:pStyle w:val="BodyText0"/>
        <w:rPr>
          <w:sz w:val="22"/>
          <w:szCs w:val="22"/>
        </w:rPr>
      </w:pPr>
      <w:r w:rsidRPr="00FE4395">
        <w:rPr>
          <w:b/>
          <w:i/>
          <w:sz w:val="22"/>
          <w:szCs w:val="22"/>
        </w:rPr>
        <w:t>Table 7.4</w:t>
      </w:r>
      <w:r w:rsidRPr="00FE4395">
        <w:rPr>
          <w:i/>
          <w:sz w:val="22"/>
          <w:szCs w:val="22"/>
        </w:rPr>
        <w:t xml:space="preserve"> </w:t>
      </w:r>
      <w:r w:rsidRPr="00FE4395">
        <w:rPr>
          <w:sz w:val="22"/>
          <w:szCs w:val="22"/>
        </w:rPr>
        <w:t>summarizes the designated uses assigned to Florida’s various surface water</w:t>
      </w:r>
      <w:r w:rsidRPr="00815973">
        <w:rPr>
          <w:sz w:val="22"/>
          <w:szCs w:val="22"/>
        </w:rPr>
        <w:t xml:space="preserve"> classifications.</w:t>
      </w:r>
    </w:p>
    <w:p w:rsidR="00485094" w:rsidRDefault="00485094" w:rsidP="005F5866">
      <w:pPr>
        <w:pStyle w:val="BodyText0"/>
      </w:pPr>
    </w:p>
    <w:p w:rsidR="00485094" w:rsidRDefault="00485094" w:rsidP="005F5866">
      <w:pPr>
        <w:pStyle w:val="Tableheading"/>
      </w:pPr>
      <w:bookmarkStart w:id="547" w:name="_Toc254267133"/>
      <w:bookmarkStart w:id="548" w:name="_Toc255807508"/>
      <w:bookmarkStart w:id="549" w:name="_Toc271280114"/>
      <w:r>
        <w:t>Table 7.4.  Designated Use Attainment Categories for Surface Waters in Florida</w:t>
      </w:r>
      <w:bookmarkEnd w:id="547"/>
      <w:bookmarkEnd w:id="548"/>
      <w:bookmarkEnd w:id="549"/>
    </w:p>
    <w:p w:rsidR="00485094" w:rsidRDefault="00485094" w:rsidP="00756107">
      <w:pPr>
        <w:pStyle w:val="TabledescriptionBF"/>
      </w:pPr>
      <w:r>
        <w:t>This is a two-column table.  Column 1 lists the designated use attainment category used in the IWR evaluation, and Column 2 lists the applicable Florida surface water classification.</w:t>
      </w:r>
    </w:p>
    <w:p w:rsidR="00485094" w:rsidRPr="002C31AF" w:rsidRDefault="00485094" w:rsidP="002C31AF">
      <w:pPr>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28"/>
        <w:gridCol w:w="4428"/>
      </w:tblGrid>
      <w:tr w:rsidR="00485094" w:rsidRPr="0054245F" w:rsidTr="00E86B70">
        <w:trPr>
          <w:jc w:val="center"/>
        </w:trPr>
        <w:tc>
          <w:tcPr>
            <w:tcW w:w="4428" w:type="dxa"/>
            <w:tcBorders>
              <w:bottom w:val="double" w:sz="4" w:space="0" w:color="auto"/>
            </w:tcBorders>
            <w:shd w:val="clear" w:color="auto" w:fill="BDFFFF"/>
            <w:vAlign w:val="center"/>
          </w:tcPr>
          <w:p w:rsidR="00485094" w:rsidRPr="0054245F" w:rsidRDefault="00485094" w:rsidP="005F5866">
            <w:pPr>
              <w:pStyle w:val="TableText"/>
              <w:jc w:val="center"/>
              <w:rPr>
                <w:b/>
                <w:i/>
              </w:rPr>
            </w:pPr>
            <w:r w:rsidRPr="0054245F">
              <w:rPr>
                <w:b/>
                <w:i/>
              </w:rPr>
              <w:t>Designated Use Attainment Category Used in IWR Evaluation</w:t>
            </w:r>
          </w:p>
        </w:tc>
        <w:tc>
          <w:tcPr>
            <w:tcW w:w="4428" w:type="dxa"/>
            <w:tcBorders>
              <w:bottom w:val="double" w:sz="4" w:space="0" w:color="auto"/>
            </w:tcBorders>
            <w:shd w:val="clear" w:color="auto" w:fill="BDFFFF"/>
            <w:vAlign w:val="center"/>
          </w:tcPr>
          <w:p w:rsidR="00485094" w:rsidRDefault="00485094" w:rsidP="005F5866">
            <w:pPr>
              <w:pStyle w:val="TableText"/>
              <w:jc w:val="center"/>
              <w:rPr>
                <w:b/>
                <w:i/>
              </w:rPr>
            </w:pPr>
            <w:r w:rsidRPr="0054245F">
              <w:rPr>
                <w:b/>
                <w:i/>
              </w:rPr>
              <w:t xml:space="preserve">Applicable Florida </w:t>
            </w:r>
          </w:p>
          <w:p w:rsidR="00485094" w:rsidRPr="0054245F" w:rsidRDefault="00485094" w:rsidP="005F5866">
            <w:pPr>
              <w:pStyle w:val="TableText"/>
              <w:jc w:val="center"/>
              <w:rPr>
                <w:b/>
                <w:i/>
              </w:rPr>
            </w:pPr>
            <w:r w:rsidRPr="0054245F">
              <w:rPr>
                <w:b/>
                <w:i/>
              </w:rPr>
              <w:t>Surface Water Classification</w:t>
            </w:r>
          </w:p>
        </w:tc>
      </w:tr>
      <w:tr w:rsidR="00485094" w:rsidTr="00FE4395">
        <w:trPr>
          <w:trHeight w:val="288"/>
          <w:jc w:val="center"/>
        </w:trPr>
        <w:tc>
          <w:tcPr>
            <w:tcW w:w="4428" w:type="dxa"/>
            <w:tcBorders>
              <w:top w:val="double" w:sz="4" w:space="0" w:color="auto"/>
            </w:tcBorders>
            <w:shd w:val="clear" w:color="auto" w:fill="FFFFCC"/>
            <w:vAlign w:val="center"/>
          </w:tcPr>
          <w:p w:rsidR="00485094" w:rsidRDefault="00485094" w:rsidP="005F5866">
            <w:pPr>
              <w:pStyle w:val="TableText"/>
              <w:jc w:val="center"/>
            </w:pPr>
            <w:r>
              <w:t>Aquatic Life Use Support-Based Attainment</w:t>
            </w:r>
          </w:p>
        </w:tc>
        <w:tc>
          <w:tcPr>
            <w:tcW w:w="4428" w:type="dxa"/>
            <w:tcBorders>
              <w:top w:val="double" w:sz="4" w:space="0" w:color="auto"/>
            </w:tcBorders>
            <w:vAlign w:val="center"/>
          </w:tcPr>
          <w:p w:rsidR="00485094" w:rsidRDefault="00485094" w:rsidP="005F5866">
            <w:pPr>
              <w:pStyle w:val="TableText"/>
              <w:jc w:val="center"/>
            </w:pPr>
            <w:r>
              <w:t>Class I, II, and III</w:t>
            </w:r>
          </w:p>
        </w:tc>
      </w:tr>
      <w:tr w:rsidR="00485094" w:rsidTr="00FE4395">
        <w:trPr>
          <w:trHeight w:val="288"/>
          <w:jc w:val="center"/>
        </w:trPr>
        <w:tc>
          <w:tcPr>
            <w:tcW w:w="4428" w:type="dxa"/>
            <w:shd w:val="clear" w:color="auto" w:fill="FFFFCC"/>
            <w:vAlign w:val="center"/>
          </w:tcPr>
          <w:p w:rsidR="00485094" w:rsidRDefault="00485094" w:rsidP="005F5866">
            <w:pPr>
              <w:pStyle w:val="TableText"/>
              <w:jc w:val="center"/>
            </w:pPr>
            <w:r>
              <w:t>Primary Contact and Recreation Attainment</w:t>
            </w:r>
          </w:p>
        </w:tc>
        <w:tc>
          <w:tcPr>
            <w:tcW w:w="4428" w:type="dxa"/>
            <w:vAlign w:val="center"/>
          </w:tcPr>
          <w:p w:rsidR="00485094" w:rsidRDefault="00485094" w:rsidP="005F5866">
            <w:pPr>
              <w:pStyle w:val="TableText"/>
              <w:jc w:val="center"/>
            </w:pPr>
            <w:r>
              <w:t>Class I, II, and III</w:t>
            </w:r>
          </w:p>
        </w:tc>
      </w:tr>
      <w:tr w:rsidR="00485094" w:rsidTr="00FE4395">
        <w:trPr>
          <w:trHeight w:val="288"/>
          <w:jc w:val="center"/>
        </w:trPr>
        <w:tc>
          <w:tcPr>
            <w:tcW w:w="4428" w:type="dxa"/>
            <w:shd w:val="clear" w:color="auto" w:fill="FFFFCC"/>
            <w:vAlign w:val="center"/>
          </w:tcPr>
          <w:p w:rsidR="00485094" w:rsidRDefault="00485094" w:rsidP="005F5866">
            <w:pPr>
              <w:pStyle w:val="TableText"/>
              <w:jc w:val="center"/>
            </w:pPr>
            <w:r>
              <w:t>Fish and Shellfish Consumption Attainment</w:t>
            </w:r>
          </w:p>
        </w:tc>
        <w:tc>
          <w:tcPr>
            <w:tcW w:w="4428" w:type="dxa"/>
            <w:vAlign w:val="center"/>
          </w:tcPr>
          <w:p w:rsidR="00485094" w:rsidRDefault="00485094" w:rsidP="005F5866">
            <w:pPr>
              <w:pStyle w:val="TableText"/>
              <w:jc w:val="center"/>
            </w:pPr>
            <w:r>
              <w:t>Class II</w:t>
            </w:r>
          </w:p>
        </w:tc>
      </w:tr>
      <w:tr w:rsidR="00485094" w:rsidTr="00FE4395">
        <w:trPr>
          <w:trHeight w:val="288"/>
          <w:jc w:val="center"/>
        </w:trPr>
        <w:tc>
          <w:tcPr>
            <w:tcW w:w="4428" w:type="dxa"/>
            <w:shd w:val="clear" w:color="auto" w:fill="FFFFCC"/>
            <w:vAlign w:val="center"/>
          </w:tcPr>
          <w:p w:rsidR="00485094" w:rsidRDefault="00485094" w:rsidP="005F5866">
            <w:pPr>
              <w:pStyle w:val="TableText"/>
              <w:jc w:val="center"/>
            </w:pPr>
            <w:r>
              <w:t xml:space="preserve">Drinking Water Use Attainment </w:t>
            </w:r>
          </w:p>
        </w:tc>
        <w:tc>
          <w:tcPr>
            <w:tcW w:w="4428" w:type="dxa"/>
            <w:vAlign w:val="center"/>
          </w:tcPr>
          <w:p w:rsidR="00485094" w:rsidRDefault="00485094" w:rsidP="005F5866">
            <w:pPr>
              <w:pStyle w:val="TableText"/>
              <w:jc w:val="center"/>
            </w:pPr>
            <w:r>
              <w:t>Class I</w:t>
            </w:r>
          </w:p>
        </w:tc>
      </w:tr>
      <w:tr w:rsidR="00485094" w:rsidTr="00FE4395">
        <w:trPr>
          <w:trHeight w:val="288"/>
          <w:jc w:val="center"/>
        </w:trPr>
        <w:tc>
          <w:tcPr>
            <w:tcW w:w="4428" w:type="dxa"/>
            <w:shd w:val="clear" w:color="auto" w:fill="FFFFCC"/>
            <w:vAlign w:val="center"/>
          </w:tcPr>
          <w:p w:rsidR="00485094" w:rsidRDefault="00485094" w:rsidP="005F5866">
            <w:pPr>
              <w:pStyle w:val="TableText"/>
              <w:jc w:val="center"/>
            </w:pPr>
            <w:r>
              <w:t>Protection of Human Health</w:t>
            </w:r>
          </w:p>
        </w:tc>
        <w:tc>
          <w:tcPr>
            <w:tcW w:w="4428" w:type="dxa"/>
            <w:vAlign w:val="center"/>
          </w:tcPr>
          <w:p w:rsidR="00485094" w:rsidRDefault="00485094" w:rsidP="005F5866">
            <w:pPr>
              <w:pStyle w:val="TableText"/>
              <w:jc w:val="center"/>
            </w:pPr>
            <w:r>
              <w:t>Class I, II, and III</w:t>
            </w:r>
          </w:p>
        </w:tc>
      </w:tr>
    </w:tbl>
    <w:p w:rsidR="00485094" w:rsidRDefault="00485094" w:rsidP="00CE04F4">
      <w:pPr>
        <w:pStyle w:val="Bodytextreduced"/>
      </w:pPr>
    </w:p>
    <w:p w:rsidR="00485094" w:rsidRDefault="00485094" w:rsidP="00CE04F4">
      <w:pPr>
        <w:pStyle w:val="Bodytextreduced"/>
      </w:pPr>
    </w:p>
    <w:p w:rsidR="00485094" w:rsidRPr="00E375A7" w:rsidRDefault="00485094" w:rsidP="004449BF">
      <w:pPr>
        <w:pStyle w:val="Heading2"/>
      </w:pPr>
      <w:bookmarkStart w:id="550" w:name="_Toc254269886"/>
      <w:bookmarkStart w:id="551" w:name="_Toc255822541"/>
      <w:bookmarkStart w:id="552" w:name="_Toc271279983"/>
      <w:r w:rsidRPr="00E375A7">
        <w:t>How Data Are Identified and Evaluated</w:t>
      </w:r>
      <w:bookmarkEnd w:id="550"/>
      <w:bookmarkEnd w:id="551"/>
      <w:bookmarkEnd w:id="552"/>
    </w:p>
    <w:p w:rsidR="00485094" w:rsidRDefault="00485094" w:rsidP="004449BF">
      <w:pPr>
        <w:pStyle w:val="Heading3"/>
      </w:pPr>
      <w:bookmarkStart w:id="553" w:name="_Toc255822542"/>
      <w:bookmarkStart w:id="554" w:name="_Toc271279984"/>
      <w:r>
        <w:t xml:space="preserve">The </w:t>
      </w:r>
      <w:r w:rsidRPr="00815973">
        <w:t>Impaired Surface Waters Rule</w:t>
      </w:r>
      <w:bookmarkEnd w:id="553"/>
      <w:bookmarkEnd w:id="554"/>
    </w:p>
    <w:p w:rsidR="00485094" w:rsidRDefault="00485094" w:rsidP="005F5866">
      <w:pPr>
        <w:pStyle w:val="Bodytext"/>
      </w:pPr>
      <w:r w:rsidRPr="00815973">
        <w:t xml:space="preserve">To identify impaired waters in each of the state’s river basins, </w:t>
      </w:r>
      <w:r>
        <w:t>FDEP</w:t>
      </w:r>
      <w:r w:rsidRPr="00815973">
        <w:t xml:space="preserve"> evaluates water quality data using the science-based me</w:t>
      </w:r>
      <w:r>
        <w:t xml:space="preserve">thodology in the IWR </w:t>
      </w:r>
      <w:r w:rsidRPr="00815973">
        <w:rPr>
          <w:color w:val="000000"/>
        </w:rPr>
        <w:t>(</w:t>
      </w:r>
      <w:r>
        <w:rPr>
          <w:color w:val="000000"/>
        </w:rPr>
        <w:t>Chapter</w:t>
      </w:r>
      <w:r w:rsidRPr="00815973">
        <w:rPr>
          <w:color w:val="000000"/>
        </w:rPr>
        <w:t xml:space="preserve"> 62-303, F.A.C</w:t>
      </w:r>
      <w:r>
        <w:rPr>
          <w:color w:val="000000"/>
        </w:rPr>
        <w:t>.)</w:t>
      </w:r>
      <w:r w:rsidRPr="00815973">
        <w:t>.  The rule</w:t>
      </w:r>
      <w:r w:rsidRPr="00815973">
        <w:rPr>
          <w:color w:val="000000"/>
        </w:rPr>
        <w:t xml:space="preserve"> </w:t>
      </w:r>
      <w:r w:rsidRPr="00815973">
        <w:t xml:space="preserve">establishes </w:t>
      </w:r>
      <w:r w:rsidRPr="00815973">
        <w:rPr>
          <w:color w:val="000000"/>
        </w:rPr>
        <w:t xml:space="preserve">specific criteria and </w:t>
      </w:r>
      <w:r w:rsidRPr="00815973">
        <w:t>thresholds for impairment, in addition to data sufficiency and data quality requirements.  The methodology</w:t>
      </w:r>
      <w:r w:rsidRPr="00815973">
        <w:rPr>
          <w:color w:val="000000"/>
        </w:rPr>
        <w:t xml:space="preserve"> described in the rule is based on a statistical approach </w:t>
      </w:r>
      <w:r>
        <w:rPr>
          <w:color w:val="000000"/>
        </w:rPr>
        <w:t xml:space="preserve">(called the binomial method) </w:t>
      </w:r>
      <w:r w:rsidRPr="00815973">
        <w:rPr>
          <w:color w:val="000000"/>
        </w:rPr>
        <w:t xml:space="preserve">designed to provide greater confidence that the outcome of the water quality assessment is </w:t>
      </w:r>
      <w:r w:rsidRPr="00BA557A">
        <w:rPr>
          <w:color w:val="000000"/>
        </w:rPr>
        <w:t>correct.</w:t>
      </w:r>
      <w:r w:rsidRPr="00BA557A">
        <w:t xml:space="preserve">  </w:t>
      </w:r>
    </w:p>
    <w:p w:rsidR="00485094" w:rsidRDefault="00485094" w:rsidP="005F5866">
      <w:pPr>
        <w:pStyle w:val="Bodytext"/>
      </w:pPr>
    </w:p>
    <w:p w:rsidR="00485094" w:rsidRDefault="00485094" w:rsidP="005F5866">
      <w:pPr>
        <w:pStyle w:val="Bodytext"/>
      </w:pPr>
      <w:r w:rsidRPr="00BA557A">
        <w:t>In 2006,</w:t>
      </w:r>
      <w:r w:rsidRPr="002F14C3">
        <w:t xml:space="preserve"> and again in 2007, the IWR was amended to address </w:t>
      </w:r>
      <w:r>
        <w:t xml:space="preserve">EPA’s comments following federal </w:t>
      </w:r>
      <w:r w:rsidRPr="002F14C3">
        <w:t>legal challenges that arose following its original adoption in 2001.  After the state rulemaking process was completed, the revised IWR was submitted to the EPA on September 14, 2007, as a change to Florida Water Quality Standards.  On February 19, 2008,</w:t>
      </w:r>
      <w:r>
        <w:t xml:space="preserve"> the EPA sent a letter of approval to FDEP acknowledging that the IWR was an approved change to the Water Quality Standards.  The </w:t>
      </w:r>
      <w:hyperlink r:id="rId126" w:history="1">
        <w:r w:rsidRPr="00ED0D03">
          <w:rPr>
            <w:rStyle w:val="Hyperlink"/>
          </w:rPr>
          <w:t xml:space="preserve">current </w:t>
        </w:r>
        <w:r>
          <w:rPr>
            <w:rStyle w:val="Hyperlink"/>
          </w:rPr>
          <w:t xml:space="preserve"> </w:t>
        </w:r>
        <w:r w:rsidRPr="00ED0D03">
          <w:rPr>
            <w:rStyle w:val="Hyperlink"/>
          </w:rPr>
          <w:t>IWR</w:t>
        </w:r>
      </w:hyperlink>
      <w:r>
        <w:t xml:space="preserve"> is available on the FDEP website.</w:t>
      </w:r>
    </w:p>
    <w:p w:rsidR="00485094" w:rsidRDefault="00485094" w:rsidP="005F5866">
      <w:pPr>
        <w:pStyle w:val="Bodytext"/>
      </w:pPr>
    </w:p>
    <w:p w:rsidR="00485094" w:rsidRPr="00815973" w:rsidRDefault="00485094" w:rsidP="005F5866">
      <w:pPr>
        <w:pStyle w:val="BodyText0"/>
        <w:rPr>
          <w:sz w:val="22"/>
          <w:szCs w:val="22"/>
        </w:rPr>
      </w:pPr>
      <w:r w:rsidRPr="00815973">
        <w:rPr>
          <w:sz w:val="22"/>
          <w:szCs w:val="22"/>
        </w:rPr>
        <w:t xml:space="preserve">As part of the watershed management approach, for each river basin in the state </w:t>
      </w:r>
      <w:r>
        <w:rPr>
          <w:sz w:val="22"/>
          <w:szCs w:val="22"/>
        </w:rPr>
        <w:t>FDEP follows</w:t>
      </w:r>
      <w:r w:rsidRPr="00815973">
        <w:rPr>
          <w:sz w:val="22"/>
          <w:szCs w:val="22"/>
        </w:rPr>
        <w:t xml:space="preserve"> the methodology in Section 62-303.300, F.A.C., to develop a Planning List of potentially impaired waters to be assessed under Subsections 403.067(2) and (3), </w:t>
      </w:r>
      <w:r>
        <w:rPr>
          <w:sz w:val="22"/>
          <w:szCs w:val="22"/>
        </w:rPr>
        <w:t>F.S</w:t>
      </w:r>
      <w:r w:rsidRPr="00815973">
        <w:rPr>
          <w:sz w:val="22"/>
          <w:szCs w:val="22"/>
        </w:rPr>
        <w:t xml:space="preserve">.  The methodology for developing the Planning List includes an evaluation of aquatic life use support, primary contact and recreational use support, fish and shellfish consumption use support, drinking water use support, and protection of human health.  </w:t>
      </w:r>
      <w:r>
        <w:rPr>
          <w:sz w:val="22"/>
          <w:szCs w:val="22"/>
        </w:rPr>
        <w:t>Only in limited circumstances can d</w:t>
      </w:r>
      <w:r w:rsidRPr="00815973">
        <w:rPr>
          <w:sz w:val="22"/>
          <w:szCs w:val="22"/>
        </w:rPr>
        <w:t>ata older than 10 years be used to evaluate water quality criteria exceedances for the Planning List.  As required by Subsection 403.067(2), F.S., the Planning List will not be used to administer or implement any regulatory program, and is submitted to the EPA for informational purposes only.</w:t>
      </w:r>
    </w:p>
    <w:p w:rsidR="00485094" w:rsidRDefault="00485094" w:rsidP="005F5866">
      <w:pPr>
        <w:pStyle w:val="BodyText0"/>
        <w:rPr>
          <w:sz w:val="22"/>
          <w:szCs w:val="22"/>
        </w:rPr>
      </w:pPr>
    </w:p>
    <w:p w:rsidR="00485094" w:rsidRDefault="00485094" w:rsidP="005F5866">
      <w:pPr>
        <w:pStyle w:val="Bodytext"/>
      </w:pPr>
      <w:r w:rsidRPr="00815973">
        <w:t xml:space="preserve">After further assessment, using the methodology in Part III, Section 62-303.400, F.A.C., </w:t>
      </w:r>
      <w:r>
        <w:t xml:space="preserve">FDEP </w:t>
      </w:r>
      <w:r w:rsidRPr="00815973">
        <w:t>determine</w:t>
      </w:r>
      <w:r>
        <w:t>s</w:t>
      </w:r>
      <w:r w:rsidRPr="00815973">
        <w:t xml:space="preserve"> if waters on the Planning List are, in fact, impaired and if the impairment is caused by pollutant discharges.  These waters are placed on a Verified List.  The </w:t>
      </w:r>
      <w:r>
        <w:t>threshold and data requirements</w:t>
      </w:r>
      <w:r w:rsidRPr="00815973">
        <w:t xml:space="preserve"> for the Verified List are </w:t>
      </w:r>
      <w:r>
        <w:t xml:space="preserve">generally </w:t>
      </w:r>
      <w:r w:rsidRPr="00815973">
        <w:t xml:space="preserve">more stringent than those for the Planning List.  </w:t>
      </w:r>
      <w:r>
        <w:t>Other than those instances identified in the IWR, d</w:t>
      </w:r>
      <w:r w:rsidRPr="00815973">
        <w:t>ata older than 7.5 years</w:t>
      </w:r>
      <w:r>
        <w:t>, or from the period of record,</w:t>
      </w:r>
      <w:r w:rsidRPr="00815973">
        <w:t xml:space="preserve"> </w:t>
      </w:r>
      <w:r>
        <w:t>are</w:t>
      </w:r>
      <w:r w:rsidRPr="00815973">
        <w:t xml:space="preserve"> </w:t>
      </w:r>
      <w:r>
        <w:t xml:space="preserve">generally </w:t>
      </w:r>
      <w:r w:rsidRPr="00815973">
        <w:t xml:space="preserve">not used to verify impairment.  </w:t>
      </w:r>
      <w:r>
        <w:t xml:space="preserve">If a decision can be made using available, recent data, then FDEP uses those data.  However, when a decision cannot be made, then FDEP considers older data if it is available.  Considerations include whether the data were analyzed at FDEP’s own lab, what quality assurance procedures were used in collecting the data, and whether metadata are available.  The flow chart in </w:t>
      </w:r>
      <w:r w:rsidRPr="00A908ED">
        <w:rPr>
          <w:b/>
          <w:i/>
        </w:rPr>
        <w:t>Figure 7.1</w:t>
      </w:r>
      <w:r>
        <w:t xml:space="preserve"> demonstrates how older data are considered and assessments are carried out.  </w:t>
      </w:r>
      <w:r w:rsidRPr="00815973">
        <w:t xml:space="preserve">The Verified List </w:t>
      </w:r>
      <w:r>
        <w:t>is</w:t>
      </w:r>
      <w:r w:rsidRPr="00815973">
        <w:t xml:space="preserve"> adopted by Secretarial Order and forwarded to the EPA for approval as Florida’s Section 303(d) list of impaired waters.  </w:t>
      </w:r>
      <w:r>
        <w:t xml:space="preserve">FDEP </w:t>
      </w:r>
      <w:r w:rsidRPr="00815973">
        <w:t>develop</w:t>
      </w:r>
      <w:r>
        <w:t>s</w:t>
      </w:r>
      <w:r w:rsidRPr="00815973">
        <w:t xml:space="preserve"> TMDLs for these waters under Subsection 403.067(4), F.S.</w:t>
      </w:r>
    </w:p>
    <w:p w:rsidR="00485094" w:rsidRDefault="00485094" w:rsidP="000D304A">
      <w:pPr>
        <w:pStyle w:val="Bodytext"/>
      </w:pPr>
      <w:bookmarkStart w:id="555" w:name="_Toc255822543"/>
    </w:p>
    <w:p w:rsidR="00485094" w:rsidRPr="003F21F8" w:rsidRDefault="00485094" w:rsidP="002723B1">
      <w:pPr>
        <w:pStyle w:val="Heading2"/>
        <w:rPr>
          <w:i/>
        </w:rPr>
      </w:pPr>
      <w:bookmarkStart w:id="556" w:name="_Toc271279985"/>
      <w:r w:rsidRPr="003F21F8">
        <w:rPr>
          <w:i/>
        </w:rPr>
        <w:t>Sources of Data</w:t>
      </w:r>
      <w:bookmarkEnd w:id="555"/>
      <w:bookmarkEnd w:id="556"/>
    </w:p>
    <w:p w:rsidR="00485094" w:rsidRPr="007853D5" w:rsidRDefault="00485094" w:rsidP="002723B1">
      <w:pPr>
        <w:pStyle w:val="Bodytext"/>
        <w:rPr>
          <w:color w:val="000000"/>
        </w:rPr>
      </w:pPr>
      <w:r>
        <w:t>FDEP</w:t>
      </w:r>
      <w:r w:rsidRPr="00E375A7">
        <w:t xml:space="preserve">’s assessment of water quality for each basin statewide </w:t>
      </w:r>
      <w:r w:rsidRPr="007853D5">
        <w:t xml:space="preserve">includes an analysis of quantitative data from a variety of sources, many of which are readily available to the public.  These sources include the EPA’s Legacy and modernized STORET </w:t>
      </w:r>
      <w:r w:rsidR="00EE4CFE">
        <w:t>d</w:t>
      </w:r>
      <w:r w:rsidR="0011748B" w:rsidRPr="007853D5">
        <w:t>atabases</w:t>
      </w:r>
      <w:r w:rsidRPr="007853D5">
        <w:t xml:space="preserve">, USGS, </w:t>
      </w:r>
      <w:r>
        <w:t>FDEP</w:t>
      </w:r>
      <w:r w:rsidRPr="007853D5">
        <w:t xml:space="preserve">, </w:t>
      </w:r>
      <w:r>
        <w:t>FDOH</w:t>
      </w:r>
      <w:r w:rsidRPr="007853D5">
        <w:t>, the water management districts, local governments, and volunteer monitoring groups.</w:t>
      </w:r>
    </w:p>
    <w:p w:rsidR="00485094" w:rsidRDefault="00485094" w:rsidP="002723B1">
      <w:pPr>
        <w:pStyle w:val="BodyText0"/>
        <w:rPr>
          <w:sz w:val="22"/>
          <w:szCs w:val="22"/>
        </w:rPr>
      </w:pPr>
    </w:p>
    <w:p w:rsidR="00485094" w:rsidRDefault="00485094" w:rsidP="002723B1">
      <w:pPr>
        <w:pStyle w:val="BodyText0"/>
        <w:rPr>
          <w:sz w:val="22"/>
          <w:szCs w:val="22"/>
        </w:rPr>
      </w:pPr>
      <w:r w:rsidRPr="007853D5">
        <w:rPr>
          <w:sz w:val="22"/>
          <w:szCs w:val="22"/>
        </w:rPr>
        <w:t xml:space="preserve">Historically, </w:t>
      </w:r>
      <w:r>
        <w:rPr>
          <w:sz w:val="22"/>
          <w:szCs w:val="22"/>
        </w:rPr>
        <w:t>FDEP</w:t>
      </w:r>
      <w:r w:rsidRPr="007853D5">
        <w:rPr>
          <w:sz w:val="22"/>
          <w:szCs w:val="22"/>
        </w:rPr>
        <w:t xml:space="preserve"> carried out statewide water quality assessments using data available in the </w:t>
      </w:r>
      <w:r w:rsidRPr="00225579">
        <w:rPr>
          <w:sz w:val="22"/>
          <w:szCs w:val="22"/>
        </w:rPr>
        <w:t xml:space="preserve">EPA’s Legacy STORET </w:t>
      </w:r>
      <w:r w:rsidR="00EE4CFE">
        <w:rPr>
          <w:sz w:val="22"/>
          <w:szCs w:val="22"/>
        </w:rPr>
        <w:t>d</w:t>
      </w:r>
      <w:r w:rsidR="00EE4CFE" w:rsidRPr="00225579">
        <w:rPr>
          <w:sz w:val="22"/>
          <w:szCs w:val="22"/>
        </w:rPr>
        <w:t>atabase</w:t>
      </w:r>
      <w:r w:rsidRPr="00225579">
        <w:rPr>
          <w:sz w:val="22"/>
          <w:szCs w:val="22"/>
        </w:rPr>
        <w:t>; Legacy STORET makes up approximately 40% of the</w:t>
      </w:r>
      <w:r w:rsidRPr="007853D5">
        <w:rPr>
          <w:sz w:val="22"/>
          <w:szCs w:val="22"/>
        </w:rPr>
        <w:t xml:space="preserve"> statewide data used in the IWR assessment.  The Legacy STORET dataset is a repository of data collected and uploaded by numerous organizations through 1999.  The Legacy STORET </w:t>
      </w:r>
      <w:r w:rsidR="00EE4CFE">
        <w:rPr>
          <w:sz w:val="22"/>
          <w:szCs w:val="22"/>
        </w:rPr>
        <w:t>d</w:t>
      </w:r>
      <w:r w:rsidR="00EE4CFE" w:rsidRPr="007853D5">
        <w:rPr>
          <w:sz w:val="22"/>
          <w:szCs w:val="22"/>
        </w:rPr>
        <w:t xml:space="preserve">atabase </w:t>
      </w:r>
      <w:r w:rsidRPr="007853D5">
        <w:rPr>
          <w:sz w:val="22"/>
          <w:szCs w:val="22"/>
        </w:rPr>
        <w:t xml:space="preserve">can be accessed </w:t>
      </w:r>
      <w:r>
        <w:rPr>
          <w:sz w:val="22"/>
          <w:szCs w:val="22"/>
        </w:rPr>
        <w:t xml:space="preserve">on the </w:t>
      </w:r>
      <w:hyperlink r:id="rId127" w:history="1">
        <w:r w:rsidRPr="00577E5C">
          <w:rPr>
            <w:rStyle w:val="Hyperlink"/>
            <w:sz w:val="22"/>
            <w:szCs w:val="22"/>
          </w:rPr>
          <w:t xml:space="preserve">FDEP </w:t>
        </w:r>
        <w:r>
          <w:rPr>
            <w:rStyle w:val="Hyperlink"/>
            <w:sz w:val="22"/>
            <w:szCs w:val="22"/>
          </w:rPr>
          <w:t xml:space="preserve">STORET </w:t>
        </w:r>
        <w:r w:rsidRPr="00577E5C">
          <w:rPr>
            <w:rStyle w:val="Hyperlink"/>
            <w:sz w:val="22"/>
            <w:szCs w:val="22"/>
          </w:rPr>
          <w:t>website</w:t>
        </w:r>
      </w:hyperlink>
      <w:r>
        <w:rPr>
          <w:sz w:val="22"/>
          <w:szCs w:val="22"/>
        </w:rPr>
        <w:t>.</w:t>
      </w:r>
    </w:p>
    <w:p w:rsidR="00485094" w:rsidRDefault="00485094" w:rsidP="002723B1">
      <w:pPr>
        <w:pStyle w:val="BodyText0"/>
        <w:rPr>
          <w:sz w:val="22"/>
          <w:szCs w:val="22"/>
        </w:rPr>
      </w:pPr>
    </w:p>
    <w:p w:rsidR="00485094" w:rsidRPr="007853D5" w:rsidRDefault="00485094" w:rsidP="009909FD">
      <w:pPr>
        <w:pStyle w:val="BodyText0"/>
        <w:rPr>
          <w:sz w:val="22"/>
          <w:szCs w:val="22"/>
        </w:rPr>
      </w:pPr>
      <w:r w:rsidRPr="007853D5">
        <w:rPr>
          <w:sz w:val="22"/>
          <w:szCs w:val="22"/>
        </w:rPr>
        <w:t>In 2000, the EPA created a modernized version of STORET that included new features designed to address data quality assurance/quality control concerns (</w:t>
      </w:r>
      <w:r>
        <w:rPr>
          <w:sz w:val="22"/>
          <w:szCs w:val="22"/>
        </w:rPr>
        <w:t xml:space="preserve">see </w:t>
      </w:r>
      <w:r w:rsidRPr="007853D5">
        <w:rPr>
          <w:sz w:val="22"/>
          <w:szCs w:val="22"/>
        </w:rPr>
        <w:t xml:space="preserve">the new </w:t>
      </w:r>
      <w:hyperlink r:id="rId128" w:history="1">
        <w:r>
          <w:rPr>
            <w:rStyle w:val="Hyperlink"/>
            <w:sz w:val="22"/>
            <w:szCs w:val="22"/>
          </w:rPr>
          <w:t>EPA S</w:t>
        </w:r>
        <w:r w:rsidRPr="00577E5C">
          <w:rPr>
            <w:rStyle w:val="Hyperlink"/>
            <w:sz w:val="22"/>
            <w:szCs w:val="22"/>
          </w:rPr>
          <w:t>TORET website</w:t>
        </w:r>
      </w:hyperlink>
      <w:r>
        <w:rPr>
          <w:sz w:val="22"/>
          <w:szCs w:val="22"/>
        </w:rPr>
        <w:t>)</w:t>
      </w:r>
      <w:r w:rsidRPr="007853D5">
        <w:rPr>
          <w:sz w:val="22"/>
          <w:szCs w:val="22"/>
        </w:rPr>
        <w:t xml:space="preserve">.  However, because of software difficulties associated with </w:t>
      </w:r>
      <w:r>
        <w:rPr>
          <w:sz w:val="22"/>
          <w:szCs w:val="22"/>
        </w:rPr>
        <w:t xml:space="preserve">the </w:t>
      </w:r>
      <w:r w:rsidRPr="007853D5">
        <w:rPr>
          <w:sz w:val="22"/>
          <w:szCs w:val="22"/>
        </w:rPr>
        <w:t xml:space="preserve">batch uploading of data to modernized STORET, </w:t>
      </w:r>
      <w:r>
        <w:rPr>
          <w:sz w:val="22"/>
          <w:szCs w:val="22"/>
        </w:rPr>
        <w:t xml:space="preserve">FDEP has decided to build a local version of STORET with much easier data-loading capabilities.  Modernized STORET currently </w:t>
      </w:r>
      <w:r w:rsidRPr="007853D5">
        <w:rPr>
          <w:sz w:val="22"/>
          <w:szCs w:val="22"/>
        </w:rPr>
        <w:t xml:space="preserve">houses </w:t>
      </w:r>
      <w:r w:rsidRPr="001725EE">
        <w:rPr>
          <w:sz w:val="22"/>
          <w:szCs w:val="22"/>
        </w:rPr>
        <w:t>about 50%</w:t>
      </w:r>
      <w:r w:rsidRPr="007853D5">
        <w:rPr>
          <w:sz w:val="22"/>
          <w:szCs w:val="22"/>
        </w:rPr>
        <w:t xml:space="preserve"> of the statewide IWR </w:t>
      </w:r>
      <w:r w:rsidR="00EE4CFE">
        <w:rPr>
          <w:sz w:val="22"/>
          <w:szCs w:val="22"/>
        </w:rPr>
        <w:t>d</w:t>
      </w:r>
      <w:r w:rsidR="00EE4CFE" w:rsidRPr="007853D5">
        <w:rPr>
          <w:sz w:val="22"/>
          <w:szCs w:val="22"/>
        </w:rPr>
        <w:t>atabase</w:t>
      </w:r>
      <w:r w:rsidRPr="007853D5">
        <w:rPr>
          <w:sz w:val="22"/>
          <w:szCs w:val="22"/>
        </w:rPr>
        <w:t>.</w:t>
      </w:r>
    </w:p>
    <w:p w:rsidR="00485094" w:rsidRDefault="00485094" w:rsidP="00A908ED">
      <w:pPr>
        <w:pStyle w:val="Bodytextreduced"/>
      </w:pPr>
    </w:p>
    <w:p w:rsidR="00485094" w:rsidRPr="007853D5" w:rsidRDefault="00485094" w:rsidP="000D304A">
      <w:pPr>
        <w:pStyle w:val="BodyText0"/>
        <w:rPr>
          <w:sz w:val="22"/>
          <w:szCs w:val="22"/>
        </w:rPr>
      </w:pPr>
      <w:r w:rsidRPr="001725EE">
        <w:rPr>
          <w:sz w:val="22"/>
          <w:szCs w:val="22"/>
        </w:rPr>
        <w:t>Approximately 30%</w:t>
      </w:r>
      <w:r w:rsidRPr="007853D5">
        <w:rPr>
          <w:sz w:val="22"/>
          <w:szCs w:val="22"/>
        </w:rPr>
        <w:t xml:space="preserve"> of the data used in the IWR assessment </w:t>
      </w:r>
      <w:r>
        <w:rPr>
          <w:sz w:val="22"/>
          <w:szCs w:val="22"/>
        </w:rPr>
        <w:t>is</w:t>
      </w:r>
      <w:r w:rsidRPr="007853D5">
        <w:rPr>
          <w:sz w:val="22"/>
          <w:szCs w:val="22"/>
        </w:rPr>
        <w:t xml:space="preserve"> provided by individual organizations that for various reasons, such as time constraints or resource limitations, </w:t>
      </w:r>
      <w:r>
        <w:rPr>
          <w:sz w:val="22"/>
          <w:szCs w:val="22"/>
        </w:rPr>
        <w:t>a</w:t>
      </w:r>
      <w:r w:rsidRPr="007853D5">
        <w:rPr>
          <w:sz w:val="22"/>
          <w:szCs w:val="22"/>
        </w:rPr>
        <w:t>re not able to enter their data into the national database.  The organizations providing the largest datasets include the South Florida, Southwest Florida, and St. Johns River Water Management Districts; USGS; and U</w:t>
      </w:r>
      <w:r w:rsidR="002A4505">
        <w:rPr>
          <w:sz w:val="22"/>
          <w:szCs w:val="22"/>
        </w:rPr>
        <w:t>F</w:t>
      </w:r>
      <w:r w:rsidRPr="007853D5">
        <w:rPr>
          <w:sz w:val="22"/>
          <w:szCs w:val="22"/>
        </w:rPr>
        <w:t xml:space="preserve"> LakeWatch volunteer monitoring group.  Several of these databases are readily available to the public via the Internet:  the </w:t>
      </w:r>
      <w:hyperlink r:id="rId129" w:history="1">
        <w:r w:rsidRPr="00577E5C">
          <w:rPr>
            <w:rStyle w:val="Hyperlink"/>
            <w:sz w:val="22"/>
            <w:szCs w:val="22"/>
          </w:rPr>
          <w:t>South Florida Water Management District website</w:t>
        </w:r>
      </w:hyperlink>
      <w:r>
        <w:rPr>
          <w:sz w:val="22"/>
          <w:szCs w:val="22"/>
        </w:rPr>
        <w:t xml:space="preserve">, </w:t>
      </w:r>
      <w:hyperlink r:id="rId130" w:history="1">
        <w:r w:rsidRPr="00BB09D1">
          <w:rPr>
            <w:rStyle w:val="Hyperlink"/>
            <w:sz w:val="22"/>
            <w:szCs w:val="22"/>
          </w:rPr>
          <w:t>Southwest Florida Water Management District website</w:t>
        </w:r>
      </w:hyperlink>
      <w:r>
        <w:rPr>
          <w:sz w:val="22"/>
          <w:szCs w:val="22"/>
        </w:rPr>
        <w:t xml:space="preserve">, </w:t>
      </w:r>
      <w:hyperlink r:id="rId131" w:history="1">
        <w:r w:rsidRPr="00577E5C">
          <w:rPr>
            <w:rStyle w:val="Hyperlink"/>
            <w:sz w:val="22"/>
            <w:szCs w:val="22"/>
          </w:rPr>
          <w:t>USGS website</w:t>
        </w:r>
      </w:hyperlink>
      <w:r>
        <w:rPr>
          <w:sz w:val="22"/>
          <w:szCs w:val="22"/>
        </w:rPr>
        <w:t xml:space="preserve">, </w:t>
      </w:r>
      <w:r w:rsidRPr="007853D5">
        <w:rPr>
          <w:sz w:val="22"/>
          <w:szCs w:val="22"/>
        </w:rPr>
        <w:t xml:space="preserve">and </w:t>
      </w:r>
      <w:hyperlink r:id="rId132" w:history="1">
        <w:r w:rsidRPr="00577E5C">
          <w:rPr>
            <w:rStyle w:val="Hyperlink"/>
            <w:sz w:val="22"/>
            <w:szCs w:val="22"/>
          </w:rPr>
          <w:t>LakeWatch website</w:t>
        </w:r>
      </w:hyperlink>
      <w:r>
        <w:rPr>
          <w:sz w:val="22"/>
          <w:szCs w:val="22"/>
        </w:rPr>
        <w:t>.</w:t>
      </w:r>
    </w:p>
    <w:p w:rsidR="00485094" w:rsidRDefault="00485094" w:rsidP="000D304A">
      <w:pPr>
        <w:pStyle w:val="BodyText0"/>
        <w:rPr>
          <w:sz w:val="22"/>
          <w:szCs w:val="22"/>
        </w:rPr>
      </w:pPr>
    </w:p>
    <w:p w:rsidR="00485094" w:rsidRDefault="00485094" w:rsidP="000D304A">
      <w:pPr>
        <w:pStyle w:val="BodyText0"/>
        <w:rPr>
          <w:sz w:val="22"/>
          <w:szCs w:val="22"/>
        </w:rPr>
      </w:pPr>
      <w:r>
        <w:rPr>
          <w:sz w:val="22"/>
          <w:szCs w:val="22"/>
        </w:rPr>
        <w:t>FDEP</w:t>
      </w:r>
      <w:r w:rsidRPr="007853D5">
        <w:rPr>
          <w:sz w:val="22"/>
          <w:szCs w:val="22"/>
        </w:rPr>
        <w:t xml:space="preserve"> created the IWR </w:t>
      </w:r>
      <w:r w:rsidR="00EE4CFE">
        <w:rPr>
          <w:sz w:val="22"/>
          <w:szCs w:val="22"/>
        </w:rPr>
        <w:t>d</w:t>
      </w:r>
      <w:r w:rsidR="00EE4CFE" w:rsidRPr="007853D5">
        <w:rPr>
          <w:sz w:val="22"/>
          <w:szCs w:val="22"/>
        </w:rPr>
        <w:t xml:space="preserve">atabase </w:t>
      </w:r>
      <w:r w:rsidRPr="007853D5">
        <w:rPr>
          <w:sz w:val="22"/>
          <w:szCs w:val="22"/>
        </w:rPr>
        <w:t xml:space="preserve">in 2002 to evaluate data in accordance with the IWR methodology for every basin in the state, based on the appropriate data “window.”  </w:t>
      </w:r>
      <w:r w:rsidRPr="007B12F7">
        <w:rPr>
          <w:b/>
          <w:i/>
          <w:sz w:val="22"/>
          <w:szCs w:val="22"/>
        </w:rPr>
        <w:t>Table</w:t>
      </w:r>
      <w:r>
        <w:rPr>
          <w:b/>
          <w:i/>
          <w:sz w:val="22"/>
          <w:szCs w:val="22"/>
        </w:rPr>
        <w:t xml:space="preserve"> 7.5</w:t>
      </w:r>
      <w:r w:rsidRPr="007B12F7">
        <w:rPr>
          <w:i/>
          <w:sz w:val="22"/>
          <w:szCs w:val="22"/>
        </w:rPr>
        <w:t xml:space="preserve"> </w:t>
      </w:r>
      <w:r w:rsidRPr="007853D5">
        <w:rPr>
          <w:sz w:val="22"/>
          <w:szCs w:val="22"/>
        </w:rPr>
        <w:t>show</w:t>
      </w:r>
      <w:r>
        <w:rPr>
          <w:sz w:val="22"/>
          <w:szCs w:val="22"/>
        </w:rPr>
        <w:t>s</w:t>
      </w:r>
      <w:r w:rsidRPr="007853D5">
        <w:rPr>
          <w:sz w:val="22"/>
          <w:szCs w:val="22"/>
        </w:rPr>
        <w:t xml:space="preserve"> the periods of record for the Verified and Planning Lists for the five basin groups</w:t>
      </w:r>
      <w:r>
        <w:rPr>
          <w:sz w:val="22"/>
          <w:szCs w:val="22"/>
        </w:rPr>
        <w:t xml:space="preserve"> for the first and second basin rotation cycles</w:t>
      </w:r>
      <w:r w:rsidRPr="007853D5">
        <w:rPr>
          <w:sz w:val="22"/>
          <w:szCs w:val="22"/>
        </w:rPr>
        <w:t>.</w:t>
      </w:r>
      <w:r>
        <w:rPr>
          <w:sz w:val="22"/>
          <w:szCs w:val="22"/>
        </w:rPr>
        <w:t xml:space="preserve"> </w:t>
      </w:r>
    </w:p>
    <w:p w:rsidR="00485094" w:rsidRDefault="00485094" w:rsidP="00A908ED">
      <w:pPr>
        <w:pStyle w:val="Bodytextreduced"/>
      </w:pPr>
    </w:p>
    <w:p w:rsidR="00485094" w:rsidRDefault="00485094" w:rsidP="00A908ED">
      <w:pPr>
        <w:pStyle w:val="Bodytextreduced"/>
      </w:pPr>
    </w:p>
    <w:p w:rsidR="00485094" w:rsidRDefault="00485094" w:rsidP="00A908ED">
      <w:pPr>
        <w:pStyle w:val="Caption"/>
      </w:pPr>
      <w:bookmarkStart w:id="557" w:name="_Toc271280183"/>
      <w:r>
        <w:t>Figure 7.1.  Period of Record Assessment Flow Chart</w:t>
      </w:r>
      <w:bookmarkEnd w:id="557"/>
    </w:p>
    <w:p w:rsidR="00485094" w:rsidRDefault="00485094" w:rsidP="00A908ED">
      <w:pPr>
        <w:pStyle w:val="Bodytextreduced"/>
      </w:pPr>
    </w:p>
    <w:p w:rsidR="00485094" w:rsidRDefault="00CC7209" w:rsidP="00CC7209">
      <w:r>
        <w:rPr>
          <w:noProof/>
        </w:rPr>
        <w:pict>
          <v:shapetype id="_x0000_t32" coordsize="21600,21600" o:spt="32" o:oned="t" path="m,l21600,21600e" filled="f">
            <v:path arrowok="t" fillok="f" o:connecttype="none"/>
            <o:lock v:ext="edit" shapetype="t"/>
          </v:shapetype>
          <v:shape id="_x0000_s1075" type="#_x0000_t32" style="position:absolute;margin-left:6.3pt;margin-top:344.75pt;width:.2pt;height:18.1pt;z-index:251676160" o:connectortype="straight" strokeweight=".5pt"/>
        </w:pict>
      </w:r>
      <w:r>
        <w:rPr>
          <w:noProof/>
        </w:rPr>
        <w:pict>
          <v:shape id="_x0000_s1074" type="#_x0000_t32" style="position:absolute;margin-left:6.3pt;margin-top:269.3pt;width:.2pt;height:37.75pt;z-index:251675136" o:connectortype="straight" strokeweight=".5pt"/>
        </w:pict>
      </w:r>
      <w:r w:rsidR="00B50C61" w:rsidRPr="00A623FE">
        <w:drawing>
          <wp:inline distT="0" distB="0" distL="0" distR="0">
            <wp:extent cx="5520690" cy="6202680"/>
            <wp:effectExtent l="19050" t="0" r="3810" b="0"/>
            <wp:docPr id="53" name="Picture 24" descr="Figure 7.1.  Period of Record Assessment Flow Ch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gure 7.1.  Period of Record Assessment Flow Chart "/>
                    <pic:cNvPicPr>
                      <a:picLocks noChangeAspect="1" noChangeArrowheads="1"/>
                    </pic:cNvPicPr>
                  </pic:nvPicPr>
                  <pic:blipFill>
                    <a:blip r:embed="rId133"/>
                    <a:srcRect t="7272" b="4546"/>
                    <a:stretch>
                      <a:fillRect/>
                    </a:stretch>
                  </pic:blipFill>
                  <pic:spPr bwMode="auto">
                    <a:xfrm>
                      <a:off x="0" y="0"/>
                      <a:ext cx="5520690" cy="6202680"/>
                    </a:xfrm>
                    <a:prstGeom prst="rect">
                      <a:avLst/>
                    </a:prstGeom>
                    <a:noFill/>
                    <a:ln w="9525">
                      <a:noFill/>
                      <a:miter lim="800000"/>
                      <a:headEnd/>
                      <a:tailEnd/>
                    </a:ln>
                  </pic:spPr>
                </pic:pic>
              </a:graphicData>
            </a:graphic>
          </wp:inline>
        </w:drawing>
      </w:r>
    </w:p>
    <w:p w:rsidR="00485094" w:rsidRPr="007853D5" w:rsidRDefault="00485094" w:rsidP="000D304A">
      <w:pPr>
        <w:pStyle w:val="Bodytextreduced"/>
      </w:pPr>
      <w:r>
        <w:br w:type="page"/>
      </w:r>
    </w:p>
    <w:p w:rsidR="00485094" w:rsidRDefault="00485094" w:rsidP="005F5866">
      <w:pPr>
        <w:pStyle w:val="Tableheading"/>
      </w:pPr>
      <w:bookmarkStart w:id="558" w:name="_Toc255807509"/>
      <w:bookmarkStart w:id="559" w:name="_Toc271280115"/>
      <w:r w:rsidRPr="002723B1">
        <w:t>Table 7.5.  Data</w:t>
      </w:r>
      <w:r>
        <w:t xml:space="preserve"> Used in Developing the Planning and Verified Lists for the Basin Rotation Cycles</w:t>
      </w:r>
      <w:bookmarkEnd w:id="558"/>
      <w:bookmarkEnd w:id="559"/>
    </w:p>
    <w:p w:rsidR="00485094" w:rsidRDefault="00485094" w:rsidP="008329C9">
      <w:pPr>
        <w:pStyle w:val="TabledescriptionBF"/>
      </w:pPr>
      <w:r>
        <w:t>This is a four-column table.  Column 1 lists the cycle rotation, Column 2 lists the basin group, Column 3 lists the planning period, and Column 4 lists the verified period.</w:t>
      </w:r>
    </w:p>
    <w:p w:rsidR="00485094" w:rsidRDefault="00485094" w:rsidP="008329C9">
      <w:pPr>
        <w:pStyle w:val="TabledescriptionBF"/>
      </w:pPr>
    </w:p>
    <w:p w:rsidR="00485094" w:rsidRDefault="00485094" w:rsidP="00577E5C">
      <w:pPr>
        <w:pStyle w:val="Bodytextreduced"/>
      </w:pPr>
      <w:r w:rsidRPr="008329C9">
        <w:rPr>
          <w:b/>
        </w:rPr>
        <w:t>Note:</w:t>
      </w:r>
      <w:r w:rsidRPr="00861EB1">
        <w:t xml:space="preserve">  Typically, a 10-year data record is used for the development of the Planning Lists, and a 7.5-year record is used for the Verified Lists.</w:t>
      </w:r>
    </w:p>
    <w:tbl>
      <w:tblPr>
        <w:tblW w:w="6920" w:type="dxa"/>
        <w:jc w:val="center"/>
        <w:tblLook w:val="04A0"/>
      </w:tblPr>
      <w:tblGrid>
        <w:gridCol w:w="1120"/>
        <w:gridCol w:w="1160"/>
        <w:gridCol w:w="1900"/>
        <w:gridCol w:w="2740"/>
      </w:tblGrid>
      <w:tr w:rsidR="00485094" w:rsidRPr="000F2909" w:rsidTr="00E86B70">
        <w:trPr>
          <w:trHeight w:val="448"/>
          <w:jc w:val="center"/>
        </w:trPr>
        <w:tc>
          <w:tcPr>
            <w:tcW w:w="1120" w:type="dxa"/>
            <w:tcBorders>
              <w:top w:val="single" w:sz="8" w:space="0" w:color="auto"/>
              <w:left w:val="single" w:sz="8" w:space="0" w:color="auto"/>
              <w:bottom w:val="double" w:sz="4" w:space="0" w:color="auto"/>
              <w:right w:val="single" w:sz="4" w:space="0" w:color="auto"/>
            </w:tcBorders>
            <w:shd w:val="clear" w:color="auto" w:fill="BDFFFF"/>
            <w:vAlign w:val="bottom"/>
            <w:hideMark/>
          </w:tcPr>
          <w:p w:rsidR="00485094" w:rsidRPr="000F2909" w:rsidRDefault="00485094" w:rsidP="002723B1">
            <w:pPr>
              <w:pStyle w:val="TableText"/>
              <w:jc w:val="center"/>
              <w:rPr>
                <w:b/>
                <w:i/>
              </w:rPr>
            </w:pPr>
            <w:r w:rsidRPr="000F2909">
              <w:rPr>
                <w:b/>
                <w:i/>
              </w:rPr>
              <w:t>Cycle Rotation</w:t>
            </w:r>
          </w:p>
        </w:tc>
        <w:tc>
          <w:tcPr>
            <w:tcW w:w="1160" w:type="dxa"/>
            <w:tcBorders>
              <w:top w:val="single" w:sz="8" w:space="0" w:color="auto"/>
              <w:left w:val="nil"/>
              <w:bottom w:val="double" w:sz="4" w:space="0" w:color="auto"/>
              <w:right w:val="single" w:sz="4" w:space="0" w:color="auto"/>
            </w:tcBorders>
            <w:shd w:val="clear" w:color="auto" w:fill="BDFFFF"/>
            <w:vAlign w:val="bottom"/>
            <w:hideMark/>
          </w:tcPr>
          <w:p w:rsidR="00485094" w:rsidRPr="000F2909" w:rsidRDefault="00485094" w:rsidP="002723B1">
            <w:pPr>
              <w:pStyle w:val="TableText"/>
              <w:jc w:val="center"/>
              <w:rPr>
                <w:b/>
                <w:i/>
              </w:rPr>
            </w:pPr>
            <w:r w:rsidRPr="000F2909">
              <w:rPr>
                <w:b/>
                <w:i/>
              </w:rPr>
              <w:t>Basin Group</w:t>
            </w:r>
          </w:p>
        </w:tc>
        <w:tc>
          <w:tcPr>
            <w:tcW w:w="1900" w:type="dxa"/>
            <w:tcBorders>
              <w:top w:val="single" w:sz="8" w:space="0" w:color="auto"/>
              <w:left w:val="nil"/>
              <w:bottom w:val="double" w:sz="4" w:space="0" w:color="auto"/>
              <w:right w:val="single" w:sz="4" w:space="0" w:color="auto"/>
            </w:tcBorders>
            <w:shd w:val="clear" w:color="auto" w:fill="BDFFFF"/>
            <w:noWrap/>
            <w:vAlign w:val="bottom"/>
            <w:hideMark/>
          </w:tcPr>
          <w:p w:rsidR="00485094" w:rsidRPr="000F2909" w:rsidRDefault="00485094" w:rsidP="002723B1">
            <w:pPr>
              <w:pStyle w:val="TableText"/>
              <w:jc w:val="center"/>
              <w:rPr>
                <w:b/>
                <w:i/>
              </w:rPr>
            </w:pPr>
            <w:r w:rsidRPr="000F2909">
              <w:rPr>
                <w:b/>
                <w:i/>
              </w:rPr>
              <w:t>Planning Period</w:t>
            </w:r>
          </w:p>
        </w:tc>
        <w:tc>
          <w:tcPr>
            <w:tcW w:w="2740" w:type="dxa"/>
            <w:tcBorders>
              <w:top w:val="single" w:sz="8" w:space="0" w:color="auto"/>
              <w:left w:val="nil"/>
              <w:bottom w:val="double" w:sz="4" w:space="0" w:color="auto"/>
              <w:right w:val="single" w:sz="8" w:space="0" w:color="auto"/>
            </w:tcBorders>
            <w:shd w:val="clear" w:color="auto" w:fill="BDFFFF"/>
            <w:noWrap/>
            <w:vAlign w:val="bottom"/>
            <w:hideMark/>
          </w:tcPr>
          <w:p w:rsidR="00485094" w:rsidRPr="000F2909" w:rsidRDefault="00485094" w:rsidP="002723B1">
            <w:pPr>
              <w:pStyle w:val="TableText"/>
              <w:jc w:val="center"/>
              <w:rPr>
                <w:b/>
                <w:i/>
              </w:rPr>
            </w:pPr>
            <w:r w:rsidRPr="000F2909">
              <w:rPr>
                <w:b/>
                <w:i/>
              </w:rPr>
              <w:t>Verified Period</w:t>
            </w:r>
          </w:p>
        </w:tc>
      </w:tr>
      <w:tr w:rsidR="00485094" w:rsidTr="002723B1">
        <w:trPr>
          <w:trHeight w:val="285"/>
          <w:jc w:val="center"/>
        </w:trPr>
        <w:tc>
          <w:tcPr>
            <w:tcW w:w="1120" w:type="dxa"/>
            <w:tcBorders>
              <w:top w:val="double" w:sz="4" w:space="0" w:color="auto"/>
              <w:left w:val="single" w:sz="8" w:space="0" w:color="auto"/>
              <w:bottom w:val="single" w:sz="4" w:space="0" w:color="auto"/>
              <w:right w:val="single" w:sz="4" w:space="0" w:color="auto"/>
            </w:tcBorders>
            <w:noWrap/>
            <w:vAlign w:val="center"/>
            <w:hideMark/>
          </w:tcPr>
          <w:p w:rsidR="00485094" w:rsidRDefault="00485094" w:rsidP="002723B1">
            <w:pPr>
              <w:pStyle w:val="TableText"/>
              <w:jc w:val="center"/>
            </w:pPr>
            <w:r>
              <w:t>1</w:t>
            </w:r>
          </w:p>
        </w:tc>
        <w:tc>
          <w:tcPr>
            <w:tcW w:w="1160" w:type="dxa"/>
            <w:tcBorders>
              <w:top w:val="double" w:sz="4" w:space="0" w:color="auto"/>
              <w:left w:val="nil"/>
              <w:bottom w:val="single" w:sz="4" w:space="0" w:color="auto"/>
              <w:right w:val="single" w:sz="4" w:space="0" w:color="auto"/>
            </w:tcBorders>
            <w:noWrap/>
            <w:vAlign w:val="center"/>
            <w:hideMark/>
          </w:tcPr>
          <w:p w:rsidR="00485094" w:rsidRDefault="00485094" w:rsidP="002723B1">
            <w:pPr>
              <w:pStyle w:val="TableText"/>
              <w:jc w:val="center"/>
            </w:pPr>
            <w:r>
              <w:t>1</w:t>
            </w:r>
          </w:p>
        </w:tc>
        <w:tc>
          <w:tcPr>
            <w:tcW w:w="1900" w:type="dxa"/>
            <w:tcBorders>
              <w:top w:val="double" w:sz="4" w:space="0" w:color="auto"/>
              <w:left w:val="nil"/>
              <w:bottom w:val="single" w:sz="4" w:space="0" w:color="auto"/>
              <w:right w:val="single" w:sz="4" w:space="0" w:color="auto"/>
            </w:tcBorders>
            <w:noWrap/>
            <w:vAlign w:val="center"/>
            <w:hideMark/>
          </w:tcPr>
          <w:p w:rsidR="00485094" w:rsidRDefault="00485094" w:rsidP="002723B1">
            <w:pPr>
              <w:pStyle w:val="TableText"/>
              <w:jc w:val="center"/>
            </w:pPr>
            <w:r>
              <w:t>1989–1998</w:t>
            </w:r>
          </w:p>
        </w:tc>
        <w:tc>
          <w:tcPr>
            <w:tcW w:w="2740" w:type="dxa"/>
            <w:tcBorders>
              <w:top w:val="double" w:sz="4" w:space="0" w:color="auto"/>
              <w:left w:val="nil"/>
              <w:bottom w:val="single" w:sz="4" w:space="0" w:color="auto"/>
              <w:right w:val="single" w:sz="8" w:space="0" w:color="auto"/>
            </w:tcBorders>
            <w:noWrap/>
            <w:vAlign w:val="center"/>
            <w:hideMark/>
          </w:tcPr>
          <w:p w:rsidR="00485094" w:rsidRDefault="00485094" w:rsidP="002723B1">
            <w:pPr>
              <w:pStyle w:val="TableText"/>
              <w:jc w:val="center"/>
            </w:pPr>
            <w:r>
              <w:t>1/1/1995–6/30/2002</w:t>
            </w:r>
          </w:p>
        </w:tc>
      </w:tr>
      <w:tr w:rsidR="00485094" w:rsidTr="002723B1">
        <w:trPr>
          <w:trHeight w:val="285"/>
          <w:jc w:val="center"/>
        </w:trPr>
        <w:tc>
          <w:tcPr>
            <w:tcW w:w="1120" w:type="dxa"/>
            <w:tcBorders>
              <w:top w:val="nil"/>
              <w:left w:val="single" w:sz="8" w:space="0" w:color="auto"/>
              <w:bottom w:val="single" w:sz="4" w:space="0" w:color="auto"/>
              <w:right w:val="single" w:sz="4" w:space="0" w:color="auto"/>
            </w:tcBorders>
            <w:noWrap/>
            <w:vAlign w:val="center"/>
            <w:hideMark/>
          </w:tcPr>
          <w:p w:rsidR="00485094" w:rsidRDefault="00485094" w:rsidP="002723B1">
            <w:pPr>
              <w:pStyle w:val="TableText"/>
              <w:jc w:val="center"/>
            </w:pPr>
            <w:r>
              <w:t>1</w:t>
            </w:r>
          </w:p>
        </w:tc>
        <w:tc>
          <w:tcPr>
            <w:tcW w:w="1160" w:type="dxa"/>
            <w:tcBorders>
              <w:top w:val="nil"/>
              <w:left w:val="nil"/>
              <w:bottom w:val="single" w:sz="4" w:space="0" w:color="auto"/>
              <w:right w:val="single" w:sz="4" w:space="0" w:color="auto"/>
            </w:tcBorders>
            <w:noWrap/>
            <w:vAlign w:val="center"/>
            <w:hideMark/>
          </w:tcPr>
          <w:p w:rsidR="00485094" w:rsidRDefault="00485094" w:rsidP="002723B1">
            <w:pPr>
              <w:pStyle w:val="TableText"/>
              <w:jc w:val="center"/>
            </w:pPr>
            <w:r>
              <w:t>2</w:t>
            </w:r>
          </w:p>
        </w:tc>
        <w:tc>
          <w:tcPr>
            <w:tcW w:w="1900" w:type="dxa"/>
            <w:tcBorders>
              <w:top w:val="nil"/>
              <w:left w:val="nil"/>
              <w:bottom w:val="single" w:sz="4" w:space="0" w:color="auto"/>
              <w:right w:val="single" w:sz="4" w:space="0" w:color="auto"/>
            </w:tcBorders>
            <w:noWrap/>
            <w:vAlign w:val="center"/>
            <w:hideMark/>
          </w:tcPr>
          <w:p w:rsidR="00485094" w:rsidRDefault="00485094" w:rsidP="002723B1">
            <w:pPr>
              <w:pStyle w:val="TableText"/>
              <w:jc w:val="center"/>
            </w:pPr>
            <w:r>
              <w:t>1991–2000</w:t>
            </w:r>
          </w:p>
        </w:tc>
        <w:tc>
          <w:tcPr>
            <w:tcW w:w="2740" w:type="dxa"/>
            <w:tcBorders>
              <w:top w:val="nil"/>
              <w:left w:val="nil"/>
              <w:bottom w:val="single" w:sz="4" w:space="0" w:color="auto"/>
              <w:right w:val="single" w:sz="8" w:space="0" w:color="auto"/>
            </w:tcBorders>
            <w:noWrap/>
            <w:vAlign w:val="center"/>
            <w:hideMark/>
          </w:tcPr>
          <w:p w:rsidR="00485094" w:rsidRDefault="00485094" w:rsidP="002723B1">
            <w:pPr>
              <w:pStyle w:val="TableText"/>
              <w:jc w:val="center"/>
            </w:pPr>
            <w:r>
              <w:t>1/1/1996–6/30/2003</w:t>
            </w:r>
          </w:p>
        </w:tc>
      </w:tr>
      <w:tr w:rsidR="00485094" w:rsidTr="002723B1">
        <w:trPr>
          <w:trHeight w:val="285"/>
          <w:jc w:val="center"/>
        </w:trPr>
        <w:tc>
          <w:tcPr>
            <w:tcW w:w="1120" w:type="dxa"/>
            <w:tcBorders>
              <w:top w:val="nil"/>
              <w:left w:val="single" w:sz="8" w:space="0" w:color="auto"/>
              <w:bottom w:val="single" w:sz="4" w:space="0" w:color="auto"/>
              <w:right w:val="single" w:sz="4" w:space="0" w:color="auto"/>
            </w:tcBorders>
            <w:noWrap/>
            <w:vAlign w:val="center"/>
            <w:hideMark/>
          </w:tcPr>
          <w:p w:rsidR="00485094" w:rsidRDefault="00485094" w:rsidP="002723B1">
            <w:pPr>
              <w:pStyle w:val="TableText"/>
              <w:jc w:val="center"/>
            </w:pPr>
            <w:r>
              <w:t>1</w:t>
            </w:r>
          </w:p>
        </w:tc>
        <w:tc>
          <w:tcPr>
            <w:tcW w:w="1160" w:type="dxa"/>
            <w:tcBorders>
              <w:top w:val="nil"/>
              <w:left w:val="nil"/>
              <w:bottom w:val="single" w:sz="4" w:space="0" w:color="auto"/>
              <w:right w:val="single" w:sz="4" w:space="0" w:color="auto"/>
            </w:tcBorders>
            <w:noWrap/>
            <w:vAlign w:val="center"/>
            <w:hideMark/>
          </w:tcPr>
          <w:p w:rsidR="00485094" w:rsidRDefault="00485094" w:rsidP="002723B1">
            <w:pPr>
              <w:pStyle w:val="TableText"/>
              <w:jc w:val="center"/>
            </w:pPr>
            <w:r>
              <w:t>3</w:t>
            </w:r>
          </w:p>
        </w:tc>
        <w:tc>
          <w:tcPr>
            <w:tcW w:w="1900" w:type="dxa"/>
            <w:tcBorders>
              <w:top w:val="nil"/>
              <w:left w:val="nil"/>
              <w:bottom w:val="single" w:sz="4" w:space="0" w:color="auto"/>
              <w:right w:val="single" w:sz="4" w:space="0" w:color="auto"/>
            </w:tcBorders>
            <w:noWrap/>
            <w:vAlign w:val="center"/>
            <w:hideMark/>
          </w:tcPr>
          <w:p w:rsidR="00485094" w:rsidRDefault="00485094" w:rsidP="002723B1">
            <w:pPr>
              <w:pStyle w:val="TableText"/>
              <w:jc w:val="center"/>
            </w:pPr>
            <w:r>
              <w:t>1992–2001</w:t>
            </w:r>
          </w:p>
        </w:tc>
        <w:tc>
          <w:tcPr>
            <w:tcW w:w="2740" w:type="dxa"/>
            <w:tcBorders>
              <w:top w:val="nil"/>
              <w:left w:val="nil"/>
              <w:bottom w:val="single" w:sz="4" w:space="0" w:color="auto"/>
              <w:right w:val="single" w:sz="8" w:space="0" w:color="auto"/>
            </w:tcBorders>
            <w:noWrap/>
            <w:vAlign w:val="center"/>
            <w:hideMark/>
          </w:tcPr>
          <w:p w:rsidR="00485094" w:rsidRDefault="00485094" w:rsidP="002723B1">
            <w:pPr>
              <w:pStyle w:val="TableText"/>
              <w:jc w:val="center"/>
            </w:pPr>
            <w:r>
              <w:t>1/1/1997–6/30/2004</w:t>
            </w:r>
          </w:p>
        </w:tc>
      </w:tr>
      <w:tr w:rsidR="00485094" w:rsidTr="000D304A">
        <w:trPr>
          <w:trHeight w:val="285"/>
          <w:jc w:val="center"/>
        </w:trPr>
        <w:tc>
          <w:tcPr>
            <w:tcW w:w="1120" w:type="dxa"/>
            <w:tcBorders>
              <w:top w:val="nil"/>
              <w:left w:val="single" w:sz="8" w:space="0" w:color="auto"/>
              <w:bottom w:val="single" w:sz="4" w:space="0" w:color="auto"/>
              <w:right w:val="single" w:sz="4" w:space="0" w:color="auto"/>
            </w:tcBorders>
            <w:noWrap/>
            <w:vAlign w:val="center"/>
            <w:hideMark/>
          </w:tcPr>
          <w:p w:rsidR="00485094" w:rsidRDefault="00485094" w:rsidP="002723B1">
            <w:pPr>
              <w:pStyle w:val="TableText"/>
              <w:jc w:val="center"/>
            </w:pPr>
            <w:r>
              <w:t>1</w:t>
            </w:r>
          </w:p>
        </w:tc>
        <w:tc>
          <w:tcPr>
            <w:tcW w:w="1160" w:type="dxa"/>
            <w:tcBorders>
              <w:top w:val="nil"/>
              <w:left w:val="nil"/>
              <w:bottom w:val="single" w:sz="4" w:space="0" w:color="auto"/>
              <w:right w:val="single" w:sz="4" w:space="0" w:color="auto"/>
            </w:tcBorders>
            <w:noWrap/>
            <w:vAlign w:val="center"/>
            <w:hideMark/>
          </w:tcPr>
          <w:p w:rsidR="00485094" w:rsidRDefault="00485094" w:rsidP="002723B1">
            <w:pPr>
              <w:pStyle w:val="TableText"/>
              <w:jc w:val="center"/>
            </w:pPr>
            <w:r>
              <w:t>4</w:t>
            </w:r>
          </w:p>
        </w:tc>
        <w:tc>
          <w:tcPr>
            <w:tcW w:w="1900" w:type="dxa"/>
            <w:tcBorders>
              <w:top w:val="nil"/>
              <w:left w:val="nil"/>
              <w:bottom w:val="single" w:sz="4" w:space="0" w:color="auto"/>
              <w:right w:val="single" w:sz="4" w:space="0" w:color="auto"/>
            </w:tcBorders>
            <w:noWrap/>
            <w:vAlign w:val="center"/>
            <w:hideMark/>
          </w:tcPr>
          <w:p w:rsidR="00485094" w:rsidRDefault="00485094" w:rsidP="002723B1">
            <w:pPr>
              <w:pStyle w:val="TableText"/>
              <w:jc w:val="center"/>
            </w:pPr>
            <w:r>
              <w:t>1993–2002</w:t>
            </w:r>
          </w:p>
        </w:tc>
        <w:tc>
          <w:tcPr>
            <w:tcW w:w="2740" w:type="dxa"/>
            <w:tcBorders>
              <w:top w:val="nil"/>
              <w:left w:val="nil"/>
              <w:bottom w:val="single" w:sz="4" w:space="0" w:color="auto"/>
              <w:right w:val="single" w:sz="8" w:space="0" w:color="auto"/>
            </w:tcBorders>
            <w:noWrap/>
            <w:vAlign w:val="center"/>
            <w:hideMark/>
          </w:tcPr>
          <w:p w:rsidR="00485094" w:rsidRDefault="00485094" w:rsidP="002723B1">
            <w:pPr>
              <w:pStyle w:val="TableText"/>
              <w:jc w:val="center"/>
            </w:pPr>
            <w:r>
              <w:t>1/1/1998–6/30/2005</w:t>
            </w:r>
          </w:p>
        </w:tc>
      </w:tr>
      <w:tr w:rsidR="00485094" w:rsidTr="000D304A">
        <w:trPr>
          <w:trHeight w:val="285"/>
          <w:jc w:val="center"/>
        </w:trPr>
        <w:tc>
          <w:tcPr>
            <w:tcW w:w="1120" w:type="dxa"/>
            <w:tcBorders>
              <w:top w:val="single" w:sz="4" w:space="0" w:color="auto"/>
              <w:left w:val="single" w:sz="8" w:space="0" w:color="auto"/>
              <w:bottom w:val="double" w:sz="4" w:space="0" w:color="auto"/>
              <w:right w:val="single" w:sz="4" w:space="0" w:color="auto"/>
            </w:tcBorders>
            <w:noWrap/>
            <w:vAlign w:val="center"/>
            <w:hideMark/>
          </w:tcPr>
          <w:p w:rsidR="00485094" w:rsidRDefault="00485094" w:rsidP="002723B1">
            <w:pPr>
              <w:pStyle w:val="TableText"/>
              <w:jc w:val="center"/>
            </w:pPr>
            <w:r>
              <w:t>1</w:t>
            </w:r>
          </w:p>
        </w:tc>
        <w:tc>
          <w:tcPr>
            <w:tcW w:w="1160" w:type="dxa"/>
            <w:tcBorders>
              <w:top w:val="single" w:sz="4" w:space="0" w:color="auto"/>
              <w:left w:val="nil"/>
              <w:bottom w:val="double" w:sz="4" w:space="0" w:color="auto"/>
              <w:right w:val="single" w:sz="4" w:space="0" w:color="auto"/>
            </w:tcBorders>
            <w:noWrap/>
            <w:vAlign w:val="center"/>
            <w:hideMark/>
          </w:tcPr>
          <w:p w:rsidR="00485094" w:rsidRDefault="00485094" w:rsidP="002723B1">
            <w:pPr>
              <w:pStyle w:val="TableText"/>
              <w:jc w:val="center"/>
            </w:pPr>
            <w:r>
              <w:t>5</w:t>
            </w:r>
          </w:p>
        </w:tc>
        <w:tc>
          <w:tcPr>
            <w:tcW w:w="1900" w:type="dxa"/>
            <w:tcBorders>
              <w:top w:val="single" w:sz="4" w:space="0" w:color="auto"/>
              <w:left w:val="nil"/>
              <w:bottom w:val="double" w:sz="4" w:space="0" w:color="auto"/>
              <w:right w:val="single" w:sz="4" w:space="0" w:color="auto"/>
            </w:tcBorders>
            <w:noWrap/>
            <w:vAlign w:val="center"/>
            <w:hideMark/>
          </w:tcPr>
          <w:p w:rsidR="00485094" w:rsidRDefault="00485094" w:rsidP="002723B1">
            <w:pPr>
              <w:pStyle w:val="TableText"/>
              <w:jc w:val="center"/>
            </w:pPr>
            <w:r>
              <w:t>1994–2003</w:t>
            </w:r>
          </w:p>
        </w:tc>
        <w:tc>
          <w:tcPr>
            <w:tcW w:w="2740" w:type="dxa"/>
            <w:tcBorders>
              <w:top w:val="single" w:sz="4" w:space="0" w:color="auto"/>
              <w:left w:val="nil"/>
              <w:bottom w:val="double" w:sz="4" w:space="0" w:color="auto"/>
              <w:right w:val="single" w:sz="8" w:space="0" w:color="auto"/>
            </w:tcBorders>
            <w:noWrap/>
            <w:vAlign w:val="center"/>
            <w:hideMark/>
          </w:tcPr>
          <w:p w:rsidR="00485094" w:rsidRDefault="00485094" w:rsidP="002723B1">
            <w:pPr>
              <w:pStyle w:val="TableText"/>
              <w:jc w:val="center"/>
            </w:pPr>
            <w:r>
              <w:t>1/1/1999–6/30/2006</w:t>
            </w:r>
          </w:p>
        </w:tc>
      </w:tr>
      <w:tr w:rsidR="00485094" w:rsidTr="000D304A">
        <w:trPr>
          <w:trHeight w:val="285"/>
          <w:jc w:val="center"/>
        </w:trPr>
        <w:tc>
          <w:tcPr>
            <w:tcW w:w="1120" w:type="dxa"/>
            <w:tcBorders>
              <w:top w:val="double" w:sz="4" w:space="0" w:color="auto"/>
              <w:left w:val="single" w:sz="8" w:space="0" w:color="auto"/>
              <w:bottom w:val="single" w:sz="4" w:space="0" w:color="auto"/>
              <w:right w:val="single" w:sz="4" w:space="0" w:color="auto"/>
            </w:tcBorders>
            <w:shd w:val="clear" w:color="auto" w:fill="FFFFCC"/>
            <w:noWrap/>
            <w:vAlign w:val="center"/>
            <w:hideMark/>
          </w:tcPr>
          <w:p w:rsidR="00485094" w:rsidRDefault="00485094" w:rsidP="002723B1">
            <w:pPr>
              <w:pStyle w:val="TableText"/>
              <w:jc w:val="center"/>
            </w:pPr>
            <w:r>
              <w:t>2</w:t>
            </w:r>
          </w:p>
        </w:tc>
        <w:tc>
          <w:tcPr>
            <w:tcW w:w="1160" w:type="dxa"/>
            <w:tcBorders>
              <w:top w:val="double" w:sz="4" w:space="0" w:color="auto"/>
              <w:left w:val="nil"/>
              <w:bottom w:val="single" w:sz="4" w:space="0" w:color="auto"/>
              <w:right w:val="single" w:sz="4" w:space="0" w:color="auto"/>
            </w:tcBorders>
            <w:shd w:val="clear" w:color="auto" w:fill="FFFFCC"/>
            <w:noWrap/>
            <w:vAlign w:val="center"/>
            <w:hideMark/>
          </w:tcPr>
          <w:p w:rsidR="00485094" w:rsidRDefault="00485094" w:rsidP="002723B1">
            <w:pPr>
              <w:pStyle w:val="TableText"/>
              <w:jc w:val="center"/>
            </w:pPr>
            <w:r>
              <w:t>1</w:t>
            </w:r>
          </w:p>
        </w:tc>
        <w:tc>
          <w:tcPr>
            <w:tcW w:w="1900" w:type="dxa"/>
            <w:tcBorders>
              <w:top w:val="double" w:sz="4" w:space="0" w:color="auto"/>
              <w:left w:val="nil"/>
              <w:bottom w:val="single" w:sz="4" w:space="0" w:color="auto"/>
              <w:right w:val="single" w:sz="4" w:space="0" w:color="auto"/>
            </w:tcBorders>
            <w:shd w:val="clear" w:color="auto" w:fill="FFFFCC"/>
            <w:noWrap/>
            <w:vAlign w:val="center"/>
            <w:hideMark/>
          </w:tcPr>
          <w:p w:rsidR="00485094" w:rsidRDefault="00485094" w:rsidP="002723B1">
            <w:pPr>
              <w:pStyle w:val="TableText"/>
              <w:jc w:val="center"/>
            </w:pPr>
            <w:r>
              <w:t>1995–2004</w:t>
            </w:r>
          </w:p>
        </w:tc>
        <w:tc>
          <w:tcPr>
            <w:tcW w:w="2740" w:type="dxa"/>
            <w:tcBorders>
              <w:top w:val="double" w:sz="4" w:space="0" w:color="auto"/>
              <w:left w:val="nil"/>
              <w:bottom w:val="single" w:sz="4" w:space="0" w:color="auto"/>
              <w:right w:val="single" w:sz="8" w:space="0" w:color="auto"/>
            </w:tcBorders>
            <w:shd w:val="clear" w:color="auto" w:fill="FFFFCC"/>
            <w:noWrap/>
            <w:vAlign w:val="center"/>
            <w:hideMark/>
          </w:tcPr>
          <w:p w:rsidR="00485094" w:rsidRDefault="00485094" w:rsidP="002723B1">
            <w:pPr>
              <w:pStyle w:val="TableText"/>
              <w:jc w:val="center"/>
            </w:pPr>
            <w:r>
              <w:t>1/1/2000–6/30/2007</w:t>
            </w:r>
          </w:p>
        </w:tc>
      </w:tr>
      <w:tr w:rsidR="00485094" w:rsidTr="008329C9">
        <w:trPr>
          <w:trHeight w:val="285"/>
          <w:jc w:val="center"/>
        </w:trPr>
        <w:tc>
          <w:tcPr>
            <w:tcW w:w="1120" w:type="dxa"/>
            <w:tcBorders>
              <w:top w:val="nil"/>
              <w:left w:val="single" w:sz="8" w:space="0" w:color="auto"/>
              <w:bottom w:val="single" w:sz="4" w:space="0" w:color="auto"/>
              <w:right w:val="single" w:sz="4" w:space="0" w:color="auto"/>
            </w:tcBorders>
            <w:shd w:val="clear" w:color="auto" w:fill="FFFFCC"/>
            <w:noWrap/>
            <w:vAlign w:val="center"/>
            <w:hideMark/>
          </w:tcPr>
          <w:p w:rsidR="00485094" w:rsidRDefault="00485094" w:rsidP="002723B1">
            <w:pPr>
              <w:pStyle w:val="TableText"/>
              <w:jc w:val="center"/>
            </w:pPr>
            <w:r>
              <w:t>2</w:t>
            </w:r>
          </w:p>
        </w:tc>
        <w:tc>
          <w:tcPr>
            <w:tcW w:w="1160" w:type="dxa"/>
            <w:tcBorders>
              <w:top w:val="nil"/>
              <w:left w:val="nil"/>
              <w:bottom w:val="single" w:sz="4" w:space="0" w:color="auto"/>
              <w:right w:val="single" w:sz="4" w:space="0" w:color="auto"/>
            </w:tcBorders>
            <w:shd w:val="clear" w:color="auto" w:fill="FFFFCC"/>
            <w:noWrap/>
            <w:vAlign w:val="center"/>
            <w:hideMark/>
          </w:tcPr>
          <w:p w:rsidR="00485094" w:rsidRDefault="00485094" w:rsidP="002723B1">
            <w:pPr>
              <w:pStyle w:val="TableText"/>
              <w:jc w:val="center"/>
            </w:pPr>
            <w:r>
              <w:t>2</w:t>
            </w:r>
          </w:p>
        </w:tc>
        <w:tc>
          <w:tcPr>
            <w:tcW w:w="1900" w:type="dxa"/>
            <w:tcBorders>
              <w:top w:val="nil"/>
              <w:left w:val="nil"/>
              <w:bottom w:val="single" w:sz="4" w:space="0" w:color="auto"/>
              <w:right w:val="single" w:sz="4" w:space="0" w:color="auto"/>
            </w:tcBorders>
            <w:shd w:val="clear" w:color="auto" w:fill="FFFFCC"/>
            <w:noWrap/>
            <w:vAlign w:val="center"/>
            <w:hideMark/>
          </w:tcPr>
          <w:p w:rsidR="00485094" w:rsidRDefault="00485094" w:rsidP="002723B1">
            <w:pPr>
              <w:pStyle w:val="TableText"/>
              <w:jc w:val="center"/>
            </w:pPr>
            <w:r>
              <w:t>1996–2005</w:t>
            </w:r>
          </w:p>
        </w:tc>
        <w:tc>
          <w:tcPr>
            <w:tcW w:w="2740" w:type="dxa"/>
            <w:tcBorders>
              <w:top w:val="nil"/>
              <w:left w:val="nil"/>
              <w:bottom w:val="single" w:sz="4" w:space="0" w:color="auto"/>
              <w:right w:val="single" w:sz="8" w:space="0" w:color="auto"/>
            </w:tcBorders>
            <w:shd w:val="clear" w:color="auto" w:fill="FFFFCC"/>
            <w:noWrap/>
            <w:vAlign w:val="center"/>
            <w:hideMark/>
          </w:tcPr>
          <w:p w:rsidR="00485094" w:rsidRDefault="00485094" w:rsidP="002723B1">
            <w:pPr>
              <w:pStyle w:val="TableText"/>
              <w:jc w:val="center"/>
            </w:pPr>
            <w:r>
              <w:t>1/1/2001–6/30/2008</w:t>
            </w:r>
          </w:p>
        </w:tc>
      </w:tr>
      <w:tr w:rsidR="00485094" w:rsidTr="008329C9">
        <w:trPr>
          <w:trHeight w:val="285"/>
          <w:jc w:val="center"/>
        </w:trPr>
        <w:tc>
          <w:tcPr>
            <w:tcW w:w="1120" w:type="dxa"/>
            <w:tcBorders>
              <w:top w:val="nil"/>
              <w:left w:val="single" w:sz="8" w:space="0" w:color="auto"/>
              <w:bottom w:val="single" w:sz="4" w:space="0" w:color="auto"/>
              <w:right w:val="single" w:sz="4" w:space="0" w:color="auto"/>
            </w:tcBorders>
            <w:shd w:val="clear" w:color="auto" w:fill="FFFFCC"/>
            <w:noWrap/>
            <w:vAlign w:val="center"/>
            <w:hideMark/>
          </w:tcPr>
          <w:p w:rsidR="00485094" w:rsidRDefault="00485094" w:rsidP="002723B1">
            <w:pPr>
              <w:pStyle w:val="TableText"/>
              <w:jc w:val="center"/>
            </w:pPr>
            <w:r>
              <w:t>2</w:t>
            </w:r>
          </w:p>
        </w:tc>
        <w:tc>
          <w:tcPr>
            <w:tcW w:w="1160" w:type="dxa"/>
            <w:tcBorders>
              <w:top w:val="nil"/>
              <w:left w:val="nil"/>
              <w:bottom w:val="single" w:sz="4" w:space="0" w:color="auto"/>
              <w:right w:val="single" w:sz="4" w:space="0" w:color="auto"/>
            </w:tcBorders>
            <w:shd w:val="clear" w:color="auto" w:fill="FFFFCC"/>
            <w:noWrap/>
            <w:vAlign w:val="center"/>
            <w:hideMark/>
          </w:tcPr>
          <w:p w:rsidR="00485094" w:rsidRDefault="00485094" w:rsidP="002723B1">
            <w:pPr>
              <w:pStyle w:val="TableText"/>
              <w:jc w:val="center"/>
            </w:pPr>
            <w:r>
              <w:t>3</w:t>
            </w:r>
          </w:p>
        </w:tc>
        <w:tc>
          <w:tcPr>
            <w:tcW w:w="1900" w:type="dxa"/>
            <w:tcBorders>
              <w:top w:val="nil"/>
              <w:left w:val="nil"/>
              <w:bottom w:val="single" w:sz="4" w:space="0" w:color="auto"/>
              <w:right w:val="single" w:sz="4" w:space="0" w:color="auto"/>
            </w:tcBorders>
            <w:shd w:val="clear" w:color="auto" w:fill="FFFFCC"/>
            <w:noWrap/>
            <w:vAlign w:val="center"/>
            <w:hideMark/>
          </w:tcPr>
          <w:p w:rsidR="00485094" w:rsidRDefault="00485094" w:rsidP="002723B1">
            <w:pPr>
              <w:pStyle w:val="TableText"/>
              <w:jc w:val="center"/>
            </w:pPr>
            <w:r>
              <w:t>1997–2006</w:t>
            </w:r>
          </w:p>
        </w:tc>
        <w:tc>
          <w:tcPr>
            <w:tcW w:w="2740" w:type="dxa"/>
            <w:tcBorders>
              <w:top w:val="nil"/>
              <w:left w:val="nil"/>
              <w:bottom w:val="single" w:sz="4" w:space="0" w:color="auto"/>
              <w:right w:val="single" w:sz="8" w:space="0" w:color="auto"/>
            </w:tcBorders>
            <w:shd w:val="clear" w:color="auto" w:fill="FFFFCC"/>
            <w:noWrap/>
            <w:vAlign w:val="center"/>
            <w:hideMark/>
          </w:tcPr>
          <w:p w:rsidR="00485094" w:rsidRDefault="00485094" w:rsidP="002723B1">
            <w:pPr>
              <w:pStyle w:val="TableText"/>
              <w:jc w:val="center"/>
            </w:pPr>
            <w:r>
              <w:t>1/1/2002–6/30/2009</w:t>
            </w:r>
          </w:p>
        </w:tc>
      </w:tr>
      <w:tr w:rsidR="00485094" w:rsidTr="000D304A">
        <w:trPr>
          <w:trHeight w:val="285"/>
          <w:jc w:val="center"/>
        </w:trPr>
        <w:tc>
          <w:tcPr>
            <w:tcW w:w="1120" w:type="dxa"/>
            <w:tcBorders>
              <w:top w:val="nil"/>
              <w:left w:val="single" w:sz="8" w:space="0" w:color="auto"/>
              <w:bottom w:val="single" w:sz="4" w:space="0" w:color="auto"/>
              <w:right w:val="single" w:sz="4" w:space="0" w:color="auto"/>
            </w:tcBorders>
            <w:shd w:val="clear" w:color="auto" w:fill="FFFFCC"/>
            <w:noWrap/>
            <w:vAlign w:val="center"/>
            <w:hideMark/>
          </w:tcPr>
          <w:p w:rsidR="00485094" w:rsidRDefault="00485094" w:rsidP="002723B1">
            <w:pPr>
              <w:pStyle w:val="TableText"/>
              <w:jc w:val="center"/>
            </w:pPr>
            <w:r>
              <w:t>2</w:t>
            </w:r>
          </w:p>
        </w:tc>
        <w:tc>
          <w:tcPr>
            <w:tcW w:w="1160" w:type="dxa"/>
            <w:tcBorders>
              <w:top w:val="nil"/>
              <w:left w:val="nil"/>
              <w:bottom w:val="single" w:sz="4" w:space="0" w:color="auto"/>
              <w:right w:val="single" w:sz="4" w:space="0" w:color="auto"/>
            </w:tcBorders>
            <w:shd w:val="clear" w:color="auto" w:fill="FFFFCC"/>
            <w:noWrap/>
            <w:vAlign w:val="center"/>
            <w:hideMark/>
          </w:tcPr>
          <w:p w:rsidR="00485094" w:rsidRDefault="00485094" w:rsidP="002723B1">
            <w:pPr>
              <w:pStyle w:val="TableText"/>
              <w:jc w:val="center"/>
            </w:pPr>
            <w:r>
              <w:t>4</w:t>
            </w:r>
          </w:p>
        </w:tc>
        <w:tc>
          <w:tcPr>
            <w:tcW w:w="1900" w:type="dxa"/>
            <w:tcBorders>
              <w:top w:val="nil"/>
              <w:left w:val="nil"/>
              <w:bottom w:val="single" w:sz="4" w:space="0" w:color="auto"/>
              <w:right w:val="single" w:sz="4" w:space="0" w:color="auto"/>
            </w:tcBorders>
            <w:shd w:val="clear" w:color="auto" w:fill="FFFFCC"/>
            <w:noWrap/>
            <w:vAlign w:val="center"/>
            <w:hideMark/>
          </w:tcPr>
          <w:p w:rsidR="00485094" w:rsidRDefault="00485094" w:rsidP="002723B1">
            <w:pPr>
              <w:pStyle w:val="TableText"/>
              <w:jc w:val="center"/>
            </w:pPr>
            <w:r>
              <w:t>1998–2007</w:t>
            </w:r>
          </w:p>
        </w:tc>
        <w:tc>
          <w:tcPr>
            <w:tcW w:w="2740" w:type="dxa"/>
            <w:tcBorders>
              <w:top w:val="nil"/>
              <w:left w:val="nil"/>
              <w:bottom w:val="single" w:sz="4" w:space="0" w:color="auto"/>
              <w:right w:val="single" w:sz="8" w:space="0" w:color="auto"/>
            </w:tcBorders>
            <w:shd w:val="clear" w:color="auto" w:fill="FFFFCC"/>
            <w:noWrap/>
            <w:vAlign w:val="center"/>
            <w:hideMark/>
          </w:tcPr>
          <w:p w:rsidR="00485094" w:rsidRDefault="00485094" w:rsidP="002723B1">
            <w:pPr>
              <w:pStyle w:val="TableText"/>
              <w:jc w:val="center"/>
            </w:pPr>
            <w:r>
              <w:t>1/1/2003–6/30/2010</w:t>
            </w:r>
          </w:p>
        </w:tc>
      </w:tr>
      <w:tr w:rsidR="00485094" w:rsidTr="000D304A">
        <w:trPr>
          <w:trHeight w:val="285"/>
          <w:jc w:val="center"/>
        </w:trPr>
        <w:tc>
          <w:tcPr>
            <w:tcW w:w="1120" w:type="dxa"/>
            <w:tcBorders>
              <w:top w:val="single" w:sz="4" w:space="0" w:color="auto"/>
              <w:left w:val="single" w:sz="8" w:space="0" w:color="auto"/>
              <w:bottom w:val="double" w:sz="4" w:space="0" w:color="auto"/>
              <w:right w:val="single" w:sz="4" w:space="0" w:color="auto"/>
            </w:tcBorders>
            <w:shd w:val="clear" w:color="auto" w:fill="FFFFCC"/>
            <w:noWrap/>
            <w:vAlign w:val="center"/>
            <w:hideMark/>
          </w:tcPr>
          <w:p w:rsidR="00485094" w:rsidRDefault="00485094" w:rsidP="002723B1">
            <w:pPr>
              <w:pStyle w:val="TableText"/>
              <w:jc w:val="center"/>
            </w:pPr>
            <w:r>
              <w:t>2</w:t>
            </w:r>
          </w:p>
        </w:tc>
        <w:tc>
          <w:tcPr>
            <w:tcW w:w="1160" w:type="dxa"/>
            <w:tcBorders>
              <w:top w:val="single" w:sz="4" w:space="0" w:color="auto"/>
              <w:left w:val="nil"/>
              <w:bottom w:val="double" w:sz="4" w:space="0" w:color="auto"/>
              <w:right w:val="single" w:sz="4" w:space="0" w:color="auto"/>
            </w:tcBorders>
            <w:shd w:val="clear" w:color="auto" w:fill="FFFFCC"/>
            <w:noWrap/>
            <w:vAlign w:val="center"/>
            <w:hideMark/>
          </w:tcPr>
          <w:p w:rsidR="00485094" w:rsidRDefault="00485094" w:rsidP="002723B1">
            <w:pPr>
              <w:pStyle w:val="TableText"/>
              <w:jc w:val="center"/>
            </w:pPr>
            <w:r>
              <w:t>5</w:t>
            </w:r>
          </w:p>
        </w:tc>
        <w:tc>
          <w:tcPr>
            <w:tcW w:w="1900" w:type="dxa"/>
            <w:tcBorders>
              <w:top w:val="single" w:sz="4" w:space="0" w:color="auto"/>
              <w:left w:val="nil"/>
              <w:bottom w:val="double" w:sz="4" w:space="0" w:color="auto"/>
              <w:right w:val="single" w:sz="4" w:space="0" w:color="auto"/>
            </w:tcBorders>
            <w:shd w:val="clear" w:color="auto" w:fill="FFFFCC"/>
            <w:noWrap/>
            <w:vAlign w:val="center"/>
            <w:hideMark/>
          </w:tcPr>
          <w:p w:rsidR="00485094" w:rsidRDefault="00485094" w:rsidP="002723B1">
            <w:pPr>
              <w:pStyle w:val="TableText"/>
              <w:jc w:val="center"/>
            </w:pPr>
            <w:r>
              <w:t>1999–2008</w:t>
            </w:r>
          </w:p>
        </w:tc>
        <w:tc>
          <w:tcPr>
            <w:tcW w:w="2740" w:type="dxa"/>
            <w:tcBorders>
              <w:top w:val="single" w:sz="4" w:space="0" w:color="auto"/>
              <w:left w:val="nil"/>
              <w:bottom w:val="double" w:sz="4" w:space="0" w:color="auto"/>
              <w:right w:val="single" w:sz="8" w:space="0" w:color="auto"/>
            </w:tcBorders>
            <w:shd w:val="clear" w:color="auto" w:fill="FFFFCC"/>
            <w:noWrap/>
            <w:vAlign w:val="center"/>
            <w:hideMark/>
          </w:tcPr>
          <w:p w:rsidR="00485094" w:rsidRDefault="00485094" w:rsidP="002723B1">
            <w:pPr>
              <w:pStyle w:val="TableText"/>
              <w:jc w:val="center"/>
            </w:pPr>
            <w:r>
              <w:t>1/1/2004–6/30/2011</w:t>
            </w:r>
          </w:p>
        </w:tc>
      </w:tr>
      <w:tr w:rsidR="00485094" w:rsidTr="000D304A">
        <w:trPr>
          <w:trHeight w:val="285"/>
          <w:jc w:val="center"/>
        </w:trPr>
        <w:tc>
          <w:tcPr>
            <w:tcW w:w="1120" w:type="dxa"/>
            <w:tcBorders>
              <w:top w:val="double" w:sz="4" w:space="0" w:color="auto"/>
              <w:left w:val="single" w:sz="8" w:space="0" w:color="auto"/>
              <w:bottom w:val="single" w:sz="4" w:space="0" w:color="auto"/>
              <w:right w:val="single" w:sz="4" w:space="0" w:color="auto"/>
            </w:tcBorders>
            <w:noWrap/>
            <w:vAlign w:val="center"/>
            <w:hideMark/>
          </w:tcPr>
          <w:p w:rsidR="00485094" w:rsidRDefault="00485094" w:rsidP="002723B1">
            <w:pPr>
              <w:pStyle w:val="TableText"/>
              <w:jc w:val="center"/>
            </w:pPr>
            <w:r>
              <w:t>3</w:t>
            </w:r>
          </w:p>
        </w:tc>
        <w:tc>
          <w:tcPr>
            <w:tcW w:w="1160" w:type="dxa"/>
            <w:tcBorders>
              <w:top w:val="double" w:sz="4" w:space="0" w:color="auto"/>
              <w:left w:val="nil"/>
              <w:bottom w:val="single" w:sz="4" w:space="0" w:color="auto"/>
              <w:right w:val="single" w:sz="4" w:space="0" w:color="auto"/>
            </w:tcBorders>
            <w:noWrap/>
            <w:vAlign w:val="center"/>
            <w:hideMark/>
          </w:tcPr>
          <w:p w:rsidR="00485094" w:rsidRDefault="00485094" w:rsidP="002723B1">
            <w:pPr>
              <w:pStyle w:val="TableText"/>
              <w:jc w:val="center"/>
            </w:pPr>
            <w:r>
              <w:t>1</w:t>
            </w:r>
          </w:p>
        </w:tc>
        <w:tc>
          <w:tcPr>
            <w:tcW w:w="1900" w:type="dxa"/>
            <w:tcBorders>
              <w:top w:val="double" w:sz="4" w:space="0" w:color="auto"/>
              <w:left w:val="nil"/>
              <w:bottom w:val="single" w:sz="4" w:space="0" w:color="auto"/>
              <w:right w:val="single" w:sz="4" w:space="0" w:color="auto"/>
            </w:tcBorders>
            <w:noWrap/>
            <w:vAlign w:val="center"/>
            <w:hideMark/>
          </w:tcPr>
          <w:p w:rsidR="00485094" w:rsidRDefault="00485094" w:rsidP="002723B1">
            <w:pPr>
              <w:pStyle w:val="TableText"/>
              <w:jc w:val="center"/>
            </w:pPr>
            <w:r>
              <w:t>1995–2004</w:t>
            </w:r>
          </w:p>
        </w:tc>
        <w:tc>
          <w:tcPr>
            <w:tcW w:w="2740" w:type="dxa"/>
            <w:tcBorders>
              <w:top w:val="double" w:sz="4" w:space="0" w:color="auto"/>
              <w:left w:val="nil"/>
              <w:bottom w:val="single" w:sz="4" w:space="0" w:color="auto"/>
              <w:right w:val="single" w:sz="8" w:space="0" w:color="auto"/>
            </w:tcBorders>
            <w:noWrap/>
            <w:vAlign w:val="center"/>
            <w:hideMark/>
          </w:tcPr>
          <w:p w:rsidR="00485094" w:rsidRDefault="00485094" w:rsidP="002723B1">
            <w:pPr>
              <w:pStyle w:val="TableText"/>
              <w:jc w:val="center"/>
            </w:pPr>
            <w:r>
              <w:t>1/1/2005–6/30/2012</w:t>
            </w:r>
          </w:p>
        </w:tc>
      </w:tr>
      <w:tr w:rsidR="00485094" w:rsidTr="002723B1">
        <w:trPr>
          <w:trHeight w:val="285"/>
          <w:jc w:val="center"/>
        </w:trPr>
        <w:tc>
          <w:tcPr>
            <w:tcW w:w="1120" w:type="dxa"/>
            <w:tcBorders>
              <w:top w:val="nil"/>
              <w:left w:val="single" w:sz="8" w:space="0" w:color="auto"/>
              <w:bottom w:val="single" w:sz="4" w:space="0" w:color="auto"/>
              <w:right w:val="single" w:sz="4" w:space="0" w:color="auto"/>
            </w:tcBorders>
            <w:noWrap/>
            <w:vAlign w:val="center"/>
            <w:hideMark/>
          </w:tcPr>
          <w:p w:rsidR="00485094" w:rsidRDefault="00485094" w:rsidP="002723B1">
            <w:pPr>
              <w:pStyle w:val="TableText"/>
              <w:jc w:val="center"/>
            </w:pPr>
            <w:r>
              <w:t>3</w:t>
            </w:r>
          </w:p>
        </w:tc>
        <w:tc>
          <w:tcPr>
            <w:tcW w:w="1160" w:type="dxa"/>
            <w:tcBorders>
              <w:top w:val="nil"/>
              <w:left w:val="nil"/>
              <w:bottom w:val="single" w:sz="4" w:space="0" w:color="auto"/>
              <w:right w:val="single" w:sz="4" w:space="0" w:color="auto"/>
            </w:tcBorders>
            <w:noWrap/>
            <w:vAlign w:val="center"/>
            <w:hideMark/>
          </w:tcPr>
          <w:p w:rsidR="00485094" w:rsidRDefault="00485094" w:rsidP="002723B1">
            <w:pPr>
              <w:pStyle w:val="TableText"/>
              <w:jc w:val="center"/>
            </w:pPr>
            <w:r>
              <w:t>2</w:t>
            </w:r>
          </w:p>
        </w:tc>
        <w:tc>
          <w:tcPr>
            <w:tcW w:w="1900" w:type="dxa"/>
            <w:tcBorders>
              <w:top w:val="nil"/>
              <w:left w:val="nil"/>
              <w:bottom w:val="single" w:sz="4" w:space="0" w:color="auto"/>
              <w:right w:val="single" w:sz="4" w:space="0" w:color="auto"/>
            </w:tcBorders>
            <w:noWrap/>
            <w:vAlign w:val="center"/>
            <w:hideMark/>
          </w:tcPr>
          <w:p w:rsidR="00485094" w:rsidRDefault="00485094" w:rsidP="002723B1">
            <w:pPr>
              <w:pStyle w:val="TableText"/>
              <w:jc w:val="center"/>
            </w:pPr>
            <w:r>
              <w:t>1996–2005</w:t>
            </w:r>
          </w:p>
        </w:tc>
        <w:tc>
          <w:tcPr>
            <w:tcW w:w="2740" w:type="dxa"/>
            <w:tcBorders>
              <w:top w:val="nil"/>
              <w:left w:val="nil"/>
              <w:bottom w:val="single" w:sz="4" w:space="0" w:color="auto"/>
              <w:right w:val="single" w:sz="8" w:space="0" w:color="auto"/>
            </w:tcBorders>
            <w:noWrap/>
            <w:vAlign w:val="center"/>
            <w:hideMark/>
          </w:tcPr>
          <w:p w:rsidR="00485094" w:rsidRDefault="00485094" w:rsidP="002723B1">
            <w:pPr>
              <w:pStyle w:val="TableText"/>
              <w:jc w:val="center"/>
            </w:pPr>
            <w:r>
              <w:t>1/1/2006–6/30/2013</w:t>
            </w:r>
          </w:p>
        </w:tc>
      </w:tr>
      <w:tr w:rsidR="00485094" w:rsidTr="002723B1">
        <w:trPr>
          <w:trHeight w:val="285"/>
          <w:jc w:val="center"/>
        </w:trPr>
        <w:tc>
          <w:tcPr>
            <w:tcW w:w="1120" w:type="dxa"/>
            <w:tcBorders>
              <w:top w:val="nil"/>
              <w:left w:val="single" w:sz="8" w:space="0" w:color="auto"/>
              <w:bottom w:val="single" w:sz="4" w:space="0" w:color="auto"/>
              <w:right w:val="single" w:sz="4" w:space="0" w:color="auto"/>
            </w:tcBorders>
            <w:noWrap/>
            <w:vAlign w:val="center"/>
            <w:hideMark/>
          </w:tcPr>
          <w:p w:rsidR="00485094" w:rsidRDefault="00485094" w:rsidP="002723B1">
            <w:pPr>
              <w:pStyle w:val="TableText"/>
              <w:jc w:val="center"/>
            </w:pPr>
            <w:r>
              <w:t>3</w:t>
            </w:r>
          </w:p>
        </w:tc>
        <w:tc>
          <w:tcPr>
            <w:tcW w:w="1160" w:type="dxa"/>
            <w:tcBorders>
              <w:top w:val="nil"/>
              <w:left w:val="nil"/>
              <w:bottom w:val="single" w:sz="4" w:space="0" w:color="auto"/>
              <w:right w:val="single" w:sz="4" w:space="0" w:color="auto"/>
            </w:tcBorders>
            <w:noWrap/>
            <w:vAlign w:val="center"/>
            <w:hideMark/>
          </w:tcPr>
          <w:p w:rsidR="00485094" w:rsidRDefault="00485094" w:rsidP="002723B1">
            <w:pPr>
              <w:pStyle w:val="TableText"/>
              <w:jc w:val="center"/>
            </w:pPr>
            <w:r>
              <w:t>3</w:t>
            </w:r>
          </w:p>
        </w:tc>
        <w:tc>
          <w:tcPr>
            <w:tcW w:w="1900" w:type="dxa"/>
            <w:tcBorders>
              <w:top w:val="nil"/>
              <w:left w:val="nil"/>
              <w:bottom w:val="single" w:sz="4" w:space="0" w:color="auto"/>
              <w:right w:val="single" w:sz="4" w:space="0" w:color="auto"/>
            </w:tcBorders>
            <w:noWrap/>
            <w:vAlign w:val="center"/>
            <w:hideMark/>
          </w:tcPr>
          <w:p w:rsidR="00485094" w:rsidRDefault="00485094" w:rsidP="002723B1">
            <w:pPr>
              <w:pStyle w:val="TableText"/>
              <w:jc w:val="center"/>
            </w:pPr>
            <w:r>
              <w:t>1997–2006</w:t>
            </w:r>
          </w:p>
        </w:tc>
        <w:tc>
          <w:tcPr>
            <w:tcW w:w="2740" w:type="dxa"/>
            <w:tcBorders>
              <w:top w:val="nil"/>
              <w:left w:val="nil"/>
              <w:bottom w:val="single" w:sz="4" w:space="0" w:color="auto"/>
              <w:right w:val="single" w:sz="8" w:space="0" w:color="auto"/>
            </w:tcBorders>
            <w:noWrap/>
            <w:vAlign w:val="center"/>
            <w:hideMark/>
          </w:tcPr>
          <w:p w:rsidR="00485094" w:rsidRDefault="00485094" w:rsidP="002723B1">
            <w:pPr>
              <w:pStyle w:val="TableText"/>
              <w:jc w:val="center"/>
            </w:pPr>
            <w:r>
              <w:t>1/1/2007–6/30/2014</w:t>
            </w:r>
          </w:p>
        </w:tc>
      </w:tr>
      <w:tr w:rsidR="00485094" w:rsidTr="002723B1">
        <w:trPr>
          <w:trHeight w:val="285"/>
          <w:jc w:val="center"/>
        </w:trPr>
        <w:tc>
          <w:tcPr>
            <w:tcW w:w="1120" w:type="dxa"/>
            <w:tcBorders>
              <w:top w:val="nil"/>
              <w:left w:val="single" w:sz="8" w:space="0" w:color="auto"/>
              <w:bottom w:val="single" w:sz="4" w:space="0" w:color="auto"/>
              <w:right w:val="single" w:sz="4" w:space="0" w:color="auto"/>
            </w:tcBorders>
            <w:noWrap/>
            <w:vAlign w:val="center"/>
            <w:hideMark/>
          </w:tcPr>
          <w:p w:rsidR="00485094" w:rsidRDefault="00485094" w:rsidP="002723B1">
            <w:pPr>
              <w:pStyle w:val="TableText"/>
              <w:jc w:val="center"/>
            </w:pPr>
            <w:r>
              <w:t>3</w:t>
            </w:r>
          </w:p>
        </w:tc>
        <w:tc>
          <w:tcPr>
            <w:tcW w:w="1160" w:type="dxa"/>
            <w:tcBorders>
              <w:top w:val="nil"/>
              <w:left w:val="nil"/>
              <w:bottom w:val="single" w:sz="4" w:space="0" w:color="auto"/>
              <w:right w:val="single" w:sz="4" w:space="0" w:color="auto"/>
            </w:tcBorders>
            <w:noWrap/>
            <w:vAlign w:val="center"/>
            <w:hideMark/>
          </w:tcPr>
          <w:p w:rsidR="00485094" w:rsidRDefault="00485094" w:rsidP="002723B1">
            <w:pPr>
              <w:pStyle w:val="TableText"/>
              <w:jc w:val="center"/>
            </w:pPr>
            <w:r>
              <w:t>4</w:t>
            </w:r>
          </w:p>
        </w:tc>
        <w:tc>
          <w:tcPr>
            <w:tcW w:w="1900" w:type="dxa"/>
            <w:tcBorders>
              <w:top w:val="nil"/>
              <w:left w:val="nil"/>
              <w:bottom w:val="single" w:sz="4" w:space="0" w:color="auto"/>
              <w:right w:val="single" w:sz="4" w:space="0" w:color="auto"/>
            </w:tcBorders>
            <w:noWrap/>
            <w:vAlign w:val="center"/>
            <w:hideMark/>
          </w:tcPr>
          <w:p w:rsidR="00485094" w:rsidRDefault="00485094" w:rsidP="002723B1">
            <w:pPr>
              <w:pStyle w:val="TableText"/>
              <w:jc w:val="center"/>
            </w:pPr>
            <w:r>
              <w:t>1998–2007</w:t>
            </w:r>
          </w:p>
        </w:tc>
        <w:tc>
          <w:tcPr>
            <w:tcW w:w="2740" w:type="dxa"/>
            <w:tcBorders>
              <w:top w:val="nil"/>
              <w:left w:val="nil"/>
              <w:bottom w:val="single" w:sz="4" w:space="0" w:color="auto"/>
              <w:right w:val="single" w:sz="8" w:space="0" w:color="auto"/>
            </w:tcBorders>
            <w:noWrap/>
            <w:vAlign w:val="center"/>
            <w:hideMark/>
          </w:tcPr>
          <w:p w:rsidR="00485094" w:rsidRDefault="00485094" w:rsidP="002723B1">
            <w:pPr>
              <w:pStyle w:val="TableText"/>
              <w:jc w:val="center"/>
            </w:pPr>
            <w:r>
              <w:t>1/1/2008–6/30/2015</w:t>
            </w:r>
          </w:p>
        </w:tc>
      </w:tr>
      <w:tr w:rsidR="00485094" w:rsidTr="002723B1">
        <w:trPr>
          <w:trHeight w:val="285"/>
          <w:jc w:val="center"/>
        </w:trPr>
        <w:tc>
          <w:tcPr>
            <w:tcW w:w="1120" w:type="dxa"/>
            <w:tcBorders>
              <w:top w:val="nil"/>
              <w:left w:val="single" w:sz="8" w:space="0" w:color="auto"/>
              <w:bottom w:val="single" w:sz="8" w:space="0" w:color="auto"/>
              <w:right w:val="single" w:sz="4" w:space="0" w:color="auto"/>
            </w:tcBorders>
            <w:noWrap/>
            <w:vAlign w:val="center"/>
            <w:hideMark/>
          </w:tcPr>
          <w:p w:rsidR="00485094" w:rsidRDefault="00485094" w:rsidP="002723B1">
            <w:pPr>
              <w:pStyle w:val="TableText"/>
              <w:jc w:val="center"/>
            </w:pPr>
            <w:r>
              <w:t>3</w:t>
            </w:r>
          </w:p>
        </w:tc>
        <w:tc>
          <w:tcPr>
            <w:tcW w:w="1160" w:type="dxa"/>
            <w:tcBorders>
              <w:top w:val="nil"/>
              <w:left w:val="nil"/>
              <w:bottom w:val="single" w:sz="8" w:space="0" w:color="auto"/>
              <w:right w:val="single" w:sz="4" w:space="0" w:color="auto"/>
            </w:tcBorders>
            <w:noWrap/>
            <w:vAlign w:val="center"/>
            <w:hideMark/>
          </w:tcPr>
          <w:p w:rsidR="00485094" w:rsidRDefault="00485094" w:rsidP="002723B1">
            <w:pPr>
              <w:pStyle w:val="TableText"/>
              <w:jc w:val="center"/>
            </w:pPr>
            <w:r>
              <w:t>5</w:t>
            </w:r>
          </w:p>
        </w:tc>
        <w:tc>
          <w:tcPr>
            <w:tcW w:w="1900" w:type="dxa"/>
            <w:tcBorders>
              <w:top w:val="nil"/>
              <w:left w:val="nil"/>
              <w:bottom w:val="single" w:sz="8" w:space="0" w:color="auto"/>
              <w:right w:val="single" w:sz="4" w:space="0" w:color="auto"/>
            </w:tcBorders>
            <w:noWrap/>
            <w:vAlign w:val="center"/>
            <w:hideMark/>
          </w:tcPr>
          <w:p w:rsidR="00485094" w:rsidRDefault="00485094" w:rsidP="002723B1">
            <w:pPr>
              <w:pStyle w:val="TableText"/>
              <w:jc w:val="center"/>
            </w:pPr>
            <w:r>
              <w:t>1999–2008</w:t>
            </w:r>
          </w:p>
        </w:tc>
        <w:tc>
          <w:tcPr>
            <w:tcW w:w="2740" w:type="dxa"/>
            <w:tcBorders>
              <w:top w:val="nil"/>
              <w:left w:val="nil"/>
              <w:bottom w:val="single" w:sz="8" w:space="0" w:color="auto"/>
              <w:right w:val="single" w:sz="8" w:space="0" w:color="auto"/>
            </w:tcBorders>
            <w:noWrap/>
            <w:vAlign w:val="center"/>
            <w:hideMark/>
          </w:tcPr>
          <w:p w:rsidR="00485094" w:rsidRDefault="00485094" w:rsidP="002723B1">
            <w:pPr>
              <w:pStyle w:val="TableText"/>
              <w:jc w:val="center"/>
            </w:pPr>
            <w:r>
              <w:t>1/1/2009–6/30/2016</w:t>
            </w:r>
          </w:p>
        </w:tc>
      </w:tr>
    </w:tbl>
    <w:p w:rsidR="00485094" w:rsidRDefault="00485094" w:rsidP="005F5866">
      <w:pPr>
        <w:rPr>
          <w:rFonts w:ascii="Arial" w:hAnsi="Arial"/>
          <w:sz w:val="16"/>
        </w:rPr>
      </w:pPr>
    </w:p>
    <w:p w:rsidR="00485094" w:rsidRPr="00861EB1" w:rsidRDefault="00485094" w:rsidP="005F5866">
      <w:pPr>
        <w:rPr>
          <w:rFonts w:ascii="Arial" w:hAnsi="Arial"/>
          <w:sz w:val="16"/>
        </w:rPr>
      </w:pPr>
    </w:p>
    <w:p w:rsidR="00485094" w:rsidRDefault="00485094" w:rsidP="004449BF">
      <w:pPr>
        <w:pStyle w:val="Heading3"/>
      </w:pPr>
      <w:bookmarkStart w:id="560" w:name="_Toc255822544"/>
      <w:bookmarkStart w:id="561" w:name="_Toc271279986"/>
      <w:r w:rsidRPr="00F26260">
        <w:t>Quality Assurance/Quality Control Criteria</w:t>
      </w:r>
      <w:bookmarkEnd w:id="560"/>
      <w:bookmarkEnd w:id="561"/>
    </w:p>
    <w:p w:rsidR="00485094" w:rsidRPr="00815973" w:rsidRDefault="00485094" w:rsidP="005F5866">
      <w:pPr>
        <w:pStyle w:val="Bodytext"/>
      </w:pPr>
      <w:r w:rsidRPr="003C39FF">
        <w:t xml:space="preserve">The IWR addresses quality assurance/quality control (QA/QC) </w:t>
      </w:r>
      <w:r>
        <w:t xml:space="preserve">concerns </w:t>
      </w:r>
      <w:r w:rsidRPr="003C39FF">
        <w:t>by requiring all data to meet QA rule requirements (</w:t>
      </w:r>
      <w:r>
        <w:t>Chapter</w:t>
      </w:r>
      <w:r w:rsidRPr="003C39FF">
        <w:t xml:space="preserve"> 62-160, F.A.C.), including NELAC certification and </w:t>
      </w:r>
      <w:r>
        <w:t>the use of</w:t>
      </w:r>
      <w:r w:rsidRPr="003C39FF">
        <w:t xml:space="preserve"> established SOPs.  </w:t>
      </w:r>
    </w:p>
    <w:p w:rsidR="00485094" w:rsidRPr="003C39FF" w:rsidRDefault="00485094" w:rsidP="005F5866">
      <w:pPr>
        <w:pStyle w:val="Bodytext"/>
      </w:pPr>
    </w:p>
    <w:p w:rsidR="00485094" w:rsidRDefault="00485094" w:rsidP="004449BF">
      <w:pPr>
        <w:pStyle w:val="Heading3"/>
      </w:pPr>
      <w:bookmarkStart w:id="562" w:name="_Toc255822545"/>
      <w:bookmarkStart w:id="563" w:name="_Toc271279987"/>
      <w:r w:rsidRPr="00501400">
        <w:t>Criteria for Evaluating Outside Data</w:t>
      </w:r>
      <w:bookmarkEnd w:id="562"/>
      <w:bookmarkEnd w:id="563"/>
    </w:p>
    <w:p w:rsidR="00485094" w:rsidRDefault="00485094" w:rsidP="005F5866">
      <w:pPr>
        <w:pStyle w:val="Bodytext"/>
      </w:pPr>
      <w:r>
        <w:t>Occasionally, in closely evaluating</w:t>
      </w:r>
      <w:r w:rsidRPr="000276AF">
        <w:t xml:space="preserve"> data for a particular waterbody, </w:t>
      </w:r>
      <w:r>
        <w:t>FDEP</w:t>
      </w:r>
      <w:r w:rsidRPr="000276AF">
        <w:t xml:space="preserve"> may find systematic errors from a</w:t>
      </w:r>
      <w:r>
        <w:t xml:space="preserve"> data provider</w:t>
      </w:r>
      <w:r w:rsidRPr="000276AF">
        <w:t xml:space="preserve">.  These errors may include </w:t>
      </w:r>
      <w:r>
        <w:t xml:space="preserve">the accidental </w:t>
      </w:r>
      <w:r w:rsidRPr="000276AF">
        <w:t xml:space="preserve">shifting of decimals for a parameter </w:t>
      </w:r>
      <w:r>
        <w:t>such as</w:t>
      </w:r>
      <w:r w:rsidRPr="000276AF">
        <w:t xml:space="preserve"> iron (e.g.</w:t>
      </w:r>
      <w:r>
        <w:t>,</w:t>
      </w:r>
      <w:r w:rsidRPr="000276AF">
        <w:t xml:space="preserve"> reporting 1</w:t>
      </w:r>
      <w:r>
        <w:t>,</w:t>
      </w:r>
      <w:r w:rsidRPr="000276AF">
        <w:t>000 mg/</w:t>
      </w:r>
      <w:r>
        <w:t>L,</w:t>
      </w:r>
      <w:r w:rsidRPr="000276AF">
        <w:t xml:space="preserve"> rather than 1 mg/</w:t>
      </w:r>
      <w:r>
        <w:t>L</w:t>
      </w:r>
      <w:r w:rsidRPr="000276AF">
        <w:t xml:space="preserve">).  When systematic errors </w:t>
      </w:r>
      <w:r>
        <w:t xml:space="preserve">are found, those data are excluded from the analysis, and FDEP works </w:t>
      </w:r>
      <w:r w:rsidRPr="000276AF">
        <w:t xml:space="preserve">with the </w:t>
      </w:r>
      <w:r>
        <w:t>provider</w:t>
      </w:r>
      <w:r w:rsidRPr="000276AF">
        <w:t xml:space="preserve"> to correct the errors.  Upon correction</w:t>
      </w:r>
      <w:r>
        <w:t>,</w:t>
      </w:r>
      <w:r w:rsidRPr="000276AF">
        <w:t xml:space="preserve"> the data are used in the assessment</w:t>
      </w:r>
      <w:r>
        <w:t>.</w:t>
      </w:r>
    </w:p>
    <w:p w:rsidR="00485094" w:rsidRPr="000276AF" w:rsidRDefault="00485094" w:rsidP="005F5866">
      <w:pPr>
        <w:pStyle w:val="Bodytext"/>
      </w:pPr>
    </w:p>
    <w:p w:rsidR="00485094" w:rsidRDefault="00485094" w:rsidP="005F5866">
      <w:pPr>
        <w:pStyle w:val="Bodytext"/>
        <w:rPr>
          <w:rFonts w:cs="Arial"/>
          <w:bCs/>
          <w:szCs w:val="22"/>
        </w:rPr>
      </w:pPr>
      <w:r>
        <w:rPr>
          <w:rFonts w:cs="Arial"/>
          <w:bCs/>
          <w:szCs w:val="22"/>
        </w:rPr>
        <w:t xml:space="preserve">The Florida Legislature has specifically prohibited the use of data from the volunteer monitoring group LakeWatch in any regulatory proceeding.  However, LakeWatch data can be used in developing the Planning List of potentially impaired waters, evaluating pollutant loading to lakes, and modeling lake function for FDEP’s </w:t>
      </w:r>
      <w:hyperlink r:id="rId134" w:history="1">
        <w:r w:rsidRPr="00FA7EAD">
          <w:rPr>
            <w:rStyle w:val="Hyperlink"/>
            <w:szCs w:val="22"/>
          </w:rPr>
          <w:t>TMDL Program</w:t>
        </w:r>
      </w:hyperlink>
      <w:r>
        <w:rPr>
          <w:rFonts w:cs="Arial"/>
          <w:bCs/>
          <w:szCs w:val="22"/>
        </w:rPr>
        <w:t>.  The data can also be used to document long-term water quality trends and provide general background information, but they cannot be used to verify impairment, nor can they be used in support of enforcement actions.</w:t>
      </w:r>
    </w:p>
    <w:p w:rsidR="00485094" w:rsidRDefault="00485094" w:rsidP="005F5866">
      <w:pPr>
        <w:pStyle w:val="Bodytext"/>
        <w:rPr>
          <w:rFonts w:cs="Arial"/>
          <w:bCs/>
          <w:szCs w:val="22"/>
        </w:rPr>
      </w:pPr>
    </w:p>
    <w:p w:rsidR="00485094" w:rsidRDefault="00485094" w:rsidP="004449BF">
      <w:pPr>
        <w:pStyle w:val="Heading3"/>
      </w:pPr>
      <w:bookmarkStart w:id="564" w:name="_Toc255822546"/>
      <w:bookmarkStart w:id="565" w:name="_Toc271279988"/>
      <w:r w:rsidRPr="00501400">
        <w:t>Rationales for Not Using Existing Data</w:t>
      </w:r>
      <w:bookmarkEnd w:id="564"/>
      <w:bookmarkEnd w:id="565"/>
    </w:p>
    <w:p w:rsidR="00485094" w:rsidRPr="00D86AD1" w:rsidRDefault="00485094" w:rsidP="005F5866">
      <w:pPr>
        <w:pStyle w:val="Bodytext"/>
      </w:pPr>
      <w:r w:rsidRPr="00D86AD1">
        <w:t xml:space="preserve">FDEP uses all water quality data that </w:t>
      </w:r>
      <w:r>
        <w:t xml:space="preserve">are provided through STORET, as </w:t>
      </w:r>
      <w:r w:rsidRPr="00D86AD1">
        <w:t>long as it is ambient in nature (</w:t>
      </w:r>
      <w:r>
        <w:t>e.g., it does</w:t>
      </w:r>
      <w:r w:rsidRPr="00D86AD1">
        <w:t xml:space="preserve"> not use </w:t>
      </w:r>
      <w:r>
        <w:t xml:space="preserve">data for </w:t>
      </w:r>
      <w:r w:rsidRPr="00D86AD1">
        <w:t>water coming out of a discharge pipe</w:t>
      </w:r>
      <w:r>
        <w:t xml:space="preserve"> or within approved mixing zones</w:t>
      </w:r>
      <w:r w:rsidRPr="00D86AD1">
        <w:t xml:space="preserve">).  </w:t>
      </w:r>
      <w:r>
        <w:t>It</w:t>
      </w:r>
      <w:r w:rsidRPr="00D86AD1">
        <w:t xml:space="preserve"> may restrict the use of an agenc</w:t>
      </w:r>
      <w:r>
        <w:t>y’s</w:t>
      </w:r>
      <w:r w:rsidRPr="00D86AD1">
        <w:t xml:space="preserve"> data if consistent errors have been found (</w:t>
      </w:r>
      <w:r>
        <w:t>only</w:t>
      </w:r>
      <w:r w:rsidRPr="00D86AD1">
        <w:t xml:space="preserve"> the water quality parameters </w:t>
      </w:r>
      <w:r>
        <w:t>that</w:t>
      </w:r>
      <w:r w:rsidRPr="00D86AD1">
        <w:t xml:space="preserve"> have problems</w:t>
      </w:r>
      <w:r>
        <w:t xml:space="preserve"> are restricted</w:t>
      </w:r>
      <w:r w:rsidRPr="00D86AD1">
        <w:t>)</w:t>
      </w:r>
      <w:r>
        <w:t>.</w:t>
      </w:r>
      <w:r w:rsidRPr="00D86AD1">
        <w:t xml:space="preserve">  </w:t>
      </w:r>
      <w:r>
        <w:t>FDEP</w:t>
      </w:r>
      <w:r w:rsidRPr="00D86AD1">
        <w:t xml:space="preserve"> also may restrict an agenc</w:t>
      </w:r>
      <w:r>
        <w:t>y’s</w:t>
      </w:r>
      <w:r w:rsidRPr="00D86AD1">
        <w:t xml:space="preserve"> data if </w:t>
      </w:r>
      <w:r>
        <w:t>it has</w:t>
      </w:r>
      <w:r w:rsidRPr="00D86AD1">
        <w:t xml:space="preserve"> failed QA/QC inspections</w:t>
      </w:r>
      <w:r>
        <w:t xml:space="preserve">.  Data gathered during periods that are not representative of the general health of the waterbody (e.g., during or immediately after a hurricane that can be tied to a short-term event, such as a spill) are flagged for further evaluation before being added to the IWR database.  </w:t>
      </w:r>
    </w:p>
    <w:p w:rsidR="00485094" w:rsidRDefault="00485094" w:rsidP="005F5866">
      <w:pPr>
        <w:pStyle w:val="Bodytext"/>
      </w:pPr>
    </w:p>
    <w:p w:rsidR="00485094" w:rsidRPr="00501400" w:rsidRDefault="00485094" w:rsidP="0041391B">
      <w:pPr>
        <w:pStyle w:val="Heading2"/>
      </w:pPr>
      <w:bookmarkStart w:id="566" w:name="_Toc254269887"/>
      <w:bookmarkStart w:id="567" w:name="_Toc255822548"/>
      <w:bookmarkStart w:id="568" w:name="_Toc271279989"/>
      <w:r w:rsidRPr="00501400">
        <w:t>How Data Are Used To Make Attainment Determinations</w:t>
      </w:r>
      <w:bookmarkEnd w:id="566"/>
      <w:bookmarkEnd w:id="567"/>
      <w:bookmarkEnd w:id="568"/>
    </w:p>
    <w:p w:rsidR="00485094" w:rsidRPr="00333C9A" w:rsidRDefault="00485094" w:rsidP="005F5866">
      <w:pPr>
        <w:pStyle w:val="BodyText0"/>
        <w:rPr>
          <w:sz w:val="22"/>
          <w:szCs w:val="22"/>
        </w:rPr>
      </w:pPr>
      <w:r>
        <w:rPr>
          <w:sz w:val="22"/>
          <w:szCs w:val="22"/>
        </w:rPr>
        <w:t xml:space="preserve">Once the data are screened and validated, they are evaluated to determine whether individual segments with </w:t>
      </w:r>
      <w:r w:rsidRPr="00313FDB">
        <w:rPr>
          <w:b/>
          <w:sz w:val="22"/>
          <w:szCs w:val="22"/>
        </w:rPr>
        <w:t>w</w:t>
      </w:r>
      <w:r>
        <w:rPr>
          <w:sz w:val="22"/>
          <w:szCs w:val="22"/>
        </w:rPr>
        <w:t>ater</w:t>
      </w:r>
      <w:r w:rsidRPr="00313FDB">
        <w:rPr>
          <w:b/>
          <w:sz w:val="22"/>
          <w:szCs w:val="22"/>
        </w:rPr>
        <w:t>b</w:t>
      </w:r>
      <w:r>
        <w:rPr>
          <w:sz w:val="22"/>
          <w:szCs w:val="22"/>
        </w:rPr>
        <w:t xml:space="preserve">ody </w:t>
      </w:r>
      <w:r w:rsidRPr="00313FDB">
        <w:rPr>
          <w:b/>
          <w:sz w:val="22"/>
          <w:szCs w:val="22"/>
        </w:rPr>
        <w:t>id</w:t>
      </w:r>
      <w:r>
        <w:rPr>
          <w:sz w:val="22"/>
          <w:szCs w:val="22"/>
        </w:rPr>
        <w:t xml:space="preserve">entification numbers (WBIDs) are attaining their designated uses.  Different analytical approaches, such as statistical analyses, are used to infer conditions from all valid data.  </w:t>
      </w:r>
      <w:r w:rsidRPr="00992198">
        <w:rPr>
          <w:b/>
          <w:sz w:val="22"/>
          <w:szCs w:val="22"/>
        </w:rPr>
        <w:t xml:space="preserve">Appendix </w:t>
      </w:r>
      <w:r>
        <w:rPr>
          <w:b/>
          <w:sz w:val="22"/>
          <w:szCs w:val="22"/>
        </w:rPr>
        <w:t>D</w:t>
      </w:r>
      <w:r>
        <w:rPr>
          <w:sz w:val="22"/>
          <w:szCs w:val="22"/>
        </w:rPr>
        <w:t xml:space="preserve"> provides a detailed description of the IWR methodology.</w:t>
      </w:r>
    </w:p>
    <w:p w:rsidR="00485094" w:rsidRDefault="00485094" w:rsidP="005F5866">
      <w:pPr>
        <w:pStyle w:val="BodyText0"/>
        <w:rPr>
          <w:sz w:val="22"/>
          <w:szCs w:val="22"/>
        </w:rPr>
      </w:pPr>
    </w:p>
    <w:p w:rsidR="00485094" w:rsidRDefault="00485094" w:rsidP="00E85D84">
      <w:pPr>
        <w:pStyle w:val="Heading2"/>
      </w:pPr>
      <w:bookmarkStart w:id="569" w:name="_Toc255822547"/>
      <w:bookmarkStart w:id="570" w:name="_Toc271279990"/>
      <w:bookmarkStart w:id="571" w:name="_Toc254269888"/>
      <w:r w:rsidRPr="00E375A7">
        <w:t>Public Participation Process</w:t>
      </w:r>
      <w:bookmarkEnd w:id="569"/>
      <w:bookmarkEnd w:id="570"/>
    </w:p>
    <w:p w:rsidR="00485094" w:rsidRPr="003A4461" w:rsidRDefault="00485094" w:rsidP="00E85D84">
      <w:pPr>
        <w:pStyle w:val="Bodytext"/>
      </w:pPr>
      <w:r w:rsidRPr="00E375A7">
        <w:t xml:space="preserve">FDEP works with a variety of stakeholders </w:t>
      </w:r>
      <w:r>
        <w:t xml:space="preserve">in the assessment and TMDL processes.  It also solicits and encourages public participation in a number of ways.  It </w:t>
      </w:r>
      <w:r w:rsidRPr="005D59A4">
        <w:t xml:space="preserve">maintains an extensive distribution list; hosts </w:t>
      </w:r>
      <w:r>
        <w:t xml:space="preserve">both the </w:t>
      </w:r>
      <w:hyperlink r:id="rId135" w:history="1">
        <w:r w:rsidRPr="003F2D10">
          <w:rPr>
            <w:rStyle w:val="Hyperlink"/>
          </w:rPr>
          <w:t>Watershed Assessment Progra</w:t>
        </w:r>
        <w:r>
          <w:rPr>
            <w:rStyle w:val="Hyperlink"/>
          </w:rPr>
          <w:t>m website</w:t>
        </w:r>
      </w:hyperlink>
      <w:r>
        <w:t xml:space="preserve"> and</w:t>
      </w:r>
      <w:r w:rsidRPr="005D59A4">
        <w:t xml:space="preserve"> </w:t>
      </w:r>
      <w:hyperlink r:id="rId136" w:history="1">
        <w:r w:rsidRPr="003F2D10">
          <w:rPr>
            <w:rStyle w:val="Hyperlink"/>
          </w:rPr>
          <w:t>TMDL Progra</w:t>
        </w:r>
        <w:r>
          <w:rPr>
            <w:rStyle w:val="Hyperlink"/>
          </w:rPr>
          <w:t>m website</w:t>
        </w:r>
      </w:hyperlink>
      <w:r w:rsidRPr="005D59A4">
        <w:t xml:space="preserve">; </w:t>
      </w:r>
      <w:r>
        <w:t xml:space="preserve">publishes notices of meetings, workshops, and public hearings in the </w:t>
      </w:r>
      <w:hyperlink r:id="rId137" w:history="1">
        <w:r w:rsidRPr="00295CB2">
          <w:rPr>
            <w:rStyle w:val="Hyperlink"/>
            <w:i/>
          </w:rPr>
          <w:t>Florida Administrative Weekly</w:t>
        </w:r>
      </w:hyperlink>
      <w:r>
        <w:t xml:space="preserve">, on </w:t>
      </w:r>
      <w:r w:rsidRPr="005D59A4">
        <w:t xml:space="preserve">the </w:t>
      </w:r>
      <w:r>
        <w:t>w</w:t>
      </w:r>
      <w:r w:rsidRPr="005D59A4">
        <w:t>ebsite</w:t>
      </w:r>
      <w:r>
        <w:t>, and in local newspapers</w:t>
      </w:r>
      <w:r w:rsidRPr="005D59A4">
        <w:t xml:space="preserve">; </w:t>
      </w:r>
      <w:r>
        <w:t xml:space="preserve">makes </w:t>
      </w:r>
      <w:r w:rsidRPr="003A4461">
        <w:t>available to the public</w:t>
      </w:r>
      <w:r>
        <w:t xml:space="preserve"> (via the website, mail, or email) the b</w:t>
      </w:r>
      <w:r w:rsidRPr="003A4461">
        <w:t>asin-specific draft Verified Lists of waters that me</w:t>
      </w:r>
      <w:r>
        <w:t>e</w:t>
      </w:r>
      <w:r w:rsidRPr="003A4461">
        <w:t>t the requirements of the IWR</w:t>
      </w:r>
      <w:r>
        <w:t>; h</w:t>
      </w:r>
      <w:r w:rsidRPr="00E375A7">
        <w:t>old</w:t>
      </w:r>
      <w:r>
        <w:t>s</w:t>
      </w:r>
      <w:r w:rsidRPr="00E375A7">
        <w:t xml:space="preserve"> public </w:t>
      </w:r>
      <w:r w:rsidRPr="003A4461">
        <w:t xml:space="preserve">meetings on developing and adopting the Verified Lists of impaired waters </w:t>
      </w:r>
      <w:r>
        <w:t>and TMDLs; and requests and responds to public comments.</w:t>
      </w:r>
    </w:p>
    <w:p w:rsidR="00485094" w:rsidRDefault="00485094" w:rsidP="00E85D84">
      <w:pPr>
        <w:pStyle w:val="Bodytext"/>
      </w:pPr>
    </w:p>
    <w:p w:rsidR="00485094" w:rsidRDefault="00485094" w:rsidP="00E85D84">
      <w:pPr>
        <w:pStyle w:val="Bodytext"/>
      </w:pPr>
      <w:r w:rsidRPr="003A4461">
        <w:t xml:space="preserve">Citizens </w:t>
      </w:r>
      <w:r>
        <w:t>are</w:t>
      </w:r>
      <w:r w:rsidRPr="003A4461">
        <w:t xml:space="preserve"> given the opportunity to comment on the draft lists </w:t>
      </w:r>
      <w:r>
        <w:t xml:space="preserve">and TMDLs </w:t>
      </w:r>
      <w:r w:rsidRPr="003A4461">
        <w:t xml:space="preserve">in person and/or in writing.  </w:t>
      </w:r>
      <w:r>
        <w:t>As part of the review process, public workshops are advertised and held in each basin to help explain the process for developing the Verified List or TMDL, exchange information, and encourage public involvement.  If additional information or data is provided prior to or during the public comment period, FDEP considers it before submitting the proposed list to the Secretary and EPA.</w:t>
      </w:r>
    </w:p>
    <w:p w:rsidR="00485094" w:rsidRDefault="00485094" w:rsidP="00E85D84">
      <w:pPr>
        <w:pStyle w:val="Bodytext"/>
      </w:pPr>
    </w:p>
    <w:p w:rsidR="00485094" w:rsidRDefault="00485094" w:rsidP="009909FD">
      <w:pPr>
        <w:pStyle w:val="Bodytextreduced"/>
      </w:pPr>
      <w:r>
        <w:br w:type="page"/>
      </w:r>
    </w:p>
    <w:p w:rsidR="00FC6EE0" w:rsidRDefault="00FC6EE0" w:rsidP="00FC6EE0">
      <w:pPr>
        <w:pStyle w:val="Bodytextreduced"/>
      </w:pPr>
      <w:bookmarkStart w:id="572" w:name="_Chapter_8:_"/>
      <w:bookmarkStart w:id="573" w:name="_Toc255822549"/>
      <w:bookmarkStart w:id="574" w:name="_Toc271279991"/>
      <w:bookmarkEnd w:id="572"/>
    </w:p>
    <w:p w:rsidR="00485094" w:rsidRDefault="00485094" w:rsidP="00A17747">
      <w:pPr>
        <w:pStyle w:val="Heading1"/>
      </w:pPr>
      <w:r>
        <w:t>Chapter 8:  Results of the Assessments</w:t>
      </w:r>
      <w:bookmarkEnd w:id="573"/>
      <w:r>
        <w:t xml:space="preserve"> Of Use Support</w:t>
      </w:r>
      <w:bookmarkEnd w:id="574"/>
    </w:p>
    <w:p w:rsidR="00485094" w:rsidRDefault="00485094" w:rsidP="00A17747">
      <w:pPr>
        <w:pStyle w:val="Bodytextreduced"/>
      </w:pPr>
    </w:p>
    <w:p w:rsidR="00485094" w:rsidRDefault="00485094" w:rsidP="0041391B">
      <w:pPr>
        <w:pStyle w:val="Heading2"/>
        <w:rPr>
          <w:snapToGrid w:val="0"/>
        </w:rPr>
      </w:pPr>
      <w:bookmarkStart w:id="575" w:name="_Toc271279992"/>
      <w:bookmarkEnd w:id="571"/>
      <w:r>
        <w:rPr>
          <w:snapToGrid w:val="0"/>
        </w:rPr>
        <w:t>Surface Waters Assessed</w:t>
      </w:r>
      <w:bookmarkEnd w:id="575"/>
    </w:p>
    <w:p w:rsidR="00485094" w:rsidRDefault="00485094" w:rsidP="005F5866">
      <w:pPr>
        <w:pStyle w:val="Bodytext"/>
        <w:rPr>
          <w:snapToGrid w:val="0"/>
        </w:rPr>
      </w:pPr>
      <w:r>
        <w:rPr>
          <w:snapToGrid w:val="0"/>
        </w:rPr>
        <w:t xml:space="preserve">For assessment purposes, FDEP has divided the state into water assessment polygons with a unique </w:t>
      </w:r>
      <w:r w:rsidRPr="00E03BB4">
        <w:rPr>
          <w:b/>
          <w:snapToGrid w:val="0"/>
        </w:rPr>
        <w:t>w</w:t>
      </w:r>
      <w:r>
        <w:rPr>
          <w:snapToGrid w:val="0"/>
        </w:rPr>
        <w:t>ater</w:t>
      </w:r>
      <w:r w:rsidRPr="00E03BB4">
        <w:rPr>
          <w:b/>
          <w:snapToGrid w:val="0"/>
        </w:rPr>
        <w:t>b</w:t>
      </w:r>
      <w:r>
        <w:rPr>
          <w:snapToGrid w:val="0"/>
        </w:rPr>
        <w:t xml:space="preserve">ody </w:t>
      </w:r>
      <w:r w:rsidRPr="00E03BB4">
        <w:rPr>
          <w:b/>
          <w:snapToGrid w:val="0"/>
        </w:rPr>
        <w:t>id</w:t>
      </w:r>
      <w:r>
        <w:rPr>
          <w:snapToGrid w:val="0"/>
        </w:rPr>
        <w:t xml:space="preserve">entification (WBID) number for each watershed or stream reach.  There are </w:t>
      </w:r>
      <w:r w:rsidRPr="00873539">
        <w:rPr>
          <w:snapToGrid w:val="0"/>
        </w:rPr>
        <w:t>6,378</w:t>
      </w:r>
      <w:r>
        <w:rPr>
          <w:snapToGrid w:val="0"/>
        </w:rPr>
        <w:t xml:space="preserve"> waterbodies, each of which are characterized by waterbody type (rivers/streams, lakes, estuaries, or coastal waters) and comprise hydrologically unique segments of rivers and streams, lakes, and estuaries with relatively similar water quality.  Typically, the river and stream segments are about 5 miles long (generally bounded by headwaters, river mouths, or major intersecting streams); the estuary segments are about 5 square miles in size (often bounded by bridges); and lake segments comprise approximately 60 acres each (usually entire lakes, but if a lake is very large or has distinct areas of water quality, it may be subdivided).</w:t>
      </w:r>
    </w:p>
    <w:p w:rsidR="00485094" w:rsidRDefault="00485094" w:rsidP="005F5866">
      <w:pPr>
        <w:pStyle w:val="Bodytext"/>
        <w:rPr>
          <w:snapToGrid w:val="0"/>
        </w:rPr>
      </w:pPr>
    </w:p>
    <w:p w:rsidR="00485094" w:rsidRDefault="00485094" w:rsidP="005F5866">
      <w:pPr>
        <w:pStyle w:val="Bodytext"/>
        <w:rPr>
          <w:b/>
          <w:i/>
          <w:snapToGrid w:val="0"/>
          <w:u w:val="single"/>
        </w:rPr>
      </w:pPr>
      <w:r>
        <w:rPr>
          <w:snapToGrid w:val="0"/>
        </w:rPr>
        <w:t xml:space="preserve">The assessed waters include those waters for which enough information is available to determine whether they attain their designated use (Category 2 under the EPA’s integrated assessment) or do not attain their designated use (EPA Categories  4a, 4b, </w:t>
      </w:r>
      <w:r w:rsidRPr="00DC54A8">
        <w:rPr>
          <w:snapToGrid w:val="0"/>
        </w:rPr>
        <w:t>4c,</w:t>
      </w:r>
      <w:r>
        <w:rPr>
          <w:rStyle w:val="FootnoteReference"/>
          <w:snapToGrid w:val="0"/>
        </w:rPr>
        <w:footnoteReference w:id="5"/>
      </w:r>
      <w:r>
        <w:rPr>
          <w:snapToGrid w:val="0"/>
        </w:rPr>
        <w:t xml:space="preserve"> 4d, 4e, and 5) (see </w:t>
      </w:r>
      <w:hyperlink w:anchor="_Chapter_7._" w:history="1">
        <w:r w:rsidRPr="00295CB2">
          <w:rPr>
            <w:rStyle w:val="Hyperlink"/>
            <w:snapToGrid w:val="0"/>
          </w:rPr>
          <w:t>Chapter 7</w:t>
        </w:r>
      </w:hyperlink>
      <w:r>
        <w:rPr>
          <w:snapToGrid w:val="0"/>
        </w:rPr>
        <w:t xml:space="preserve"> for a description of the categories).  </w:t>
      </w:r>
      <w:r w:rsidRPr="0027351F">
        <w:rPr>
          <w:b/>
          <w:i/>
          <w:snapToGrid w:val="0"/>
        </w:rPr>
        <w:t xml:space="preserve">Table </w:t>
      </w:r>
      <w:r>
        <w:rPr>
          <w:b/>
          <w:i/>
          <w:snapToGrid w:val="0"/>
        </w:rPr>
        <w:t>8.1</w:t>
      </w:r>
      <w:r>
        <w:rPr>
          <w:snapToGrid w:val="0"/>
        </w:rPr>
        <w:t xml:space="preserve"> lists the number and size of waters assessed for each waterbody type,</w:t>
      </w:r>
      <w:r>
        <w:rPr>
          <w:rStyle w:val="FootnoteReference"/>
          <w:snapToGrid w:val="0"/>
        </w:rPr>
        <w:footnoteReference w:id="6"/>
      </w:r>
      <w:r>
        <w:rPr>
          <w:snapToGrid w:val="0"/>
        </w:rPr>
        <w:t xml:space="preserve"> and </w:t>
      </w:r>
      <w:r w:rsidRPr="0027351F">
        <w:rPr>
          <w:b/>
          <w:i/>
          <w:snapToGrid w:val="0"/>
        </w:rPr>
        <w:t xml:space="preserve">Table </w:t>
      </w:r>
      <w:r>
        <w:rPr>
          <w:b/>
          <w:i/>
          <w:snapToGrid w:val="0"/>
        </w:rPr>
        <w:t xml:space="preserve">8.2 </w:t>
      </w:r>
      <w:r>
        <w:rPr>
          <w:snapToGrid w:val="0"/>
        </w:rPr>
        <w:t xml:space="preserve">lists the number of surface waters assigned to each of the EPA reporting categories.  </w:t>
      </w:r>
    </w:p>
    <w:p w:rsidR="00485094" w:rsidRDefault="00485094" w:rsidP="005F5866">
      <w:pPr>
        <w:pStyle w:val="Bodytext"/>
        <w:rPr>
          <w:snapToGrid w:val="0"/>
        </w:rPr>
      </w:pPr>
    </w:p>
    <w:p w:rsidR="00485094" w:rsidRDefault="00485094" w:rsidP="005F5866">
      <w:pPr>
        <w:pStyle w:val="Bodytext"/>
        <w:rPr>
          <w:snapToGrid w:val="0"/>
        </w:rPr>
      </w:pPr>
      <w:r>
        <w:rPr>
          <w:snapToGrid w:val="0"/>
        </w:rPr>
        <w:t>For the determination of use support in this report, FDEP assessed 13,919 miles of rivers and streams, 1,203,632 acres of lakes, 2,473 square miles of estuaries, and 6,699 square miles of coastal waters using the IWR methodology for the identification of impaired waters.  (</w:t>
      </w:r>
      <w:r w:rsidRPr="007C1C84">
        <w:rPr>
          <w:b/>
          <w:snapToGrid w:val="0"/>
        </w:rPr>
        <w:t>Note:</w:t>
      </w:r>
      <w:r>
        <w:rPr>
          <w:snapToGrid w:val="0"/>
        </w:rPr>
        <w:t xml:space="preserve">  The total estimated miles for estuaries decreased by 30% this year due to improved GIS techniques to calculate mileages and corrections to the WBID system; t</w:t>
      </w:r>
      <w:r w:rsidRPr="005C33A6">
        <w:rPr>
          <w:snapToGrid w:val="0"/>
        </w:rPr>
        <w:t>he corrections included removing land drainage areas from some incorrect estuarine WBIDs and only including the water area</w:t>
      </w:r>
      <w:r>
        <w:rPr>
          <w:snapToGrid w:val="0"/>
        </w:rPr>
        <w:t>,</w:t>
      </w:r>
      <w:r w:rsidRPr="005C33A6">
        <w:rPr>
          <w:snapToGrid w:val="0"/>
        </w:rPr>
        <w:t xml:space="preserve"> resulting in a reduction of the </w:t>
      </w:r>
      <w:r>
        <w:rPr>
          <w:snapToGrid w:val="0"/>
        </w:rPr>
        <w:t xml:space="preserve">estimates of </w:t>
      </w:r>
      <w:r w:rsidRPr="005C33A6">
        <w:rPr>
          <w:snapToGrid w:val="0"/>
        </w:rPr>
        <w:t>total estuarine water area for Florida).</w:t>
      </w:r>
      <w:r>
        <w:rPr>
          <w:snapToGrid w:val="0"/>
        </w:rPr>
        <w:t xml:space="preserve">  The WBID system uses NHD mileages and acreages for lakes, estuaries, and streams; however, only those waters that are of significant size and perennial (not dry during the year) are used.  The EPA has historically identified 52,000 miles of streams in Florida, but these estimates include ditches that may not hold water during the year.  </w:t>
      </w:r>
    </w:p>
    <w:p w:rsidR="00485094" w:rsidRDefault="00485094" w:rsidP="005F5866">
      <w:pPr>
        <w:pStyle w:val="Bodytext"/>
        <w:rPr>
          <w:snapToGrid w:val="0"/>
        </w:rPr>
      </w:pPr>
    </w:p>
    <w:p w:rsidR="00485094" w:rsidRDefault="00485094" w:rsidP="005F5866">
      <w:pPr>
        <w:pStyle w:val="Bodytext"/>
        <w:rPr>
          <w:snapToGrid w:val="0"/>
        </w:rPr>
      </w:pPr>
      <w:r>
        <w:rPr>
          <w:snapToGrid w:val="0"/>
        </w:rPr>
        <w:t>It should be noted that the assessment results for lakes are highly affected by the assessment results for one impaired lake, Lake Okeechobee, which is by far the largest lake in the state.  All estuaries and coastal waters have been assessed for mercury, and consumption advisories have been issued for a number of fish species because of excessive concentrations of mercury in fish tissue.</w:t>
      </w:r>
    </w:p>
    <w:p w:rsidR="00485094" w:rsidRPr="00525390" w:rsidRDefault="00485094" w:rsidP="00525390">
      <w:pPr>
        <w:pStyle w:val="Bodytextreduced"/>
      </w:pPr>
    </w:p>
    <w:p w:rsidR="00485094" w:rsidRDefault="00485094">
      <w:pPr>
        <w:rPr>
          <w:rFonts w:ascii="Arial" w:hAnsi="Arial"/>
          <w:b/>
          <w:i/>
          <w:sz w:val="20"/>
          <w:szCs w:val="20"/>
        </w:rPr>
      </w:pPr>
      <w:bookmarkStart w:id="576" w:name="_Toc254267136"/>
      <w:bookmarkStart w:id="577" w:name="_Toc255807510"/>
      <w:r>
        <w:br w:type="page"/>
      </w:r>
    </w:p>
    <w:p w:rsidR="00485094" w:rsidRDefault="00485094" w:rsidP="005F5866">
      <w:pPr>
        <w:pStyle w:val="Tableheading"/>
      </w:pPr>
      <w:bookmarkStart w:id="578" w:name="_Toc271280116"/>
      <w:r>
        <w:t>Table 8.1.  Waters Assessed for the Statewide Basin Assessments, by Waterbody Type</w:t>
      </w:r>
      <w:bookmarkEnd w:id="576"/>
      <w:bookmarkEnd w:id="577"/>
      <w:bookmarkEnd w:id="578"/>
    </w:p>
    <w:p w:rsidR="00485094" w:rsidRDefault="00485094" w:rsidP="009909FD">
      <w:pPr>
        <w:pStyle w:val="TabledescriptionBF"/>
      </w:pPr>
      <w:r>
        <w:t xml:space="preserve">This is a three-column table.  Column 1 lists the waterbody type, Column 2 lists the number of waterbody segments, and Column 3 lists the miles, acres, or square miles assessed. </w:t>
      </w:r>
    </w:p>
    <w:p w:rsidR="00485094" w:rsidRPr="002C31AF" w:rsidRDefault="00485094" w:rsidP="002C31AF">
      <w:pPr>
        <w:rPr>
          <w:rFonts w:ascii="Arial" w:hAnsi="Arial" w:cs="Arial"/>
          <w:sz w:val="16"/>
          <w:szCs w:val="16"/>
        </w:rPr>
      </w:pPr>
    </w:p>
    <w:p w:rsidR="00485094" w:rsidRPr="002173CC" w:rsidRDefault="00485094" w:rsidP="009909FD">
      <w:pPr>
        <w:pStyle w:val="Bodytextreduced"/>
      </w:pPr>
      <w:r w:rsidRPr="002173CC">
        <w:rPr>
          <w:b/>
        </w:rPr>
        <w:t>Note:</w:t>
      </w:r>
      <w:r w:rsidRPr="002173CC">
        <w:t xml:space="preserve">  Scale is 1:24,000.  </w:t>
      </w:r>
    </w:p>
    <w:p w:rsidR="00485094" w:rsidRDefault="00485094" w:rsidP="009909FD">
      <w:pPr>
        <w:pStyle w:val="Bodytextreduced"/>
      </w:pPr>
      <w:r w:rsidRPr="002173CC">
        <w:rPr>
          <w:b/>
        </w:rPr>
        <w:t>Source:</w:t>
      </w:r>
      <w:r w:rsidRPr="002173CC">
        <w:t xml:space="preserve">  NHD</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684"/>
        <w:gridCol w:w="1619"/>
        <w:gridCol w:w="2250"/>
      </w:tblGrid>
      <w:tr w:rsidR="00485094" w:rsidRPr="0054245F" w:rsidTr="00E86B70">
        <w:trPr>
          <w:trHeight w:val="247"/>
          <w:jc w:val="center"/>
        </w:trPr>
        <w:tc>
          <w:tcPr>
            <w:tcW w:w="2684" w:type="dxa"/>
            <w:tcBorders>
              <w:bottom w:val="double" w:sz="4" w:space="0" w:color="auto"/>
            </w:tcBorders>
            <w:shd w:val="clear" w:color="auto" w:fill="BDFFFF"/>
            <w:vAlign w:val="bottom"/>
          </w:tcPr>
          <w:p w:rsidR="00485094" w:rsidRPr="0054245F" w:rsidRDefault="00485094" w:rsidP="009909FD">
            <w:pPr>
              <w:pStyle w:val="TableText"/>
              <w:jc w:val="center"/>
              <w:rPr>
                <w:b/>
                <w:i/>
              </w:rPr>
            </w:pPr>
            <w:r w:rsidRPr="0054245F">
              <w:rPr>
                <w:b/>
                <w:i/>
              </w:rPr>
              <w:t>Waterbody Type</w:t>
            </w:r>
          </w:p>
        </w:tc>
        <w:tc>
          <w:tcPr>
            <w:tcW w:w="1619" w:type="dxa"/>
            <w:tcBorders>
              <w:bottom w:val="double" w:sz="4" w:space="0" w:color="auto"/>
            </w:tcBorders>
            <w:shd w:val="clear" w:color="auto" w:fill="BDFFFF"/>
            <w:vAlign w:val="bottom"/>
          </w:tcPr>
          <w:p w:rsidR="00485094" w:rsidRPr="0054245F" w:rsidRDefault="00485094" w:rsidP="009909FD">
            <w:pPr>
              <w:pStyle w:val="TableText"/>
              <w:jc w:val="center"/>
              <w:rPr>
                <w:b/>
                <w:i/>
              </w:rPr>
            </w:pPr>
            <w:r w:rsidRPr="0054245F">
              <w:rPr>
                <w:b/>
                <w:i/>
              </w:rPr>
              <w:t>Number of Waterbod</w:t>
            </w:r>
            <w:r>
              <w:rPr>
                <w:b/>
                <w:i/>
              </w:rPr>
              <w:t>y Segments</w:t>
            </w:r>
          </w:p>
        </w:tc>
        <w:tc>
          <w:tcPr>
            <w:tcW w:w="2250" w:type="dxa"/>
            <w:tcBorders>
              <w:bottom w:val="double" w:sz="4" w:space="0" w:color="auto"/>
            </w:tcBorders>
            <w:shd w:val="clear" w:color="auto" w:fill="BDFFFF"/>
            <w:vAlign w:val="bottom"/>
          </w:tcPr>
          <w:p w:rsidR="00485094" w:rsidRPr="0054245F" w:rsidRDefault="00485094" w:rsidP="009909FD">
            <w:pPr>
              <w:pStyle w:val="TableText"/>
              <w:jc w:val="center"/>
              <w:rPr>
                <w:b/>
                <w:i/>
              </w:rPr>
            </w:pPr>
            <w:r>
              <w:rPr>
                <w:b/>
                <w:i/>
              </w:rPr>
              <w:t>Assessed</w:t>
            </w:r>
          </w:p>
        </w:tc>
      </w:tr>
      <w:tr w:rsidR="00485094" w:rsidTr="009909FD">
        <w:trPr>
          <w:trHeight w:val="247"/>
          <w:jc w:val="center"/>
        </w:trPr>
        <w:tc>
          <w:tcPr>
            <w:tcW w:w="2684" w:type="dxa"/>
            <w:tcBorders>
              <w:top w:val="double" w:sz="4" w:space="0" w:color="auto"/>
            </w:tcBorders>
            <w:shd w:val="clear" w:color="auto" w:fill="FFFFCC"/>
            <w:vAlign w:val="center"/>
          </w:tcPr>
          <w:p w:rsidR="00485094" w:rsidRDefault="00485094" w:rsidP="009909FD">
            <w:pPr>
              <w:pStyle w:val="TableText"/>
              <w:jc w:val="center"/>
            </w:pPr>
            <w:r>
              <w:t>Rivers/Streams</w:t>
            </w:r>
          </w:p>
        </w:tc>
        <w:tc>
          <w:tcPr>
            <w:tcW w:w="1619" w:type="dxa"/>
            <w:tcBorders>
              <w:top w:val="double" w:sz="4" w:space="0" w:color="auto"/>
            </w:tcBorders>
            <w:vAlign w:val="center"/>
          </w:tcPr>
          <w:p w:rsidR="00485094" w:rsidRDefault="00485094" w:rsidP="005F5866">
            <w:pPr>
              <w:pStyle w:val="TableText"/>
              <w:jc w:val="center"/>
            </w:pPr>
            <w:r>
              <w:t>3,996</w:t>
            </w:r>
          </w:p>
        </w:tc>
        <w:tc>
          <w:tcPr>
            <w:tcW w:w="2250" w:type="dxa"/>
            <w:tcBorders>
              <w:top w:val="double" w:sz="4" w:space="0" w:color="auto"/>
            </w:tcBorders>
            <w:vAlign w:val="center"/>
          </w:tcPr>
          <w:p w:rsidR="00485094" w:rsidRDefault="00485094" w:rsidP="005F5866">
            <w:pPr>
              <w:pStyle w:val="TableText"/>
              <w:jc w:val="center"/>
            </w:pPr>
            <w:r>
              <w:t>13,919 miles</w:t>
            </w:r>
          </w:p>
        </w:tc>
      </w:tr>
      <w:tr w:rsidR="00485094" w:rsidTr="009909FD">
        <w:trPr>
          <w:trHeight w:val="247"/>
          <w:jc w:val="center"/>
        </w:trPr>
        <w:tc>
          <w:tcPr>
            <w:tcW w:w="2684" w:type="dxa"/>
            <w:shd w:val="clear" w:color="auto" w:fill="FFFFCC"/>
            <w:vAlign w:val="center"/>
          </w:tcPr>
          <w:p w:rsidR="00485094" w:rsidRDefault="00485094" w:rsidP="005F5866">
            <w:pPr>
              <w:pStyle w:val="TableText"/>
              <w:jc w:val="center"/>
            </w:pPr>
            <w:r>
              <w:t>Lakes</w:t>
            </w:r>
          </w:p>
        </w:tc>
        <w:tc>
          <w:tcPr>
            <w:tcW w:w="1619" w:type="dxa"/>
            <w:vAlign w:val="center"/>
          </w:tcPr>
          <w:p w:rsidR="00485094" w:rsidRDefault="00485094" w:rsidP="005F5866">
            <w:pPr>
              <w:pStyle w:val="TableText"/>
              <w:jc w:val="center"/>
            </w:pPr>
            <w:r>
              <w:t>1,324</w:t>
            </w:r>
          </w:p>
        </w:tc>
        <w:tc>
          <w:tcPr>
            <w:tcW w:w="2250" w:type="dxa"/>
            <w:vAlign w:val="center"/>
          </w:tcPr>
          <w:p w:rsidR="00485094" w:rsidRDefault="00485094" w:rsidP="005F5866">
            <w:pPr>
              <w:pStyle w:val="TableText"/>
              <w:jc w:val="center"/>
            </w:pPr>
            <w:r>
              <w:t>1,203,632 acres</w:t>
            </w:r>
          </w:p>
        </w:tc>
      </w:tr>
      <w:tr w:rsidR="00485094" w:rsidTr="009909FD">
        <w:trPr>
          <w:trHeight w:val="247"/>
          <w:jc w:val="center"/>
        </w:trPr>
        <w:tc>
          <w:tcPr>
            <w:tcW w:w="2684" w:type="dxa"/>
            <w:shd w:val="clear" w:color="auto" w:fill="FFFFCC"/>
            <w:vAlign w:val="center"/>
          </w:tcPr>
          <w:p w:rsidR="00485094" w:rsidRDefault="00485094" w:rsidP="005F5866">
            <w:pPr>
              <w:pStyle w:val="TableText"/>
              <w:jc w:val="center"/>
            </w:pPr>
            <w:r>
              <w:t>Estuaries</w:t>
            </w:r>
          </w:p>
        </w:tc>
        <w:tc>
          <w:tcPr>
            <w:tcW w:w="1619" w:type="dxa"/>
            <w:vAlign w:val="center"/>
          </w:tcPr>
          <w:p w:rsidR="00485094" w:rsidRDefault="00485094" w:rsidP="005F5866">
            <w:pPr>
              <w:pStyle w:val="TableText"/>
              <w:jc w:val="center"/>
            </w:pPr>
            <w:r>
              <w:t>579</w:t>
            </w:r>
          </w:p>
        </w:tc>
        <w:tc>
          <w:tcPr>
            <w:tcW w:w="2250" w:type="dxa"/>
            <w:vAlign w:val="center"/>
          </w:tcPr>
          <w:p w:rsidR="00485094" w:rsidRDefault="00485094" w:rsidP="005F5866">
            <w:pPr>
              <w:pStyle w:val="TableText"/>
              <w:jc w:val="center"/>
            </w:pPr>
            <w:r>
              <w:t>2,473 square miles</w:t>
            </w:r>
          </w:p>
        </w:tc>
      </w:tr>
      <w:tr w:rsidR="00485094" w:rsidTr="009909FD">
        <w:trPr>
          <w:trHeight w:val="247"/>
          <w:jc w:val="center"/>
        </w:trPr>
        <w:tc>
          <w:tcPr>
            <w:tcW w:w="2684" w:type="dxa"/>
            <w:shd w:val="clear" w:color="auto" w:fill="FFFFCC"/>
            <w:vAlign w:val="center"/>
          </w:tcPr>
          <w:p w:rsidR="00485094" w:rsidRDefault="00485094" w:rsidP="005F5866">
            <w:pPr>
              <w:pStyle w:val="TableText"/>
              <w:jc w:val="center"/>
            </w:pPr>
            <w:r>
              <w:t>Coastal Waters</w:t>
            </w:r>
          </w:p>
        </w:tc>
        <w:tc>
          <w:tcPr>
            <w:tcW w:w="1619" w:type="dxa"/>
            <w:vAlign w:val="center"/>
          </w:tcPr>
          <w:p w:rsidR="00485094" w:rsidRDefault="00485094" w:rsidP="005F5866">
            <w:pPr>
              <w:pStyle w:val="TableText"/>
              <w:jc w:val="center"/>
            </w:pPr>
            <w:r>
              <w:t>154</w:t>
            </w:r>
          </w:p>
        </w:tc>
        <w:tc>
          <w:tcPr>
            <w:tcW w:w="2250" w:type="dxa"/>
            <w:vAlign w:val="center"/>
          </w:tcPr>
          <w:p w:rsidR="00485094" w:rsidRDefault="00485094" w:rsidP="005F5866">
            <w:pPr>
              <w:pStyle w:val="TableText"/>
              <w:jc w:val="center"/>
            </w:pPr>
            <w:r>
              <w:t>6,699 square miles</w:t>
            </w:r>
          </w:p>
        </w:tc>
      </w:tr>
    </w:tbl>
    <w:p w:rsidR="00485094" w:rsidRDefault="00485094" w:rsidP="00A60DC3">
      <w:pPr>
        <w:pStyle w:val="Bodytextreduced"/>
      </w:pPr>
    </w:p>
    <w:p w:rsidR="00485094" w:rsidRDefault="00485094" w:rsidP="00A60DC3">
      <w:pPr>
        <w:pStyle w:val="Bodytextreduced"/>
      </w:pPr>
    </w:p>
    <w:p w:rsidR="00485094" w:rsidRDefault="00485094" w:rsidP="00A60DC3">
      <w:pPr>
        <w:pStyle w:val="Bodytextreduced"/>
      </w:pPr>
    </w:p>
    <w:p w:rsidR="00485094" w:rsidRDefault="00485094" w:rsidP="000C28CE">
      <w:pPr>
        <w:pStyle w:val="Tableheading"/>
        <w:rPr>
          <w:sz w:val="16"/>
          <w:szCs w:val="16"/>
        </w:rPr>
      </w:pPr>
      <w:bookmarkStart w:id="579" w:name="_Toc254267137"/>
      <w:bookmarkStart w:id="580" w:name="_Toc255807511"/>
      <w:bookmarkStart w:id="581" w:name="_Toc271280117"/>
      <w:r w:rsidRPr="00010E67">
        <w:t xml:space="preserve">Table </w:t>
      </w:r>
      <w:r>
        <w:t>8.2.</w:t>
      </w:r>
      <w:r w:rsidRPr="00010E67">
        <w:t xml:space="preserve">  Size of Surface Waters Assigned to</w:t>
      </w:r>
      <w:r>
        <w:t xml:space="preserve"> Each EPA Integrated </w:t>
      </w:r>
      <w:r w:rsidRPr="00010E67">
        <w:t>Report Categor</w:t>
      </w:r>
      <w:r>
        <w:t>y</w:t>
      </w:r>
      <w:bookmarkEnd w:id="579"/>
      <w:bookmarkEnd w:id="580"/>
      <w:bookmarkEnd w:id="581"/>
    </w:p>
    <w:p w:rsidR="00485094" w:rsidRDefault="00485094" w:rsidP="009909FD">
      <w:pPr>
        <w:pStyle w:val="TabledescriptionBF"/>
      </w:pPr>
      <w:r>
        <w:t>This is a 10-column table.  Column 1 lists the waterbody type, Columns 2 through 6 list the number of each waterbody type in Categories 2 through 5, respectively, Column 7 lists the number with no data, Column 8 lists the number with insufficient data, Column 9 lists the number of total waters assessed, and Column 10 lists the total number in the state.</w:t>
      </w:r>
    </w:p>
    <w:p w:rsidR="00485094" w:rsidRDefault="00485094" w:rsidP="00B501CB">
      <w:pPr>
        <w:pStyle w:val="Bodytext"/>
        <w:rPr>
          <w:sz w:val="16"/>
          <w:szCs w:val="16"/>
        </w:rPr>
      </w:pPr>
    </w:p>
    <w:p w:rsidR="00485094" w:rsidRDefault="00485094" w:rsidP="009909FD">
      <w:pPr>
        <w:pStyle w:val="Bodytext"/>
        <w:rPr>
          <w:sz w:val="16"/>
          <w:szCs w:val="16"/>
        </w:rPr>
      </w:pPr>
      <w:r w:rsidRPr="00945371">
        <w:rPr>
          <w:b/>
          <w:sz w:val="16"/>
          <w:szCs w:val="16"/>
        </w:rPr>
        <w:t>Note:</w:t>
      </w:r>
      <w:r>
        <w:rPr>
          <w:sz w:val="16"/>
          <w:szCs w:val="16"/>
        </w:rPr>
        <w:t xml:space="preserve">  There are no waters in EPA Category 1 (attaining all designated uses) because FDEP does not sample for all uses.  Category 2 comprises waters attaining all the uses that are sampled for.</w:t>
      </w:r>
    </w:p>
    <w:p w:rsidR="00485094" w:rsidRDefault="00485094" w:rsidP="009909FD">
      <w:pPr>
        <w:pStyle w:val="Bodytext"/>
        <w:rPr>
          <w:sz w:val="16"/>
          <w:szCs w:val="16"/>
        </w:rPr>
      </w:pPr>
    </w:p>
    <w:p w:rsidR="00485094" w:rsidRPr="006B65A3" w:rsidRDefault="00485094" w:rsidP="009909FD">
      <w:pPr>
        <w:pStyle w:val="Bodytext"/>
        <w:rPr>
          <w:sz w:val="16"/>
          <w:szCs w:val="16"/>
        </w:rPr>
      </w:pPr>
      <w:r>
        <w:rPr>
          <w:b/>
          <w:sz w:val="16"/>
          <w:szCs w:val="16"/>
        </w:rPr>
        <w:t xml:space="preserve">* </w:t>
      </w:r>
      <w:r w:rsidRPr="006B65A3">
        <w:rPr>
          <w:sz w:val="16"/>
          <w:szCs w:val="16"/>
        </w:rPr>
        <w:t>The EPA’s Integrated Report categories are as follows:</w:t>
      </w:r>
    </w:p>
    <w:p w:rsidR="00485094" w:rsidRPr="006B65A3" w:rsidRDefault="00485094" w:rsidP="009909FD">
      <w:pPr>
        <w:pStyle w:val="Bodytext"/>
        <w:ind w:left="900" w:hanging="360"/>
        <w:rPr>
          <w:sz w:val="16"/>
          <w:szCs w:val="16"/>
        </w:rPr>
      </w:pPr>
      <w:r w:rsidRPr="006B65A3">
        <w:rPr>
          <w:sz w:val="16"/>
          <w:szCs w:val="16"/>
        </w:rPr>
        <w:t>1—Attains all designated uses;</w:t>
      </w:r>
    </w:p>
    <w:p w:rsidR="00485094" w:rsidRPr="006B65A3" w:rsidRDefault="00485094" w:rsidP="009909FD">
      <w:pPr>
        <w:pStyle w:val="Bodytext"/>
        <w:ind w:left="900" w:hanging="360"/>
        <w:rPr>
          <w:sz w:val="16"/>
          <w:szCs w:val="16"/>
        </w:rPr>
      </w:pPr>
      <w:r w:rsidRPr="006B65A3">
        <w:rPr>
          <w:sz w:val="16"/>
          <w:szCs w:val="16"/>
        </w:rPr>
        <w:t>2—Attains some designated uses;</w:t>
      </w:r>
    </w:p>
    <w:p w:rsidR="00485094" w:rsidRPr="006B65A3" w:rsidRDefault="00485094" w:rsidP="009909FD">
      <w:pPr>
        <w:pStyle w:val="Bodytext"/>
        <w:ind w:left="900" w:hanging="360"/>
        <w:rPr>
          <w:sz w:val="16"/>
          <w:szCs w:val="16"/>
        </w:rPr>
      </w:pPr>
      <w:r w:rsidRPr="006B65A3">
        <w:rPr>
          <w:sz w:val="16"/>
          <w:szCs w:val="16"/>
        </w:rPr>
        <w:t>3a—No data and information are available to determine if any designated use is attained;</w:t>
      </w:r>
    </w:p>
    <w:p w:rsidR="00485094" w:rsidRPr="006B65A3" w:rsidRDefault="00485094" w:rsidP="009909FD">
      <w:pPr>
        <w:pStyle w:val="Bodytext"/>
        <w:ind w:left="900" w:hanging="360"/>
        <w:rPr>
          <w:sz w:val="16"/>
          <w:szCs w:val="16"/>
        </w:rPr>
      </w:pPr>
      <w:r w:rsidRPr="006B65A3">
        <w:rPr>
          <w:sz w:val="16"/>
          <w:szCs w:val="16"/>
        </w:rPr>
        <w:t>3b—Some data and information are available, but they are insufficient for determining if any designated use is attained;</w:t>
      </w:r>
    </w:p>
    <w:p w:rsidR="00485094" w:rsidRPr="006B65A3" w:rsidRDefault="00485094" w:rsidP="009909FD">
      <w:pPr>
        <w:pStyle w:val="Bodytext"/>
        <w:ind w:left="900" w:hanging="360"/>
        <w:rPr>
          <w:sz w:val="16"/>
          <w:szCs w:val="16"/>
        </w:rPr>
      </w:pPr>
      <w:r w:rsidRPr="006B65A3">
        <w:rPr>
          <w:sz w:val="16"/>
          <w:szCs w:val="16"/>
        </w:rPr>
        <w:t>3c—Meets Planning List criteria and is potentially impaired for one or more designated uses;</w:t>
      </w:r>
    </w:p>
    <w:p w:rsidR="00485094" w:rsidRPr="006B65A3" w:rsidRDefault="00485094" w:rsidP="009909FD">
      <w:pPr>
        <w:pStyle w:val="Bodytext"/>
        <w:ind w:left="900" w:hanging="360"/>
        <w:rPr>
          <w:sz w:val="16"/>
          <w:szCs w:val="16"/>
        </w:rPr>
      </w:pPr>
      <w:r w:rsidRPr="006B65A3">
        <w:rPr>
          <w:sz w:val="16"/>
          <w:szCs w:val="16"/>
        </w:rPr>
        <w:t>3d—Meets Verified List criteria and is potentially impaired for one or more designated uses;</w:t>
      </w:r>
    </w:p>
    <w:p w:rsidR="00485094" w:rsidRPr="006B65A3" w:rsidRDefault="00485094" w:rsidP="009909FD">
      <w:pPr>
        <w:pStyle w:val="Bodytext"/>
        <w:ind w:left="900" w:hanging="360"/>
        <w:rPr>
          <w:sz w:val="16"/>
          <w:szCs w:val="16"/>
        </w:rPr>
      </w:pPr>
      <w:r w:rsidRPr="006B65A3">
        <w:rPr>
          <w:sz w:val="16"/>
          <w:szCs w:val="16"/>
        </w:rPr>
        <w:t>4a—Impaired for one or more designated uses and the TMDL is complete;</w:t>
      </w:r>
    </w:p>
    <w:p w:rsidR="00485094" w:rsidRPr="006B65A3" w:rsidRDefault="00485094" w:rsidP="009909FD">
      <w:pPr>
        <w:pStyle w:val="Bodytext"/>
        <w:ind w:left="900" w:hanging="360"/>
        <w:rPr>
          <w:sz w:val="16"/>
          <w:szCs w:val="16"/>
        </w:rPr>
      </w:pPr>
      <w:r w:rsidRPr="006B65A3">
        <w:rPr>
          <w:sz w:val="16"/>
          <w:szCs w:val="16"/>
        </w:rPr>
        <w:t xml:space="preserve">4b—Impaired for one or more designated uses, but no TMDL is required because an existing or proposed pollutant control mechanism provides reasonable assurance that the water will attain standards in the future; </w:t>
      </w:r>
    </w:p>
    <w:p w:rsidR="00485094" w:rsidRPr="006B65A3" w:rsidRDefault="00485094" w:rsidP="009909FD">
      <w:pPr>
        <w:pStyle w:val="Bodytext"/>
        <w:ind w:left="900" w:hanging="360"/>
        <w:rPr>
          <w:sz w:val="16"/>
          <w:szCs w:val="16"/>
        </w:rPr>
      </w:pPr>
      <w:r w:rsidRPr="006B65A3">
        <w:rPr>
          <w:sz w:val="16"/>
          <w:szCs w:val="16"/>
        </w:rPr>
        <w:t xml:space="preserve">4c—Impaired for one or more designated uses but no TMDL is required because the impairment is not caused by a pollutant; </w:t>
      </w:r>
    </w:p>
    <w:p w:rsidR="00485094" w:rsidRDefault="00485094" w:rsidP="009909FD">
      <w:pPr>
        <w:pStyle w:val="Bodytext"/>
        <w:ind w:left="900" w:hanging="360"/>
        <w:rPr>
          <w:sz w:val="16"/>
          <w:szCs w:val="16"/>
        </w:rPr>
      </w:pPr>
      <w:r>
        <w:rPr>
          <w:sz w:val="16"/>
          <w:szCs w:val="16"/>
        </w:rPr>
        <w:t>4d</w:t>
      </w:r>
      <w:r w:rsidRPr="006B65A3">
        <w:rPr>
          <w:sz w:val="16"/>
          <w:szCs w:val="16"/>
        </w:rPr>
        <w:t>—</w:t>
      </w:r>
      <w:r w:rsidRPr="007001D2">
        <w:rPr>
          <w:sz w:val="16"/>
          <w:szCs w:val="16"/>
        </w:rPr>
        <w:t>No causative pollutant has been identified</w:t>
      </w:r>
      <w:r>
        <w:rPr>
          <w:sz w:val="16"/>
          <w:szCs w:val="16"/>
        </w:rPr>
        <w:t>;</w:t>
      </w:r>
    </w:p>
    <w:p w:rsidR="00485094" w:rsidRDefault="00485094" w:rsidP="009909FD">
      <w:pPr>
        <w:pStyle w:val="Bodytext"/>
        <w:ind w:left="900" w:hanging="360"/>
        <w:rPr>
          <w:sz w:val="16"/>
          <w:szCs w:val="16"/>
        </w:rPr>
      </w:pPr>
      <w:r>
        <w:rPr>
          <w:sz w:val="16"/>
          <w:szCs w:val="16"/>
        </w:rPr>
        <w:t>4e</w:t>
      </w:r>
      <w:r w:rsidRPr="006B65A3">
        <w:rPr>
          <w:sz w:val="16"/>
          <w:szCs w:val="16"/>
        </w:rPr>
        <w:t>—</w:t>
      </w:r>
      <w:r w:rsidRPr="007001D2">
        <w:rPr>
          <w:sz w:val="16"/>
          <w:szCs w:val="16"/>
        </w:rPr>
        <w:t>Impaired, but recently completed or ongoing restoration activities should restore the designated uses of the waterbody</w:t>
      </w:r>
      <w:r>
        <w:rPr>
          <w:sz w:val="16"/>
          <w:szCs w:val="16"/>
        </w:rPr>
        <w:t>; and</w:t>
      </w:r>
    </w:p>
    <w:p w:rsidR="00485094" w:rsidRPr="003A4461" w:rsidRDefault="00485094" w:rsidP="00B501CB">
      <w:pPr>
        <w:pStyle w:val="Bodytext"/>
        <w:ind w:left="900" w:hanging="360"/>
        <w:rPr>
          <w:rFonts w:cs="Arial"/>
          <w:szCs w:val="22"/>
        </w:rPr>
      </w:pPr>
      <w:r w:rsidRPr="006B65A3">
        <w:rPr>
          <w:sz w:val="16"/>
          <w:szCs w:val="16"/>
        </w:rPr>
        <w:t>5—Water quality standards are not attained and a TMDL is required.</w:t>
      </w:r>
    </w:p>
    <w:tbl>
      <w:tblPr>
        <w:tblW w:w="11420" w:type="dxa"/>
        <w:jc w:val="center"/>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1472"/>
        <w:gridCol w:w="1050"/>
        <w:gridCol w:w="1170"/>
        <w:gridCol w:w="1208"/>
        <w:gridCol w:w="1170"/>
        <w:gridCol w:w="1080"/>
        <w:gridCol w:w="990"/>
        <w:gridCol w:w="1170"/>
        <w:gridCol w:w="1024"/>
        <w:gridCol w:w="1086"/>
      </w:tblGrid>
      <w:tr w:rsidR="00485094" w:rsidRPr="00B501CB" w:rsidTr="00E86B70">
        <w:trPr>
          <w:trHeight w:val="247"/>
          <w:jc w:val="center"/>
        </w:trPr>
        <w:tc>
          <w:tcPr>
            <w:tcW w:w="1472" w:type="dxa"/>
            <w:tcBorders>
              <w:bottom w:val="double" w:sz="4" w:space="0" w:color="auto"/>
            </w:tcBorders>
            <w:shd w:val="clear" w:color="auto" w:fill="BDFFFF"/>
            <w:vAlign w:val="bottom"/>
          </w:tcPr>
          <w:p w:rsidR="00485094" w:rsidRPr="00B501CB" w:rsidRDefault="00485094" w:rsidP="00B501CB">
            <w:pPr>
              <w:pStyle w:val="TableText"/>
              <w:jc w:val="center"/>
              <w:rPr>
                <w:b/>
                <w:i/>
                <w:sz w:val="16"/>
                <w:szCs w:val="16"/>
              </w:rPr>
            </w:pPr>
            <w:r w:rsidRPr="00B501CB">
              <w:rPr>
                <w:b/>
                <w:i/>
                <w:sz w:val="16"/>
                <w:szCs w:val="16"/>
              </w:rPr>
              <w:t>Waterbody Type</w:t>
            </w:r>
          </w:p>
        </w:tc>
        <w:tc>
          <w:tcPr>
            <w:tcW w:w="1050" w:type="dxa"/>
            <w:tcBorders>
              <w:bottom w:val="double" w:sz="4" w:space="0" w:color="auto"/>
            </w:tcBorders>
            <w:shd w:val="clear" w:color="auto" w:fill="BDFFFF"/>
            <w:vAlign w:val="bottom"/>
          </w:tcPr>
          <w:p w:rsidR="00485094" w:rsidRPr="00B501CB" w:rsidRDefault="00485094" w:rsidP="00B501CB">
            <w:pPr>
              <w:pStyle w:val="TableText"/>
              <w:jc w:val="center"/>
              <w:rPr>
                <w:b/>
                <w:i/>
                <w:sz w:val="16"/>
                <w:szCs w:val="16"/>
              </w:rPr>
            </w:pPr>
            <w:r w:rsidRPr="00B501CB">
              <w:rPr>
                <w:b/>
                <w:i/>
                <w:sz w:val="16"/>
                <w:szCs w:val="16"/>
              </w:rPr>
              <w:t>Category 2*</w:t>
            </w:r>
          </w:p>
        </w:tc>
        <w:tc>
          <w:tcPr>
            <w:tcW w:w="1170" w:type="dxa"/>
            <w:tcBorders>
              <w:bottom w:val="double" w:sz="4" w:space="0" w:color="auto"/>
            </w:tcBorders>
            <w:shd w:val="clear" w:color="auto" w:fill="BDFFFF"/>
            <w:vAlign w:val="bottom"/>
          </w:tcPr>
          <w:p w:rsidR="00485094" w:rsidRPr="00B501CB" w:rsidRDefault="00485094" w:rsidP="00B501CB">
            <w:pPr>
              <w:pStyle w:val="TableText"/>
              <w:jc w:val="center"/>
              <w:rPr>
                <w:b/>
                <w:i/>
                <w:sz w:val="16"/>
                <w:szCs w:val="16"/>
              </w:rPr>
            </w:pPr>
            <w:r w:rsidRPr="00B501CB">
              <w:rPr>
                <w:b/>
                <w:i/>
                <w:sz w:val="16"/>
                <w:szCs w:val="16"/>
              </w:rPr>
              <w:t>Categories 3c and 3d (Planning List)*</w:t>
            </w:r>
          </w:p>
        </w:tc>
        <w:tc>
          <w:tcPr>
            <w:tcW w:w="1208" w:type="dxa"/>
            <w:tcBorders>
              <w:bottom w:val="double" w:sz="4" w:space="0" w:color="auto"/>
            </w:tcBorders>
            <w:shd w:val="clear" w:color="auto" w:fill="BDFFFF"/>
            <w:vAlign w:val="bottom"/>
          </w:tcPr>
          <w:p w:rsidR="00485094" w:rsidRPr="00B501CB" w:rsidRDefault="00485094" w:rsidP="00B501CB">
            <w:pPr>
              <w:pStyle w:val="TableText"/>
              <w:jc w:val="center"/>
              <w:rPr>
                <w:b/>
                <w:i/>
                <w:sz w:val="16"/>
                <w:szCs w:val="16"/>
              </w:rPr>
            </w:pPr>
            <w:r w:rsidRPr="00B501CB">
              <w:rPr>
                <w:b/>
                <w:i/>
                <w:sz w:val="16"/>
                <w:szCs w:val="16"/>
              </w:rPr>
              <w:t>Categories 4a, 4b, 4c</w:t>
            </w:r>
            <w:r>
              <w:rPr>
                <w:b/>
                <w:i/>
                <w:sz w:val="16"/>
                <w:szCs w:val="16"/>
              </w:rPr>
              <w:t>*</w:t>
            </w:r>
          </w:p>
        </w:tc>
        <w:tc>
          <w:tcPr>
            <w:tcW w:w="1170" w:type="dxa"/>
            <w:tcBorders>
              <w:bottom w:val="double" w:sz="4" w:space="0" w:color="auto"/>
            </w:tcBorders>
            <w:shd w:val="clear" w:color="auto" w:fill="BDFFFF"/>
            <w:vAlign w:val="bottom"/>
          </w:tcPr>
          <w:p w:rsidR="00485094" w:rsidRPr="00B501CB" w:rsidRDefault="00485094" w:rsidP="00B501CB">
            <w:pPr>
              <w:pStyle w:val="TableText"/>
              <w:jc w:val="center"/>
              <w:rPr>
                <w:b/>
                <w:i/>
                <w:sz w:val="16"/>
                <w:szCs w:val="16"/>
              </w:rPr>
            </w:pPr>
            <w:r w:rsidRPr="00B501CB">
              <w:rPr>
                <w:b/>
                <w:i/>
                <w:sz w:val="16"/>
                <w:szCs w:val="16"/>
              </w:rPr>
              <w:t>Categories 4d, 4e</w:t>
            </w:r>
            <w:r>
              <w:rPr>
                <w:b/>
                <w:i/>
                <w:sz w:val="16"/>
                <w:szCs w:val="16"/>
              </w:rPr>
              <w:t>*</w:t>
            </w:r>
          </w:p>
        </w:tc>
        <w:tc>
          <w:tcPr>
            <w:tcW w:w="1080" w:type="dxa"/>
            <w:tcBorders>
              <w:bottom w:val="double" w:sz="4" w:space="0" w:color="auto"/>
            </w:tcBorders>
            <w:shd w:val="clear" w:color="auto" w:fill="BDFFFF"/>
            <w:vAlign w:val="bottom"/>
          </w:tcPr>
          <w:p w:rsidR="00485094" w:rsidRPr="00B501CB" w:rsidRDefault="00485094" w:rsidP="00B501CB">
            <w:pPr>
              <w:pStyle w:val="TableText"/>
              <w:jc w:val="center"/>
              <w:rPr>
                <w:b/>
                <w:i/>
                <w:sz w:val="16"/>
                <w:szCs w:val="16"/>
              </w:rPr>
            </w:pPr>
            <w:r w:rsidRPr="00B501CB">
              <w:rPr>
                <w:b/>
                <w:i/>
                <w:sz w:val="16"/>
                <w:szCs w:val="16"/>
              </w:rPr>
              <w:t>Categor</w:t>
            </w:r>
            <w:r>
              <w:rPr>
                <w:b/>
                <w:i/>
                <w:sz w:val="16"/>
                <w:szCs w:val="16"/>
              </w:rPr>
              <w:t>y</w:t>
            </w:r>
            <w:r w:rsidRPr="00B501CB">
              <w:rPr>
                <w:b/>
                <w:i/>
                <w:sz w:val="16"/>
                <w:szCs w:val="16"/>
              </w:rPr>
              <w:t xml:space="preserve"> 5*</w:t>
            </w:r>
          </w:p>
        </w:tc>
        <w:tc>
          <w:tcPr>
            <w:tcW w:w="990" w:type="dxa"/>
            <w:tcBorders>
              <w:bottom w:val="double" w:sz="4" w:space="0" w:color="auto"/>
            </w:tcBorders>
            <w:shd w:val="clear" w:color="auto" w:fill="BDFFFF"/>
            <w:vAlign w:val="bottom"/>
          </w:tcPr>
          <w:p w:rsidR="00485094" w:rsidRPr="00B501CB" w:rsidRDefault="00485094" w:rsidP="005C33A6">
            <w:pPr>
              <w:pStyle w:val="TableText"/>
              <w:jc w:val="center"/>
              <w:rPr>
                <w:b/>
                <w:i/>
                <w:sz w:val="16"/>
                <w:szCs w:val="16"/>
              </w:rPr>
            </w:pPr>
            <w:r w:rsidRPr="00B501CB">
              <w:rPr>
                <w:b/>
                <w:i/>
                <w:sz w:val="16"/>
                <w:szCs w:val="16"/>
              </w:rPr>
              <w:t>No</w:t>
            </w:r>
            <w:r>
              <w:rPr>
                <w:b/>
                <w:i/>
                <w:sz w:val="16"/>
                <w:szCs w:val="16"/>
              </w:rPr>
              <w:t xml:space="preserve"> </w:t>
            </w:r>
            <w:r w:rsidRPr="00B501CB">
              <w:rPr>
                <w:b/>
                <w:i/>
                <w:sz w:val="16"/>
                <w:szCs w:val="16"/>
              </w:rPr>
              <w:t>Data</w:t>
            </w:r>
            <w:r>
              <w:rPr>
                <w:b/>
                <w:i/>
                <w:sz w:val="16"/>
                <w:szCs w:val="16"/>
              </w:rPr>
              <w:t xml:space="preserve"> (Category 3a)*</w:t>
            </w:r>
          </w:p>
        </w:tc>
        <w:tc>
          <w:tcPr>
            <w:tcW w:w="1170" w:type="dxa"/>
            <w:tcBorders>
              <w:bottom w:val="double" w:sz="4" w:space="0" w:color="auto"/>
            </w:tcBorders>
            <w:shd w:val="clear" w:color="auto" w:fill="BDFFFF"/>
            <w:vAlign w:val="bottom"/>
          </w:tcPr>
          <w:p w:rsidR="00485094" w:rsidRPr="00B501CB" w:rsidRDefault="00485094" w:rsidP="005C33A6">
            <w:pPr>
              <w:pStyle w:val="TableText"/>
              <w:jc w:val="center"/>
              <w:rPr>
                <w:b/>
                <w:i/>
                <w:sz w:val="16"/>
                <w:szCs w:val="16"/>
              </w:rPr>
            </w:pPr>
            <w:r w:rsidRPr="00B501CB">
              <w:rPr>
                <w:b/>
                <w:i/>
                <w:sz w:val="16"/>
                <w:szCs w:val="16"/>
              </w:rPr>
              <w:t>Insufficient Data</w:t>
            </w:r>
            <w:r>
              <w:rPr>
                <w:b/>
                <w:i/>
                <w:sz w:val="16"/>
                <w:szCs w:val="16"/>
              </w:rPr>
              <w:t xml:space="preserve"> (Category 3b)*</w:t>
            </w:r>
          </w:p>
        </w:tc>
        <w:tc>
          <w:tcPr>
            <w:tcW w:w="1024" w:type="dxa"/>
            <w:tcBorders>
              <w:bottom w:val="double" w:sz="4" w:space="0" w:color="auto"/>
            </w:tcBorders>
            <w:shd w:val="clear" w:color="auto" w:fill="BDFFFF"/>
            <w:vAlign w:val="bottom"/>
          </w:tcPr>
          <w:p w:rsidR="00485094" w:rsidRPr="00B501CB" w:rsidRDefault="00485094" w:rsidP="005C33A6">
            <w:pPr>
              <w:pStyle w:val="TableText"/>
              <w:jc w:val="center"/>
              <w:rPr>
                <w:b/>
                <w:i/>
                <w:sz w:val="16"/>
                <w:szCs w:val="16"/>
              </w:rPr>
            </w:pPr>
            <w:r w:rsidRPr="00B501CB">
              <w:rPr>
                <w:b/>
                <w:i/>
                <w:sz w:val="16"/>
                <w:szCs w:val="16"/>
              </w:rPr>
              <w:t>Total Waters Assessed</w:t>
            </w:r>
            <w:r>
              <w:rPr>
                <w:b/>
                <w:i/>
                <w:sz w:val="16"/>
                <w:szCs w:val="16"/>
              </w:rPr>
              <w:t xml:space="preserve"> for at Least 1 Parameter</w:t>
            </w:r>
          </w:p>
        </w:tc>
        <w:tc>
          <w:tcPr>
            <w:tcW w:w="1086" w:type="dxa"/>
            <w:tcBorders>
              <w:bottom w:val="double" w:sz="4" w:space="0" w:color="auto"/>
            </w:tcBorders>
            <w:shd w:val="clear" w:color="auto" w:fill="BDFFFF"/>
            <w:vAlign w:val="bottom"/>
          </w:tcPr>
          <w:p w:rsidR="00485094" w:rsidRPr="00B501CB" w:rsidRDefault="00485094" w:rsidP="00B501CB">
            <w:pPr>
              <w:pStyle w:val="TableText"/>
              <w:jc w:val="center"/>
              <w:rPr>
                <w:b/>
                <w:i/>
                <w:sz w:val="16"/>
                <w:szCs w:val="16"/>
              </w:rPr>
            </w:pPr>
            <w:r w:rsidRPr="00B501CB">
              <w:rPr>
                <w:b/>
                <w:i/>
                <w:sz w:val="16"/>
                <w:szCs w:val="16"/>
              </w:rPr>
              <w:t>Total in State</w:t>
            </w:r>
          </w:p>
        </w:tc>
      </w:tr>
      <w:tr w:rsidR="00485094" w:rsidRPr="00B501CB" w:rsidTr="00457B8C">
        <w:trPr>
          <w:trHeight w:val="247"/>
          <w:jc w:val="center"/>
        </w:trPr>
        <w:tc>
          <w:tcPr>
            <w:tcW w:w="1472" w:type="dxa"/>
            <w:tcBorders>
              <w:top w:val="double" w:sz="4" w:space="0" w:color="auto"/>
            </w:tcBorders>
            <w:shd w:val="clear" w:color="auto" w:fill="FFFFCC"/>
            <w:vAlign w:val="center"/>
          </w:tcPr>
          <w:p w:rsidR="00485094" w:rsidRPr="00B501CB" w:rsidRDefault="00485094" w:rsidP="005F5866">
            <w:pPr>
              <w:pStyle w:val="TableText"/>
              <w:jc w:val="center"/>
              <w:rPr>
                <w:sz w:val="16"/>
                <w:szCs w:val="16"/>
              </w:rPr>
            </w:pPr>
            <w:r w:rsidRPr="00B501CB">
              <w:rPr>
                <w:sz w:val="16"/>
                <w:szCs w:val="16"/>
              </w:rPr>
              <w:t>Rivers/</w:t>
            </w:r>
          </w:p>
          <w:p w:rsidR="00485094" w:rsidRPr="00B501CB" w:rsidRDefault="00485094" w:rsidP="005F5866">
            <w:pPr>
              <w:pStyle w:val="TableText"/>
              <w:jc w:val="center"/>
              <w:rPr>
                <w:sz w:val="16"/>
                <w:szCs w:val="16"/>
              </w:rPr>
            </w:pPr>
            <w:r w:rsidRPr="00B501CB">
              <w:rPr>
                <w:sz w:val="16"/>
                <w:szCs w:val="16"/>
              </w:rPr>
              <w:t>Streams</w:t>
            </w:r>
          </w:p>
          <w:p w:rsidR="00485094" w:rsidRPr="00B501CB" w:rsidRDefault="00485094" w:rsidP="005F5866">
            <w:pPr>
              <w:pStyle w:val="TableText"/>
              <w:jc w:val="center"/>
              <w:rPr>
                <w:sz w:val="16"/>
                <w:szCs w:val="16"/>
              </w:rPr>
            </w:pPr>
            <w:r w:rsidRPr="00B501CB">
              <w:rPr>
                <w:sz w:val="16"/>
                <w:szCs w:val="16"/>
              </w:rPr>
              <w:t>(miles)</w:t>
            </w:r>
          </w:p>
        </w:tc>
        <w:tc>
          <w:tcPr>
            <w:tcW w:w="1050" w:type="dxa"/>
            <w:tcBorders>
              <w:top w:val="double" w:sz="4" w:space="0" w:color="auto"/>
            </w:tcBorders>
            <w:vAlign w:val="center"/>
          </w:tcPr>
          <w:p w:rsidR="00485094" w:rsidRPr="00B501CB" w:rsidRDefault="00485094" w:rsidP="005F5866">
            <w:pPr>
              <w:pStyle w:val="TableText"/>
              <w:jc w:val="center"/>
              <w:rPr>
                <w:sz w:val="16"/>
                <w:szCs w:val="16"/>
              </w:rPr>
            </w:pPr>
            <w:r w:rsidRPr="00B501CB">
              <w:rPr>
                <w:sz w:val="16"/>
                <w:szCs w:val="16"/>
              </w:rPr>
              <w:t>919</w:t>
            </w:r>
          </w:p>
        </w:tc>
        <w:tc>
          <w:tcPr>
            <w:tcW w:w="1170" w:type="dxa"/>
            <w:tcBorders>
              <w:top w:val="double" w:sz="4" w:space="0" w:color="auto"/>
            </w:tcBorders>
            <w:vAlign w:val="center"/>
          </w:tcPr>
          <w:p w:rsidR="00485094" w:rsidRPr="00B501CB" w:rsidRDefault="00485094" w:rsidP="005F5866">
            <w:pPr>
              <w:pStyle w:val="TableText"/>
              <w:jc w:val="center"/>
              <w:rPr>
                <w:sz w:val="16"/>
                <w:szCs w:val="16"/>
              </w:rPr>
            </w:pPr>
            <w:r w:rsidRPr="00B501CB">
              <w:rPr>
                <w:sz w:val="16"/>
                <w:szCs w:val="16"/>
              </w:rPr>
              <w:t>2,354</w:t>
            </w:r>
          </w:p>
        </w:tc>
        <w:tc>
          <w:tcPr>
            <w:tcW w:w="1208" w:type="dxa"/>
            <w:tcBorders>
              <w:top w:val="double" w:sz="4" w:space="0" w:color="auto"/>
            </w:tcBorders>
            <w:vAlign w:val="center"/>
          </w:tcPr>
          <w:p w:rsidR="00485094" w:rsidRPr="001725EE" w:rsidRDefault="00485094" w:rsidP="005F5866">
            <w:pPr>
              <w:pStyle w:val="TableText"/>
              <w:jc w:val="center"/>
              <w:rPr>
                <w:sz w:val="16"/>
                <w:szCs w:val="16"/>
              </w:rPr>
            </w:pPr>
            <w:r w:rsidRPr="001725EE">
              <w:rPr>
                <w:sz w:val="16"/>
                <w:szCs w:val="16"/>
              </w:rPr>
              <w:t>658</w:t>
            </w:r>
          </w:p>
        </w:tc>
        <w:tc>
          <w:tcPr>
            <w:tcW w:w="1170" w:type="dxa"/>
            <w:tcBorders>
              <w:top w:val="double" w:sz="4" w:space="0" w:color="auto"/>
            </w:tcBorders>
            <w:vAlign w:val="center"/>
          </w:tcPr>
          <w:p w:rsidR="00485094" w:rsidRPr="001725EE" w:rsidRDefault="00485094" w:rsidP="005F5866">
            <w:pPr>
              <w:pStyle w:val="TableText"/>
              <w:jc w:val="center"/>
              <w:rPr>
                <w:sz w:val="16"/>
                <w:szCs w:val="16"/>
              </w:rPr>
            </w:pPr>
            <w:r w:rsidRPr="001725EE">
              <w:rPr>
                <w:sz w:val="16"/>
                <w:szCs w:val="16"/>
              </w:rPr>
              <w:t>2,193</w:t>
            </w:r>
          </w:p>
        </w:tc>
        <w:tc>
          <w:tcPr>
            <w:tcW w:w="1080" w:type="dxa"/>
            <w:tcBorders>
              <w:top w:val="double" w:sz="4" w:space="0" w:color="auto"/>
            </w:tcBorders>
            <w:vAlign w:val="center"/>
          </w:tcPr>
          <w:p w:rsidR="00485094" w:rsidRPr="001725EE" w:rsidRDefault="00485094" w:rsidP="005F5866">
            <w:pPr>
              <w:pStyle w:val="TableText"/>
              <w:jc w:val="center"/>
              <w:rPr>
                <w:sz w:val="16"/>
                <w:szCs w:val="16"/>
              </w:rPr>
            </w:pPr>
            <w:r w:rsidRPr="001725EE">
              <w:rPr>
                <w:sz w:val="16"/>
                <w:szCs w:val="16"/>
              </w:rPr>
              <w:t>7,796</w:t>
            </w:r>
          </w:p>
        </w:tc>
        <w:tc>
          <w:tcPr>
            <w:tcW w:w="990" w:type="dxa"/>
            <w:tcBorders>
              <w:top w:val="double" w:sz="4" w:space="0" w:color="auto"/>
            </w:tcBorders>
            <w:vAlign w:val="center"/>
          </w:tcPr>
          <w:p w:rsidR="00485094" w:rsidRPr="001725EE" w:rsidRDefault="00485094" w:rsidP="005F5866">
            <w:pPr>
              <w:pStyle w:val="TableText"/>
              <w:jc w:val="center"/>
              <w:rPr>
                <w:sz w:val="16"/>
                <w:szCs w:val="16"/>
              </w:rPr>
            </w:pPr>
            <w:r w:rsidRPr="001725EE">
              <w:rPr>
                <w:sz w:val="16"/>
                <w:szCs w:val="16"/>
              </w:rPr>
              <w:t>7,695</w:t>
            </w:r>
          </w:p>
        </w:tc>
        <w:tc>
          <w:tcPr>
            <w:tcW w:w="1170" w:type="dxa"/>
            <w:tcBorders>
              <w:top w:val="double" w:sz="4" w:space="0" w:color="auto"/>
            </w:tcBorders>
            <w:vAlign w:val="center"/>
          </w:tcPr>
          <w:p w:rsidR="00485094" w:rsidRPr="001725EE" w:rsidRDefault="00485094" w:rsidP="005F5866">
            <w:pPr>
              <w:pStyle w:val="TableText"/>
              <w:jc w:val="center"/>
              <w:rPr>
                <w:sz w:val="16"/>
                <w:szCs w:val="16"/>
              </w:rPr>
            </w:pPr>
            <w:r w:rsidRPr="001725EE">
              <w:rPr>
                <w:sz w:val="16"/>
                <w:szCs w:val="16"/>
              </w:rPr>
              <w:t>2,308</w:t>
            </w:r>
          </w:p>
        </w:tc>
        <w:tc>
          <w:tcPr>
            <w:tcW w:w="1024" w:type="dxa"/>
            <w:tcBorders>
              <w:top w:val="double" w:sz="4" w:space="0" w:color="auto"/>
            </w:tcBorders>
            <w:vAlign w:val="center"/>
          </w:tcPr>
          <w:p w:rsidR="00485094" w:rsidRPr="001725EE" w:rsidRDefault="00485094" w:rsidP="005F5866">
            <w:pPr>
              <w:pStyle w:val="TableText"/>
              <w:jc w:val="center"/>
              <w:rPr>
                <w:sz w:val="16"/>
                <w:szCs w:val="16"/>
              </w:rPr>
            </w:pPr>
            <w:r>
              <w:rPr>
                <w:sz w:val="16"/>
                <w:szCs w:val="16"/>
              </w:rPr>
              <w:t>13,919</w:t>
            </w:r>
          </w:p>
        </w:tc>
        <w:tc>
          <w:tcPr>
            <w:tcW w:w="1086" w:type="dxa"/>
            <w:tcBorders>
              <w:top w:val="double" w:sz="4" w:space="0" w:color="auto"/>
            </w:tcBorders>
            <w:vAlign w:val="center"/>
          </w:tcPr>
          <w:p w:rsidR="00485094" w:rsidRPr="00B501CB" w:rsidRDefault="00485094" w:rsidP="005F5866">
            <w:pPr>
              <w:pStyle w:val="TableText"/>
              <w:jc w:val="center"/>
              <w:rPr>
                <w:sz w:val="16"/>
                <w:szCs w:val="16"/>
              </w:rPr>
            </w:pPr>
            <w:r w:rsidRPr="00B501CB">
              <w:rPr>
                <w:sz w:val="16"/>
                <w:szCs w:val="16"/>
              </w:rPr>
              <w:t>23,922</w:t>
            </w:r>
          </w:p>
        </w:tc>
      </w:tr>
      <w:tr w:rsidR="00485094" w:rsidRPr="00B501CB" w:rsidTr="00457B8C">
        <w:trPr>
          <w:trHeight w:val="247"/>
          <w:jc w:val="center"/>
        </w:trPr>
        <w:tc>
          <w:tcPr>
            <w:tcW w:w="1472" w:type="dxa"/>
            <w:shd w:val="clear" w:color="auto" w:fill="FFFFCC"/>
            <w:vAlign w:val="center"/>
          </w:tcPr>
          <w:p w:rsidR="00485094" w:rsidRPr="00B501CB" w:rsidRDefault="00485094" w:rsidP="005F5866">
            <w:pPr>
              <w:pStyle w:val="TableText"/>
              <w:jc w:val="center"/>
              <w:rPr>
                <w:sz w:val="16"/>
                <w:szCs w:val="16"/>
              </w:rPr>
            </w:pPr>
            <w:r w:rsidRPr="00B501CB">
              <w:rPr>
                <w:sz w:val="16"/>
                <w:szCs w:val="16"/>
              </w:rPr>
              <w:t xml:space="preserve">Lakes </w:t>
            </w:r>
          </w:p>
          <w:p w:rsidR="00485094" w:rsidRPr="00B501CB" w:rsidRDefault="00485094" w:rsidP="005F5866">
            <w:pPr>
              <w:pStyle w:val="TableText"/>
              <w:jc w:val="center"/>
              <w:rPr>
                <w:sz w:val="16"/>
                <w:szCs w:val="16"/>
              </w:rPr>
            </w:pPr>
            <w:r w:rsidRPr="00B501CB">
              <w:rPr>
                <w:sz w:val="16"/>
                <w:szCs w:val="16"/>
              </w:rPr>
              <w:t>(acres)</w:t>
            </w:r>
          </w:p>
        </w:tc>
        <w:tc>
          <w:tcPr>
            <w:tcW w:w="1050" w:type="dxa"/>
            <w:vAlign w:val="center"/>
          </w:tcPr>
          <w:p w:rsidR="00485094" w:rsidRPr="00B501CB" w:rsidRDefault="00485094" w:rsidP="001725EE">
            <w:pPr>
              <w:pStyle w:val="TableText"/>
              <w:jc w:val="center"/>
              <w:rPr>
                <w:sz w:val="16"/>
                <w:szCs w:val="16"/>
              </w:rPr>
            </w:pPr>
            <w:r w:rsidRPr="00B501CB">
              <w:rPr>
                <w:sz w:val="16"/>
                <w:szCs w:val="16"/>
              </w:rPr>
              <w:t>59,2</w:t>
            </w:r>
            <w:r>
              <w:rPr>
                <w:sz w:val="16"/>
                <w:szCs w:val="16"/>
              </w:rPr>
              <w:t>2</w:t>
            </w:r>
            <w:r w:rsidRPr="00B501CB">
              <w:rPr>
                <w:sz w:val="16"/>
                <w:szCs w:val="16"/>
              </w:rPr>
              <w:t>7</w:t>
            </w:r>
          </w:p>
        </w:tc>
        <w:tc>
          <w:tcPr>
            <w:tcW w:w="1170" w:type="dxa"/>
            <w:vAlign w:val="center"/>
          </w:tcPr>
          <w:p w:rsidR="00485094" w:rsidRPr="00B501CB" w:rsidRDefault="00485094" w:rsidP="005F5866">
            <w:pPr>
              <w:pStyle w:val="TableText"/>
              <w:jc w:val="center"/>
              <w:rPr>
                <w:sz w:val="16"/>
                <w:szCs w:val="16"/>
              </w:rPr>
            </w:pPr>
            <w:r w:rsidRPr="00B501CB">
              <w:rPr>
                <w:sz w:val="16"/>
                <w:szCs w:val="16"/>
              </w:rPr>
              <w:t>58,540</w:t>
            </w:r>
          </w:p>
        </w:tc>
        <w:tc>
          <w:tcPr>
            <w:tcW w:w="1208" w:type="dxa"/>
            <w:vAlign w:val="center"/>
          </w:tcPr>
          <w:p w:rsidR="00485094" w:rsidRPr="001725EE" w:rsidRDefault="00485094" w:rsidP="005F5866">
            <w:pPr>
              <w:pStyle w:val="TableText"/>
              <w:jc w:val="center"/>
              <w:rPr>
                <w:sz w:val="16"/>
                <w:szCs w:val="16"/>
              </w:rPr>
            </w:pPr>
            <w:r w:rsidRPr="001725EE">
              <w:rPr>
                <w:sz w:val="16"/>
                <w:szCs w:val="16"/>
              </w:rPr>
              <w:t>84,908</w:t>
            </w:r>
          </w:p>
        </w:tc>
        <w:tc>
          <w:tcPr>
            <w:tcW w:w="1170" w:type="dxa"/>
            <w:vAlign w:val="center"/>
          </w:tcPr>
          <w:p w:rsidR="00485094" w:rsidRPr="001725EE" w:rsidRDefault="00485094" w:rsidP="005F5866">
            <w:pPr>
              <w:pStyle w:val="TableText"/>
              <w:jc w:val="center"/>
              <w:rPr>
                <w:sz w:val="16"/>
                <w:szCs w:val="16"/>
              </w:rPr>
            </w:pPr>
            <w:r w:rsidRPr="001725EE">
              <w:rPr>
                <w:sz w:val="16"/>
                <w:szCs w:val="16"/>
              </w:rPr>
              <w:t>9,380</w:t>
            </w:r>
          </w:p>
        </w:tc>
        <w:tc>
          <w:tcPr>
            <w:tcW w:w="1080" w:type="dxa"/>
            <w:vAlign w:val="center"/>
          </w:tcPr>
          <w:p w:rsidR="00485094" w:rsidRPr="001725EE" w:rsidRDefault="00485094" w:rsidP="005F5866">
            <w:pPr>
              <w:pStyle w:val="TableText"/>
              <w:jc w:val="center"/>
              <w:rPr>
                <w:sz w:val="16"/>
                <w:szCs w:val="16"/>
              </w:rPr>
            </w:pPr>
            <w:r w:rsidRPr="001725EE">
              <w:rPr>
                <w:sz w:val="16"/>
                <w:szCs w:val="16"/>
              </w:rPr>
              <w:t>991,576</w:t>
            </w:r>
          </w:p>
        </w:tc>
        <w:tc>
          <w:tcPr>
            <w:tcW w:w="990" w:type="dxa"/>
            <w:vAlign w:val="center"/>
          </w:tcPr>
          <w:p w:rsidR="00485094" w:rsidRPr="001725EE" w:rsidRDefault="00485094" w:rsidP="005F5866">
            <w:pPr>
              <w:pStyle w:val="TableText"/>
              <w:jc w:val="center"/>
              <w:rPr>
                <w:sz w:val="16"/>
                <w:szCs w:val="16"/>
              </w:rPr>
            </w:pPr>
            <w:r w:rsidRPr="001725EE">
              <w:rPr>
                <w:sz w:val="16"/>
                <w:szCs w:val="16"/>
              </w:rPr>
              <w:t>177,693</w:t>
            </w:r>
          </w:p>
        </w:tc>
        <w:tc>
          <w:tcPr>
            <w:tcW w:w="1170" w:type="dxa"/>
            <w:vAlign w:val="center"/>
          </w:tcPr>
          <w:p w:rsidR="00485094" w:rsidRPr="001725EE" w:rsidRDefault="00485094" w:rsidP="005F5866">
            <w:pPr>
              <w:pStyle w:val="TableText"/>
              <w:jc w:val="center"/>
              <w:rPr>
                <w:sz w:val="16"/>
                <w:szCs w:val="16"/>
              </w:rPr>
            </w:pPr>
            <w:r w:rsidRPr="001725EE">
              <w:rPr>
                <w:sz w:val="16"/>
                <w:szCs w:val="16"/>
              </w:rPr>
              <w:t>89,814</w:t>
            </w:r>
          </w:p>
        </w:tc>
        <w:tc>
          <w:tcPr>
            <w:tcW w:w="1024" w:type="dxa"/>
            <w:vAlign w:val="center"/>
          </w:tcPr>
          <w:p w:rsidR="00485094" w:rsidRPr="001725EE" w:rsidRDefault="00485094" w:rsidP="005F5866">
            <w:pPr>
              <w:pStyle w:val="TableText"/>
              <w:jc w:val="center"/>
              <w:rPr>
                <w:sz w:val="16"/>
                <w:szCs w:val="16"/>
              </w:rPr>
            </w:pPr>
            <w:r>
              <w:rPr>
                <w:sz w:val="16"/>
                <w:szCs w:val="16"/>
              </w:rPr>
              <w:t>1,203,632</w:t>
            </w:r>
          </w:p>
        </w:tc>
        <w:tc>
          <w:tcPr>
            <w:tcW w:w="1086" w:type="dxa"/>
            <w:vAlign w:val="center"/>
          </w:tcPr>
          <w:p w:rsidR="00485094" w:rsidRPr="00B501CB" w:rsidRDefault="00485094" w:rsidP="005F5866">
            <w:pPr>
              <w:pStyle w:val="TableText"/>
              <w:jc w:val="center"/>
              <w:rPr>
                <w:sz w:val="16"/>
                <w:szCs w:val="16"/>
              </w:rPr>
            </w:pPr>
            <w:r w:rsidRPr="00B501CB">
              <w:rPr>
                <w:sz w:val="16"/>
                <w:szCs w:val="16"/>
              </w:rPr>
              <w:t>1,471,139</w:t>
            </w:r>
          </w:p>
        </w:tc>
      </w:tr>
      <w:tr w:rsidR="00485094" w:rsidRPr="00B501CB" w:rsidTr="00457B8C">
        <w:trPr>
          <w:trHeight w:val="247"/>
          <w:jc w:val="center"/>
        </w:trPr>
        <w:tc>
          <w:tcPr>
            <w:tcW w:w="1472" w:type="dxa"/>
            <w:shd w:val="clear" w:color="auto" w:fill="FFFFCC"/>
            <w:vAlign w:val="center"/>
          </w:tcPr>
          <w:p w:rsidR="00485094" w:rsidRDefault="00485094" w:rsidP="005F5866">
            <w:pPr>
              <w:pStyle w:val="TableText"/>
              <w:jc w:val="center"/>
              <w:rPr>
                <w:sz w:val="16"/>
                <w:szCs w:val="16"/>
              </w:rPr>
            </w:pPr>
            <w:r w:rsidRPr="00B501CB">
              <w:rPr>
                <w:sz w:val="16"/>
                <w:szCs w:val="16"/>
              </w:rPr>
              <w:t xml:space="preserve">Estuaries </w:t>
            </w:r>
          </w:p>
          <w:p w:rsidR="00485094" w:rsidRPr="00B501CB" w:rsidRDefault="00485094" w:rsidP="005F5866">
            <w:pPr>
              <w:pStyle w:val="TableText"/>
              <w:jc w:val="center"/>
              <w:rPr>
                <w:sz w:val="16"/>
                <w:szCs w:val="16"/>
              </w:rPr>
            </w:pPr>
            <w:r w:rsidRPr="00B501CB">
              <w:rPr>
                <w:sz w:val="16"/>
                <w:szCs w:val="16"/>
              </w:rPr>
              <w:t>(square miles)</w:t>
            </w:r>
          </w:p>
        </w:tc>
        <w:tc>
          <w:tcPr>
            <w:tcW w:w="1050" w:type="dxa"/>
            <w:vAlign w:val="center"/>
          </w:tcPr>
          <w:p w:rsidR="00485094" w:rsidRPr="00B501CB" w:rsidRDefault="00485094" w:rsidP="005F5866">
            <w:pPr>
              <w:pStyle w:val="TableText"/>
              <w:jc w:val="center"/>
              <w:rPr>
                <w:sz w:val="16"/>
                <w:szCs w:val="16"/>
              </w:rPr>
            </w:pPr>
            <w:r w:rsidRPr="00B501CB">
              <w:rPr>
                <w:sz w:val="16"/>
                <w:szCs w:val="16"/>
              </w:rPr>
              <w:t>23</w:t>
            </w:r>
          </w:p>
        </w:tc>
        <w:tc>
          <w:tcPr>
            <w:tcW w:w="1170" w:type="dxa"/>
            <w:vAlign w:val="center"/>
          </w:tcPr>
          <w:p w:rsidR="00485094" w:rsidRPr="00B501CB" w:rsidRDefault="00485094" w:rsidP="005F5866">
            <w:pPr>
              <w:pStyle w:val="TableText"/>
              <w:jc w:val="center"/>
              <w:rPr>
                <w:sz w:val="16"/>
                <w:szCs w:val="16"/>
              </w:rPr>
            </w:pPr>
            <w:r w:rsidRPr="00B501CB">
              <w:rPr>
                <w:sz w:val="16"/>
                <w:szCs w:val="16"/>
              </w:rPr>
              <w:t>58</w:t>
            </w:r>
          </w:p>
        </w:tc>
        <w:tc>
          <w:tcPr>
            <w:tcW w:w="1208" w:type="dxa"/>
            <w:vAlign w:val="center"/>
          </w:tcPr>
          <w:p w:rsidR="00485094" w:rsidRPr="00B501CB" w:rsidRDefault="00485094" w:rsidP="005F5866">
            <w:pPr>
              <w:pStyle w:val="TableText"/>
              <w:jc w:val="center"/>
              <w:rPr>
                <w:sz w:val="16"/>
                <w:szCs w:val="16"/>
              </w:rPr>
            </w:pPr>
            <w:r w:rsidRPr="00B501CB">
              <w:rPr>
                <w:sz w:val="16"/>
                <w:szCs w:val="16"/>
              </w:rPr>
              <w:t>0</w:t>
            </w:r>
          </w:p>
        </w:tc>
        <w:tc>
          <w:tcPr>
            <w:tcW w:w="1170" w:type="dxa"/>
            <w:vAlign w:val="center"/>
          </w:tcPr>
          <w:p w:rsidR="00485094" w:rsidRPr="00B501CB" w:rsidRDefault="00485094" w:rsidP="005F5866">
            <w:pPr>
              <w:pStyle w:val="TableText"/>
              <w:jc w:val="center"/>
              <w:rPr>
                <w:sz w:val="16"/>
                <w:szCs w:val="16"/>
              </w:rPr>
            </w:pPr>
            <w:r w:rsidRPr="00B501CB">
              <w:rPr>
                <w:sz w:val="16"/>
                <w:szCs w:val="16"/>
              </w:rPr>
              <w:t>0</w:t>
            </w:r>
          </w:p>
        </w:tc>
        <w:tc>
          <w:tcPr>
            <w:tcW w:w="1080" w:type="dxa"/>
            <w:vAlign w:val="center"/>
          </w:tcPr>
          <w:p w:rsidR="00485094" w:rsidRPr="00B501CB" w:rsidRDefault="00485094" w:rsidP="005F5866">
            <w:pPr>
              <w:pStyle w:val="TableText"/>
              <w:jc w:val="center"/>
              <w:rPr>
                <w:sz w:val="16"/>
                <w:szCs w:val="16"/>
              </w:rPr>
            </w:pPr>
            <w:r w:rsidRPr="00B501CB">
              <w:rPr>
                <w:sz w:val="16"/>
                <w:szCs w:val="16"/>
              </w:rPr>
              <w:t>2,573</w:t>
            </w:r>
          </w:p>
        </w:tc>
        <w:tc>
          <w:tcPr>
            <w:tcW w:w="990" w:type="dxa"/>
            <w:vAlign w:val="center"/>
          </w:tcPr>
          <w:p w:rsidR="00485094" w:rsidRPr="00B501CB" w:rsidRDefault="00485094" w:rsidP="005F5866">
            <w:pPr>
              <w:pStyle w:val="TableText"/>
              <w:jc w:val="center"/>
              <w:rPr>
                <w:sz w:val="16"/>
                <w:szCs w:val="16"/>
              </w:rPr>
            </w:pPr>
            <w:r w:rsidRPr="00B501CB">
              <w:rPr>
                <w:sz w:val="16"/>
                <w:szCs w:val="16"/>
              </w:rPr>
              <w:t>184</w:t>
            </w:r>
          </w:p>
        </w:tc>
        <w:tc>
          <w:tcPr>
            <w:tcW w:w="1170" w:type="dxa"/>
            <w:vAlign w:val="center"/>
          </w:tcPr>
          <w:p w:rsidR="00485094" w:rsidRPr="00B501CB" w:rsidRDefault="00485094" w:rsidP="005F5866">
            <w:pPr>
              <w:pStyle w:val="TableText"/>
              <w:jc w:val="center"/>
              <w:rPr>
                <w:sz w:val="16"/>
                <w:szCs w:val="16"/>
              </w:rPr>
            </w:pPr>
            <w:r w:rsidRPr="00B501CB">
              <w:rPr>
                <w:sz w:val="16"/>
                <w:szCs w:val="16"/>
              </w:rPr>
              <w:t>4</w:t>
            </w:r>
          </w:p>
        </w:tc>
        <w:tc>
          <w:tcPr>
            <w:tcW w:w="1024" w:type="dxa"/>
            <w:vAlign w:val="center"/>
          </w:tcPr>
          <w:p w:rsidR="00485094" w:rsidRPr="00B501CB" w:rsidRDefault="00485094" w:rsidP="005F5866">
            <w:pPr>
              <w:pStyle w:val="TableText"/>
              <w:jc w:val="center"/>
              <w:rPr>
                <w:sz w:val="16"/>
                <w:szCs w:val="16"/>
              </w:rPr>
            </w:pPr>
            <w:r>
              <w:rPr>
                <w:sz w:val="16"/>
                <w:szCs w:val="16"/>
              </w:rPr>
              <w:t>2,473</w:t>
            </w:r>
          </w:p>
        </w:tc>
        <w:tc>
          <w:tcPr>
            <w:tcW w:w="1086" w:type="dxa"/>
            <w:vAlign w:val="center"/>
          </w:tcPr>
          <w:p w:rsidR="00485094" w:rsidRPr="00B501CB" w:rsidRDefault="00485094" w:rsidP="005F5866">
            <w:pPr>
              <w:pStyle w:val="TableText"/>
              <w:jc w:val="center"/>
              <w:rPr>
                <w:sz w:val="16"/>
                <w:szCs w:val="16"/>
              </w:rPr>
            </w:pPr>
            <w:r w:rsidRPr="00B501CB">
              <w:rPr>
                <w:sz w:val="16"/>
                <w:szCs w:val="16"/>
              </w:rPr>
              <w:t>2,661</w:t>
            </w:r>
          </w:p>
        </w:tc>
      </w:tr>
      <w:tr w:rsidR="00485094" w:rsidRPr="00B501CB" w:rsidTr="00457B8C">
        <w:trPr>
          <w:trHeight w:val="247"/>
          <w:jc w:val="center"/>
        </w:trPr>
        <w:tc>
          <w:tcPr>
            <w:tcW w:w="1472" w:type="dxa"/>
            <w:shd w:val="clear" w:color="auto" w:fill="FFFFCC"/>
            <w:vAlign w:val="center"/>
          </w:tcPr>
          <w:p w:rsidR="00485094" w:rsidRPr="00B501CB" w:rsidRDefault="00485094" w:rsidP="005F5866">
            <w:pPr>
              <w:pStyle w:val="TableText"/>
              <w:jc w:val="center"/>
              <w:rPr>
                <w:sz w:val="16"/>
                <w:szCs w:val="16"/>
              </w:rPr>
            </w:pPr>
            <w:r w:rsidRPr="00B501CB">
              <w:rPr>
                <w:sz w:val="16"/>
                <w:szCs w:val="16"/>
              </w:rPr>
              <w:t xml:space="preserve">Coastal </w:t>
            </w:r>
          </w:p>
          <w:p w:rsidR="00485094" w:rsidRPr="00B501CB" w:rsidRDefault="00485094" w:rsidP="005F5866">
            <w:pPr>
              <w:pStyle w:val="TableText"/>
              <w:jc w:val="center"/>
              <w:rPr>
                <w:sz w:val="16"/>
                <w:szCs w:val="16"/>
              </w:rPr>
            </w:pPr>
            <w:r w:rsidRPr="00B501CB">
              <w:rPr>
                <w:sz w:val="16"/>
                <w:szCs w:val="16"/>
              </w:rPr>
              <w:t xml:space="preserve">Waters </w:t>
            </w:r>
          </w:p>
          <w:p w:rsidR="00485094" w:rsidRPr="00B501CB" w:rsidRDefault="00485094" w:rsidP="005F5866">
            <w:pPr>
              <w:pStyle w:val="TableText"/>
              <w:jc w:val="center"/>
              <w:rPr>
                <w:sz w:val="16"/>
                <w:szCs w:val="16"/>
              </w:rPr>
            </w:pPr>
            <w:r w:rsidRPr="00B501CB">
              <w:rPr>
                <w:sz w:val="16"/>
                <w:szCs w:val="16"/>
              </w:rPr>
              <w:t>(square miles)</w:t>
            </w:r>
          </w:p>
        </w:tc>
        <w:tc>
          <w:tcPr>
            <w:tcW w:w="1050" w:type="dxa"/>
            <w:vAlign w:val="center"/>
          </w:tcPr>
          <w:p w:rsidR="00485094" w:rsidRPr="00B501CB" w:rsidRDefault="00485094" w:rsidP="005F5866">
            <w:pPr>
              <w:pStyle w:val="TableText"/>
              <w:jc w:val="center"/>
              <w:rPr>
                <w:sz w:val="16"/>
                <w:szCs w:val="16"/>
              </w:rPr>
            </w:pPr>
            <w:r w:rsidRPr="00B501CB">
              <w:rPr>
                <w:sz w:val="16"/>
                <w:szCs w:val="16"/>
              </w:rPr>
              <w:t>0</w:t>
            </w:r>
          </w:p>
        </w:tc>
        <w:tc>
          <w:tcPr>
            <w:tcW w:w="1170" w:type="dxa"/>
            <w:vAlign w:val="center"/>
          </w:tcPr>
          <w:p w:rsidR="00485094" w:rsidRPr="00B501CB" w:rsidRDefault="00485094" w:rsidP="005F5866">
            <w:pPr>
              <w:pStyle w:val="TableText"/>
              <w:jc w:val="center"/>
              <w:rPr>
                <w:sz w:val="16"/>
                <w:szCs w:val="16"/>
              </w:rPr>
            </w:pPr>
            <w:r w:rsidRPr="00B501CB">
              <w:rPr>
                <w:sz w:val="16"/>
                <w:szCs w:val="16"/>
              </w:rPr>
              <w:t>0</w:t>
            </w:r>
          </w:p>
        </w:tc>
        <w:tc>
          <w:tcPr>
            <w:tcW w:w="1208" w:type="dxa"/>
            <w:vAlign w:val="center"/>
          </w:tcPr>
          <w:p w:rsidR="00485094" w:rsidRPr="00B501CB" w:rsidRDefault="00485094" w:rsidP="005F5866">
            <w:pPr>
              <w:pStyle w:val="TableText"/>
              <w:jc w:val="center"/>
              <w:rPr>
                <w:sz w:val="16"/>
                <w:szCs w:val="16"/>
              </w:rPr>
            </w:pPr>
            <w:r w:rsidRPr="00B501CB">
              <w:rPr>
                <w:sz w:val="16"/>
                <w:szCs w:val="16"/>
              </w:rPr>
              <w:t>0</w:t>
            </w:r>
          </w:p>
        </w:tc>
        <w:tc>
          <w:tcPr>
            <w:tcW w:w="1170" w:type="dxa"/>
            <w:vAlign w:val="center"/>
          </w:tcPr>
          <w:p w:rsidR="00485094" w:rsidRPr="00B501CB" w:rsidRDefault="00485094" w:rsidP="005F5866">
            <w:pPr>
              <w:pStyle w:val="TableText"/>
              <w:jc w:val="center"/>
              <w:rPr>
                <w:sz w:val="16"/>
                <w:szCs w:val="16"/>
              </w:rPr>
            </w:pPr>
            <w:r w:rsidRPr="00B501CB">
              <w:rPr>
                <w:sz w:val="16"/>
                <w:szCs w:val="16"/>
              </w:rPr>
              <w:t>0</w:t>
            </w:r>
          </w:p>
        </w:tc>
        <w:tc>
          <w:tcPr>
            <w:tcW w:w="1080" w:type="dxa"/>
            <w:vAlign w:val="center"/>
          </w:tcPr>
          <w:p w:rsidR="00485094" w:rsidRPr="00B501CB" w:rsidRDefault="00485094" w:rsidP="005F5866">
            <w:pPr>
              <w:pStyle w:val="TableText"/>
              <w:jc w:val="center"/>
              <w:rPr>
                <w:sz w:val="16"/>
                <w:szCs w:val="16"/>
              </w:rPr>
            </w:pPr>
            <w:r w:rsidRPr="00B501CB">
              <w:rPr>
                <w:sz w:val="16"/>
                <w:szCs w:val="16"/>
              </w:rPr>
              <w:t>6,699</w:t>
            </w:r>
          </w:p>
        </w:tc>
        <w:tc>
          <w:tcPr>
            <w:tcW w:w="990" w:type="dxa"/>
            <w:vAlign w:val="center"/>
          </w:tcPr>
          <w:p w:rsidR="00485094" w:rsidRPr="00B501CB" w:rsidRDefault="00485094" w:rsidP="005F5866">
            <w:pPr>
              <w:pStyle w:val="TableText"/>
              <w:jc w:val="center"/>
              <w:rPr>
                <w:sz w:val="16"/>
                <w:szCs w:val="16"/>
              </w:rPr>
            </w:pPr>
            <w:r w:rsidRPr="00B501CB">
              <w:rPr>
                <w:sz w:val="16"/>
                <w:szCs w:val="16"/>
              </w:rPr>
              <w:t>0</w:t>
            </w:r>
          </w:p>
        </w:tc>
        <w:tc>
          <w:tcPr>
            <w:tcW w:w="1170" w:type="dxa"/>
            <w:vAlign w:val="center"/>
          </w:tcPr>
          <w:p w:rsidR="00485094" w:rsidRPr="00B501CB" w:rsidRDefault="00485094" w:rsidP="005F5866">
            <w:pPr>
              <w:pStyle w:val="TableText"/>
              <w:jc w:val="center"/>
              <w:rPr>
                <w:sz w:val="16"/>
                <w:szCs w:val="16"/>
              </w:rPr>
            </w:pPr>
            <w:r w:rsidRPr="00B501CB">
              <w:rPr>
                <w:sz w:val="16"/>
                <w:szCs w:val="16"/>
              </w:rPr>
              <w:t>0</w:t>
            </w:r>
          </w:p>
        </w:tc>
        <w:tc>
          <w:tcPr>
            <w:tcW w:w="1024" w:type="dxa"/>
            <w:vAlign w:val="center"/>
          </w:tcPr>
          <w:p w:rsidR="00485094" w:rsidRPr="00B501CB" w:rsidRDefault="00485094" w:rsidP="005F5866">
            <w:pPr>
              <w:pStyle w:val="TableText"/>
              <w:jc w:val="center"/>
              <w:rPr>
                <w:sz w:val="16"/>
                <w:szCs w:val="16"/>
              </w:rPr>
            </w:pPr>
            <w:r w:rsidRPr="00B501CB">
              <w:rPr>
                <w:sz w:val="16"/>
                <w:szCs w:val="16"/>
              </w:rPr>
              <w:t>6,699</w:t>
            </w:r>
          </w:p>
        </w:tc>
        <w:tc>
          <w:tcPr>
            <w:tcW w:w="1086" w:type="dxa"/>
            <w:vAlign w:val="center"/>
          </w:tcPr>
          <w:p w:rsidR="00485094" w:rsidRPr="00B501CB" w:rsidRDefault="00485094" w:rsidP="005F5866">
            <w:pPr>
              <w:pStyle w:val="TableText"/>
              <w:jc w:val="center"/>
              <w:rPr>
                <w:sz w:val="16"/>
                <w:szCs w:val="16"/>
              </w:rPr>
            </w:pPr>
            <w:r w:rsidRPr="00B501CB">
              <w:rPr>
                <w:sz w:val="16"/>
                <w:szCs w:val="16"/>
              </w:rPr>
              <w:t>6,699</w:t>
            </w:r>
          </w:p>
        </w:tc>
      </w:tr>
    </w:tbl>
    <w:p w:rsidR="00485094" w:rsidRDefault="00485094" w:rsidP="005F5866">
      <w:pPr>
        <w:pStyle w:val="Bodytext"/>
        <w:rPr>
          <w:sz w:val="16"/>
          <w:szCs w:val="16"/>
        </w:rPr>
      </w:pPr>
    </w:p>
    <w:p w:rsidR="00485094" w:rsidRDefault="00485094">
      <w:pPr>
        <w:rPr>
          <w:rFonts w:ascii="Arial" w:hAnsi="Arial"/>
          <w:b/>
          <w:sz w:val="32"/>
          <w:szCs w:val="20"/>
        </w:rPr>
      </w:pPr>
      <w:bookmarkStart w:id="582" w:name="_Toc254269889"/>
      <w:bookmarkStart w:id="583" w:name="_Toc255822551"/>
      <w:r>
        <w:br w:type="page"/>
      </w:r>
    </w:p>
    <w:p w:rsidR="00485094" w:rsidRDefault="00485094">
      <w:pPr>
        <w:pStyle w:val="Heading2"/>
        <w:rPr>
          <w:i/>
          <w:snapToGrid w:val="0"/>
        </w:rPr>
      </w:pPr>
      <w:bookmarkStart w:id="584" w:name="_Toc271279993"/>
      <w:bookmarkEnd w:id="582"/>
      <w:bookmarkEnd w:id="583"/>
      <w:r>
        <w:t>Summary of Causes of Impairment</w:t>
      </w:r>
      <w:bookmarkEnd w:id="584"/>
    </w:p>
    <w:p w:rsidR="00485094" w:rsidRPr="00A73185" w:rsidRDefault="00485094" w:rsidP="005F5866">
      <w:pPr>
        <w:pStyle w:val="Bodytext"/>
        <w:rPr>
          <w:snapToGrid w:val="0"/>
        </w:rPr>
      </w:pPr>
      <w:r w:rsidRPr="00A73185">
        <w:rPr>
          <w:b/>
          <w:i/>
          <w:snapToGrid w:val="0"/>
        </w:rPr>
        <w:t>Table</w:t>
      </w:r>
      <w:r>
        <w:rPr>
          <w:b/>
          <w:i/>
          <w:snapToGrid w:val="0"/>
        </w:rPr>
        <w:t>s</w:t>
      </w:r>
      <w:r w:rsidRPr="00A73185">
        <w:rPr>
          <w:b/>
          <w:i/>
          <w:snapToGrid w:val="0"/>
        </w:rPr>
        <w:t xml:space="preserve"> </w:t>
      </w:r>
      <w:r>
        <w:rPr>
          <w:b/>
          <w:i/>
          <w:snapToGrid w:val="0"/>
        </w:rPr>
        <w:t xml:space="preserve">8.3a </w:t>
      </w:r>
      <w:r w:rsidRPr="00567F73">
        <w:rPr>
          <w:snapToGrid w:val="0"/>
        </w:rPr>
        <w:t>through</w:t>
      </w:r>
      <w:r>
        <w:rPr>
          <w:b/>
          <w:i/>
          <w:snapToGrid w:val="0"/>
        </w:rPr>
        <w:t xml:space="preserve"> 8.3d</w:t>
      </w:r>
      <w:r w:rsidRPr="00A73185">
        <w:rPr>
          <w:snapToGrid w:val="0"/>
        </w:rPr>
        <w:t xml:space="preserve"> summarize the size of waters impaired by various causes for each waterbody type</w:t>
      </w:r>
      <w:r>
        <w:rPr>
          <w:snapToGrid w:val="0"/>
        </w:rPr>
        <w:t>.  T</w:t>
      </w:r>
      <w:r w:rsidRPr="00A73185">
        <w:rPr>
          <w:snapToGrid w:val="0"/>
        </w:rPr>
        <w:t>he principal causes of impairment are as follows:</w:t>
      </w:r>
    </w:p>
    <w:p w:rsidR="00485094" w:rsidRPr="00A73185" w:rsidRDefault="00485094" w:rsidP="005F5866">
      <w:pPr>
        <w:pStyle w:val="Bodytext"/>
        <w:rPr>
          <w:snapToGrid w:val="0"/>
        </w:rPr>
      </w:pPr>
    </w:p>
    <w:p w:rsidR="00485094" w:rsidRPr="00A73185" w:rsidRDefault="00485094" w:rsidP="005F5866">
      <w:pPr>
        <w:pStyle w:val="StyleListBullet11pt"/>
        <w:rPr>
          <w:snapToGrid w:val="0"/>
        </w:rPr>
      </w:pPr>
      <w:r w:rsidRPr="006167C5">
        <w:rPr>
          <w:snapToGrid w:val="0"/>
        </w:rPr>
        <w:t>Out of 1,</w:t>
      </w:r>
      <w:r>
        <w:rPr>
          <w:snapToGrid w:val="0"/>
        </w:rPr>
        <w:t>589</w:t>
      </w:r>
      <w:r w:rsidRPr="006167C5">
        <w:rPr>
          <w:snapToGrid w:val="0"/>
        </w:rPr>
        <w:t xml:space="preserve"> river/stream segments assessed:  </w:t>
      </w:r>
      <w:r>
        <w:rPr>
          <w:snapToGrid w:val="0"/>
        </w:rPr>
        <w:t xml:space="preserve">DO, fecal coliform, </w:t>
      </w:r>
      <w:r w:rsidRPr="00A73185">
        <w:rPr>
          <w:snapToGrid w:val="0"/>
        </w:rPr>
        <w:t xml:space="preserve">fish advisories for mercury, </w:t>
      </w:r>
      <w:r>
        <w:rPr>
          <w:snapToGrid w:val="0"/>
        </w:rPr>
        <w:t xml:space="preserve">and </w:t>
      </w:r>
      <w:r w:rsidRPr="006167C5">
        <w:rPr>
          <w:snapToGrid w:val="0"/>
        </w:rPr>
        <w:t>chlorophyll</w:t>
      </w:r>
      <w:r>
        <w:rPr>
          <w:snapToGrid w:val="0"/>
        </w:rPr>
        <w:t xml:space="preserve"> a</w:t>
      </w:r>
      <w:r w:rsidRPr="00A73185">
        <w:rPr>
          <w:snapToGrid w:val="0"/>
        </w:rPr>
        <w:t>.</w:t>
      </w:r>
    </w:p>
    <w:p w:rsidR="00485094" w:rsidRPr="00A73185" w:rsidRDefault="00485094" w:rsidP="005F5866">
      <w:pPr>
        <w:pStyle w:val="StyleListBullet11pt"/>
        <w:rPr>
          <w:snapToGrid w:val="0"/>
        </w:rPr>
      </w:pPr>
      <w:r w:rsidRPr="00A73185">
        <w:rPr>
          <w:snapToGrid w:val="0"/>
        </w:rPr>
        <w:t xml:space="preserve">Out of </w:t>
      </w:r>
      <w:r>
        <w:rPr>
          <w:snapToGrid w:val="0"/>
        </w:rPr>
        <w:t>429</w:t>
      </w:r>
      <w:r w:rsidRPr="006167C5">
        <w:rPr>
          <w:snapToGrid w:val="0"/>
        </w:rPr>
        <w:t xml:space="preserve"> </w:t>
      </w:r>
      <w:r w:rsidRPr="00A73185">
        <w:rPr>
          <w:snapToGrid w:val="0"/>
        </w:rPr>
        <w:t xml:space="preserve">lake segments assessed:  </w:t>
      </w:r>
      <w:r>
        <w:rPr>
          <w:snapToGrid w:val="0"/>
        </w:rPr>
        <w:t xml:space="preserve">nutrients (TSI), </w:t>
      </w:r>
      <w:r w:rsidRPr="00A73185">
        <w:rPr>
          <w:snapToGrid w:val="0"/>
        </w:rPr>
        <w:t>fish advisories for mercury,</w:t>
      </w:r>
      <w:r>
        <w:rPr>
          <w:snapToGrid w:val="0"/>
        </w:rPr>
        <w:t xml:space="preserve"> and </w:t>
      </w:r>
      <w:r w:rsidRPr="00A73185">
        <w:rPr>
          <w:snapToGrid w:val="0"/>
        </w:rPr>
        <w:t>DO.</w:t>
      </w:r>
    </w:p>
    <w:p w:rsidR="00485094" w:rsidRPr="00A73185" w:rsidRDefault="00485094" w:rsidP="005F5866">
      <w:pPr>
        <w:pStyle w:val="StyleListBullet11pt"/>
        <w:rPr>
          <w:snapToGrid w:val="0"/>
        </w:rPr>
      </w:pPr>
      <w:r w:rsidRPr="00A73185">
        <w:rPr>
          <w:snapToGrid w:val="0"/>
        </w:rPr>
        <w:t xml:space="preserve">Out of </w:t>
      </w:r>
      <w:r>
        <w:rPr>
          <w:snapToGrid w:val="0"/>
        </w:rPr>
        <w:t>970</w:t>
      </w:r>
      <w:r w:rsidRPr="006167C5">
        <w:rPr>
          <w:snapToGrid w:val="0"/>
        </w:rPr>
        <w:t xml:space="preserve"> </w:t>
      </w:r>
      <w:r w:rsidRPr="00A73185">
        <w:rPr>
          <w:snapToGrid w:val="0"/>
        </w:rPr>
        <w:t xml:space="preserve">estuarine segments assessed:  fish advisories for mercury, </w:t>
      </w:r>
      <w:r>
        <w:rPr>
          <w:snapToGrid w:val="0"/>
        </w:rPr>
        <w:t>DO, nutrients (chlorophyll a), and</w:t>
      </w:r>
      <w:r w:rsidRPr="00A73185">
        <w:rPr>
          <w:snapToGrid w:val="0"/>
        </w:rPr>
        <w:t xml:space="preserve"> fecal coliform</w:t>
      </w:r>
      <w:r>
        <w:rPr>
          <w:snapToGrid w:val="0"/>
        </w:rPr>
        <w:t>.</w:t>
      </w:r>
    </w:p>
    <w:p w:rsidR="00485094" w:rsidRDefault="00485094" w:rsidP="005F5866">
      <w:pPr>
        <w:pStyle w:val="StyleListBullet11pt"/>
        <w:rPr>
          <w:snapToGrid w:val="0"/>
        </w:rPr>
      </w:pPr>
      <w:r w:rsidRPr="00A73185">
        <w:rPr>
          <w:snapToGrid w:val="0"/>
        </w:rPr>
        <w:t xml:space="preserve">Out of </w:t>
      </w:r>
      <w:r>
        <w:rPr>
          <w:snapToGrid w:val="0"/>
        </w:rPr>
        <w:t>196</w:t>
      </w:r>
      <w:r w:rsidRPr="006167C5">
        <w:rPr>
          <w:snapToGrid w:val="0"/>
        </w:rPr>
        <w:t xml:space="preserve"> </w:t>
      </w:r>
      <w:r w:rsidRPr="00A73185">
        <w:rPr>
          <w:snapToGrid w:val="0"/>
        </w:rPr>
        <w:t>coastal segments assessed:  fish advisories for mercury</w:t>
      </w:r>
      <w:r>
        <w:rPr>
          <w:snapToGrid w:val="0"/>
        </w:rPr>
        <w:t xml:space="preserve"> and DO</w:t>
      </w:r>
      <w:r w:rsidRPr="00A73185">
        <w:rPr>
          <w:snapToGrid w:val="0"/>
        </w:rPr>
        <w:t>.</w:t>
      </w:r>
    </w:p>
    <w:p w:rsidR="00485094" w:rsidRDefault="00485094">
      <w:pPr>
        <w:pStyle w:val="Bodytextreduced"/>
      </w:pPr>
    </w:p>
    <w:p w:rsidR="00485094" w:rsidRDefault="00485094">
      <w:pPr>
        <w:pStyle w:val="Bodytextreduced"/>
      </w:pPr>
      <w:bookmarkStart w:id="585" w:name="_Toc254267139"/>
      <w:bookmarkStart w:id="586" w:name="_Toc255807513"/>
    </w:p>
    <w:p w:rsidR="00485094" w:rsidRDefault="00485094" w:rsidP="00A11646">
      <w:pPr>
        <w:pStyle w:val="Tableheading"/>
        <w:rPr>
          <w:rFonts w:cs="Arial"/>
          <w:bCs/>
          <w:sz w:val="22"/>
          <w:szCs w:val="22"/>
        </w:rPr>
      </w:pPr>
      <w:bookmarkStart w:id="587" w:name="_Toc271280118"/>
      <w:r w:rsidRPr="003A4461">
        <w:t xml:space="preserve">Table </w:t>
      </w:r>
      <w:r>
        <w:t>8.3a.</w:t>
      </w:r>
      <w:r w:rsidRPr="003A4461">
        <w:t xml:space="preserve">  </w:t>
      </w:r>
      <w:r>
        <w:t>Miles of Rivers/Streams Impaired by Cause</w:t>
      </w:r>
      <w:bookmarkEnd w:id="585"/>
      <w:bookmarkEnd w:id="586"/>
      <w:bookmarkEnd w:id="587"/>
    </w:p>
    <w:p w:rsidR="00485094" w:rsidRDefault="00485094" w:rsidP="0039573D">
      <w:pPr>
        <w:pStyle w:val="TabledescriptionBF"/>
      </w:pPr>
      <w:r>
        <w:t>This is a three-column table.  Column 1 lists the parameter, Column 2 lists the number of waterbodies, and Column 3 lists the miles impaired.</w:t>
      </w:r>
    </w:p>
    <w:p w:rsidR="00485094" w:rsidRPr="00D03596" w:rsidRDefault="00485094" w:rsidP="000D304A">
      <w:pPr>
        <w:autoSpaceDE w:val="0"/>
        <w:autoSpaceDN w:val="0"/>
        <w:adjustRightInd w:val="0"/>
        <w:rPr>
          <w:rFonts w:ascii="Arial" w:hAnsi="Arial" w:cs="Arial"/>
          <w:bCs/>
          <w:sz w:val="16"/>
          <w:szCs w:val="16"/>
        </w:rPr>
      </w:pPr>
    </w:p>
    <w:tbl>
      <w:tblPr>
        <w:tblW w:w="5174" w:type="dxa"/>
        <w:jc w:val="center"/>
        <w:tblInd w:w="-1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782"/>
        <w:gridCol w:w="1332"/>
        <w:gridCol w:w="1060"/>
      </w:tblGrid>
      <w:tr w:rsidR="00485094" w:rsidRPr="00F1075E" w:rsidTr="00E86B70">
        <w:trPr>
          <w:trHeight w:val="265"/>
          <w:jc w:val="center"/>
        </w:trPr>
        <w:tc>
          <w:tcPr>
            <w:tcW w:w="2782" w:type="dxa"/>
            <w:tcBorders>
              <w:bottom w:val="double" w:sz="4" w:space="0" w:color="auto"/>
            </w:tcBorders>
            <w:shd w:val="clear" w:color="auto" w:fill="BDFFFF"/>
            <w:vAlign w:val="bottom"/>
          </w:tcPr>
          <w:p w:rsidR="00485094" w:rsidRPr="00F1075E" w:rsidRDefault="00485094" w:rsidP="005B103D">
            <w:pPr>
              <w:pStyle w:val="TableText"/>
              <w:jc w:val="center"/>
              <w:rPr>
                <w:b/>
                <w:i/>
              </w:rPr>
            </w:pPr>
            <w:r w:rsidRPr="00F1075E">
              <w:rPr>
                <w:b/>
                <w:i/>
              </w:rPr>
              <w:t>Parameter</w:t>
            </w:r>
          </w:p>
        </w:tc>
        <w:tc>
          <w:tcPr>
            <w:tcW w:w="1332" w:type="dxa"/>
            <w:tcBorders>
              <w:bottom w:val="double" w:sz="4" w:space="0" w:color="auto"/>
            </w:tcBorders>
            <w:shd w:val="clear" w:color="auto" w:fill="BDFFFF"/>
            <w:vAlign w:val="bottom"/>
          </w:tcPr>
          <w:p w:rsidR="00485094" w:rsidRPr="00F1075E" w:rsidRDefault="00485094" w:rsidP="005B103D">
            <w:pPr>
              <w:pStyle w:val="TableText"/>
              <w:jc w:val="center"/>
              <w:rPr>
                <w:b/>
                <w:i/>
              </w:rPr>
            </w:pPr>
            <w:r w:rsidRPr="00F1075E">
              <w:rPr>
                <w:b/>
                <w:i/>
              </w:rPr>
              <w:t>Number of Waterbodies</w:t>
            </w:r>
          </w:p>
        </w:tc>
        <w:tc>
          <w:tcPr>
            <w:tcW w:w="1060" w:type="dxa"/>
            <w:tcBorders>
              <w:bottom w:val="double" w:sz="4" w:space="0" w:color="auto"/>
            </w:tcBorders>
            <w:shd w:val="clear" w:color="auto" w:fill="BDFFFF"/>
            <w:vAlign w:val="bottom"/>
          </w:tcPr>
          <w:p w:rsidR="00485094" w:rsidRPr="00F1075E" w:rsidRDefault="00485094" w:rsidP="005B103D">
            <w:pPr>
              <w:pStyle w:val="TableText"/>
              <w:jc w:val="center"/>
              <w:rPr>
                <w:b/>
                <w:i/>
              </w:rPr>
            </w:pPr>
            <w:r w:rsidRPr="00F1075E">
              <w:rPr>
                <w:b/>
                <w:i/>
              </w:rPr>
              <w:t>Miles Impaired</w:t>
            </w:r>
          </w:p>
        </w:tc>
      </w:tr>
      <w:tr w:rsidR="00485094" w:rsidRPr="00F1075E" w:rsidTr="001C044D">
        <w:trPr>
          <w:trHeight w:val="233"/>
          <w:jc w:val="center"/>
        </w:trPr>
        <w:tc>
          <w:tcPr>
            <w:tcW w:w="2782" w:type="dxa"/>
            <w:tcBorders>
              <w:top w:val="double" w:sz="4" w:space="0" w:color="auto"/>
            </w:tcBorders>
            <w:shd w:val="clear" w:color="auto" w:fill="FFFFCC"/>
            <w:vAlign w:val="center"/>
          </w:tcPr>
          <w:p w:rsidR="00485094" w:rsidRPr="00251A97" w:rsidRDefault="00485094" w:rsidP="001C044D">
            <w:pPr>
              <w:pStyle w:val="TableText"/>
              <w:jc w:val="center"/>
              <w:rPr>
                <w:highlight w:val="yellow"/>
              </w:rPr>
            </w:pPr>
            <w:r>
              <w:t>DO</w:t>
            </w:r>
          </w:p>
        </w:tc>
        <w:tc>
          <w:tcPr>
            <w:tcW w:w="1332" w:type="dxa"/>
            <w:tcBorders>
              <w:top w:val="double" w:sz="4" w:space="0" w:color="auto"/>
            </w:tcBorders>
            <w:vAlign w:val="center"/>
          </w:tcPr>
          <w:p w:rsidR="00485094" w:rsidRPr="00251A97" w:rsidRDefault="00485094" w:rsidP="001C044D">
            <w:pPr>
              <w:pStyle w:val="TableText"/>
              <w:jc w:val="center"/>
              <w:rPr>
                <w:highlight w:val="yellow"/>
              </w:rPr>
            </w:pPr>
            <w:r w:rsidRPr="008E7978">
              <w:t>642</w:t>
            </w:r>
          </w:p>
        </w:tc>
        <w:tc>
          <w:tcPr>
            <w:tcW w:w="1060" w:type="dxa"/>
            <w:tcBorders>
              <w:top w:val="double" w:sz="4" w:space="0" w:color="auto"/>
            </w:tcBorders>
            <w:vAlign w:val="center"/>
          </w:tcPr>
          <w:p w:rsidR="00485094" w:rsidRPr="00F1075E" w:rsidRDefault="00485094" w:rsidP="001C044D">
            <w:pPr>
              <w:pStyle w:val="TableText"/>
              <w:jc w:val="center"/>
            </w:pPr>
            <w:r w:rsidRPr="00ED17D9">
              <w:t>6</w:t>
            </w:r>
            <w:r>
              <w:t>,</w:t>
            </w:r>
            <w:r w:rsidRPr="00ED17D9">
              <w:t>976</w:t>
            </w:r>
          </w:p>
        </w:tc>
      </w:tr>
      <w:tr w:rsidR="00485094" w:rsidRPr="00F1075E" w:rsidTr="001C044D">
        <w:trPr>
          <w:trHeight w:val="233"/>
          <w:jc w:val="center"/>
        </w:trPr>
        <w:tc>
          <w:tcPr>
            <w:tcW w:w="2782" w:type="dxa"/>
            <w:shd w:val="clear" w:color="auto" w:fill="FFFFCC"/>
            <w:vAlign w:val="center"/>
          </w:tcPr>
          <w:p w:rsidR="00485094" w:rsidRPr="00F1075E" w:rsidRDefault="00485094" w:rsidP="001C044D">
            <w:pPr>
              <w:pStyle w:val="TableText"/>
              <w:jc w:val="center"/>
            </w:pPr>
            <w:r>
              <w:t>Fecal Coliform</w:t>
            </w:r>
          </w:p>
        </w:tc>
        <w:tc>
          <w:tcPr>
            <w:tcW w:w="1332" w:type="dxa"/>
            <w:vAlign w:val="center"/>
          </w:tcPr>
          <w:p w:rsidR="00485094" w:rsidRPr="00F1075E" w:rsidRDefault="00485094" w:rsidP="001C044D">
            <w:pPr>
              <w:pStyle w:val="TableText"/>
              <w:jc w:val="center"/>
            </w:pPr>
            <w:r w:rsidRPr="008E7978">
              <w:t>324</w:t>
            </w:r>
          </w:p>
        </w:tc>
        <w:tc>
          <w:tcPr>
            <w:tcW w:w="1060" w:type="dxa"/>
            <w:vAlign w:val="center"/>
          </w:tcPr>
          <w:p w:rsidR="00485094" w:rsidRPr="00F1075E" w:rsidRDefault="00485094" w:rsidP="001C044D">
            <w:pPr>
              <w:pStyle w:val="TableText"/>
              <w:jc w:val="center"/>
            </w:pPr>
            <w:r w:rsidRPr="00ED17D9">
              <w:t>2</w:t>
            </w:r>
            <w:r>
              <w:t>,</w:t>
            </w:r>
            <w:r w:rsidRPr="00ED17D9">
              <w:t>729</w:t>
            </w:r>
          </w:p>
        </w:tc>
      </w:tr>
      <w:tr w:rsidR="00485094" w:rsidRPr="003E7E92" w:rsidTr="001C044D">
        <w:trPr>
          <w:trHeight w:val="233"/>
          <w:jc w:val="center"/>
        </w:trPr>
        <w:tc>
          <w:tcPr>
            <w:tcW w:w="2782" w:type="dxa"/>
            <w:shd w:val="clear" w:color="auto" w:fill="FFFFCC"/>
            <w:vAlign w:val="center"/>
          </w:tcPr>
          <w:p w:rsidR="00485094" w:rsidRPr="003E7E92" w:rsidRDefault="00485094" w:rsidP="001C044D">
            <w:pPr>
              <w:pStyle w:val="TableText"/>
              <w:jc w:val="center"/>
            </w:pPr>
            <w:r>
              <w:t>Mercury in Fish</w:t>
            </w:r>
          </w:p>
        </w:tc>
        <w:tc>
          <w:tcPr>
            <w:tcW w:w="1332" w:type="dxa"/>
            <w:vAlign w:val="center"/>
          </w:tcPr>
          <w:p w:rsidR="00485094" w:rsidRPr="003E7E92" w:rsidRDefault="00485094" w:rsidP="001C044D">
            <w:pPr>
              <w:pStyle w:val="TableText"/>
              <w:jc w:val="center"/>
            </w:pPr>
            <w:r w:rsidRPr="008E7978">
              <w:t>236</w:t>
            </w:r>
          </w:p>
        </w:tc>
        <w:tc>
          <w:tcPr>
            <w:tcW w:w="1060" w:type="dxa"/>
            <w:vAlign w:val="center"/>
          </w:tcPr>
          <w:p w:rsidR="00485094" w:rsidRPr="003E7E92" w:rsidRDefault="00485094" w:rsidP="001C044D">
            <w:pPr>
              <w:pStyle w:val="TableText"/>
              <w:jc w:val="center"/>
            </w:pPr>
            <w:r w:rsidRPr="00ED17D9">
              <w:t>3</w:t>
            </w:r>
            <w:r>
              <w:t>,</w:t>
            </w:r>
            <w:r w:rsidRPr="00ED17D9">
              <w:t>057</w:t>
            </w:r>
          </w:p>
        </w:tc>
      </w:tr>
      <w:tr w:rsidR="00485094" w:rsidRPr="00F1075E" w:rsidTr="001C044D">
        <w:trPr>
          <w:trHeight w:val="233"/>
          <w:jc w:val="center"/>
        </w:trPr>
        <w:tc>
          <w:tcPr>
            <w:tcW w:w="2782" w:type="dxa"/>
            <w:shd w:val="clear" w:color="auto" w:fill="FFFFCC"/>
            <w:vAlign w:val="center"/>
          </w:tcPr>
          <w:p w:rsidR="00485094" w:rsidRPr="003E7E92" w:rsidRDefault="00485094" w:rsidP="001C044D">
            <w:pPr>
              <w:pStyle w:val="TableText"/>
              <w:jc w:val="center"/>
            </w:pPr>
            <w:r>
              <w:t xml:space="preserve">Chlorophyll </w:t>
            </w:r>
            <w:r w:rsidRPr="0039573D">
              <w:rPr>
                <w:i/>
              </w:rPr>
              <w:t>a</w:t>
            </w:r>
          </w:p>
        </w:tc>
        <w:tc>
          <w:tcPr>
            <w:tcW w:w="1332" w:type="dxa"/>
            <w:vAlign w:val="center"/>
          </w:tcPr>
          <w:p w:rsidR="00485094" w:rsidRPr="003E7E92" w:rsidRDefault="00485094" w:rsidP="001C044D">
            <w:pPr>
              <w:pStyle w:val="TableText"/>
              <w:jc w:val="center"/>
            </w:pPr>
            <w:r w:rsidRPr="008E7978">
              <w:t>173</w:t>
            </w:r>
          </w:p>
        </w:tc>
        <w:tc>
          <w:tcPr>
            <w:tcW w:w="1060" w:type="dxa"/>
            <w:vAlign w:val="center"/>
          </w:tcPr>
          <w:p w:rsidR="00485094" w:rsidRPr="003E7E92" w:rsidRDefault="00485094" w:rsidP="001C044D">
            <w:pPr>
              <w:pStyle w:val="TableText"/>
              <w:jc w:val="center"/>
            </w:pPr>
            <w:r w:rsidRPr="00ED17D9">
              <w:t>1</w:t>
            </w:r>
            <w:r>
              <w:t>,</w:t>
            </w:r>
            <w:r w:rsidRPr="00ED17D9">
              <w:t>317</w:t>
            </w:r>
          </w:p>
        </w:tc>
      </w:tr>
      <w:tr w:rsidR="00485094" w:rsidRPr="00F1075E" w:rsidTr="001C044D">
        <w:trPr>
          <w:trHeight w:val="233"/>
          <w:jc w:val="center"/>
        </w:trPr>
        <w:tc>
          <w:tcPr>
            <w:tcW w:w="2782" w:type="dxa"/>
            <w:shd w:val="clear" w:color="auto" w:fill="FFFFCC"/>
            <w:vAlign w:val="center"/>
          </w:tcPr>
          <w:p w:rsidR="00485094" w:rsidRPr="00F1075E" w:rsidRDefault="00485094" w:rsidP="001C044D">
            <w:pPr>
              <w:pStyle w:val="TableText"/>
              <w:jc w:val="center"/>
            </w:pPr>
            <w:r>
              <w:t xml:space="preserve">Historical Chlorophyll </w:t>
            </w:r>
            <w:r w:rsidRPr="0039573D">
              <w:rPr>
                <w:i/>
              </w:rPr>
              <w:t>a</w:t>
            </w:r>
          </w:p>
        </w:tc>
        <w:tc>
          <w:tcPr>
            <w:tcW w:w="1332" w:type="dxa"/>
            <w:vAlign w:val="center"/>
          </w:tcPr>
          <w:p w:rsidR="00485094" w:rsidRPr="00F1075E" w:rsidRDefault="00485094" w:rsidP="001C044D">
            <w:pPr>
              <w:pStyle w:val="TableText"/>
              <w:jc w:val="center"/>
            </w:pPr>
            <w:r w:rsidRPr="008E7978">
              <w:t>49</w:t>
            </w:r>
          </w:p>
        </w:tc>
        <w:tc>
          <w:tcPr>
            <w:tcW w:w="1060" w:type="dxa"/>
            <w:vAlign w:val="center"/>
          </w:tcPr>
          <w:p w:rsidR="00485094" w:rsidRPr="00F1075E" w:rsidRDefault="00485094" w:rsidP="001C044D">
            <w:pPr>
              <w:pStyle w:val="TableText"/>
              <w:jc w:val="center"/>
            </w:pPr>
            <w:r w:rsidRPr="00ED17D9">
              <w:t>601</w:t>
            </w:r>
          </w:p>
        </w:tc>
      </w:tr>
      <w:tr w:rsidR="00485094" w:rsidRPr="00F1075E" w:rsidTr="001C044D">
        <w:trPr>
          <w:trHeight w:val="233"/>
          <w:jc w:val="center"/>
        </w:trPr>
        <w:tc>
          <w:tcPr>
            <w:tcW w:w="2782" w:type="dxa"/>
            <w:shd w:val="clear" w:color="auto" w:fill="FFFFCC"/>
            <w:vAlign w:val="center"/>
          </w:tcPr>
          <w:p w:rsidR="00485094" w:rsidRPr="00F1075E" w:rsidRDefault="00485094" w:rsidP="001C044D">
            <w:pPr>
              <w:pStyle w:val="TableText"/>
              <w:jc w:val="center"/>
            </w:pPr>
            <w:r>
              <w:t>Biology</w:t>
            </w:r>
          </w:p>
        </w:tc>
        <w:tc>
          <w:tcPr>
            <w:tcW w:w="1332" w:type="dxa"/>
            <w:vAlign w:val="center"/>
          </w:tcPr>
          <w:p w:rsidR="00485094" w:rsidRPr="00F1075E" w:rsidRDefault="00485094" w:rsidP="001C044D">
            <w:pPr>
              <w:pStyle w:val="TableText"/>
              <w:jc w:val="center"/>
            </w:pPr>
            <w:r w:rsidRPr="008E7978">
              <w:t>25</w:t>
            </w:r>
          </w:p>
        </w:tc>
        <w:tc>
          <w:tcPr>
            <w:tcW w:w="1060" w:type="dxa"/>
            <w:vAlign w:val="center"/>
          </w:tcPr>
          <w:p w:rsidR="00485094" w:rsidRPr="00F1075E" w:rsidRDefault="00485094" w:rsidP="001C044D">
            <w:pPr>
              <w:pStyle w:val="TableText"/>
              <w:jc w:val="center"/>
            </w:pPr>
            <w:r w:rsidRPr="00ED17D9">
              <w:t>254</w:t>
            </w:r>
          </w:p>
        </w:tc>
      </w:tr>
      <w:tr w:rsidR="00485094" w:rsidRPr="00F1075E" w:rsidTr="001C044D">
        <w:trPr>
          <w:trHeight w:val="233"/>
          <w:jc w:val="center"/>
        </w:trPr>
        <w:tc>
          <w:tcPr>
            <w:tcW w:w="2782" w:type="dxa"/>
            <w:shd w:val="clear" w:color="auto" w:fill="FFFFCC"/>
            <w:vAlign w:val="center"/>
          </w:tcPr>
          <w:p w:rsidR="00485094" w:rsidRPr="00F1075E" w:rsidRDefault="00485094" w:rsidP="001C044D">
            <w:pPr>
              <w:pStyle w:val="TableText"/>
              <w:jc w:val="center"/>
            </w:pPr>
            <w:r>
              <w:t>Iron</w:t>
            </w:r>
          </w:p>
        </w:tc>
        <w:tc>
          <w:tcPr>
            <w:tcW w:w="1332" w:type="dxa"/>
            <w:vAlign w:val="center"/>
          </w:tcPr>
          <w:p w:rsidR="00485094" w:rsidRPr="00F1075E" w:rsidRDefault="00485094" w:rsidP="001C044D">
            <w:pPr>
              <w:pStyle w:val="TableText"/>
              <w:jc w:val="center"/>
            </w:pPr>
            <w:r w:rsidRPr="008E7978">
              <w:t>20</w:t>
            </w:r>
          </w:p>
        </w:tc>
        <w:tc>
          <w:tcPr>
            <w:tcW w:w="1060" w:type="dxa"/>
            <w:vAlign w:val="center"/>
          </w:tcPr>
          <w:p w:rsidR="00485094" w:rsidRPr="00F1075E" w:rsidRDefault="00485094" w:rsidP="001C044D">
            <w:pPr>
              <w:pStyle w:val="TableText"/>
              <w:jc w:val="center"/>
            </w:pPr>
            <w:r w:rsidRPr="00ED17D9">
              <w:t>528</w:t>
            </w:r>
          </w:p>
        </w:tc>
      </w:tr>
      <w:tr w:rsidR="00485094" w:rsidRPr="00F1075E" w:rsidTr="001C044D">
        <w:trPr>
          <w:trHeight w:val="233"/>
          <w:jc w:val="center"/>
        </w:trPr>
        <w:tc>
          <w:tcPr>
            <w:tcW w:w="2782" w:type="dxa"/>
            <w:shd w:val="clear" w:color="auto" w:fill="FFFFCC"/>
            <w:vAlign w:val="center"/>
          </w:tcPr>
          <w:p w:rsidR="00485094" w:rsidRPr="00F1075E" w:rsidRDefault="00485094" w:rsidP="001C044D">
            <w:pPr>
              <w:pStyle w:val="TableText"/>
              <w:jc w:val="center"/>
            </w:pPr>
            <w:r>
              <w:t>Specific Conductance</w:t>
            </w:r>
          </w:p>
        </w:tc>
        <w:tc>
          <w:tcPr>
            <w:tcW w:w="1332" w:type="dxa"/>
            <w:vAlign w:val="center"/>
          </w:tcPr>
          <w:p w:rsidR="00485094" w:rsidRPr="00F1075E" w:rsidRDefault="00485094" w:rsidP="001C044D">
            <w:pPr>
              <w:pStyle w:val="TableText"/>
              <w:jc w:val="center"/>
            </w:pPr>
            <w:r w:rsidRPr="008E7978">
              <w:t>16</w:t>
            </w:r>
          </w:p>
        </w:tc>
        <w:tc>
          <w:tcPr>
            <w:tcW w:w="1060" w:type="dxa"/>
            <w:vAlign w:val="center"/>
          </w:tcPr>
          <w:p w:rsidR="00485094" w:rsidRPr="00F1075E" w:rsidRDefault="00485094" w:rsidP="001C044D">
            <w:pPr>
              <w:pStyle w:val="TableText"/>
              <w:jc w:val="center"/>
            </w:pPr>
            <w:r w:rsidRPr="00ED17D9">
              <w:t>174</w:t>
            </w:r>
          </w:p>
        </w:tc>
      </w:tr>
      <w:tr w:rsidR="00485094" w:rsidRPr="00F1075E" w:rsidTr="001C044D">
        <w:trPr>
          <w:trHeight w:val="233"/>
          <w:jc w:val="center"/>
        </w:trPr>
        <w:tc>
          <w:tcPr>
            <w:tcW w:w="2782" w:type="dxa"/>
            <w:shd w:val="clear" w:color="auto" w:fill="FFFFCC"/>
            <w:vAlign w:val="center"/>
          </w:tcPr>
          <w:p w:rsidR="00485094" w:rsidRPr="00F1075E" w:rsidRDefault="00485094" w:rsidP="001C044D">
            <w:pPr>
              <w:pStyle w:val="TableText"/>
              <w:jc w:val="center"/>
            </w:pPr>
            <w:r>
              <w:t>Lead</w:t>
            </w:r>
          </w:p>
        </w:tc>
        <w:tc>
          <w:tcPr>
            <w:tcW w:w="1332" w:type="dxa"/>
            <w:vAlign w:val="center"/>
          </w:tcPr>
          <w:p w:rsidR="00485094" w:rsidRPr="00F1075E" w:rsidRDefault="00485094" w:rsidP="001C044D">
            <w:pPr>
              <w:pStyle w:val="TableText"/>
              <w:jc w:val="center"/>
            </w:pPr>
            <w:r w:rsidRPr="008E7978">
              <w:t>13</w:t>
            </w:r>
          </w:p>
        </w:tc>
        <w:tc>
          <w:tcPr>
            <w:tcW w:w="1060" w:type="dxa"/>
            <w:vAlign w:val="center"/>
          </w:tcPr>
          <w:p w:rsidR="00485094" w:rsidRPr="00F1075E" w:rsidRDefault="00485094" w:rsidP="001C044D">
            <w:pPr>
              <w:pStyle w:val="TableText"/>
              <w:jc w:val="center"/>
            </w:pPr>
            <w:r w:rsidRPr="00ED17D9">
              <w:t>128</w:t>
            </w:r>
          </w:p>
        </w:tc>
      </w:tr>
      <w:tr w:rsidR="00485094" w:rsidRPr="00F1075E" w:rsidTr="001C044D">
        <w:trPr>
          <w:trHeight w:val="233"/>
          <w:jc w:val="center"/>
        </w:trPr>
        <w:tc>
          <w:tcPr>
            <w:tcW w:w="2782" w:type="dxa"/>
            <w:shd w:val="clear" w:color="auto" w:fill="FFFFCC"/>
            <w:vAlign w:val="center"/>
          </w:tcPr>
          <w:p w:rsidR="00485094" w:rsidRPr="00F1075E" w:rsidRDefault="00485094" w:rsidP="001C044D">
            <w:pPr>
              <w:pStyle w:val="TableText"/>
              <w:jc w:val="center"/>
            </w:pPr>
            <w:r>
              <w:t>Alkalinity</w:t>
            </w:r>
          </w:p>
        </w:tc>
        <w:tc>
          <w:tcPr>
            <w:tcW w:w="1332" w:type="dxa"/>
            <w:vAlign w:val="center"/>
          </w:tcPr>
          <w:p w:rsidR="00485094" w:rsidRPr="00F1075E" w:rsidRDefault="00485094" w:rsidP="001C044D">
            <w:pPr>
              <w:pStyle w:val="TableText"/>
              <w:jc w:val="center"/>
            </w:pPr>
            <w:r w:rsidRPr="008E7978">
              <w:t>12</w:t>
            </w:r>
          </w:p>
        </w:tc>
        <w:tc>
          <w:tcPr>
            <w:tcW w:w="1060" w:type="dxa"/>
            <w:vAlign w:val="center"/>
          </w:tcPr>
          <w:p w:rsidR="00485094" w:rsidRPr="00F1075E" w:rsidRDefault="00485094" w:rsidP="001C044D">
            <w:pPr>
              <w:pStyle w:val="TableText"/>
              <w:jc w:val="center"/>
            </w:pPr>
            <w:r w:rsidRPr="00ED17D9">
              <w:t>216</w:t>
            </w:r>
          </w:p>
        </w:tc>
      </w:tr>
      <w:tr w:rsidR="00485094" w:rsidRPr="00F1075E" w:rsidTr="001C044D">
        <w:trPr>
          <w:trHeight w:val="233"/>
          <w:jc w:val="center"/>
        </w:trPr>
        <w:tc>
          <w:tcPr>
            <w:tcW w:w="2782" w:type="dxa"/>
            <w:shd w:val="clear" w:color="auto" w:fill="FFFFCC"/>
            <w:vAlign w:val="center"/>
          </w:tcPr>
          <w:p w:rsidR="00485094" w:rsidRPr="00F1075E" w:rsidRDefault="00485094" w:rsidP="001C044D">
            <w:pPr>
              <w:pStyle w:val="TableText"/>
              <w:jc w:val="center"/>
            </w:pPr>
            <w:r>
              <w:t>Bacteria in Shellfish</w:t>
            </w:r>
          </w:p>
        </w:tc>
        <w:tc>
          <w:tcPr>
            <w:tcW w:w="1332" w:type="dxa"/>
            <w:vAlign w:val="center"/>
          </w:tcPr>
          <w:p w:rsidR="00485094" w:rsidRPr="00F1075E" w:rsidRDefault="00485094" w:rsidP="001C044D">
            <w:pPr>
              <w:pStyle w:val="TableText"/>
              <w:jc w:val="center"/>
            </w:pPr>
            <w:r w:rsidRPr="008E7978">
              <w:t>11</w:t>
            </w:r>
          </w:p>
        </w:tc>
        <w:tc>
          <w:tcPr>
            <w:tcW w:w="1060" w:type="dxa"/>
            <w:vAlign w:val="center"/>
          </w:tcPr>
          <w:p w:rsidR="00485094" w:rsidRPr="00F1075E" w:rsidRDefault="00485094" w:rsidP="001C044D">
            <w:pPr>
              <w:pStyle w:val="TableText"/>
              <w:jc w:val="center"/>
            </w:pPr>
            <w:r w:rsidRPr="00ED17D9">
              <w:t>152</w:t>
            </w:r>
          </w:p>
        </w:tc>
      </w:tr>
      <w:tr w:rsidR="00485094" w:rsidRPr="00F1075E" w:rsidTr="001C044D">
        <w:trPr>
          <w:trHeight w:val="233"/>
          <w:jc w:val="center"/>
        </w:trPr>
        <w:tc>
          <w:tcPr>
            <w:tcW w:w="2782" w:type="dxa"/>
            <w:shd w:val="clear" w:color="auto" w:fill="FFFFCC"/>
            <w:vAlign w:val="center"/>
          </w:tcPr>
          <w:p w:rsidR="00485094" w:rsidRPr="00F1075E" w:rsidRDefault="00485094" w:rsidP="001C044D">
            <w:pPr>
              <w:pStyle w:val="TableText"/>
              <w:jc w:val="center"/>
            </w:pPr>
            <w:r>
              <w:t>Turbidity</w:t>
            </w:r>
          </w:p>
        </w:tc>
        <w:tc>
          <w:tcPr>
            <w:tcW w:w="1332" w:type="dxa"/>
            <w:vAlign w:val="center"/>
          </w:tcPr>
          <w:p w:rsidR="00485094" w:rsidRPr="00F1075E" w:rsidRDefault="00485094" w:rsidP="001C044D">
            <w:pPr>
              <w:pStyle w:val="TableText"/>
              <w:jc w:val="center"/>
            </w:pPr>
            <w:r w:rsidRPr="008E7978">
              <w:t>10</w:t>
            </w:r>
          </w:p>
        </w:tc>
        <w:tc>
          <w:tcPr>
            <w:tcW w:w="1060" w:type="dxa"/>
            <w:vAlign w:val="center"/>
          </w:tcPr>
          <w:p w:rsidR="00485094" w:rsidRPr="00F1075E" w:rsidRDefault="00485094" w:rsidP="001C044D">
            <w:pPr>
              <w:pStyle w:val="TableText"/>
              <w:jc w:val="center"/>
            </w:pPr>
            <w:r w:rsidRPr="00ED17D9">
              <w:t>64</w:t>
            </w:r>
          </w:p>
        </w:tc>
      </w:tr>
      <w:tr w:rsidR="00485094" w:rsidRPr="00F1075E" w:rsidTr="001C044D">
        <w:trPr>
          <w:trHeight w:val="233"/>
          <w:jc w:val="center"/>
        </w:trPr>
        <w:tc>
          <w:tcPr>
            <w:tcW w:w="2782" w:type="dxa"/>
            <w:shd w:val="clear" w:color="auto" w:fill="FFFFCC"/>
            <w:vAlign w:val="center"/>
          </w:tcPr>
          <w:p w:rsidR="00485094" w:rsidRPr="00F1075E" w:rsidRDefault="00485094" w:rsidP="001C044D">
            <w:pPr>
              <w:pStyle w:val="TableText"/>
              <w:jc w:val="center"/>
            </w:pPr>
            <w:r>
              <w:t>Un-ionized Ammonia</w:t>
            </w:r>
          </w:p>
        </w:tc>
        <w:tc>
          <w:tcPr>
            <w:tcW w:w="1332" w:type="dxa"/>
            <w:vAlign w:val="center"/>
          </w:tcPr>
          <w:p w:rsidR="00485094" w:rsidRPr="00F1075E" w:rsidRDefault="00485094" w:rsidP="001C044D">
            <w:pPr>
              <w:pStyle w:val="TableText"/>
              <w:jc w:val="center"/>
            </w:pPr>
            <w:r w:rsidRPr="008E7978">
              <w:t>7</w:t>
            </w:r>
          </w:p>
        </w:tc>
        <w:tc>
          <w:tcPr>
            <w:tcW w:w="1060" w:type="dxa"/>
            <w:vAlign w:val="center"/>
          </w:tcPr>
          <w:p w:rsidR="00485094" w:rsidRPr="00F1075E" w:rsidRDefault="00485094" w:rsidP="001C044D">
            <w:pPr>
              <w:pStyle w:val="TableText"/>
              <w:jc w:val="center"/>
            </w:pPr>
            <w:r w:rsidRPr="00ED17D9">
              <w:t>57</w:t>
            </w:r>
          </w:p>
        </w:tc>
      </w:tr>
      <w:tr w:rsidR="00485094" w:rsidRPr="00F1075E" w:rsidTr="001C044D">
        <w:trPr>
          <w:trHeight w:val="233"/>
          <w:jc w:val="center"/>
        </w:trPr>
        <w:tc>
          <w:tcPr>
            <w:tcW w:w="2782" w:type="dxa"/>
            <w:shd w:val="clear" w:color="auto" w:fill="FFFFCC"/>
            <w:vAlign w:val="center"/>
          </w:tcPr>
          <w:p w:rsidR="00485094" w:rsidRPr="002F1384" w:rsidRDefault="00485094" w:rsidP="001C044D">
            <w:pPr>
              <w:pStyle w:val="TableText"/>
              <w:jc w:val="center"/>
            </w:pPr>
            <w:r>
              <w:t>Dissolved Solids</w:t>
            </w:r>
          </w:p>
        </w:tc>
        <w:tc>
          <w:tcPr>
            <w:tcW w:w="1332" w:type="dxa"/>
            <w:vAlign w:val="center"/>
          </w:tcPr>
          <w:p w:rsidR="00485094" w:rsidRPr="00F1075E" w:rsidRDefault="00485094" w:rsidP="001C044D">
            <w:pPr>
              <w:pStyle w:val="TableText"/>
              <w:jc w:val="center"/>
            </w:pPr>
            <w:r w:rsidRPr="008E7978">
              <w:t>2</w:t>
            </w:r>
          </w:p>
        </w:tc>
        <w:tc>
          <w:tcPr>
            <w:tcW w:w="1060" w:type="dxa"/>
            <w:vAlign w:val="center"/>
          </w:tcPr>
          <w:p w:rsidR="00485094" w:rsidRPr="00F1075E" w:rsidRDefault="00485094" w:rsidP="001C044D">
            <w:pPr>
              <w:pStyle w:val="TableText"/>
              <w:jc w:val="center"/>
            </w:pPr>
            <w:r w:rsidRPr="00ED17D9">
              <w:t>6</w:t>
            </w:r>
          </w:p>
        </w:tc>
      </w:tr>
      <w:tr w:rsidR="00485094" w:rsidRPr="00F1075E" w:rsidTr="001C044D">
        <w:trPr>
          <w:trHeight w:val="233"/>
          <w:jc w:val="center"/>
        </w:trPr>
        <w:tc>
          <w:tcPr>
            <w:tcW w:w="2782" w:type="dxa"/>
            <w:shd w:val="clear" w:color="auto" w:fill="FFFFCC"/>
            <w:vAlign w:val="center"/>
          </w:tcPr>
          <w:p w:rsidR="00485094" w:rsidRPr="002F1384" w:rsidRDefault="00485094" w:rsidP="001C044D">
            <w:pPr>
              <w:pStyle w:val="TableText"/>
              <w:jc w:val="center"/>
            </w:pPr>
            <w:r>
              <w:t>Silver</w:t>
            </w:r>
          </w:p>
        </w:tc>
        <w:tc>
          <w:tcPr>
            <w:tcW w:w="1332" w:type="dxa"/>
            <w:vAlign w:val="center"/>
          </w:tcPr>
          <w:p w:rsidR="00485094" w:rsidRPr="00F1075E" w:rsidRDefault="00485094" w:rsidP="001C044D">
            <w:pPr>
              <w:pStyle w:val="TableText"/>
              <w:jc w:val="center"/>
            </w:pPr>
            <w:r w:rsidRPr="008E7978">
              <w:t>1</w:t>
            </w:r>
          </w:p>
        </w:tc>
        <w:tc>
          <w:tcPr>
            <w:tcW w:w="1060" w:type="dxa"/>
            <w:vAlign w:val="center"/>
          </w:tcPr>
          <w:p w:rsidR="00485094" w:rsidRPr="00F1075E" w:rsidRDefault="00485094" w:rsidP="001C044D">
            <w:pPr>
              <w:pStyle w:val="TableText"/>
              <w:jc w:val="center"/>
            </w:pPr>
            <w:r w:rsidRPr="00ED17D9">
              <w:t>6</w:t>
            </w:r>
          </w:p>
        </w:tc>
      </w:tr>
    </w:tbl>
    <w:p w:rsidR="00485094" w:rsidRPr="00F1075E" w:rsidRDefault="00485094" w:rsidP="005F5866">
      <w:pPr>
        <w:pStyle w:val="TableText"/>
      </w:pPr>
    </w:p>
    <w:p w:rsidR="00485094" w:rsidRPr="00D03596" w:rsidRDefault="00485094" w:rsidP="004D2E30">
      <w:pPr>
        <w:autoSpaceDE w:val="0"/>
        <w:autoSpaceDN w:val="0"/>
        <w:adjustRightInd w:val="0"/>
        <w:rPr>
          <w:rFonts w:ascii="Arial" w:hAnsi="Arial" w:cs="Arial"/>
          <w:bCs/>
          <w:sz w:val="16"/>
          <w:szCs w:val="16"/>
        </w:rPr>
      </w:pPr>
    </w:p>
    <w:p w:rsidR="00485094" w:rsidRDefault="00485094">
      <w:pPr>
        <w:rPr>
          <w:rFonts w:ascii="Arial" w:hAnsi="Arial"/>
          <w:b/>
          <w:i/>
          <w:sz w:val="20"/>
          <w:szCs w:val="20"/>
        </w:rPr>
      </w:pPr>
      <w:r>
        <w:br w:type="page"/>
      </w:r>
    </w:p>
    <w:p w:rsidR="00485094" w:rsidRPr="006E2D78" w:rsidRDefault="00485094" w:rsidP="00567F73">
      <w:pPr>
        <w:pStyle w:val="Tableheading"/>
        <w:rPr>
          <w:bCs/>
          <w:szCs w:val="22"/>
        </w:rPr>
      </w:pPr>
      <w:bookmarkStart w:id="588" w:name="_Toc271280119"/>
      <w:r w:rsidRPr="003A4461">
        <w:t xml:space="preserve">Table </w:t>
      </w:r>
      <w:r>
        <w:t>8.3b.</w:t>
      </w:r>
      <w:r w:rsidRPr="003A4461">
        <w:t xml:space="preserve">  </w:t>
      </w:r>
      <w:r>
        <w:t>Acres of Lakes Impaired by Cause</w:t>
      </w:r>
      <w:bookmarkEnd w:id="588"/>
    </w:p>
    <w:p w:rsidR="00485094" w:rsidRDefault="00485094" w:rsidP="0039573D">
      <w:pPr>
        <w:pStyle w:val="TabledescriptionBF"/>
      </w:pPr>
      <w:r>
        <w:t>This is a three-column table.  Column 1 lists the parameter, Column 2 lists the number of waterbodies, and Column 3 lists the acres impaired.</w:t>
      </w:r>
    </w:p>
    <w:p w:rsidR="00485094" w:rsidRPr="00D03596" w:rsidRDefault="00485094" w:rsidP="000D304A">
      <w:pPr>
        <w:autoSpaceDE w:val="0"/>
        <w:autoSpaceDN w:val="0"/>
        <w:adjustRightInd w:val="0"/>
        <w:rPr>
          <w:rFonts w:ascii="Arial" w:hAnsi="Arial" w:cs="Arial"/>
          <w:bCs/>
          <w:sz w:val="16"/>
          <w:szCs w:val="16"/>
        </w:rPr>
      </w:pPr>
    </w:p>
    <w:tbl>
      <w:tblPr>
        <w:tblW w:w="5207" w:type="dxa"/>
        <w:jc w:val="center"/>
        <w:tblInd w:w="-10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776"/>
        <w:gridCol w:w="1309"/>
        <w:gridCol w:w="1122"/>
      </w:tblGrid>
      <w:tr w:rsidR="00485094" w:rsidRPr="00E931FA" w:rsidTr="001C044D">
        <w:trPr>
          <w:trHeight w:val="220"/>
          <w:jc w:val="center"/>
        </w:trPr>
        <w:tc>
          <w:tcPr>
            <w:tcW w:w="2776" w:type="dxa"/>
            <w:tcBorders>
              <w:bottom w:val="double" w:sz="4" w:space="0" w:color="auto"/>
            </w:tcBorders>
            <w:shd w:val="clear" w:color="auto" w:fill="BDFFFF"/>
            <w:vAlign w:val="bottom"/>
          </w:tcPr>
          <w:p w:rsidR="00485094" w:rsidRPr="00E931FA" w:rsidRDefault="00485094" w:rsidP="001C044D">
            <w:pPr>
              <w:pStyle w:val="TableText"/>
              <w:jc w:val="center"/>
              <w:rPr>
                <w:b/>
                <w:i/>
              </w:rPr>
            </w:pPr>
            <w:r w:rsidRPr="00E931FA">
              <w:rPr>
                <w:b/>
                <w:i/>
              </w:rPr>
              <w:t>Parameter</w:t>
            </w:r>
          </w:p>
        </w:tc>
        <w:tc>
          <w:tcPr>
            <w:tcW w:w="1309" w:type="dxa"/>
            <w:tcBorders>
              <w:bottom w:val="double" w:sz="4" w:space="0" w:color="auto"/>
            </w:tcBorders>
            <w:shd w:val="clear" w:color="auto" w:fill="BDFFFF"/>
            <w:vAlign w:val="bottom"/>
          </w:tcPr>
          <w:p w:rsidR="00485094" w:rsidRPr="00E931FA" w:rsidRDefault="00485094" w:rsidP="001C044D">
            <w:pPr>
              <w:pStyle w:val="TableText"/>
              <w:jc w:val="center"/>
              <w:rPr>
                <w:b/>
                <w:i/>
              </w:rPr>
            </w:pPr>
            <w:r w:rsidRPr="00E931FA">
              <w:rPr>
                <w:b/>
                <w:i/>
              </w:rPr>
              <w:t>Number of Waterbodies</w:t>
            </w:r>
          </w:p>
        </w:tc>
        <w:tc>
          <w:tcPr>
            <w:tcW w:w="1122" w:type="dxa"/>
            <w:tcBorders>
              <w:bottom w:val="double" w:sz="4" w:space="0" w:color="auto"/>
            </w:tcBorders>
            <w:shd w:val="clear" w:color="auto" w:fill="BDFFFF"/>
            <w:vAlign w:val="bottom"/>
          </w:tcPr>
          <w:p w:rsidR="00485094" w:rsidRPr="00E931FA" w:rsidRDefault="00485094" w:rsidP="001C044D">
            <w:pPr>
              <w:pStyle w:val="TableText"/>
              <w:jc w:val="center"/>
              <w:rPr>
                <w:b/>
                <w:i/>
              </w:rPr>
            </w:pPr>
            <w:r>
              <w:rPr>
                <w:b/>
                <w:i/>
              </w:rPr>
              <w:t>Acres</w:t>
            </w:r>
            <w:r w:rsidRPr="00E931FA">
              <w:rPr>
                <w:b/>
                <w:i/>
              </w:rPr>
              <w:t xml:space="preserve"> Impaired</w:t>
            </w:r>
          </w:p>
        </w:tc>
      </w:tr>
      <w:tr w:rsidR="00485094" w:rsidTr="001C044D">
        <w:trPr>
          <w:trHeight w:val="220"/>
          <w:jc w:val="center"/>
        </w:trPr>
        <w:tc>
          <w:tcPr>
            <w:tcW w:w="2776" w:type="dxa"/>
            <w:tcBorders>
              <w:top w:val="double" w:sz="4" w:space="0" w:color="auto"/>
            </w:tcBorders>
            <w:shd w:val="clear" w:color="auto" w:fill="FFFFCC"/>
            <w:vAlign w:val="center"/>
          </w:tcPr>
          <w:p w:rsidR="00485094" w:rsidRPr="003E7E92" w:rsidRDefault="00485094" w:rsidP="001C044D">
            <w:pPr>
              <w:pStyle w:val="TableText"/>
              <w:jc w:val="center"/>
            </w:pPr>
            <w:r>
              <w:t>TSI</w:t>
            </w:r>
          </w:p>
        </w:tc>
        <w:tc>
          <w:tcPr>
            <w:tcW w:w="1309" w:type="dxa"/>
            <w:tcBorders>
              <w:top w:val="double" w:sz="4" w:space="0" w:color="auto"/>
            </w:tcBorders>
            <w:vAlign w:val="center"/>
          </w:tcPr>
          <w:p w:rsidR="00485094" w:rsidRPr="003E7E92" w:rsidRDefault="00485094" w:rsidP="001C044D">
            <w:pPr>
              <w:pStyle w:val="TableText"/>
              <w:jc w:val="center"/>
            </w:pPr>
            <w:r w:rsidRPr="009D2FCB">
              <w:t>154</w:t>
            </w:r>
          </w:p>
        </w:tc>
        <w:tc>
          <w:tcPr>
            <w:tcW w:w="1122" w:type="dxa"/>
            <w:tcBorders>
              <w:top w:val="double" w:sz="4" w:space="0" w:color="auto"/>
            </w:tcBorders>
            <w:vAlign w:val="center"/>
          </w:tcPr>
          <w:p w:rsidR="00485094" w:rsidRPr="003E7E92" w:rsidRDefault="00485094" w:rsidP="001C044D">
            <w:pPr>
              <w:pStyle w:val="TableText"/>
              <w:jc w:val="center"/>
            </w:pPr>
            <w:r w:rsidRPr="0023103E">
              <w:t>304</w:t>
            </w:r>
            <w:r>
              <w:t>,</w:t>
            </w:r>
            <w:r w:rsidRPr="0023103E">
              <w:t>879</w:t>
            </w:r>
          </w:p>
        </w:tc>
      </w:tr>
      <w:tr w:rsidR="00485094" w:rsidTr="001C044D">
        <w:trPr>
          <w:trHeight w:val="220"/>
          <w:jc w:val="center"/>
        </w:trPr>
        <w:tc>
          <w:tcPr>
            <w:tcW w:w="2776" w:type="dxa"/>
            <w:shd w:val="clear" w:color="auto" w:fill="FFFFCC"/>
            <w:vAlign w:val="center"/>
          </w:tcPr>
          <w:p w:rsidR="00485094" w:rsidRDefault="00485094" w:rsidP="001C044D">
            <w:pPr>
              <w:pStyle w:val="TableText"/>
              <w:jc w:val="center"/>
            </w:pPr>
            <w:r>
              <w:t>Mercury in Fish</w:t>
            </w:r>
          </w:p>
        </w:tc>
        <w:tc>
          <w:tcPr>
            <w:tcW w:w="1309" w:type="dxa"/>
            <w:vAlign w:val="center"/>
          </w:tcPr>
          <w:p w:rsidR="00485094" w:rsidRDefault="00485094" w:rsidP="001C044D">
            <w:pPr>
              <w:pStyle w:val="TableText"/>
              <w:jc w:val="center"/>
            </w:pPr>
            <w:r w:rsidRPr="009D2FCB">
              <w:t>111</w:t>
            </w:r>
          </w:p>
        </w:tc>
        <w:tc>
          <w:tcPr>
            <w:tcW w:w="1122" w:type="dxa"/>
            <w:vAlign w:val="center"/>
          </w:tcPr>
          <w:p w:rsidR="00485094" w:rsidRDefault="00485094" w:rsidP="001C044D">
            <w:pPr>
              <w:pStyle w:val="TableText"/>
              <w:jc w:val="center"/>
            </w:pPr>
            <w:r w:rsidRPr="0023103E">
              <w:t>813</w:t>
            </w:r>
            <w:r>
              <w:t>,</w:t>
            </w:r>
            <w:r w:rsidRPr="0023103E">
              <w:t>002</w:t>
            </w:r>
          </w:p>
        </w:tc>
      </w:tr>
      <w:tr w:rsidR="00485094" w:rsidTr="001C044D">
        <w:trPr>
          <w:trHeight w:val="220"/>
          <w:jc w:val="center"/>
        </w:trPr>
        <w:tc>
          <w:tcPr>
            <w:tcW w:w="2776" w:type="dxa"/>
            <w:shd w:val="clear" w:color="auto" w:fill="FFFFCC"/>
            <w:vAlign w:val="center"/>
          </w:tcPr>
          <w:p w:rsidR="00485094" w:rsidRDefault="00485094" w:rsidP="001C044D">
            <w:pPr>
              <w:pStyle w:val="TableText"/>
              <w:jc w:val="center"/>
            </w:pPr>
            <w:r>
              <w:t>DO</w:t>
            </w:r>
          </w:p>
        </w:tc>
        <w:tc>
          <w:tcPr>
            <w:tcW w:w="1309" w:type="dxa"/>
            <w:vAlign w:val="center"/>
          </w:tcPr>
          <w:p w:rsidR="00485094" w:rsidRDefault="00485094" w:rsidP="001C044D">
            <w:pPr>
              <w:pStyle w:val="TableText"/>
              <w:jc w:val="center"/>
            </w:pPr>
            <w:r w:rsidRPr="009D2FCB">
              <w:t>89</w:t>
            </w:r>
          </w:p>
        </w:tc>
        <w:tc>
          <w:tcPr>
            <w:tcW w:w="1122" w:type="dxa"/>
            <w:vAlign w:val="center"/>
          </w:tcPr>
          <w:p w:rsidR="00485094" w:rsidRDefault="00485094" w:rsidP="001C044D">
            <w:pPr>
              <w:pStyle w:val="TableText"/>
              <w:jc w:val="center"/>
            </w:pPr>
            <w:r w:rsidRPr="0023103E">
              <w:t>183</w:t>
            </w:r>
            <w:r>
              <w:t>,</w:t>
            </w:r>
            <w:r w:rsidRPr="0023103E">
              <w:t>147</w:t>
            </w:r>
          </w:p>
        </w:tc>
      </w:tr>
      <w:tr w:rsidR="00485094" w:rsidTr="001C044D">
        <w:trPr>
          <w:trHeight w:val="220"/>
          <w:jc w:val="center"/>
        </w:trPr>
        <w:tc>
          <w:tcPr>
            <w:tcW w:w="2776" w:type="dxa"/>
            <w:shd w:val="clear" w:color="auto" w:fill="FFFFCC"/>
            <w:vAlign w:val="center"/>
          </w:tcPr>
          <w:p w:rsidR="00485094" w:rsidRDefault="00485094" w:rsidP="001C044D">
            <w:pPr>
              <w:pStyle w:val="TableText"/>
              <w:jc w:val="center"/>
            </w:pPr>
            <w:r>
              <w:t>Historical TSI</w:t>
            </w:r>
          </w:p>
        </w:tc>
        <w:tc>
          <w:tcPr>
            <w:tcW w:w="1309" w:type="dxa"/>
            <w:vAlign w:val="center"/>
          </w:tcPr>
          <w:p w:rsidR="00485094" w:rsidRDefault="00485094" w:rsidP="001C044D">
            <w:pPr>
              <w:pStyle w:val="TableText"/>
              <w:jc w:val="center"/>
            </w:pPr>
            <w:r w:rsidRPr="009D2FCB">
              <w:t>29</w:t>
            </w:r>
          </w:p>
        </w:tc>
        <w:tc>
          <w:tcPr>
            <w:tcW w:w="1122" w:type="dxa"/>
            <w:vAlign w:val="center"/>
          </w:tcPr>
          <w:p w:rsidR="00485094" w:rsidRDefault="00485094" w:rsidP="001C044D">
            <w:pPr>
              <w:pStyle w:val="TableText"/>
              <w:jc w:val="center"/>
            </w:pPr>
            <w:r w:rsidRPr="0023103E">
              <w:t>59</w:t>
            </w:r>
            <w:r>
              <w:t>,</w:t>
            </w:r>
            <w:r w:rsidRPr="0023103E">
              <w:t>950</w:t>
            </w:r>
          </w:p>
        </w:tc>
      </w:tr>
      <w:tr w:rsidR="00485094" w:rsidTr="001C044D">
        <w:trPr>
          <w:trHeight w:val="220"/>
          <w:jc w:val="center"/>
        </w:trPr>
        <w:tc>
          <w:tcPr>
            <w:tcW w:w="2776" w:type="dxa"/>
            <w:shd w:val="clear" w:color="auto" w:fill="FFFFCC"/>
            <w:vAlign w:val="center"/>
          </w:tcPr>
          <w:p w:rsidR="00485094" w:rsidRDefault="00485094" w:rsidP="001C044D">
            <w:pPr>
              <w:pStyle w:val="TableText"/>
              <w:jc w:val="center"/>
            </w:pPr>
            <w:r>
              <w:t>Fecal coliform</w:t>
            </w:r>
          </w:p>
        </w:tc>
        <w:tc>
          <w:tcPr>
            <w:tcW w:w="1309" w:type="dxa"/>
            <w:vAlign w:val="center"/>
          </w:tcPr>
          <w:p w:rsidR="00485094" w:rsidRDefault="00485094" w:rsidP="001C044D">
            <w:pPr>
              <w:pStyle w:val="TableText"/>
              <w:jc w:val="center"/>
            </w:pPr>
            <w:r w:rsidRPr="009D2FCB">
              <w:t>10</w:t>
            </w:r>
          </w:p>
        </w:tc>
        <w:tc>
          <w:tcPr>
            <w:tcW w:w="1122" w:type="dxa"/>
            <w:vAlign w:val="center"/>
          </w:tcPr>
          <w:p w:rsidR="00485094" w:rsidRDefault="00485094" w:rsidP="001C044D">
            <w:pPr>
              <w:pStyle w:val="TableText"/>
              <w:jc w:val="center"/>
            </w:pPr>
            <w:r w:rsidRPr="0023103E">
              <w:t>9</w:t>
            </w:r>
            <w:r>
              <w:t>,</w:t>
            </w:r>
            <w:r w:rsidRPr="0023103E">
              <w:t>548</w:t>
            </w:r>
          </w:p>
        </w:tc>
      </w:tr>
      <w:tr w:rsidR="00485094" w:rsidTr="001C044D">
        <w:trPr>
          <w:trHeight w:val="220"/>
          <w:jc w:val="center"/>
        </w:trPr>
        <w:tc>
          <w:tcPr>
            <w:tcW w:w="2776" w:type="dxa"/>
            <w:shd w:val="clear" w:color="auto" w:fill="FFFFCC"/>
            <w:vAlign w:val="center"/>
          </w:tcPr>
          <w:p w:rsidR="00485094" w:rsidRDefault="00485094" w:rsidP="001C044D">
            <w:pPr>
              <w:pStyle w:val="TableText"/>
              <w:jc w:val="center"/>
            </w:pPr>
            <w:r>
              <w:t>Trend TSI</w:t>
            </w:r>
          </w:p>
        </w:tc>
        <w:tc>
          <w:tcPr>
            <w:tcW w:w="1309" w:type="dxa"/>
            <w:vAlign w:val="center"/>
          </w:tcPr>
          <w:p w:rsidR="00485094" w:rsidRDefault="00485094" w:rsidP="001C044D">
            <w:pPr>
              <w:pStyle w:val="TableText"/>
              <w:jc w:val="center"/>
            </w:pPr>
            <w:r w:rsidRPr="009D2FCB">
              <w:t>9</w:t>
            </w:r>
          </w:p>
        </w:tc>
        <w:tc>
          <w:tcPr>
            <w:tcW w:w="1122" w:type="dxa"/>
            <w:vAlign w:val="center"/>
          </w:tcPr>
          <w:p w:rsidR="00485094" w:rsidRDefault="00485094" w:rsidP="001C044D">
            <w:pPr>
              <w:pStyle w:val="TableText"/>
              <w:jc w:val="center"/>
            </w:pPr>
            <w:r w:rsidRPr="0023103E">
              <w:t>13</w:t>
            </w:r>
            <w:r>
              <w:t>,</w:t>
            </w:r>
            <w:r w:rsidRPr="0023103E">
              <w:t>328</w:t>
            </w:r>
          </w:p>
        </w:tc>
      </w:tr>
      <w:tr w:rsidR="00485094" w:rsidTr="001C044D">
        <w:trPr>
          <w:trHeight w:val="220"/>
          <w:jc w:val="center"/>
        </w:trPr>
        <w:tc>
          <w:tcPr>
            <w:tcW w:w="2776" w:type="dxa"/>
            <w:shd w:val="clear" w:color="auto" w:fill="FFFFCC"/>
            <w:vAlign w:val="center"/>
          </w:tcPr>
          <w:p w:rsidR="00485094" w:rsidRDefault="00485094" w:rsidP="001C044D">
            <w:pPr>
              <w:pStyle w:val="TableText"/>
              <w:jc w:val="center"/>
            </w:pPr>
            <w:r>
              <w:t>Iron</w:t>
            </w:r>
          </w:p>
        </w:tc>
        <w:tc>
          <w:tcPr>
            <w:tcW w:w="1309" w:type="dxa"/>
            <w:vAlign w:val="center"/>
          </w:tcPr>
          <w:p w:rsidR="00485094" w:rsidRDefault="00485094" w:rsidP="001C044D">
            <w:pPr>
              <w:pStyle w:val="TableText"/>
              <w:jc w:val="center"/>
            </w:pPr>
            <w:r w:rsidRPr="009D2FCB">
              <w:t>6</w:t>
            </w:r>
          </w:p>
        </w:tc>
        <w:tc>
          <w:tcPr>
            <w:tcW w:w="1122" w:type="dxa"/>
            <w:vAlign w:val="center"/>
          </w:tcPr>
          <w:p w:rsidR="00485094" w:rsidRDefault="00485094" w:rsidP="001C044D">
            <w:pPr>
              <w:pStyle w:val="TableText"/>
              <w:jc w:val="center"/>
            </w:pPr>
            <w:r w:rsidRPr="0023103E">
              <w:t>335</w:t>
            </w:r>
            <w:r>
              <w:t>,</w:t>
            </w:r>
            <w:r w:rsidRPr="0023103E">
              <w:t>336</w:t>
            </w:r>
          </w:p>
        </w:tc>
      </w:tr>
      <w:tr w:rsidR="00485094" w:rsidTr="001C044D">
        <w:trPr>
          <w:trHeight w:val="220"/>
          <w:jc w:val="center"/>
        </w:trPr>
        <w:tc>
          <w:tcPr>
            <w:tcW w:w="2776" w:type="dxa"/>
            <w:shd w:val="clear" w:color="auto" w:fill="FFFFCC"/>
            <w:vAlign w:val="center"/>
          </w:tcPr>
          <w:p w:rsidR="00485094" w:rsidRDefault="00485094" w:rsidP="001C044D">
            <w:pPr>
              <w:pStyle w:val="TableText"/>
              <w:jc w:val="center"/>
            </w:pPr>
            <w:r>
              <w:t>Lead</w:t>
            </w:r>
          </w:p>
        </w:tc>
        <w:tc>
          <w:tcPr>
            <w:tcW w:w="1309" w:type="dxa"/>
            <w:vAlign w:val="center"/>
          </w:tcPr>
          <w:p w:rsidR="00485094" w:rsidRDefault="00485094" w:rsidP="001C044D">
            <w:pPr>
              <w:pStyle w:val="TableText"/>
              <w:jc w:val="center"/>
            </w:pPr>
            <w:r w:rsidRPr="009D2FCB">
              <w:t>6</w:t>
            </w:r>
          </w:p>
        </w:tc>
        <w:tc>
          <w:tcPr>
            <w:tcW w:w="1122" w:type="dxa"/>
            <w:vAlign w:val="center"/>
          </w:tcPr>
          <w:p w:rsidR="00485094" w:rsidRDefault="00485094" w:rsidP="001C044D">
            <w:pPr>
              <w:pStyle w:val="TableText"/>
              <w:jc w:val="center"/>
            </w:pPr>
            <w:r w:rsidRPr="0023103E">
              <w:t>4</w:t>
            </w:r>
            <w:r>
              <w:t>,</w:t>
            </w:r>
            <w:r w:rsidRPr="0023103E">
              <w:t>892</w:t>
            </w:r>
          </w:p>
        </w:tc>
      </w:tr>
      <w:tr w:rsidR="00485094" w:rsidTr="001C044D">
        <w:trPr>
          <w:trHeight w:val="220"/>
          <w:jc w:val="center"/>
        </w:trPr>
        <w:tc>
          <w:tcPr>
            <w:tcW w:w="2776" w:type="dxa"/>
            <w:shd w:val="clear" w:color="auto" w:fill="FFFFCC"/>
            <w:vAlign w:val="center"/>
          </w:tcPr>
          <w:p w:rsidR="00485094" w:rsidRDefault="00485094" w:rsidP="001C044D">
            <w:pPr>
              <w:pStyle w:val="TableText"/>
              <w:jc w:val="center"/>
            </w:pPr>
            <w:r>
              <w:t>Un-ionized Ammonia</w:t>
            </w:r>
          </w:p>
        </w:tc>
        <w:tc>
          <w:tcPr>
            <w:tcW w:w="1309" w:type="dxa"/>
            <w:vAlign w:val="center"/>
          </w:tcPr>
          <w:p w:rsidR="00485094" w:rsidRDefault="00485094" w:rsidP="001C044D">
            <w:pPr>
              <w:pStyle w:val="TableText"/>
              <w:jc w:val="center"/>
            </w:pPr>
            <w:r w:rsidRPr="009D2FCB">
              <w:t>3</w:t>
            </w:r>
          </w:p>
        </w:tc>
        <w:tc>
          <w:tcPr>
            <w:tcW w:w="1122" w:type="dxa"/>
            <w:vAlign w:val="center"/>
          </w:tcPr>
          <w:p w:rsidR="00485094" w:rsidRDefault="00485094" w:rsidP="001C044D">
            <w:pPr>
              <w:pStyle w:val="TableText"/>
              <w:jc w:val="center"/>
            </w:pPr>
            <w:r w:rsidRPr="0023103E">
              <w:t>23</w:t>
            </w:r>
            <w:r>
              <w:t>,</w:t>
            </w:r>
            <w:r w:rsidRPr="0023103E">
              <w:t>79</w:t>
            </w:r>
            <w:r>
              <w:t>4</w:t>
            </w:r>
          </w:p>
        </w:tc>
      </w:tr>
      <w:tr w:rsidR="00485094" w:rsidTr="001C044D">
        <w:trPr>
          <w:trHeight w:val="220"/>
          <w:jc w:val="center"/>
        </w:trPr>
        <w:tc>
          <w:tcPr>
            <w:tcW w:w="2776" w:type="dxa"/>
            <w:shd w:val="clear" w:color="auto" w:fill="FFFFCC"/>
            <w:vAlign w:val="center"/>
          </w:tcPr>
          <w:p w:rsidR="00485094" w:rsidRDefault="00485094" w:rsidP="001C044D">
            <w:pPr>
              <w:pStyle w:val="TableText"/>
              <w:jc w:val="center"/>
            </w:pPr>
            <w:r>
              <w:t>Copper</w:t>
            </w:r>
          </w:p>
        </w:tc>
        <w:tc>
          <w:tcPr>
            <w:tcW w:w="1309" w:type="dxa"/>
            <w:vAlign w:val="center"/>
          </w:tcPr>
          <w:p w:rsidR="00485094" w:rsidRDefault="00485094" w:rsidP="001C044D">
            <w:pPr>
              <w:pStyle w:val="TableText"/>
              <w:jc w:val="center"/>
            </w:pPr>
            <w:r w:rsidRPr="009D2FCB">
              <w:t>2</w:t>
            </w:r>
          </w:p>
        </w:tc>
        <w:tc>
          <w:tcPr>
            <w:tcW w:w="1122" w:type="dxa"/>
            <w:vAlign w:val="center"/>
          </w:tcPr>
          <w:p w:rsidR="00485094" w:rsidRDefault="00485094" w:rsidP="001C044D">
            <w:pPr>
              <w:pStyle w:val="TableText"/>
              <w:jc w:val="center"/>
            </w:pPr>
            <w:r w:rsidRPr="0023103E">
              <w:t>12</w:t>
            </w:r>
            <w:r>
              <w:t>,</w:t>
            </w:r>
            <w:r w:rsidRPr="0023103E">
              <w:t>293</w:t>
            </w:r>
          </w:p>
        </w:tc>
      </w:tr>
      <w:tr w:rsidR="00485094" w:rsidTr="001C044D">
        <w:trPr>
          <w:trHeight w:val="220"/>
          <w:jc w:val="center"/>
        </w:trPr>
        <w:tc>
          <w:tcPr>
            <w:tcW w:w="2776" w:type="dxa"/>
            <w:shd w:val="clear" w:color="auto" w:fill="FFFFCC"/>
            <w:vAlign w:val="center"/>
          </w:tcPr>
          <w:p w:rsidR="00485094" w:rsidRDefault="00485094" w:rsidP="001C044D">
            <w:pPr>
              <w:pStyle w:val="TableText"/>
              <w:jc w:val="center"/>
            </w:pPr>
            <w:r>
              <w:t>Turbidity</w:t>
            </w:r>
          </w:p>
        </w:tc>
        <w:tc>
          <w:tcPr>
            <w:tcW w:w="1309" w:type="dxa"/>
            <w:vAlign w:val="center"/>
          </w:tcPr>
          <w:p w:rsidR="00485094" w:rsidRDefault="00485094" w:rsidP="001C044D">
            <w:pPr>
              <w:pStyle w:val="TableText"/>
              <w:jc w:val="center"/>
            </w:pPr>
            <w:r w:rsidRPr="009D2FCB">
              <w:t>2</w:t>
            </w:r>
          </w:p>
        </w:tc>
        <w:tc>
          <w:tcPr>
            <w:tcW w:w="1122" w:type="dxa"/>
            <w:vAlign w:val="center"/>
          </w:tcPr>
          <w:p w:rsidR="00485094" w:rsidRDefault="00485094" w:rsidP="001C044D">
            <w:pPr>
              <w:pStyle w:val="TableText"/>
              <w:jc w:val="center"/>
            </w:pPr>
            <w:r w:rsidRPr="0023103E">
              <w:t>402</w:t>
            </w:r>
          </w:p>
        </w:tc>
      </w:tr>
      <w:tr w:rsidR="00485094" w:rsidTr="001C044D">
        <w:trPr>
          <w:trHeight w:val="220"/>
          <w:jc w:val="center"/>
        </w:trPr>
        <w:tc>
          <w:tcPr>
            <w:tcW w:w="2776" w:type="dxa"/>
            <w:shd w:val="clear" w:color="auto" w:fill="FFFFCC"/>
            <w:vAlign w:val="center"/>
          </w:tcPr>
          <w:p w:rsidR="00485094" w:rsidRDefault="00485094" w:rsidP="001C044D">
            <w:pPr>
              <w:pStyle w:val="TableText"/>
              <w:jc w:val="center"/>
            </w:pPr>
            <w:r>
              <w:t>Silver</w:t>
            </w:r>
          </w:p>
        </w:tc>
        <w:tc>
          <w:tcPr>
            <w:tcW w:w="1309" w:type="dxa"/>
            <w:vAlign w:val="center"/>
          </w:tcPr>
          <w:p w:rsidR="00485094" w:rsidRDefault="00485094" w:rsidP="001C044D">
            <w:pPr>
              <w:pStyle w:val="TableText"/>
              <w:jc w:val="center"/>
            </w:pPr>
            <w:r w:rsidRPr="00340082">
              <w:t>1</w:t>
            </w:r>
          </w:p>
        </w:tc>
        <w:tc>
          <w:tcPr>
            <w:tcW w:w="1122" w:type="dxa"/>
            <w:vAlign w:val="center"/>
          </w:tcPr>
          <w:p w:rsidR="00485094" w:rsidRDefault="00485094" w:rsidP="001C044D">
            <w:pPr>
              <w:pStyle w:val="TableText"/>
              <w:jc w:val="center"/>
            </w:pPr>
            <w:r w:rsidRPr="0023103E">
              <w:t>7</w:t>
            </w:r>
            <w:r>
              <w:t>,</w:t>
            </w:r>
            <w:r w:rsidRPr="0023103E">
              <w:t>428</w:t>
            </w:r>
          </w:p>
        </w:tc>
      </w:tr>
      <w:tr w:rsidR="00485094" w:rsidTr="001C044D">
        <w:trPr>
          <w:trHeight w:val="220"/>
          <w:jc w:val="center"/>
        </w:trPr>
        <w:tc>
          <w:tcPr>
            <w:tcW w:w="2776" w:type="dxa"/>
            <w:shd w:val="clear" w:color="auto" w:fill="FFFFCC"/>
            <w:vAlign w:val="center"/>
          </w:tcPr>
          <w:p w:rsidR="00485094" w:rsidRDefault="00485094" w:rsidP="001C044D">
            <w:pPr>
              <w:pStyle w:val="TableText"/>
              <w:jc w:val="center"/>
            </w:pPr>
            <w:r>
              <w:t>Alkalinity</w:t>
            </w:r>
          </w:p>
        </w:tc>
        <w:tc>
          <w:tcPr>
            <w:tcW w:w="1309" w:type="dxa"/>
            <w:vAlign w:val="center"/>
          </w:tcPr>
          <w:p w:rsidR="00485094" w:rsidRDefault="00485094" w:rsidP="001C044D">
            <w:pPr>
              <w:pStyle w:val="TableText"/>
              <w:jc w:val="center"/>
            </w:pPr>
            <w:r w:rsidRPr="00340082">
              <w:t>1</w:t>
            </w:r>
          </w:p>
        </w:tc>
        <w:tc>
          <w:tcPr>
            <w:tcW w:w="1122" w:type="dxa"/>
            <w:vAlign w:val="center"/>
          </w:tcPr>
          <w:p w:rsidR="00485094" w:rsidRDefault="00485094" w:rsidP="001C044D">
            <w:pPr>
              <w:pStyle w:val="TableText"/>
              <w:jc w:val="center"/>
            </w:pPr>
            <w:r w:rsidRPr="0023103E">
              <w:t>76</w:t>
            </w:r>
            <w:r>
              <w:t>,</w:t>
            </w:r>
            <w:r w:rsidRPr="0023103E">
              <w:t>741</w:t>
            </w:r>
          </w:p>
        </w:tc>
      </w:tr>
      <w:tr w:rsidR="00485094" w:rsidTr="001C044D">
        <w:trPr>
          <w:trHeight w:val="220"/>
          <w:jc w:val="center"/>
        </w:trPr>
        <w:tc>
          <w:tcPr>
            <w:tcW w:w="2776" w:type="dxa"/>
            <w:shd w:val="clear" w:color="auto" w:fill="FFFFCC"/>
            <w:vAlign w:val="center"/>
          </w:tcPr>
          <w:p w:rsidR="00485094" w:rsidRDefault="00485094" w:rsidP="001C044D">
            <w:pPr>
              <w:pStyle w:val="TableText"/>
              <w:jc w:val="center"/>
            </w:pPr>
            <w:r>
              <w:t xml:space="preserve">Chlorophyll </w:t>
            </w:r>
            <w:r w:rsidRPr="0039573D">
              <w:rPr>
                <w:i/>
              </w:rPr>
              <w:t>a</w:t>
            </w:r>
          </w:p>
        </w:tc>
        <w:tc>
          <w:tcPr>
            <w:tcW w:w="1309" w:type="dxa"/>
            <w:vAlign w:val="center"/>
          </w:tcPr>
          <w:p w:rsidR="00485094" w:rsidRDefault="00485094" w:rsidP="001C044D">
            <w:pPr>
              <w:pStyle w:val="TableText"/>
              <w:jc w:val="center"/>
            </w:pPr>
            <w:r w:rsidRPr="00340082">
              <w:t>1</w:t>
            </w:r>
          </w:p>
        </w:tc>
        <w:tc>
          <w:tcPr>
            <w:tcW w:w="1122" w:type="dxa"/>
            <w:vAlign w:val="center"/>
          </w:tcPr>
          <w:p w:rsidR="00485094" w:rsidRDefault="00485094" w:rsidP="001C044D">
            <w:pPr>
              <w:pStyle w:val="TableText"/>
              <w:jc w:val="center"/>
            </w:pPr>
            <w:r w:rsidRPr="0023103E">
              <w:t>278</w:t>
            </w:r>
          </w:p>
        </w:tc>
      </w:tr>
      <w:tr w:rsidR="00485094" w:rsidTr="001C044D">
        <w:trPr>
          <w:trHeight w:val="220"/>
          <w:jc w:val="center"/>
        </w:trPr>
        <w:tc>
          <w:tcPr>
            <w:tcW w:w="2776" w:type="dxa"/>
            <w:shd w:val="clear" w:color="auto" w:fill="FFFFCC"/>
            <w:vAlign w:val="center"/>
          </w:tcPr>
          <w:p w:rsidR="00485094" w:rsidRDefault="00485094" w:rsidP="001C044D">
            <w:pPr>
              <w:pStyle w:val="TableText"/>
              <w:jc w:val="center"/>
            </w:pPr>
            <w:r>
              <w:t>Thallium</w:t>
            </w:r>
          </w:p>
        </w:tc>
        <w:tc>
          <w:tcPr>
            <w:tcW w:w="1309" w:type="dxa"/>
            <w:vAlign w:val="center"/>
          </w:tcPr>
          <w:p w:rsidR="00485094" w:rsidRDefault="00485094" w:rsidP="001C044D">
            <w:pPr>
              <w:pStyle w:val="TableText"/>
              <w:jc w:val="center"/>
            </w:pPr>
            <w:r w:rsidRPr="00340082">
              <w:t>1</w:t>
            </w:r>
          </w:p>
        </w:tc>
        <w:tc>
          <w:tcPr>
            <w:tcW w:w="1122" w:type="dxa"/>
            <w:vAlign w:val="center"/>
          </w:tcPr>
          <w:p w:rsidR="00485094" w:rsidRDefault="00485094" w:rsidP="001C044D">
            <w:pPr>
              <w:pStyle w:val="TableText"/>
              <w:jc w:val="center"/>
            </w:pPr>
            <w:r w:rsidRPr="0023103E">
              <w:t>3</w:t>
            </w:r>
            <w:r>
              <w:t>,</w:t>
            </w:r>
            <w:r w:rsidRPr="0023103E">
              <w:t>761</w:t>
            </w:r>
          </w:p>
        </w:tc>
      </w:tr>
    </w:tbl>
    <w:p w:rsidR="00485094" w:rsidRDefault="00485094" w:rsidP="005F5866">
      <w:pPr>
        <w:pStyle w:val="TableText"/>
      </w:pPr>
    </w:p>
    <w:p w:rsidR="00485094" w:rsidRDefault="00485094" w:rsidP="00A11646">
      <w:pPr>
        <w:pStyle w:val="Bodytextreduced"/>
      </w:pPr>
    </w:p>
    <w:p w:rsidR="00485094" w:rsidRDefault="00485094" w:rsidP="00A11646">
      <w:pPr>
        <w:pStyle w:val="Tableheading"/>
        <w:rPr>
          <w:b w:val="0"/>
        </w:rPr>
      </w:pPr>
      <w:bookmarkStart w:id="589" w:name="_Toc271280120"/>
      <w:r w:rsidRPr="003A4461">
        <w:t xml:space="preserve">Table </w:t>
      </w:r>
      <w:r>
        <w:t>8.3c.</w:t>
      </w:r>
      <w:r w:rsidRPr="003A4461">
        <w:t xml:space="preserve">  </w:t>
      </w:r>
      <w:r>
        <w:t>Square Miles of Estuaries Impaired by Cause</w:t>
      </w:r>
      <w:bookmarkEnd w:id="589"/>
    </w:p>
    <w:p w:rsidR="00485094" w:rsidRDefault="00485094" w:rsidP="004041A6">
      <w:pPr>
        <w:pStyle w:val="TabledescriptionBF"/>
      </w:pPr>
      <w:r>
        <w:t>This is a three-column table.  Column 1 lists the parameter, Column 2 lists the number of waterbodies, and Column 3 lists the square miles impaired.</w:t>
      </w:r>
    </w:p>
    <w:p w:rsidR="00485094" w:rsidRPr="00D03596" w:rsidRDefault="00485094" w:rsidP="000D304A">
      <w:pPr>
        <w:autoSpaceDE w:val="0"/>
        <w:autoSpaceDN w:val="0"/>
        <w:adjustRightInd w:val="0"/>
        <w:rPr>
          <w:rFonts w:ascii="Arial" w:hAnsi="Arial" w:cs="Arial"/>
          <w:bCs/>
          <w:sz w:val="16"/>
          <w:szCs w:val="16"/>
        </w:rPr>
      </w:pPr>
    </w:p>
    <w:tbl>
      <w:tblPr>
        <w:tblW w:w="5126" w:type="dxa"/>
        <w:jc w:val="center"/>
        <w:tblInd w:w="-10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706"/>
        <w:gridCol w:w="1352"/>
        <w:gridCol w:w="1068"/>
      </w:tblGrid>
      <w:tr w:rsidR="00485094" w:rsidRPr="00D03596" w:rsidTr="00E86B70">
        <w:trPr>
          <w:trHeight w:val="250"/>
          <w:jc w:val="center"/>
        </w:trPr>
        <w:tc>
          <w:tcPr>
            <w:tcW w:w="2706" w:type="dxa"/>
            <w:tcBorders>
              <w:bottom w:val="double" w:sz="4" w:space="0" w:color="auto"/>
            </w:tcBorders>
            <w:shd w:val="clear" w:color="auto" w:fill="BDFFFF"/>
            <w:vAlign w:val="bottom"/>
          </w:tcPr>
          <w:p w:rsidR="00485094" w:rsidRPr="00D03596" w:rsidRDefault="00485094" w:rsidP="005B103D">
            <w:pPr>
              <w:pStyle w:val="TableText"/>
              <w:jc w:val="center"/>
              <w:rPr>
                <w:b/>
                <w:i/>
              </w:rPr>
            </w:pPr>
            <w:r w:rsidRPr="00D03596">
              <w:rPr>
                <w:b/>
                <w:i/>
              </w:rPr>
              <w:t>Parameter</w:t>
            </w:r>
          </w:p>
        </w:tc>
        <w:tc>
          <w:tcPr>
            <w:tcW w:w="1352" w:type="dxa"/>
            <w:tcBorders>
              <w:bottom w:val="double" w:sz="4" w:space="0" w:color="auto"/>
            </w:tcBorders>
            <w:shd w:val="clear" w:color="auto" w:fill="BDFFFF"/>
            <w:vAlign w:val="bottom"/>
          </w:tcPr>
          <w:p w:rsidR="00485094" w:rsidRPr="00D03596" w:rsidRDefault="00485094" w:rsidP="005B103D">
            <w:pPr>
              <w:pStyle w:val="TableText"/>
              <w:jc w:val="center"/>
              <w:rPr>
                <w:b/>
                <w:i/>
              </w:rPr>
            </w:pPr>
            <w:r w:rsidRPr="00D03596">
              <w:rPr>
                <w:b/>
                <w:i/>
              </w:rPr>
              <w:t>Number of Waterbodies</w:t>
            </w:r>
          </w:p>
        </w:tc>
        <w:tc>
          <w:tcPr>
            <w:tcW w:w="1068" w:type="dxa"/>
            <w:tcBorders>
              <w:bottom w:val="double" w:sz="4" w:space="0" w:color="auto"/>
            </w:tcBorders>
            <w:shd w:val="clear" w:color="auto" w:fill="BDFFFF"/>
            <w:vAlign w:val="bottom"/>
          </w:tcPr>
          <w:p w:rsidR="00485094" w:rsidRPr="00D03596" w:rsidRDefault="00485094" w:rsidP="005B103D">
            <w:pPr>
              <w:pStyle w:val="TableText"/>
              <w:jc w:val="center"/>
              <w:rPr>
                <w:b/>
                <w:i/>
              </w:rPr>
            </w:pPr>
            <w:r>
              <w:rPr>
                <w:b/>
                <w:i/>
              </w:rPr>
              <w:t xml:space="preserve">Square </w:t>
            </w:r>
            <w:r w:rsidRPr="00D03596">
              <w:rPr>
                <w:b/>
                <w:i/>
              </w:rPr>
              <w:t>Miles Impaired</w:t>
            </w:r>
          </w:p>
        </w:tc>
      </w:tr>
      <w:tr w:rsidR="00485094" w:rsidTr="001C044D">
        <w:trPr>
          <w:trHeight w:val="250"/>
          <w:jc w:val="center"/>
        </w:trPr>
        <w:tc>
          <w:tcPr>
            <w:tcW w:w="2706" w:type="dxa"/>
            <w:tcBorders>
              <w:top w:val="double" w:sz="4" w:space="0" w:color="auto"/>
            </w:tcBorders>
            <w:shd w:val="clear" w:color="auto" w:fill="FFFFCC"/>
            <w:vAlign w:val="center"/>
          </w:tcPr>
          <w:p w:rsidR="00485094" w:rsidRDefault="00485094" w:rsidP="001C044D">
            <w:pPr>
              <w:pStyle w:val="TableText"/>
              <w:jc w:val="center"/>
            </w:pPr>
            <w:r>
              <w:t>Mercury in Fish</w:t>
            </w:r>
          </w:p>
        </w:tc>
        <w:tc>
          <w:tcPr>
            <w:tcW w:w="1352" w:type="dxa"/>
            <w:tcBorders>
              <w:top w:val="double" w:sz="4" w:space="0" w:color="auto"/>
            </w:tcBorders>
            <w:vAlign w:val="center"/>
          </w:tcPr>
          <w:p w:rsidR="00485094" w:rsidRDefault="00485094" w:rsidP="001C044D">
            <w:pPr>
              <w:pStyle w:val="TableText"/>
              <w:jc w:val="center"/>
            </w:pPr>
            <w:r w:rsidRPr="003C2ADE">
              <w:t>495</w:t>
            </w:r>
          </w:p>
        </w:tc>
        <w:tc>
          <w:tcPr>
            <w:tcW w:w="1068" w:type="dxa"/>
            <w:tcBorders>
              <w:top w:val="double" w:sz="4" w:space="0" w:color="auto"/>
            </w:tcBorders>
            <w:vAlign w:val="center"/>
          </w:tcPr>
          <w:p w:rsidR="00485094" w:rsidRDefault="00485094" w:rsidP="001C044D">
            <w:pPr>
              <w:pStyle w:val="TableText"/>
              <w:jc w:val="center"/>
            </w:pPr>
            <w:r w:rsidRPr="00E11B11">
              <w:t>2</w:t>
            </w:r>
            <w:r>
              <w:t>,</w:t>
            </w:r>
            <w:r w:rsidRPr="00E11B11">
              <w:t>683</w:t>
            </w:r>
          </w:p>
        </w:tc>
      </w:tr>
      <w:tr w:rsidR="00485094" w:rsidTr="001C044D">
        <w:trPr>
          <w:trHeight w:val="250"/>
          <w:jc w:val="center"/>
        </w:trPr>
        <w:tc>
          <w:tcPr>
            <w:tcW w:w="2706" w:type="dxa"/>
            <w:shd w:val="clear" w:color="auto" w:fill="FFFFCC"/>
            <w:vAlign w:val="center"/>
          </w:tcPr>
          <w:p w:rsidR="00485094" w:rsidRDefault="00485094" w:rsidP="001C044D">
            <w:pPr>
              <w:pStyle w:val="TableText"/>
              <w:jc w:val="center"/>
            </w:pPr>
            <w:r>
              <w:t>DO</w:t>
            </w:r>
          </w:p>
        </w:tc>
        <w:tc>
          <w:tcPr>
            <w:tcW w:w="1352" w:type="dxa"/>
            <w:vAlign w:val="center"/>
          </w:tcPr>
          <w:p w:rsidR="00485094" w:rsidRDefault="00485094" w:rsidP="001C044D">
            <w:pPr>
              <w:pStyle w:val="TableText"/>
              <w:jc w:val="center"/>
            </w:pPr>
            <w:r w:rsidRPr="003C2ADE">
              <w:t>129</w:t>
            </w:r>
          </w:p>
        </w:tc>
        <w:tc>
          <w:tcPr>
            <w:tcW w:w="1068" w:type="dxa"/>
            <w:vAlign w:val="center"/>
          </w:tcPr>
          <w:p w:rsidR="00485094" w:rsidRDefault="00485094" w:rsidP="001C044D">
            <w:pPr>
              <w:pStyle w:val="TableText"/>
              <w:jc w:val="center"/>
            </w:pPr>
            <w:r w:rsidRPr="00E11B11">
              <w:t>432</w:t>
            </w:r>
          </w:p>
        </w:tc>
      </w:tr>
      <w:tr w:rsidR="00485094" w:rsidTr="001C044D">
        <w:trPr>
          <w:trHeight w:val="250"/>
          <w:jc w:val="center"/>
        </w:trPr>
        <w:tc>
          <w:tcPr>
            <w:tcW w:w="2706" w:type="dxa"/>
            <w:shd w:val="clear" w:color="auto" w:fill="FFFFCC"/>
            <w:vAlign w:val="center"/>
          </w:tcPr>
          <w:p w:rsidR="00485094" w:rsidRDefault="00485094" w:rsidP="001C044D">
            <w:pPr>
              <w:pStyle w:val="TableText"/>
              <w:jc w:val="center"/>
            </w:pPr>
            <w:r>
              <w:t xml:space="preserve">Chlorophyll </w:t>
            </w:r>
            <w:r w:rsidRPr="004041A6">
              <w:rPr>
                <w:i/>
              </w:rPr>
              <w:t>a</w:t>
            </w:r>
          </w:p>
        </w:tc>
        <w:tc>
          <w:tcPr>
            <w:tcW w:w="1352" w:type="dxa"/>
            <w:vAlign w:val="center"/>
          </w:tcPr>
          <w:p w:rsidR="00485094" w:rsidRDefault="00485094" w:rsidP="001C044D">
            <w:pPr>
              <w:pStyle w:val="TableText"/>
              <w:jc w:val="center"/>
            </w:pPr>
            <w:r w:rsidRPr="003C2ADE">
              <w:t>99</w:t>
            </w:r>
          </w:p>
        </w:tc>
        <w:tc>
          <w:tcPr>
            <w:tcW w:w="1068" w:type="dxa"/>
            <w:vAlign w:val="center"/>
          </w:tcPr>
          <w:p w:rsidR="00485094" w:rsidRDefault="00485094" w:rsidP="001C044D">
            <w:pPr>
              <w:pStyle w:val="TableText"/>
              <w:jc w:val="center"/>
            </w:pPr>
            <w:r w:rsidRPr="00E11B11">
              <w:t>470</w:t>
            </w:r>
          </w:p>
        </w:tc>
      </w:tr>
      <w:tr w:rsidR="00485094" w:rsidTr="001C044D">
        <w:trPr>
          <w:trHeight w:val="250"/>
          <w:jc w:val="center"/>
        </w:trPr>
        <w:tc>
          <w:tcPr>
            <w:tcW w:w="2706" w:type="dxa"/>
            <w:shd w:val="clear" w:color="auto" w:fill="FFFFCC"/>
            <w:vAlign w:val="center"/>
          </w:tcPr>
          <w:p w:rsidR="00485094" w:rsidRDefault="00485094" w:rsidP="001C044D">
            <w:pPr>
              <w:pStyle w:val="TableText"/>
              <w:jc w:val="center"/>
            </w:pPr>
            <w:r>
              <w:t>Fecal Coliform</w:t>
            </w:r>
          </w:p>
        </w:tc>
        <w:tc>
          <w:tcPr>
            <w:tcW w:w="1352" w:type="dxa"/>
            <w:vAlign w:val="center"/>
          </w:tcPr>
          <w:p w:rsidR="00485094" w:rsidRDefault="00485094" w:rsidP="001C044D">
            <w:pPr>
              <w:pStyle w:val="TableText"/>
              <w:jc w:val="center"/>
            </w:pPr>
            <w:r>
              <w:t>97</w:t>
            </w:r>
          </w:p>
        </w:tc>
        <w:tc>
          <w:tcPr>
            <w:tcW w:w="1068" w:type="dxa"/>
            <w:vAlign w:val="center"/>
          </w:tcPr>
          <w:p w:rsidR="00485094" w:rsidRDefault="00485094" w:rsidP="001C044D">
            <w:pPr>
              <w:pStyle w:val="TableText"/>
              <w:jc w:val="center"/>
            </w:pPr>
            <w:r>
              <w:t>472</w:t>
            </w:r>
          </w:p>
        </w:tc>
      </w:tr>
      <w:tr w:rsidR="00485094" w:rsidTr="001C044D">
        <w:trPr>
          <w:trHeight w:val="250"/>
          <w:jc w:val="center"/>
        </w:trPr>
        <w:tc>
          <w:tcPr>
            <w:tcW w:w="2706" w:type="dxa"/>
            <w:shd w:val="clear" w:color="auto" w:fill="FFFFCC"/>
            <w:vAlign w:val="center"/>
          </w:tcPr>
          <w:p w:rsidR="00485094" w:rsidRDefault="00485094" w:rsidP="001C044D">
            <w:pPr>
              <w:pStyle w:val="TableText"/>
              <w:jc w:val="center"/>
            </w:pPr>
            <w:r>
              <w:t>Bacteria in Shellfish</w:t>
            </w:r>
          </w:p>
        </w:tc>
        <w:tc>
          <w:tcPr>
            <w:tcW w:w="1352" w:type="dxa"/>
            <w:vAlign w:val="center"/>
          </w:tcPr>
          <w:p w:rsidR="00485094" w:rsidRDefault="00485094" w:rsidP="001C044D">
            <w:pPr>
              <w:pStyle w:val="TableText"/>
              <w:jc w:val="center"/>
            </w:pPr>
            <w:r w:rsidRPr="003C2ADE">
              <w:t>71</w:t>
            </w:r>
          </w:p>
        </w:tc>
        <w:tc>
          <w:tcPr>
            <w:tcW w:w="1068" w:type="dxa"/>
            <w:vAlign w:val="center"/>
          </w:tcPr>
          <w:p w:rsidR="00485094" w:rsidRDefault="00485094" w:rsidP="001C044D">
            <w:pPr>
              <w:pStyle w:val="TableText"/>
              <w:jc w:val="center"/>
            </w:pPr>
            <w:r w:rsidRPr="00E11B11">
              <w:t>846</w:t>
            </w:r>
          </w:p>
        </w:tc>
      </w:tr>
      <w:tr w:rsidR="00485094" w:rsidTr="001C044D">
        <w:trPr>
          <w:trHeight w:val="250"/>
          <w:jc w:val="center"/>
        </w:trPr>
        <w:tc>
          <w:tcPr>
            <w:tcW w:w="2706" w:type="dxa"/>
            <w:shd w:val="clear" w:color="auto" w:fill="FFFFCC"/>
            <w:vAlign w:val="center"/>
          </w:tcPr>
          <w:p w:rsidR="00485094" w:rsidRDefault="00485094" w:rsidP="001C044D">
            <w:pPr>
              <w:pStyle w:val="TableText"/>
              <w:jc w:val="center"/>
            </w:pPr>
            <w:r>
              <w:t>Copper</w:t>
            </w:r>
          </w:p>
        </w:tc>
        <w:tc>
          <w:tcPr>
            <w:tcW w:w="1352" w:type="dxa"/>
            <w:vAlign w:val="center"/>
          </w:tcPr>
          <w:p w:rsidR="00485094" w:rsidRDefault="00485094" w:rsidP="001C044D">
            <w:pPr>
              <w:pStyle w:val="TableText"/>
              <w:jc w:val="center"/>
            </w:pPr>
            <w:r w:rsidRPr="003C2ADE">
              <w:t>22</w:t>
            </w:r>
          </w:p>
        </w:tc>
        <w:tc>
          <w:tcPr>
            <w:tcW w:w="1068" w:type="dxa"/>
            <w:vAlign w:val="center"/>
          </w:tcPr>
          <w:p w:rsidR="00485094" w:rsidRDefault="00485094" w:rsidP="001C044D">
            <w:pPr>
              <w:pStyle w:val="TableText"/>
              <w:jc w:val="center"/>
            </w:pPr>
            <w:r w:rsidRPr="00E11B11">
              <w:t>100</w:t>
            </w:r>
          </w:p>
        </w:tc>
      </w:tr>
      <w:tr w:rsidR="00485094" w:rsidTr="001C044D">
        <w:trPr>
          <w:trHeight w:val="250"/>
          <w:jc w:val="center"/>
        </w:trPr>
        <w:tc>
          <w:tcPr>
            <w:tcW w:w="2706" w:type="dxa"/>
            <w:shd w:val="clear" w:color="auto" w:fill="FFFFCC"/>
            <w:vAlign w:val="center"/>
          </w:tcPr>
          <w:p w:rsidR="00485094" w:rsidRDefault="00485094" w:rsidP="001C044D">
            <w:pPr>
              <w:pStyle w:val="TableText"/>
              <w:jc w:val="center"/>
            </w:pPr>
            <w:r>
              <w:t xml:space="preserve">Historical Chlorophyll </w:t>
            </w:r>
            <w:r w:rsidRPr="0039573D">
              <w:rPr>
                <w:i/>
              </w:rPr>
              <w:t>a</w:t>
            </w:r>
          </w:p>
        </w:tc>
        <w:tc>
          <w:tcPr>
            <w:tcW w:w="1352" w:type="dxa"/>
            <w:vAlign w:val="center"/>
          </w:tcPr>
          <w:p w:rsidR="00485094" w:rsidRDefault="00485094" w:rsidP="001C044D">
            <w:pPr>
              <w:pStyle w:val="TableText"/>
              <w:jc w:val="center"/>
            </w:pPr>
            <w:r w:rsidRPr="003C2ADE">
              <w:t>21</w:t>
            </w:r>
          </w:p>
        </w:tc>
        <w:tc>
          <w:tcPr>
            <w:tcW w:w="1068" w:type="dxa"/>
            <w:vAlign w:val="center"/>
          </w:tcPr>
          <w:p w:rsidR="00485094" w:rsidRDefault="00485094" w:rsidP="001C044D">
            <w:pPr>
              <w:pStyle w:val="TableText"/>
              <w:jc w:val="center"/>
            </w:pPr>
            <w:r w:rsidRPr="00E11B11">
              <w:t>99</w:t>
            </w:r>
          </w:p>
        </w:tc>
      </w:tr>
      <w:tr w:rsidR="00485094" w:rsidTr="001C044D">
        <w:trPr>
          <w:trHeight w:val="250"/>
          <w:jc w:val="center"/>
        </w:trPr>
        <w:tc>
          <w:tcPr>
            <w:tcW w:w="2706" w:type="dxa"/>
            <w:shd w:val="clear" w:color="auto" w:fill="FFFFCC"/>
            <w:vAlign w:val="center"/>
          </w:tcPr>
          <w:p w:rsidR="00485094" w:rsidRDefault="00485094" w:rsidP="001C044D">
            <w:pPr>
              <w:pStyle w:val="TableText"/>
              <w:jc w:val="center"/>
            </w:pPr>
            <w:r>
              <w:t>Iron</w:t>
            </w:r>
          </w:p>
        </w:tc>
        <w:tc>
          <w:tcPr>
            <w:tcW w:w="1352" w:type="dxa"/>
            <w:vAlign w:val="center"/>
          </w:tcPr>
          <w:p w:rsidR="00485094" w:rsidRDefault="00485094" w:rsidP="001C044D">
            <w:pPr>
              <w:pStyle w:val="TableText"/>
              <w:jc w:val="center"/>
            </w:pPr>
            <w:r w:rsidRPr="003C2ADE">
              <w:t>17</w:t>
            </w:r>
          </w:p>
        </w:tc>
        <w:tc>
          <w:tcPr>
            <w:tcW w:w="1068" w:type="dxa"/>
            <w:vAlign w:val="center"/>
          </w:tcPr>
          <w:p w:rsidR="00485094" w:rsidRDefault="00485094" w:rsidP="001C044D">
            <w:pPr>
              <w:pStyle w:val="TableText"/>
              <w:jc w:val="center"/>
            </w:pPr>
            <w:r w:rsidRPr="00E11B11">
              <w:t>98</w:t>
            </w:r>
          </w:p>
        </w:tc>
      </w:tr>
      <w:tr w:rsidR="00485094" w:rsidTr="001C044D">
        <w:trPr>
          <w:trHeight w:val="250"/>
          <w:jc w:val="center"/>
        </w:trPr>
        <w:tc>
          <w:tcPr>
            <w:tcW w:w="2706" w:type="dxa"/>
            <w:shd w:val="clear" w:color="auto" w:fill="FFFFCC"/>
            <w:vAlign w:val="center"/>
          </w:tcPr>
          <w:p w:rsidR="00485094" w:rsidRDefault="00485094" w:rsidP="001C044D">
            <w:pPr>
              <w:pStyle w:val="TableText"/>
              <w:jc w:val="center"/>
            </w:pPr>
            <w:r>
              <w:t>Lead</w:t>
            </w:r>
          </w:p>
        </w:tc>
        <w:tc>
          <w:tcPr>
            <w:tcW w:w="1352" w:type="dxa"/>
            <w:vAlign w:val="center"/>
          </w:tcPr>
          <w:p w:rsidR="00485094" w:rsidRDefault="00485094" w:rsidP="001C044D">
            <w:pPr>
              <w:pStyle w:val="TableText"/>
              <w:jc w:val="center"/>
            </w:pPr>
            <w:r w:rsidRPr="003C2ADE">
              <w:t>4</w:t>
            </w:r>
          </w:p>
        </w:tc>
        <w:tc>
          <w:tcPr>
            <w:tcW w:w="1068" w:type="dxa"/>
            <w:vAlign w:val="center"/>
          </w:tcPr>
          <w:p w:rsidR="00485094" w:rsidRDefault="00485094" w:rsidP="001C044D">
            <w:pPr>
              <w:pStyle w:val="TableText"/>
              <w:jc w:val="center"/>
            </w:pPr>
            <w:r w:rsidRPr="00E11B11">
              <w:t>7</w:t>
            </w:r>
          </w:p>
        </w:tc>
      </w:tr>
      <w:tr w:rsidR="00485094" w:rsidTr="001C044D">
        <w:trPr>
          <w:trHeight w:val="250"/>
          <w:jc w:val="center"/>
        </w:trPr>
        <w:tc>
          <w:tcPr>
            <w:tcW w:w="2706" w:type="dxa"/>
            <w:shd w:val="clear" w:color="auto" w:fill="FFFFCC"/>
            <w:vAlign w:val="center"/>
          </w:tcPr>
          <w:p w:rsidR="00485094" w:rsidRDefault="00485094" w:rsidP="001C044D">
            <w:pPr>
              <w:pStyle w:val="TableText"/>
              <w:jc w:val="center"/>
            </w:pPr>
            <w:r>
              <w:t>Nickel</w:t>
            </w:r>
          </w:p>
        </w:tc>
        <w:tc>
          <w:tcPr>
            <w:tcW w:w="1352" w:type="dxa"/>
            <w:vAlign w:val="center"/>
          </w:tcPr>
          <w:p w:rsidR="00485094" w:rsidRDefault="00485094" w:rsidP="001C044D">
            <w:pPr>
              <w:pStyle w:val="TableText"/>
              <w:jc w:val="center"/>
            </w:pPr>
            <w:r w:rsidRPr="003C2ADE">
              <w:t>3</w:t>
            </w:r>
          </w:p>
        </w:tc>
        <w:tc>
          <w:tcPr>
            <w:tcW w:w="1068" w:type="dxa"/>
            <w:vAlign w:val="center"/>
          </w:tcPr>
          <w:p w:rsidR="00485094" w:rsidRDefault="00485094" w:rsidP="001C044D">
            <w:pPr>
              <w:pStyle w:val="TableText"/>
              <w:jc w:val="center"/>
            </w:pPr>
            <w:r w:rsidRPr="00E11B11">
              <w:t>40</w:t>
            </w:r>
          </w:p>
        </w:tc>
      </w:tr>
      <w:tr w:rsidR="00485094" w:rsidTr="001C044D">
        <w:trPr>
          <w:trHeight w:val="250"/>
          <w:jc w:val="center"/>
        </w:trPr>
        <w:tc>
          <w:tcPr>
            <w:tcW w:w="2706" w:type="dxa"/>
            <w:shd w:val="clear" w:color="auto" w:fill="FFFFCC"/>
            <w:vAlign w:val="center"/>
          </w:tcPr>
          <w:p w:rsidR="00485094" w:rsidRDefault="00485094" w:rsidP="001C044D">
            <w:pPr>
              <w:pStyle w:val="TableText"/>
              <w:jc w:val="center"/>
            </w:pPr>
            <w:r>
              <w:t>Arsenic</w:t>
            </w:r>
          </w:p>
        </w:tc>
        <w:tc>
          <w:tcPr>
            <w:tcW w:w="1352" w:type="dxa"/>
            <w:vAlign w:val="center"/>
          </w:tcPr>
          <w:p w:rsidR="00485094" w:rsidRDefault="00485094" w:rsidP="001C044D">
            <w:pPr>
              <w:pStyle w:val="TableText"/>
              <w:jc w:val="center"/>
            </w:pPr>
            <w:r w:rsidRPr="003C2ADE">
              <w:t>2</w:t>
            </w:r>
          </w:p>
        </w:tc>
        <w:tc>
          <w:tcPr>
            <w:tcW w:w="1068" w:type="dxa"/>
            <w:vAlign w:val="center"/>
          </w:tcPr>
          <w:p w:rsidR="00485094" w:rsidRDefault="00485094" w:rsidP="001C044D">
            <w:pPr>
              <w:pStyle w:val="TableText"/>
              <w:jc w:val="center"/>
            </w:pPr>
            <w:r w:rsidRPr="00E11B11">
              <w:t>8</w:t>
            </w:r>
          </w:p>
        </w:tc>
      </w:tr>
      <w:tr w:rsidR="00485094" w:rsidTr="001C044D">
        <w:trPr>
          <w:trHeight w:val="250"/>
          <w:jc w:val="center"/>
        </w:trPr>
        <w:tc>
          <w:tcPr>
            <w:tcW w:w="2706" w:type="dxa"/>
            <w:shd w:val="clear" w:color="auto" w:fill="FFFFCC"/>
            <w:vAlign w:val="center"/>
          </w:tcPr>
          <w:p w:rsidR="00485094" w:rsidRDefault="00485094" w:rsidP="001C044D">
            <w:pPr>
              <w:pStyle w:val="TableText"/>
              <w:jc w:val="center"/>
            </w:pPr>
            <w:r>
              <w:t>Turbidity</w:t>
            </w:r>
          </w:p>
        </w:tc>
        <w:tc>
          <w:tcPr>
            <w:tcW w:w="1352" w:type="dxa"/>
            <w:vAlign w:val="center"/>
          </w:tcPr>
          <w:p w:rsidR="00485094" w:rsidRDefault="00485094" w:rsidP="001C044D">
            <w:pPr>
              <w:pStyle w:val="TableText"/>
              <w:jc w:val="center"/>
            </w:pPr>
            <w:r w:rsidRPr="003C2ADE">
              <w:t>1</w:t>
            </w:r>
          </w:p>
        </w:tc>
        <w:tc>
          <w:tcPr>
            <w:tcW w:w="1068" w:type="dxa"/>
            <w:vAlign w:val="center"/>
          </w:tcPr>
          <w:p w:rsidR="00485094" w:rsidRDefault="00485094" w:rsidP="001C044D">
            <w:pPr>
              <w:pStyle w:val="TableText"/>
              <w:jc w:val="center"/>
            </w:pPr>
            <w:r w:rsidRPr="00E11B11">
              <w:t>1</w:t>
            </w:r>
          </w:p>
        </w:tc>
      </w:tr>
    </w:tbl>
    <w:p w:rsidR="00485094" w:rsidRDefault="00485094" w:rsidP="005F5866">
      <w:pPr>
        <w:pStyle w:val="TableText"/>
        <w:rPr>
          <w:b/>
        </w:rPr>
      </w:pPr>
    </w:p>
    <w:p w:rsidR="00485094" w:rsidRDefault="00485094" w:rsidP="005F5866">
      <w:pPr>
        <w:pStyle w:val="TableText"/>
        <w:rPr>
          <w:b/>
        </w:rPr>
      </w:pPr>
    </w:p>
    <w:p w:rsidR="00485094" w:rsidRDefault="00485094">
      <w:pPr>
        <w:rPr>
          <w:rFonts w:ascii="Arial" w:hAnsi="Arial"/>
          <w:b/>
          <w:i/>
          <w:sz w:val="20"/>
          <w:szCs w:val="20"/>
        </w:rPr>
      </w:pPr>
      <w:r>
        <w:br w:type="page"/>
      </w:r>
    </w:p>
    <w:p w:rsidR="00485094" w:rsidRDefault="00485094" w:rsidP="00A11646">
      <w:pPr>
        <w:pStyle w:val="Tableheading"/>
        <w:rPr>
          <w:b w:val="0"/>
        </w:rPr>
      </w:pPr>
      <w:bookmarkStart w:id="590" w:name="_Toc271280121"/>
      <w:r w:rsidRPr="003A4461">
        <w:t xml:space="preserve">Table </w:t>
      </w:r>
      <w:r>
        <w:t>8.3d.</w:t>
      </w:r>
      <w:r w:rsidRPr="003A4461">
        <w:t xml:space="preserve">  </w:t>
      </w:r>
      <w:r>
        <w:t>Square Miles of Coastal Waters Impaired by Cause</w:t>
      </w:r>
      <w:bookmarkEnd w:id="590"/>
    </w:p>
    <w:p w:rsidR="00485094" w:rsidRDefault="00485094" w:rsidP="004041A6">
      <w:pPr>
        <w:pStyle w:val="TabledescriptionBF"/>
      </w:pPr>
      <w:r>
        <w:t>This is a three-column table.  Column 1 lists the parameter, Column 2 lists the number of waterbodies, and Column 3 lists the square miles impaired.</w:t>
      </w:r>
    </w:p>
    <w:p w:rsidR="00485094" w:rsidRPr="00D03596" w:rsidRDefault="00485094" w:rsidP="000D304A">
      <w:pPr>
        <w:autoSpaceDE w:val="0"/>
        <w:autoSpaceDN w:val="0"/>
        <w:adjustRightInd w:val="0"/>
        <w:rPr>
          <w:rFonts w:ascii="Arial" w:hAnsi="Arial" w:cs="Arial"/>
          <w:bCs/>
          <w:sz w:val="16"/>
          <w:szCs w:val="16"/>
        </w:rPr>
      </w:pPr>
    </w:p>
    <w:tbl>
      <w:tblPr>
        <w:tblW w:w="5117" w:type="dxa"/>
        <w:jc w:val="center"/>
        <w:tblInd w:w="-100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tblPr>
      <w:tblGrid>
        <w:gridCol w:w="2686"/>
        <w:gridCol w:w="1309"/>
        <w:gridCol w:w="1122"/>
      </w:tblGrid>
      <w:tr w:rsidR="00485094" w:rsidRPr="00E76B4B" w:rsidTr="00E86B70">
        <w:trPr>
          <w:trHeight w:val="250"/>
          <w:jc w:val="center"/>
        </w:trPr>
        <w:tc>
          <w:tcPr>
            <w:tcW w:w="2686" w:type="dxa"/>
            <w:tcBorders>
              <w:top w:val="single" w:sz="6" w:space="0" w:color="000000"/>
              <w:left w:val="single" w:sz="6" w:space="0" w:color="000000"/>
              <w:bottom w:val="double" w:sz="4" w:space="0" w:color="auto"/>
              <w:right w:val="single" w:sz="6" w:space="0" w:color="000000"/>
            </w:tcBorders>
            <w:shd w:val="clear" w:color="auto" w:fill="BDFFFF"/>
            <w:vAlign w:val="bottom"/>
          </w:tcPr>
          <w:p w:rsidR="00485094" w:rsidRPr="00E76B4B" w:rsidRDefault="00485094" w:rsidP="005B103D">
            <w:pPr>
              <w:pStyle w:val="TableText"/>
              <w:jc w:val="center"/>
              <w:rPr>
                <w:b/>
                <w:bCs/>
                <w:i/>
              </w:rPr>
            </w:pPr>
            <w:r w:rsidRPr="00E76B4B">
              <w:rPr>
                <w:b/>
                <w:bCs/>
                <w:i/>
              </w:rPr>
              <w:t>Parameter</w:t>
            </w:r>
          </w:p>
        </w:tc>
        <w:tc>
          <w:tcPr>
            <w:tcW w:w="1309" w:type="dxa"/>
            <w:tcBorders>
              <w:top w:val="single" w:sz="6" w:space="0" w:color="000000"/>
              <w:left w:val="single" w:sz="6" w:space="0" w:color="000000"/>
              <w:bottom w:val="double" w:sz="4" w:space="0" w:color="auto"/>
              <w:right w:val="single" w:sz="6" w:space="0" w:color="000000"/>
            </w:tcBorders>
            <w:shd w:val="clear" w:color="auto" w:fill="BDFFFF"/>
            <w:vAlign w:val="bottom"/>
          </w:tcPr>
          <w:p w:rsidR="00485094" w:rsidRPr="00E76B4B" w:rsidRDefault="00485094" w:rsidP="005B103D">
            <w:pPr>
              <w:pStyle w:val="TableText"/>
              <w:jc w:val="center"/>
              <w:rPr>
                <w:b/>
                <w:bCs/>
                <w:i/>
              </w:rPr>
            </w:pPr>
            <w:r w:rsidRPr="00E76B4B">
              <w:rPr>
                <w:b/>
                <w:bCs/>
                <w:i/>
              </w:rPr>
              <w:t>Number of Waterbodies</w:t>
            </w:r>
          </w:p>
        </w:tc>
        <w:tc>
          <w:tcPr>
            <w:tcW w:w="1122" w:type="dxa"/>
            <w:tcBorders>
              <w:top w:val="single" w:sz="6" w:space="0" w:color="000000"/>
              <w:left w:val="single" w:sz="6" w:space="0" w:color="000000"/>
              <w:bottom w:val="double" w:sz="4" w:space="0" w:color="auto"/>
              <w:right w:val="single" w:sz="6" w:space="0" w:color="000000"/>
            </w:tcBorders>
            <w:shd w:val="clear" w:color="auto" w:fill="BDFFFF"/>
            <w:vAlign w:val="bottom"/>
          </w:tcPr>
          <w:p w:rsidR="00485094" w:rsidRPr="00E76B4B" w:rsidRDefault="00485094" w:rsidP="005B103D">
            <w:pPr>
              <w:pStyle w:val="TableText"/>
              <w:jc w:val="center"/>
              <w:rPr>
                <w:b/>
                <w:bCs/>
                <w:i/>
              </w:rPr>
            </w:pPr>
            <w:r w:rsidRPr="00E76B4B">
              <w:rPr>
                <w:b/>
                <w:bCs/>
                <w:i/>
              </w:rPr>
              <w:t>Square Miles Impaired</w:t>
            </w:r>
          </w:p>
        </w:tc>
      </w:tr>
      <w:tr w:rsidR="00485094" w:rsidRPr="00E76B4B" w:rsidTr="001C044D">
        <w:trPr>
          <w:trHeight w:val="250"/>
          <w:jc w:val="center"/>
        </w:trPr>
        <w:tc>
          <w:tcPr>
            <w:tcW w:w="2686" w:type="dxa"/>
            <w:tcBorders>
              <w:top w:val="double" w:sz="4" w:space="0" w:color="auto"/>
            </w:tcBorders>
            <w:shd w:val="clear" w:color="auto" w:fill="FFFFCC"/>
            <w:vAlign w:val="center"/>
          </w:tcPr>
          <w:p w:rsidR="00485094" w:rsidRDefault="00485094" w:rsidP="001C044D">
            <w:pPr>
              <w:pStyle w:val="TableText"/>
              <w:jc w:val="center"/>
            </w:pPr>
            <w:r>
              <w:t>Mercury in Fish</w:t>
            </w:r>
          </w:p>
        </w:tc>
        <w:tc>
          <w:tcPr>
            <w:tcW w:w="1309" w:type="dxa"/>
            <w:tcBorders>
              <w:top w:val="double" w:sz="4" w:space="0" w:color="auto"/>
            </w:tcBorders>
            <w:vAlign w:val="center"/>
          </w:tcPr>
          <w:p w:rsidR="00485094" w:rsidRDefault="00485094" w:rsidP="001C044D">
            <w:pPr>
              <w:pStyle w:val="TableText"/>
              <w:jc w:val="center"/>
            </w:pPr>
            <w:r w:rsidRPr="00A87E2C">
              <w:t>158</w:t>
            </w:r>
          </w:p>
        </w:tc>
        <w:tc>
          <w:tcPr>
            <w:tcW w:w="1122" w:type="dxa"/>
            <w:tcBorders>
              <w:top w:val="double" w:sz="4" w:space="0" w:color="auto"/>
            </w:tcBorders>
            <w:vAlign w:val="center"/>
          </w:tcPr>
          <w:p w:rsidR="00485094" w:rsidRDefault="00485094" w:rsidP="001C044D">
            <w:pPr>
              <w:pStyle w:val="TableText"/>
              <w:jc w:val="center"/>
            </w:pPr>
            <w:r w:rsidRPr="009212AF">
              <w:t>6</w:t>
            </w:r>
            <w:r>
              <w:t>,</w:t>
            </w:r>
            <w:r w:rsidRPr="009212AF">
              <w:t>830</w:t>
            </w:r>
          </w:p>
        </w:tc>
      </w:tr>
      <w:tr w:rsidR="00485094" w:rsidRPr="00E76B4B" w:rsidTr="001C044D">
        <w:trPr>
          <w:trHeight w:val="250"/>
          <w:jc w:val="center"/>
        </w:trPr>
        <w:tc>
          <w:tcPr>
            <w:tcW w:w="2686" w:type="dxa"/>
            <w:shd w:val="clear" w:color="auto" w:fill="FFFFCC"/>
            <w:vAlign w:val="center"/>
          </w:tcPr>
          <w:p w:rsidR="00485094" w:rsidRDefault="00485094" w:rsidP="001C044D">
            <w:pPr>
              <w:pStyle w:val="TableText"/>
              <w:jc w:val="center"/>
            </w:pPr>
            <w:r>
              <w:t>DO</w:t>
            </w:r>
          </w:p>
        </w:tc>
        <w:tc>
          <w:tcPr>
            <w:tcW w:w="1309" w:type="dxa"/>
            <w:vAlign w:val="center"/>
          </w:tcPr>
          <w:p w:rsidR="00485094" w:rsidRDefault="00485094" w:rsidP="001C044D">
            <w:pPr>
              <w:pStyle w:val="TableText"/>
              <w:jc w:val="center"/>
            </w:pPr>
            <w:r w:rsidRPr="00A87E2C">
              <w:t>17</w:t>
            </w:r>
          </w:p>
        </w:tc>
        <w:tc>
          <w:tcPr>
            <w:tcW w:w="1122" w:type="dxa"/>
            <w:vAlign w:val="center"/>
          </w:tcPr>
          <w:p w:rsidR="00485094" w:rsidRDefault="00485094" w:rsidP="001C044D">
            <w:pPr>
              <w:pStyle w:val="TableText"/>
              <w:jc w:val="center"/>
            </w:pPr>
            <w:r w:rsidRPr="009212AF">
              <w:t>294</w:t>
            </w:r>
          </w:p>
        </w:tc>
      </w:tr>
      <w:tr w:rsidR="00485094" w:rsidRPr="00E76B4B" w:rsidTr="001C044D">
        <w:trPr>
          <w:trHeight w:val="250"/>
          <w:jc w:val="center"/>
        </w:trPr>
        <w:tc>
          <w:tcPr>
            <w:tcW w:w="2686" w:type="dxa"/>
            <w:shd w:val="clear" w:color="auto" w:fill="FFFFCC"/>
            <w:vAlign w:val="center"/>
          </w:tcPr>
          <w:p w:rsidR="00485094" w:rsidRDefault="00485094" w:rsidP="001C044D">
            <w:pPr>
              <w:pStyle w:val="TableText"/>
              <w:jc w:val="center"/>
            </w:pPr>
            <w:r>
              <w:t>Copper</w:t>
            </w:r>
          </w:p>
        </w:tc>
        <w:tc>
          <w:tcPr>
            <w:tcW w:w="1309" w:type="dxa"/>
            <w:vAlign w:val="center"/>
          </w:tcPr>
          <w:p w:rsidR="00485094" w:rsidRDefault="00485094" w:rsidP="001C044D">
            <w:pPr>
              <w:pStyle w:val="TableText"/>
              <w:jc w:val="center"/>
            </w:pPr>
            <w:r w:rsidRPr="00A87E2C">
              <w:t>9</w:t>
            </w:r>
          </w:p>
        </w:tc>
        <w:tc>
          <w:tcPr>
            <w:tcW w:w="1122" w:type="dxa"/>
            <w:vAlign w:val="center"/>
          </w:tcPr>
          <w:p w:rsidR="00485094" w:rsidRDefault="00485094" w:rsidP="001C044D">
            <w:pPr>
              <w:pStyle w:val="TableText"/>
              <w:jc w:val="center"/>
            </w:pPr>
            <w:r w:rsidRPr="009212AF">
              <w:t>93</w:t>
            </w:r>
          </w:p>
        </w:tc>
      </w:tr>
      <w:tr w:rsidR="00485094" w:rsidRPr="00E76B4B" w:rsidTr="001C044D">
        <w:trPr>
          <w:trHeight w:val="250"/>
          <w:jc w:val="center"/>
        </w:trPr>
        <w:tc>
          <w:tcPr>
            <w:tcW w:w="2686" w:type="dxa"/>
            <w:shd w:val="clear" w:color="auto" w:fill="FFFFCC"/>
            <w:vAlign w:val="center"/>
          </w:tcPr>
          <w:p w:rsidR="00485094" w:rsidRDefault="00485094" w:rsidP="001C044D">
            <w:pPr>
              <w:pStyle w:val="TableText"/>
              <w:jc w:val="center"/>
            </w:pPr>
            <w:r>
              <w:t>Bacteria in Shellfish</w:t>
            </w:r>
          </w:p>
        </w:tc>
        <w:tc>
          <w:tcPr>
            <w:tcW w:w="1309" w:type="dxa"/>
            <w:vAlign w:val="center"/>
          </w:tcPr>
          <w:p w:rsidR="00485094" w:rsidRDefault="00485094" w:rsidP="001C044D">
            <w:pPr>
              <w:pStyle w:val="TableText"/>
              <w:jc w:val="center"/>
            </w:pPr>
            <w:r w:rsidRPr="00A87E2C">
              <w:t>6</w:t>
            </w:r>
          </w:p>
        </w:tc>
        <w:tc>
          <w:tcPr>
            <w:tcW w:w="1122" w:type="dxa"/>
            <w:vAlign w:val="center"/>
          </w:tcPr>
          <w:p w:rsidR="00485094" w:rsidRDefault="00485094" w:rsidP="001C044D">
            <w:pPr>
              <w:pStyle w:val="TableText"/>
              <w:jc w:val="center"/>
            </w:pPr>
            <w:r w:rsidRPr="009212AF">
              <w:t>403</w:t>
            </w:r>
          </w:p>
        </w:tc>
      </w:tr>
      <w:tr w:rsidR="00485094" w:rsidRPr="00E76B4B" w:rsidTr="001C044D">
        <w:trPr>
          <w:trHeight w:val="250"/>
          <w:jc w:val="center"/>
        </w:trPr>
        <w:tc>
          <w:tcPr>
            <w:tcW w:w="2686" w:type="dxa"/>
            <w:shd w:val="clear" w:color="auto" w:fill="FFFFCC"/>
            <w:vAlign w:val="center"/>
          </w:tcPr>
          <w:p w:rsidR="00485094" w:rsidRPr="003E7E92" w:rsidRDefault="00485094" w:rsidP="001C044D">
            <w:pPr>
              <w:pStyle w:val="TableText"/>
              <w:jc w:val="center"/>
            </w:pPr>
            <w:r>
              <w:t>Beach Advisories</w:t>
            </w:r>
          </w:p>
        </w:tc>
        <w:tc>
          <w:tcPr>
            <w:tcW w:w="1309" w:type="dxa"/>
            <w:vAlign w:val="center"/>
          </w:tcPr>
          <w:p w:rsidR="00485094" w:rsidRPr="003E7E92" w:rsidRDefault="00485094" w:rsidP="001C044D">
            <w:pPr>
              <w:pStyle w:val="TableText"/>
              <w:jc w:val="center"/>
            </w:pPr>
            <w:r w:rsidRPr="00A87E2C">
              <w:t>2</w:t>
            </w:r>
          </w:p>
        </w:tc>
        <w:tc>
          <w:tcPr>
            <w:tcW w:w="1122" w:type="dxa"/>
            <w:vAlign w:val="center"/>
          </w:tcPr>
          <w:p w:rsidR="00485094" w:rsidRPr="003E7E92" w:rsidRDefault="00485094" w:rsidP="001C044D">
            <w:pPr>
              <w:pStyle w:val="TableText"/>
              <w:jc w:val="center"/>
            </w:pPr>
            <w:r w:rsidRPr="009212AF">
              <w:t>0</w:t>
            </w:r>
          </w:p>
        </w:tc>
      </w:tr>
      <w:tr w:rsidR="00485094" w:rsidRPr="00E76B4B" w:rsidTr="001C044D">
        <w:trPr>
          <w:trHeight w:val="250"/>
          <w:jc w:val="center"/>
        </w:trPr>
        <w:tc>
          <w:tcPr>
            <w:tcW w:w="2686" w:type="dxa"/>
            <w:shd w:val="clear" w:color="auto" w:fill="FFFFCC"/>
            <w:vAlign w:val="center"/>
          </w:tcPr>
          <w:p w:rsidR="00485094" w:rsidRPr="003E7E92" w:rsidRDefault="00485094" w:rsidP="001C044D">
            <w:pPr>
              <w:pStyle w:val="TableText"/>
              <w:jc w:val="center"/>
            </w:pPr>
            <w:r>
              <w:t>Fecal Coliform</w:t>
            </w:r>
          </w:p>
        </w:tc>
        <w:tc>
          <w:tcPr>
            <w:tcW w:w="1309" w:type="dxa"/>
            <w:vAlign w:val="center"/>
          </w:tcPr>
          <w:p w:rsidR="00485094" w:rsidRPr="003E7E92" w:rsidRDefault="00485094" w:rsidP="001C044D">
            <w:pPr>
              <w:pStyle w:val="TableText"/>
              <w:jc w:val="center"/>
            </w:pPr>
            <w:r>
              <w:t>3</w:t>
            </w:r>
          </w:p>
        </w:tc>
        <w:tc>
          <w:tcPr>
            <w:tcW w:w="1122" w:type="dxa"/>
            <w:vAlign w:val="center"/>
          </w:tcPr>
          <w:p w:rsidR="00485094" w:rsidRPr="003E7E92" w:rsidRDefault="00485094" w:rsidP="001C044D">
            <w:pPr>
              <w:pStyle w:val="TableText"/>
              <w:jc w:val="center"/>
            </w:pPr>
            <w:r>
              <w:t>430</w:t>
            </w:r>
          </w:p>
        </w:tc>
      </w:tr>
      <w:tr w:rsidR="00485094" w:rsidRPr="00E76B4B" w:rsidTr="001C044D">
        <w:trPr>
          <w:trHeight w:val="250"/>
          <w:jc w:val="center"/>
        </w:trPr>
        <w:tc>
          <w:tcPr>
            <w:tcW w:w="2686" w:type="dxa"/>
            <w:shd w:val="clear" w:color="auto" w:fill="FFFFCC"/>
            <w:vAlign w:val="center"/>
          </w:tcPr>
          <w:p w:rsidR="00485094" w:rsidRPr="003E7E92" w:rsidRDefault="00485094" w:rsidP="001C044D">
            <w:pPr>
              <w:pStyle w:val="TableText"/>
              <w:jc w:val="center"/>
            </w:pPr>
            <w:r>
              <w:t xml:space="preserve">Chlorophyll </w:t>
            </w:r>
            <w:r w:rsidRPr="009D19A3">
              <w:rPr>
                <w:i/>
              </w:rPr>
              <w:t>a</w:t>
            </w:r>
          </w:p>
        </w:tc>
        <w:tc>
          <w:tcPr>
            <w:tcW w:w="1309" w:type="dxa"/>
            <w:vAlign w:val="center"/>
          </w:tcPr>
          <w:p w:rsidR="00485094" w:rsidRPr="003E7E92" w:rsidRDefault="00485094" w:rsidP="001C044D">
            <w:pPr>
              <w:pStyle w:val="TableText"/>
              <w:jc w:val="center"/>
            </w:pPr>
            <w:r w:rsidRPr="00A87E2C">
              <w:t>1</w:t>
            </w:r>
          </w:p>
        </w:tc>
        <w:tc>
          <w:tcPr>
            <w:tcW w:w="1122" w:type="dxa"/>
            <w:vAlign w:val="center"/>
          </w:tcPr>
          <w:p w:rsidR="00485094" w:rsidRPr="003E7E92" w:rsidRDefault="00485094" w:rsidP="001C044D">
            <w:pPr>
              <w:pStyle w:val="TableText"/>
              <w:jc w:val="center"/>
            </w:pPr>
            <w:r w:rsidRPr="009212AF">
              <w:t>102</w:t>
            </w:r>
          </w:p>
        </w:tc>
      </w:tr>
    </w:tbl>
    <w:p w:rsidR="00485094" w:rsidRDefault="00485094" w:rsidP="00A11646">
      <w:pPr>
        <w:pStyle w:val="Bodytextreduced"/>
      </w:pPr>
    </w:p>
    <w:p w:rsidR="00485094" w:rsidRDefault="00485094" w:rsidP="00A11646">
      <w:pPr>
        <w:pStyle w:val="Bodytextreduced"/>
      </w:pPr>
    </w:p>
    <w:p w:rsidR="00485094" w:rsidRPr="003A4461" w:rsidRDefault="00485094" w:rsidP="0041391B">
      <w:pPr>
        <w:pStyle w:val="Heading2"/>
      </w:pPr>
      <w:bookmarkStart w:id="591" w:name="_Toc254269890"/>
      <w:bookmarkStart w:id="592" w:name="_Toc255822552"/>
      <w:bookmarkStart w:id="593" w:name="_Toc271279994"/>
      <w:r w:rsidRPr="002D16DE">
        <w:t>303(d) List of Verified Impaired Waters</w:t>
      </w:r>
      <w:bookmarkEnd w:id="591"/>
      <w:bookmarkEnd w:id="592"/>
      <w:bookmarkEnd w:id="593"/>
    </w:p>
    <w:p w:rsidR="00485094" w:rsidRDefault="00485094" w:rsidP="00A11646">
      <w:pPr>
        <w:pStyle w:val="Bodytext"/>
      </w:pPr>
      <w:r w:rsidRPr="0052000C">
        <w:t xml:space="preserve">The 1998 303(d) list and the adopted 303(d) lists (Verified Lists) for 2002, 2003, 2004, 2005, 2006, and 2007 (Basin Groups 1–5, respectively) </w:t>
      </w:r>
      <w:r>
        <w:t xml:space="preserve">and the Cycle 2 results for Groups 1 through 3 </w:t>
      </w:r>
      <w:r w:rsidRPr="0052000C">
        <w:t xml:space="preserve">are available on FDEP’s </w:t>
      </w:r>
      <w:hyperlink r:id="rId138" w:history="1">
        <w:r w:rsidRPr="003F2D10">
          <w:rPr>
            <w:rStyle w:val="Hyperlink"/>
          </w:rPr>
          <w:t>Watershed Assessment Program website</w:t>
        </w:r>
      </w:hyperlink>
      <w:r>
        <w:t>.</w:t>
      </w:r>
    </w:p>
    <w:p w:rsidR="00485094" w:rsidRPr="0052000C" w:rsidRDefault="00485094" w:rsidP="00A11646">
      <w:pPr>
        <w:pStyle w:val="Bodytext"/>
      </w:pPr>
    </w:p>
    <w:p w:rsidR="00485094" w:rsidRDefault="00485094" w:rsidP="00A11646">
      <w:pPr>
        <w:pStyle w:val="Bodytext"/>
      </w:pPr>
      <w:r w:rsidRPr="0052000C">
        <w:t xml:space="preserve">The </w:t>
      </w:r>
      <w:r>
        <w:t>website</w:t>
      </w:r>
      <w:r w:rsidRPr="0052000C">
        <w:t xml:space="preserve"> also contains information on the adopted lists of waters to be delisted (i.e., removed) from the 1998 303(d) list </w:t>
      </w:r>
      <w:r>
        <w:t xml:space="preserve">and/or a previously adopted Verified List </w:t>
      </w:r>
      <w:r w:rsidRPr="0052000C">
        <w:t>for the Group 1</w:t>
      </w:r>
      <w:r>
        <w:t xml:space="preserve"> through 5 basins.  </w:t>
      </w:r>
      <w:r w:rsidRPr="0052000C">
        <w:t xml:space="preserve">If use attainment is verified for a waterbody or segment that was previously listed as impaired, FDEP </w:t>
      </w:r>
      <w:r>
        <w:t>can</w:t>
      </w:r>
      <w:r w:rsidRPr="0052000C">
        <w:t xml:space="preserve"> propose that it be delisted.  If attainment is verified for some designated uses of a waterbody or segment, FDEP will propose partial delisting for the uses attained.  Future monitoring will be recommended to determine if </w:t>
      </w:r>
      <w:r>
        <w:t xml:space="preserve">the </w:t>
      </w:r>
      <w:r w:rsidRPr="0052000C">
        <w:t>remaining uses are attained.</w:t>
      </w:r>
      <w:r>
        <w:t xml:space="preserve">  Waters may also be delisted for other reasons, such as sufficient data to assess potential impairment, flaws in the original analysis, or impairment due to natural causes (such as low DO).  </w:t>
      </w:r>
    </w:p>
    <w:p w:rsidR="00485094" w:rsidRPr="00423B6D" w:rsidRDefault="00485094" w:rsidP="0041391B">
      <w:pPr>
        <w:pStyle w:val="Heading2"/>
        <w:rPr>
          <w:bCs/>
        </w:rPr>
      </w:pPr>
      <w:bookmarkStart w:id="594" w:name="_Toc254269891"/>
      <w:bookmarkStart w:id="595" w:name="_Toc255822553"/>
      <w:bookmarkStart w:id="596" w:name="_Toc271279995"/>
      <w:r w:rsidRPr="00423B6D">
        <w:t>Delisting</w:t>
      </w:r>
      <w:bookmarkEnd w:id="594"/>
      <w:bookmarkEnd w:id="595"/>
      <w:bookmarkEnd w:id="596"/>
      <w:r>
        <w:t xml:space="preserve"> </w:t>
      </w:r>
    </w:p>
    <w:p w:rsidR="00485094" w:rsidRPr="008D603F" w:rsidRDefault="00485094" w:rsidP="00A11646">
      <w:pPr>
        <w:pStyle w:val="Bodytext"/>
      </w:pPr>
      <w:r w:rsidRPr="008D603F">
        <w:t xml:space="preserve">FDEP may propose that a previously listed water segment be delisted </w:t>
      </w:r>
      <w:r>
        <w:t xml:space="preserve">for a variety of reasons </w:t>
      </w:r>
      <w:r w:rsidRPr="008D603F">
        <w:t>(e.g., waters may be delisted if it is determined that the original listing was in error</w:t>
      </w:r>
      <w:r>
        <w:t>,</w:t>
      </w:r>
      <w:r w:rsidRPr="008D603F">
        <w:t xml:space="preserve"> or if it can be demonstrated that water quality criteria </w:t>
      </w:r>
      <w:r>
        <w:t>are</w:t>
      </w:r>
      <w:r w:rsidRPr="008D603F">
        <w:t xml:space="preserve"> currently being met for a waterbody or segment/analyte combination that was previously included on either the 1998 303</w:t>
      </w:r>
      <w:r>
        <w:t>[</w:t>
      </w:r>
      <w:r w:rsidRPr="008D603F">
        <w:t>d</w:t>
      </w:r>
      <w:r>
        <w:t>]</w:t>
      </w:r>
      <w:r w:rsidRPr="008D603F">
        <w:t xml:space="preserve"> list, or on the </w:t>
      </w:r>
      <w:r>
        <w:t>s</w:t>
      </w:r>
      <w:r w:rsidRPr="008D603F">
        <w:t>tate</w:t>
      </w:r>
      <w:r>
        <w:t xml:space="preserve">’s </w:t>
      </w:r>
      <w:r w:rsidRPr="008D603F">
        <w:t xml:space="preserve">Verified List of </w:t>
      </w:r>
      <w:r>
        <w:t>i</w:t>
      </w:r>
      <w:r w:rsidRPr="008D603F">
        <w:t xml:space="preserve">mpaired </w:t>
      </w:r>
      <w:r>
        <w:t>w</w:t>
      </w:r>
      <w:r w:rsidRPr="008D603F">
        <w:t>aters).</w:t>
      </w:r>
      <w:r>
        <w:t xml:space="preserve">  The flow chart in </w:t>
      </w:r>
      <w:r w:rsidRPr="004041A6">
        <w:rPr>
          <w:b/>
          <w:i/>
        </w:rPr>
        <w:t>Figure 8.1</w:t>
      </w:r>
      <w:r>
        <w:t xml:space="preserve"> shows an example of the decision process for delisting.</w:t>
      </w:r>
      <w:r w:rsidRPr="008D603F">
        <w:t xml:space="preserve"> </w:t>
      </w:r>
    </w:p>
    <w:p w:rsidR="00485094" w:rsidRPr="008D603F" w:rsidRDefault="00485094" w:rsidP="00A11646">
      <w:pPr>
        <w:pStyle w:val="Bodytext"/>
      </w:pPr>
    </w:p>
    <w:p w:rsidR="00485094" w:rsidRPr="008D603F" w:rsidRDefault="00485094" w:rsidP="00A11646">
      <w:pPr>
        <w:pStyle w:val="Bodytext"/>
      </w:pPr>
      <w:r w:rsidRPr="008D603F">
        <w:t xml:space="preserve">For those analytes where the assessment decisions are based on exceedances of numeric water quality criteria, the </w:t>
      </w:r>
      <w:r>
        <w:t>conditions for</w:t>
      </w:r>
      <w:r w:rsidRPr="008D603F">
        <w:t xml:space="preserve"> delist</w:t>
      </w:r>
      <w:r>
        <w:t>ing</w:t>
      </w:r>
      <w:r w:rsidRPr="008D603F">
        <w:t xml:space="preserve"> </w:t>
      </w:r>
      <w:r>
        <w:t>are</w:t>
      </w:r>
      <w:r w:rsidRPr="008D603F">
        <w:t xml:space="preserve"> specified in the IWR; however, delisting decisions for </w:t>
      </w:r>
      <w:r>
        <w:t>n</w:t>
      </w:r>
      <w:r w:rsidRPr="008D603F">
        <w:t>utrient</w:t>
      </w:r>
      <w:r>
        <w:t>s</w:t>
      </w:r>
      <w:r w:rsidRPr="008D603F">
        <w:t xml:space="preserve"> are not </w:t>
      </w:r>
      <w:r>
        <w:t xml:space="preserve">as straightforward. </w:t>
      </w:r>
      <w:r w:rsidRPr="008D603F">
        <w:t xml:space="preserve"> </w:t>
      </w:r>
      <w:r>
        <w:t xml:space="preserve">The </w:t>
      </w:r>
      <w:r w:rsidRPr="008D603F">
        <w:t xml:space="preserve">EPA has </w:t>
      </w:r>
      <w:r>
        <w:t>provided guidance</w:t>
      </w:r>
      <w:r w:rsidRPr="008D603F">
        <w:t xml:space="preserve"> that </w:t>
      </w:r>
      <w:r>
        <w:t xml:space="preserve">a waterbody previously verified as impaired for nutrients based on chlorophyll </w:t>
      </w:r>
      <w:r w:rsidRPr="004041A6">
        <w:rPr>
          <w:i/>
        </w:rPr>
        <w:t>a</w:t>
      </w:r>
      <w:r>
        <w:t xml:space="preserve"> or the TSI can be delisted, but remains in Category 3b unless and until </w:t>
      </w:r>
      <w:r w:rsidRPr="008D603F">
        <w:t xml:space="preserve">site-specific </w:t>
      </w:r>
      <w:r>
        <w:t>information that demonstrates attainment of the designated use is included in the assessment.  Site</w:t>
      </w:r>
      <w:r w:rsidRPr="008D603F">
        <w:t xml:space="preserve">-specific </w:t>
      </w:r>
      <w:r>
        <w:t xml:space="preserve">information can include, but is not limited to, measures of biological response such as the SCI and macrophyte or algal surveys.  This decision also depends on the status of the DO assessment.  If a waterbody meets the delisting thresholds in the IWR for nutrients based on chlorophyll </w:t>
      </w:r>
      <w:r w:rsidRPr="004041A6">
        <w:rPr>
          <w:i/>
        </w:rPr>
        <w:t>a</w:t>
      </w:r>
      <w:r>
        <w:t xml:space="preserve"> or TSI, but is verified as impaired for DO, and either </w:t>
      </w:r>
      <w:r w:rsidR="008C37FA">
        <w:t xml:space="preserve">TN </w:t>
      </w:r>
      <w:r>
        <w:t xml:space="preserve">or </w:t>
      </w:r>
      <w:r w:rsidR="008C37FA">
        <w:t>TP</w:t>
      </w:r>
      <w:r>
        <w:t xml:space="preserve"> is the causative pollutant, then the waterbody cannot be delisted unless site-specific information supports aquatic life use.  </w:t>
      </w:r>
      <w:r w:rsidRPr="004041A6">
        <w:rPr>
          <w:b/>
          <w:i/>
        </w:rPr>
        <w:t>Figure 8.1</w:t>
      </w:r>
      <w:r>
        <w:t xml:space="preserve"> shows the decision process for delisting under these circumstances.</w:t>
      </w:r>
    </w:p>
    <w:p w:rsidR="00485094" w:rsidRDefault="00485094" w:rsidP="00A11646">
      <w:pPr>
        <w:pStyle w:val="Bodytext"/>
      </w:pPr>
    </w:p>
    <w:p w:rsidR="00485094" w:rsidRDefault="00485094" w:rsidP="004678A2">
      <w:pPr>
        <w:pStyle w:val="Bodytext"/>
        <w:rPr>
          <w:rFonts w:cs="Arial"/>
          <w:bCs/>
          <w:szCs w:val="22"/>
        </w:rPr>
      </w:pPr>
      <w:r w:rsidRPr="006D266D">
        <w:rPr>
          <w:rFonts w:cs="Arial"/>
          <w:b/>
          <w:bCs/>
          <w:i/>
          <w:szCs w:val="22"/>
        </w:rPr>
        <w:t xml:space="preserve">Figure </w:t>
      </w:r>
      <w:r>
        <w:rPr>
          <w:rFonts w:cs="Arial"/>
          <w:b/>
          <w:bCs/>
          <w:i/>
          <w:szCs w:val="22"/>
        </w:rPr>
        <w:t>8.2</w:t>
      </w:r>
      <w:r>
        <w:rPr>
          <w:rFonts w:cs="Arial"/>
          <w:bCs/>
          <w:szCs w:val="22"/>
        </w:rPr>
        <w:t xml:space="preserve"> shows the statewide assessment results for all parameters, excluding mercury.  </w:t>
      </w:r>
      <w:r>
        <w:rPr>
          <w:snapToGrid w:val="0"/>
        </w:rPr>
        <w:t>The figure illustrates the fact that most surface water quality problems are found in highly urbanized central and south Florida.  Problems are evident around the densely populated, major urban centers, including Jacksonville, Orlando, Tampa, Pensacola, Cape Kennedy, and the southeastern Florida coast.  Basins with intense agricultural and industrial use are also associated with poor water quality.  Water quality in the northwest and west-central sections of the state is generally better than in other areas.</w:t>
      </w:r>
    </w:p>
    <w:p w:rsidR="00485094" w:rsidRDefault="00485094" w:rsidP="004678A2">
      <w:pPr>
        <w:pStyle w:val="Bodytext"/>
        <w:rPr>
          <w:rFonts w:cs="Arial"/>
          <w:bCs/>
          <w:szCs w:val="22"/>
        </w:rPr>
      </w:pPr>
    </w:p>
    <w:p w:rsidR="00485094" w:rsidRDefault="00485094" w:rsidP="004678A2">
      <w:pPr>
        <w:pStyle w:val="Bodytext"/>
        <w:rPr>
          <w:rFonts w:cs="Arial"/>
          <w:bCs/>
          <w:szCs w:val="22"/>
        </w:rPr>
      </w:pPr>
      <w:r w:rsidRPr="006D266D">
        <w:rPr>
          <w:rFonts w:cs="Arial"/>
          <w:b/>
          <w:bCs/>
          <w:i/>
          <w:szCs w:val="22"/>
        </w:rPr>
        <w:t xml:space="preserve">Figure </w:t>
      </w:r>
      <w:r>
        <w:rPr>
          <w:rFonts w:cs="Arial"/>
          <w:b/>
          <w:bCs/>
          <w:i/>
          <w:szCs w:val="22"/>
        </w:rPr>
        <w:t>8.3</w:t>
      </w:r>
      <w:r>
        <w:rPr>
          <w:rFonts w:cs="Arial"/>
          <w:bCs/>
          <w:szCs w:val="22"/>
        </w:rPr>
        <w:t xml:space="preserve"> summarizes the assessment results for mercury.  As noted earlier, consumption advisories have been issued for a number of fish species in many Florida waters.  FDEP is developing statewide TMDLs for both fresh waters and marine waters that are impaired for mercury; the TMDLs are due by September 2012.</w:t>
      </w:r>
    </w:p>
    <w:p w:rsidR="00485094" w:rsidRDefault="00485094" w:rsidP="004678A2">
      <w:pPr>
        <w:pStyle w:val="Bodytextreduced"/>
      </w:pPr>
    </w:p>
    <w:p w:rsidR="00485094" w:rsidRPr="008D603F" w:rsidRDefault="00485094" w:rsidP="00A11646">
      <w:pPr>
        <w:pStyle w:val="Bodytextreduced"/>
      </w:pPr>
    </w:p>
    <w:p w:rsidR="00485094" w:rsidRPr="004252BF" w:rsidRDefault="00485094" w:rsidP="006E4327">
      <w:pPr>
        <w:pStyle w:val="Caption"/>
      </w:pPr>
      <w:bookmarkStart w:id="597" w:name="_Toc271280184"/>
      <w:r>
        <w:t>Figure 8.1.  Decision Tree for Delisting Based on Chlorophyll a or TSI</w:t>
      </w:r>
      <w:bookmarkEnd w:id="597"/>
    </w:p>
    <w:p w:rsidR="00485094" w:rsidRPr="004252BF" w:rsidRDefault="001717CD" w:rsidP="006E4327">
      <w:pPr>
        <w:pStyle w:val="Bodytextreduced"/>
      </w:pPr>
      <w:r>
        <w:rPr>
          <w:noProof/>
        </w:rPr>
        <w:drawing>
          <wp:anchor distT="0" distB="0" distL="114300" distR="114300" simplePos="0" relativeHeight="251644416" behindDoc="0" locked="0" layoutInCell="1" allowOverlap="1">
            <wp:simplePos x="0" y="0"/>
            <wp:positionH relativeFrom="column">
              <wp:align>center</wp:align>
            </wp:positionH>
            <wp:positionV relativeFrom="paragraph">
              <wp:posOffset>194310</wp:posOffset>
            </wp:positionV>
            <wp:extent cx="6559550" cy="5301615"/>
            <wp:effectExtent l="19050" t="0" r="0" b="0"/>
            <wp:wrapTopAndBottom/>
            <wp:docPr id="41" name="Picture 0" descr="Figure 8.1.  Decision Tree for Delisting Based on Chlorophyll a or T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igure 8.1.  Decision Tree for Delisting Based on Chlorophyll a or TSI"/>
                    <pic:cNvPicPr>
                      <a:picLocks noChangeAspect="1" noChangeArrowheads="1"/>
                    </pic:cNvPicPr>
                  </pic:nvPicPr>
                  <pic:blipFill>
                    <a:blip r:embed="rId139"/>
                    <a:srcRect t="20909" b="8182"/>
                    <a:stretch>
                      <a:fillRect/>
                    </a:stretch>
                  </pic:blipFill>
                  <pic:spPr bwMode="auto">
                    <a:xfrm>
                      <a:off x="0" y="0"/>
                      <a:ext cx="6559550" cy="5301615"/>
                    </a:xfrm>
                    <a:prstGeom prst="rect">
                      <a:avLst/>
                    </a:prstGeom>
                    <a:noFill/>
                    <a:ln w="9525">
                      <a:noFill/>
                      <a:miter lim="800000"/>
                      <a:headEnd/>
                      <a:tailEnd/>
                    </a:ln>
                  </pic:spPr>
                </pic:pic>
              </a:graphicData>
            </a:graphic>
          </wp:anchor>
        </w:drawing>
      </w:r>
    </w:p>
    <w:p w:rsidR="00485094" w:rsidRDefault="00485094" w:rsidP="005F5866">
      <w:pPr>
        <w:pStyle w:val="Caption"/>
        <w:rPr>
          <w:snapToGrid w:val="0"/>
        </w:rPr>
      </w:pPr>
      <w:bookmarkStart w:id="598" w:name="_Toc254267171"/>
      <w:bookmarkStart w:id="599" w:name="_Toc271280185"/>
      <w:r>
        <w:rPr>
          <w:snapToGrid w:val="0"/>
        </w:rPr>
        <w:t>Figure 8.2.  Results of Florida’s Surface Water Quality Assessment</w:t>
      </w:r>
      <w:r>
        <w:rPr>
          <w:snapToGrid w:val="0"/>
        </w:rPr>
        <w:br/>
        <w:t>for all Parameters (Excluding Mercury)</w:t>
      </w:r>
      <w:bookmarkEnd w:id="598"/>
      <w:bookmarkEnd w:id="599"/>
    </w:p>
    <w:p w:rsidR="00485094" w:rsidRPr="00A54491" w:rsidRDefault="00485094" w:rsidP="00A54491"/>
    <w:p w:rsidR="00485094" w:rsidRDefault="001717CD" w:rsidP="00A54491">
      <w:pPr>
        <w:pStyle w:val="Bodytext"/>
        <w:jc w:val="center"/>
        <w:rPr>
          <w:snapToGrid w:val="0"/>
        </w:rPr>
      </w:pPr>
      <w:bookmarkStart w:id="600" w:name="_Toc255822555"/>
      <w:r>
        <w:rPr>
          <w:noProof/>
        </w:rPr>
        <w:drawing>
          <wp:anchor distT="0" distB="0" distL="114300" distR="114300" simplePos="0" relativeHeight="251645440" behindDoc="0" locked="0" layoutInCell="1" allowOverlap="1">
            <wp:simplePos x="0" y="0"/>
            <wp:positionH relativeFrom="column">
              <wp:align>center</wp:align>
            </wp:positionH>
            <wp:positionV relativeFrom="paragraph">
              <wp:posOffset>0</wp:posOffset>
            </wp:positionV>
            <wp:extent cx="6134735" cy="4742180"/>
            <wp:effectExtent l="19050" t="0" r="0" b="0"/>
            <wp:wrapTopAndBottom/>
            <wp:docPr id="42" name="Picture 1417" descr="Figure 8.2.  Results of Florida’s Surface Water Quality Assessment for all Parameters (Excluding Mercu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7" descr="Figure 8.2.  Results of Florida’s Surface Water Quality Assessment for all Parameters (Excluding Mercury)"/>
                    <pic:cNvPicPr>
                      <a:picLocks noChangeAspect="1" noChangeArrowheads="1"/>
                    </pic:cNvPicPr>
                  </pic:nvPicPr>
                  <pic:blipFill>
                    <a:blip r:embed="rId140"/>
                    <a:srcRect/>
                    <a:stretch>
                      <a:fillRect/>
                    </a:stretch>
                  </pic:blipFill>
                  <pic:spPr bwMode="auto">
                    <a:xfrm>
                      <a:off x="0" y="0"/>
                      <a:ext cx="6134735" cy="4742180"/>
                    </a:xfrm>
                    <a:prstGeom prst="rect">
                      <a:avLst/>
                    </a:prstGeom>
                    <a:noFill/>
                    <a:ln w="9525">
                      <a:noFill/>
                      <a:miter lim="800000"/>
                      <a:headEnd/>
                      <a:tailEnd/>
                    </a:ln>
                  </pic:spPr>
                </pic:pic>
              </a:graphicData>
            </a:graphic>
          </wp:anchor>
        </w:drawing>
      </w:r>
    </w:p>
    <w:p w:rsidR="00485094" w:rsidRDefault="00485094" w:rsidP="00A11646">
      <w:pPr>
        <w:pStyle w:val="Bodytextreduced"/>
        <w:rPr>
          <w:snapToGrid w:val="0"/>
        </w:rPr>
      </w:pPr>
      <w:r>
        <w:rPr>
          <w:snapToGrid w:val="0"/>
        </w:rPr>
        <w:br w:type="page"/>
      </w:r>
    </w:p>
    <w:p w:rsidR="00485094" w:rsidRDefault="00485094" w:rsidP="00874F8B">
      <w:pPr>
        <w:pStyle w:val="Caption"/>
        <w:rPr>
          <w:snapToGrid w:val="0"/>
        </w:rPr>
      </w:pPr>
      <w:bookmarkStart w:id="601" w:name="_Toc254267172"/>
      <w:bookmarkStart w:id="602" w:name="_Toc271280186"/>
      <w:r>
        <w:rPr>
          <w:snapToGrid w:val="0"/>
        </w:rPr>
        <w:t>Figure 8.3.  Results of Florida’s Surface Water Quality Assessment for Mercury</w:t>
      </w:r>
      <w:bookmarkEnd w:id="601"/>
      <w:bookmarkEnd w:id="602"/>
    </w:p>
    <w:p w:rsidR="00485094" w:rsidRDefault="00485094" w:rsidP="00906F9D">
      <w:pPr>
        <w:pStyle w:val="Bodytext"/>
        <w:rPr>
          <w:snapToGrid w:val="0"/>
          <w:highlight w:val="yellow"/>
        </w:rPr>
      </w:pPr>
    </w:p>
    <w:p w:rsidR="00485094" w:rsidRDefault="001717CD" w:rsidP="00874F8B">
      <w:pPr>
        <w:pStyle w:val="Bodytext"/>
        <w:rPr>
          <w:snapToGrid w:val="0"/>
        </w:rPr>
      </w:pPr>
      <w:r>
        <w:rPr>
          <w:noProof/>
        </w:rPr>
        <w:drawing>
          <wp:anchor distT="0" distB="0" distL="114300" distR="114300" simplePos="0" relativeHeight="251646464" behindDoc="0" locked="0" layoutInCell="1" allowOverlap="1">
            <wp:simplePos x="0" y="0"/>
            <wp:positionH relativeFrom="column">
              <wp:align>center</wp:align>
            </wp:positionH>
            <wp:positionV relativeFrom="paragraph">
              <wp:posOffset>0</wp:posOffset>
            </wp:positionV>
            <wp:extent cx="6134735" cy="4742180"/>
            <wp:effectExtent l="19050" t="0" r="0" b="0"/>
            <wp:wrapTopAndBottom/>
            <wp:docPr id="43" name="Picture 1418" descr="Figure 8.3.  Results of Florida’s Surface Water Quality Assessment for Mercu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8" descr="Figure 8.3.  Results of Florida’s Surface Water Quality Assessment for Mercury"/>
                    <pic:cNvPicPr>
                      <a:picLocks noChangeAspect="1" noChangeArrowheads="1"/>
                    </pic:cNvPicPr>
                  </pic:nvPicPr>
                  <pic:blipFill>
                    <a:blip r:embed="rId141"/>
                    <a:srcRect/>
                    <a:stretch>
                      <a:fillRect/>
                    </a:stretch>
                  </pic:blipFill>
                  <pic:spPr bwMode="auto">
                    <a:xfrm>
                      <a:off x="0" y="0"/>
                      <a:ext cx="6134735" cy="4742180"/>
                    </a:xfrm>
                    <a:prstGeom prst="rect">
                      <a:avLst/>
                    </a:prstGeom>
                    <a:noFill/>
                    <a:ln w="9525">
                      <a:noFill/>
                      <a:miter lim="800000"/>
                      <a:headEnd/>
                      <a:tailEnd/>
                    </a:ln>
                  </pic:spPr>
                </pic:pic>
              </a:graphicData>
            </a:graphic>
          </wp:anchor>
        </w:drawing>
      </w:r>
    </w:p>
    <w:bookmarkEnd w:id="600"/>
    <w:p w:rsidR="00657C91" w:rsidRDefault="000309E2">
      <w:pPr>
        <w:pStyle w:val="Bodytextreduced"/>
      </w:pPr>
      <w:r w:rsidRPr="000309E2">
        <w:br w:type="page"/>
      </w:r>
    </w:p>
    <w:p w:rsidR="00485094" w:rsidRPr="0041391B" w:rsidRDefault="00485094" w:rsidP="004678A2">
      <w:pPr>
        <w:pStyle w:val="Heading2"/>
        <w:rPr>
          <w:rStyle w:val="BodytextChar1"/>
          <w:sz w:val="32"/>
        </w:rPr>
      </w:pPr>
      <w:bookmarkStart w:id="603" w:name="_Toc271279996"/>
      <w:r w:rsidRPr="0041391B">
        <w:rPr>
          <w:rStyle w:val="BodytextChar1"/>
          <w:sz w:val="32"/>
        </w:rPr>
        <w:t>Biology</w:t>
      </w:r>
      <w:bookmarkEnd w:id="603"/>
    </w:p>
    <w:p w:rsidR="00485094" w:rsidRDefault="00485094" w:rsidP="004678A2">
      <w:pPr>
        <w:rPr>
          <w:rStyle w:val="BodytextChar1"/>
          <w:sz w:val="22"/>
        </w:rPr>
      </w:pPr>
      <w:r w:rsidRPr="00A54491">
        <w:rPr>
          <w:rStyle w:val="BodytextChar1"/>
          <w:sz w:val="22"/>
        </w:rPr>
        <w:t xml:space="preserve">The IWR relies heavily on stream biological data for </w:t>
      </w:r>
      <w:r>
        <w:rPr>
          <w:rStyle w:val="BodytextChar1"/>
          <w:sz w:val="22"/>
        </w:rPr>
        <w:t xml:space="preserve">the assessment of </w:t>
      </w:r>
      <w:r w:rsidRPr="00A54491">
        <w:rPr>
          <w:rStyle w:val="BodytextChar1"/>
          <w:sz w:val="22"/>
        </w:rPr>
        <w:t>impairment status.  Since 1992, FDEP has processed 1</w:t>
      </w:r>
      <w:r>
        <w:rPr>
          <w:rStyle w:val="BodytextChar1"/>
          <w:sz w:val="22"/>
        </w:rPr>
        <w:t>,</w:t>
      </w:r>
      <w:r w:rsidRPr="00A54491">
        <w:rPr>
          <w:rStyle w:val="BodytextChar1"/>
          <w:sz w:val="22"/>
        </w:rPr>
        <w:t>273 BioRecon and 2</w:t>
      </w:r>
      <w:r>
        <w:rPr>
          <w:rStyle w:val="BodytextChar1"/>
          <w:sz w:val="22"/>
        </w:rPr>
        <w:t>,</w:t>
      </w:r>
      <w:r w:rsidRPr="00A54491">
        <w:rPr>
          <w:rStyle w:val="BodytextChar1"/>
          <w:sz w:val="22"/>
        </w:rPr>
        <w:t xml:space="preserve">968 SCI samples.  Over this period, BioRecons statewide showed a 39% failure rate, and 21% of the SCIs failed.  </w:t>
      </w:r>
      <w:r w:rsidRPr="00A54491">
        <w:rPr>
          <w:rStyle w:val="BodytextChar1"/>
          <w:b/>
          <w:i/>
          <w:sz w:val="22"/>
        </w:rPr>
        <w:t>Table 8.</w:t>
      </w:r>
      <w:r>
        <w:rPr>
          <w:rStyle w:val="BodytextChar1"/>
          <w:b/>
          <w:i/>
          <w:sz w:val="22"/>
        </w:rPr>
        <w:t>4</w:t>
      </w:r>
      <w:r w:rsidRPr="00A54491">
        <w:rPr>
          <w:rStyle w:val="BodytextChar1"/>
          <w:sz w:val="22"/>
        </w:rPr>
        <w:t xml:space="preserve"> shows the numbers of measurements and impairment status for the BioRecon and SCI from 1992 to October 2009. </w:t>
      </w:r>
    </w:p>
    <w:p w:rsidR="00485094" w:rsidRDefault="00485094" w:rsidP="00ED0D03">
      <w:pPr>
        <w:pStyle w:val="Bodytextreduced"/>
        <w:rPr>
          <w:snapToGrid w:val="0"/>
        </w:rPr>
      </w:pPr>
    </w:p>
    <w:p w:rsidR="00485094" w:rsidRDefault="00485094">
      <w:pPr>
        <w:pStyle w:val="Bodytextreduced"/>
      </w:pPr>
      <w:bookmarkStart w:id="604" w:name="_Toc254267140"/>
      <w:bookmarkStart w:id="605" w:name="_Toc255807514"/>
    </w:p>
    <w:p w:rsidR="00485094" w:rsidRDefault="00485094" w:rsidP="005F5866">
      <w:pPr>
        <w:pStyle w:val="Tableheading"/>
        <w:ind w:left="900" w:right="810"/>
      </w:pPr>
      <w:bookmarkStart w:id="606" w:name="_Toc271280122"/>
      <w:r>
        <w:t>Table 8.4.  Numbers of Measurements and Impairment Status</w:t>
      </w:r>
      <w:r>
        <w:br/>
        <w:t>for the BioRecon and SCI, 1992–</w:t>
      </w:r>
      <w:bookmarkEnd w:id="604"/>
      <w:bookmarkEnd w:id="605"/>
      <w:r>
        <w:t>October 2009</w:t>
      </w:r>
      <w:bookmarkEnd w:id="606"/>
    </w:p>
    <w:p w:rsidR="00485094" w:rsidRDefault="00485094" w:rsidP="00874F8B">
      <w:pPr>
        <w:pStyle w:val="TabledescriptionBF"/>
      </w:pPr>
      <w:r>
        <w:t>This is a four-column table.  Column 1 lists the biological assessment, Column 2 lists the result, Column 3 lists the impairment status, and Column 4 lists the number of measurements</w:t>
      </w:r>
    </w:p>
    <w:p w:rsidR="00485094" w:rsidRDefault="00485094" w:rsidP="00874F8B">
      <w:pPr>
        <w:pStyle w:val="TabledescriptionBF"/>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6"/>
        <w:gridCol w:w="1944"/>
        <w:gridCol w:w="2250"/>
        <w:gridCol w:w="1620"/>
      </w:tblGrid>
      <w:tr w:rsidR="00485094" w:rsidRPr="00E76B4B" w:rsidTr="00E86B70">
        <w:trPr>
          <w:trHeight w:val="288"/>
          <w:jc w:val="center"/>
        </w:trPr>
        <w:tc>
          <w:tcPr>
            <w:tcW w:w="2016" w:type="dxa"/>
            <w:tcBorders>
              <w:bottom w:val="double" w:sz="4" w:space="0" w:color="auto"/>
            </w:tcBorders>
            <w:shd w:val="clear" w:color="auto" w:fill="BDFFFF"/>
            <w:vAlign w:val="bottom"/>
          </w:tcPr>
          <w:p w:rsidR="00485094" w:rsidRPr="00E76B4B" w:rsidRDefault="00485094" w:rsidP="00A54491">
            <w:pPr>
              <w:pStyle w:val="TableText"/>
              <w:jc w:val="center"/>
              <w:rPr>
                <w:b/>
                <w:i/>
              </w:rPr>
            </w:pPr>
            <w:r w:rsidRPr="00E76B4B">
              <w:rPr>
                <w:b/>
                <w:i/>
              </w:rPr>
              <w:t xml:space="preserve">Biological </w:t>
            </w:r>
            <w:r>
              <w:rPr>
                <w:b/>
                <w:i/>
              </w:rPr>
              <w:t>Assessment</w:t>
            </w:r>
          </w:p>
        </w:tc>
        <w:tc>
          <w:tcPr>
            <w:tcW w:w="1944" w:type="dxa"/>
            <w:tcBorders>
              <w:bottom w:val="double" w:sz="4" w:space="0" w:color="auto"/>
            </w:tcBorders>
            <w:shd w:val="clear" w:color="auto" w:fill="BDFFFF"/>
            <w:vAlign w:val="bottom"/>
          </w:tcPr>
          <w:p w:rsidR="00485094" w:rsidRPr="00E76B4B" w:rsidRDefault="00485094" w:rsidP="00874F8B">
            <w:pPr>
              <w:pStyle w:val="TableText"/>
              <w:jc w:val="center"/>
              <w:rPr>
                <w:b/>
                <w:i/>
              </w:rPr>
            </w:pPr>
            <w:r>
              <w:rPr>
                <w:b/>
                <w:i/>
              </w:rPr>
              <w:t>Result</w:t>
            </w:r>
          </w:p>
        </w:tc>
        <w:tc>
          <w:tcPr>
            <w:tcW w:w="2250" w:type="dxa"/>
            <w:tcBorders>
              <w:bottom w:val="double" w:sz="4" w:space="0" w:color="auto"/>
            </w:tcBorders>
            <w:shd w:val="clear" w:color="auto" w:fill="BDFFFF"/>
            <w:vAlign w:val="bottom"/>
          </w:tcPr>
          <w:p w:rsidR="00485094" w:rsidRPr="00E76B4B" w:rsidRDefault="00485094" w:rsidP="00874F8B">
            <w:pPr>
              <w:pStyle w:val="TableText"/>
              <w:jc w:val="center"/>
              <w:rPr>
                <w:b/>
                <w:i/>
              </w:rPr>
            </w:pPr>
            <w:r w:rsidRPr="00E76B4B">
              <w:rPr>
                <w:b/>
                <w:i/>
              </w:rPr>
              <w:t>Impairment</w:t>
            </w:r>
            <w:r>
              <w:rPr>
                <w:b/>
                <w:i/>
              </w:rPr>
              <w:t xml:space="preserve"> Status</w:t>
            </w:r>
          </w:p>
        </w:tc>
        <w:tc>
          <w:tcPr>
            <w:tcW w:w="1620" w:type="dxa"/>
            <w:tcBorders>
              <w:bottom w:val="double" w:sz="4" w:space="0" w:color="auto"/>
            </w:tcBorders>
            <w:shd w:val="clear" w:color="auto" w:fill="BDFFFF"/>
            <w:vAlign w:val="bottom"/>
          </w:tcPr>
          <w:p w:rsidR="00485094" w:rsidRPr="00E76B4B" w:rsidRDefault="00485094" w:rsidP="00874F8B">
            <w:pPr>
              <w:pStyle w:val="TableText"/>
              <w:jc w:val="center"/>
              <w:rPr>
                <w:b/>
                <w:i/>
              </w:rPr>
            </w:pPr>
            <w:r w:rsidRPr="00E76B4B">
              <w:rPr>
                <w:b/>
                <w:i/>
              </w:rPr>
              <w:t>Number of Measurements</w:t>
            </w:r>
          </w:p>
        </w:tc>
      </w:tr>
      <w:tr w:rsidR="00485094" w:rsidTr="00874F8B">
        <w:trPr>
          <w:trHeight w:val="288"/>
          <w:jc w:val="center"/>
        </w:trPr>
        <w:tc>
          <w:tcPr>
            <w:tcW w:w="2016" w:type="dxa"/>
            <w:tcBorders>
              <w:top w:val="double" w:sz="4" w:space="0" w:color="auto"/>
            </w:tcBorders>
            <w:shd w:val="clear" w:color="auto" w:fill="FFFFCC"/>
            <w:vAlign w:val="center"/>
          </w:tcPr>
          <w:p w:rsidR="00485094" w:rsidRDefault="00485094" w:rsidP="005F5866">
            <w:pPr>
              <w:pStyle w:val="TableText"/>
              <w:jc w:val="center"/>
            </w:pPr>
            <w:r>
              <w:t>BioRecon</w:t>
            </w:r>
          </w:p>
        </w:tc>
        <w:tc>
          <w:tcPr>
            <w:tcW w:w="1944" w:type="dxa"/>
            <w:tcBorders>
              <w:top w:val="double" w:sz="4" w:space="0" w:color="auto"/>
            </w:tcBorders>
            <w:vAlign w:val="center"/>
          </w:tcPr>
          <w:p w:rsidR="00485094" w:rsidRDefault="00485094" w:rsidP="005F5866">
            <w:pPr>
              <w:pStyle w:val="TableText"/>
              <w:jc w:val="center"/>
            </w:pPr>
            <w:r>
              <w:t>Pass</w:t>
            </w:r>
          </w:p>
        </w:tc>
        <w:tc>
          <w:tcPr>
            <w:tcW w:w="2250" w:type="dxa"/>
            <w:tcBorders>
              <w:top w:val="double" w:sz="4" w:space="0" w:color="auto"/>
            </w:tcBorders>
            <w:vAlign w:val="center"/>
          </w:tcPr>
          <w:p w:rsidR="00485094" w:rsidRDefault="00485094" w:rsidP="005F5866">
            <w:pPr>
              <w:pStyle w:val="TableText"/>
              <w:jc w:val="center"/>
            </w:pPr>
            <w:r>
              <w:t>Not impaired</w:t>
            </w:r>
          </w:p>
        </w:tc>
        <w:tc>
          <w:tcPr>
            <w:tcW w:w="1620" w:type="dxa"/>
            <w:tcBorders>
              <w:top w:val="double" w:sz="4" w:space="0" w:color="auto"/>
            </w:tcBorders>
            <w:vAlign w:val="center"/>
          </w:tcPr>
          <w:p w:rsidR="00485094" w:rsidRDefault="00485094" w:rsidP="005F5866">
            <w:pPr>
              <w:pStyle w:val="TableText"/>
              <w:jc w:val="center"/>
            </w:pPr>
            <w:r>
              <w:t>443</w:t>
            </w:r>
          </w:p>
        </w:tc>
      </w:tr>
      <w:tr w:rsidR="00485094" w:rsidTr="00874F8B">
        <w:trPr>
          <w:trHeight w:val="288"/>
          <w:jc w:val="center"/>
        </w:trPr>
        <w:tc>
          <w:tcPr>
            <w:tcW w:w="2016" w:type="dxa"/>
            <w:shd w:val="clear" w:color="auto" w:fill="FFFFCC"/>
            <w:vAlign w:val="center"/>
          </w:tcPr>
          <w:p w:rsidR="00485094" w:rsidRDefault="00485094" w:rsidP="005F5866">
            <w:pPr>
              <w:pStyle w:val="TableText"/>
              <w:jc w:val="center"/>
            </w:pPr>
            <w:r>
              <w:t>BioRecon</w:t>
            </w:r>
          </w:p>
        </w:tc>
        <w:tc>
          <w:tcPr>
            <w:tcW w:w="1944" w:type="dxa"/>
            <w:vAlign w:val="center"/>
          </w:tcPr>
          <w:p w:rsidR="00485094" w:rsidRDefault="00485094" w:rsidP="005F5866">
            <w:pPr>
              <w:pStyle w:val="TableText"/>
              <w:jc w:val="center"/>
            </w:pPr>
            <w:r>
              <w:t>Suspect</w:t>
            </w:r>
          </w:p>
        </w:tc>
        <w:tc>
          <w:tcPr>
            <w:tcW w:w="2250" w:type="dxa"/>
            <w:vAlign w:val="center"/>
          </w:tcPr>
          <w:p w:rsidR="00485094" w:rsidRDefault="00485094" w:rsidP="005F5866">
            <w:pPr>
              <w:pStyle w:val="TableText"/>
              <w:jc w:val="center"/>
            </w:pPr>
            <w:r>
              <w:t>Not impaired</w:t>
            </w:r>
          </w:p>
        </w:tc>
        <w:tc>
          <w:tcPr>
            <w:tcW w:w="1620" w:type="dxa"/>
            <w:vAlign w:val="center"/>
          </w:tcPr>
          <w:p w:rsidR="00485094" w:rsidRDefault="00485094" w:rsidP="005F5866">
            <w:pPr>
              <w:pStyle w:val="TableText"/>
              <w:jc w:val="center"/>
            </w:pPr>
            <w:r>
              <w:t>331</w:t>
            </w:r>
          </w:p>
        </w:tc>
      </w:tr>
      <w:tr w:rsidR="00485094" w:rsidTr="00874F8B">
        <w:trPr>
          <w:trHeight w:val="288"/>
          <w:jc w:val="center"/>
        </w:trPr>
        <w:tc>
          <w:tcPr>
            <w:tcW w:w="2016" w:type="dxa"/>
            <w:shd w:val="clear" w:color="auto" w:fill="FFFFCC"/>
            <w:vAlign w:val="center"/>
          </w:tcPr>
          <w:p w:rsidR="00485094" w:rsidRDefault="00485094" w:rsidP="005F5866">
            <w:pPr>
              <w:pStyle w:val="TableText"/>
              <w:jc w:val="center"/>
            </w:pPr>
            <w:r>
              <w:t>BioRecon</w:t>
            </w:r>
          </w:p>
        </w:tc>
        <w:tc>
          <w:tcPr>
            <w:tcW w:w="1944" w:type="dxa"/>
            <w:vAlign w:val="center"/>
          </w:tcPr>
          <w:p w:rsidR="00485094" w:rsidRDefault="00485094" w:rsidP="005F5866">
            <w:pPr>
              <w:pStyle w:val="TableText"/>
              <w:jc w:val="center"/>
            </w:pPr>
            <w:r>
              <w:t>Fail</w:t>
            </w:r>
          </w:p>
        </w:tc>
        <w:tc>
          <w:tcPr>
            <w:tcW w:w="2250" w:type="dxa"/>
            <w:vAlign w:val="center"/>
          </w:tcPr>
          <w:p w:rsidR="00485094" w:rsidRDefault="00485094" w:rsidP="005F5866">
            <w:pPr>
              <w:pStyle w:val="TableText"/>
              <w:jc w:val="center"/>
            </w:pPr>
            <w:r>
              <w:t>Impaired</w:t>
            </w:r>
          </w:p>
        </w:tc>
        <w:tc>
          <w:tcPr>
            <w:tcW w:w="1620" w:type="dxa"/>
            <w:vAlign w:val="center"/>
          </w:tcPr>
          <w:p w:rsidR="00485094" w:rsidRDefault="00485094" w:rsidP="005F5866">
            <w:pPr>
              <w:pStyle w:val="TableText"/>
              <w:jc w:val="center"/>
            </w:pPr>
            <w:r>
              <w:t>449</w:t>
            </w:r>
          </w:p>
        </w:tc>
      </w:tr>
      <w:tr w:rsidR="00485094" w:rsidTr="00874F8B">
        <w:trPr>
          <w:trHeight w:val="288"/>
          <w:jc w:val="center"/>
        </w:trPr>
        <w:tc>
          <w:tcPr>
            <w:tcW w:w="2016" w:type="dxa"/>
            <w:shd w:val="clear" w:color="auto" w:fill="FFFFCC"/>
            <w:vAlign w:val="center"/>
          </w:tcPr>
          <w:p w:rsidR="00485094" w:rsidRDefault="00485094" w:rsidP="005F5866">
            <w:pPr>
              <w:pStyle w:val="TableText"/>
              <w:jc w:val="center"/>
            </w:pPr>
            <w:r>
              <w:t>SCI</w:t>
            </w:r>
          </w:p>
        </w:tc>
        <w:tc>
          <w:tcPr>
            <w:tcW w:w="1944" w:type="dxa"/>
            <w:vAlign w:val="center"/>
          </w:tcPr>
          <w:p w:rsidR="00485094" w:rsidRDefault="00485094" w:rsidP="005F5866">
            <w:pPr>
              <w:pStyle w:val="TableText"/>
              <w:jc w:val="center"/>
            </w:pPr>
            <w:r>
              <w:t>Pass Excellent</w:t>
            </w:r>
          </w:p>
        </w:tc>
        <w:tc>
          <w:tcPr>
            <w:tcW w:w="2250" w:type="dxa"/>
            <w:vAlign w:val="center"/>
          </w:tcPr>
          <w:p w:rsidR="00485094" w:rsidRDefault="00485094" w:rsidP="005F5866">
            <w:pPr>
              <w:pStyle w:val="TableText"/>
              <w:jc w:val="center"/>
            </w:pPr>
            <w:r>
              <w:t>Not impaired</w:t>
            </w:r>
          </w:p>
        </w:tc>
        <w:tc>
          <w:tcPr>
            <w:tcW w:w="1620" w:type="dxa"/>
            <w:vAlign w:val="center"/>
          </w:tcPr>
          <w:p w:rsidR="00485094" w:rsidRDefault="00485094" w:rsidP="005F5866">
            <w:pPr>
              <w:pStyle w:val="TableText"/>
              <w:jc w:val="center"/>
            </w:pPr>
            <w:r>
              <w:t>2,348</w:t>
            </w:r>
          </w:p>
        </w:tc>
      </w:tr>
      <w:tr w:rsidR="00485094" w:rsidTr="00874F8B">
        <w:trPr>
          <w:trHeight w:val="288"/>
          <w:jc w:val="center"/>
        </w:trPr>
        <w:tc>
          <w:tcPr>
            <w:tcW w:w="2016" w:type="dxa"/>
            <w:shd w:val="clear" w:color="auto" w:fill="FFFFCC"/>
            <w:vAlign w:val="center"/>
          </w:tcPr>
          <w:p w:rsidR="00485094" w:rsidRDefault="00485094" w:rsidP="005F5866">
            <w:pPr>
              <w:pStyle w:val="TableText"/>
              <w:jc w:val="center"/>
            </w:pPr>
            <w:r>
              <w:t>SCI</w:t>
            </w:r>
          </w:p>
        </w:tc>
        <w:tc>
          <w:tcPr>
            <w:tcW w:w="1944" w:type="dxa"/>
            <w:vAlign w:val="center"/>
          </w:tcPr>
          <w:p w:rsidR="00485094" w:rsidRDefault="00485094" w:rsidP="005F5866">
            <w:pPr>
              <w:pStyle w:val="TableText"/>
              <w:jc w:val="center"/>
            </w:pPr>
            <w:r>
              <w:t>Fail</w:t>
            </w:r>
          </w:p>
        </w:tc>
        <w:tc>
          <w:tcPr>
            <w:tcW w:w="2250" w:type="dxa"/>
            <w:vAlign w:val="center"/>
          </w:tcPr>
          <w:p w:rsidR="00485094" w:rsidRDefault="00485094" w:rsidP="005F5866">
            <w:pPr>
              <w:pStyle w:val="TableText"/>
              <w:jc w:val="center"/>
            </w:pPr>
            <w:r>
              <w:t>Impaired</w:t>
            </w:r>
          </w:p>
        </w:tc>
        <w:tc>
          <w:tcPr>
            <w:tcW w:w="1620" w:type="dxa"/>
            <w:vAlign w:val="center"/>
          </w:tcPr>
          <w:p w:rsidR="00485094" w:rsidRDefault="00485094" w:rsidP="005F5866">
            <w:pPr>
              <w:pStyle w:val="TableText"/>
              <w:jc w:val="center"/>
            </w:pPr>
            <w:r>
              <w:t>612</w:t>
            </w:r>
          </w:p>
        </w:tc>
      </w:tr>
    </w:tbl>
    <w:p w:rsidR="00485094" w:rsidRPr="00472D9B" w:rsidRDefault="00485094" w:rsidP="00567F73">
      <w:pPr>
        <w:pStyle w:val="Bodytextreduced"/>
      </w:pPr>
    </w:p>
    <w:p w:rsidR="00485094" w:rsidRPr="006A08C9" w:rsidRDefault="00485094" w:rsidP="00567F73">
      <w:pPr>
        <w:pStyle w:val="Bodytextreduced"/>
        <w:rPr>
          <w:szCs w:val="16"/>
        </w:rPr>
      </w:pPr>
    </w:p>
    <w:p w:rsidR="00485094" w:rsidRDefault="00485094" w:rsidP="0041391B">
      <w:pPr>
        <w:pStyle w:val="Heading2"/>
      </w:pPr>
      <w:bookmarkStart w:id="607" w:name="_Toc271279997"/>
      <w:bookmarkStart w:id="608" w:name="_Toc254269894"/>
      <w:bookmarkStart w:id="609" w:name="_Toc255822557"/>
      <w:r>
        <w:t xml:space="preserve">Special Focus:  </w:t>
      </w:r>
      <w:r w:rsidRPr="00B22DB9">
        <w:t>Lake</w:t>
      </w:r>
      <w:r>
        <w:t>s</w:t>
      </w:r>
      <w:bookmarkEnd w:id="607"/>
      <w:r>
        <w:t xml:space="preserve"> </w:t>
      </w:r>
      <w:bookmarkEnd w:id="608"/>
      <w:bookmarkEnd w:id="609"/>
    </w:p>
    <w:p w:rsidR="00485094" w:rsidRDefault="00485094" w:rsidP="005F5866">
      <w:pPr>
        <w:pStyle w:val="Bodytext"/>
      </w:pPr>
      <w:r>
        <w:t>Lakes are a particular focus of the EPA’s Integrated Report guidance.  This section addresses CWA Section 314 reporting requirements, providing information on lake trends, a</w:t>
      </w:r>
      <w:r w:rsidRPr="003E7486">
        <w:t xml:space="preserve">pproaches to </w:t>
      </w:r>
      <w:r>
        <w:t>c</w:t>
      </w:r>
      <w:r w:rsidRPr="003E7486">
        <w:t xml:space="preserve">ontrolling </w:t>
      </w:r>
      <w:r>
        <w:t xml:space="preserve">lake pollution and lake water quality, and publicly owned lakes with impaired uses.  </w:t>
      </w:r>
      <w:r w:rsidRPr="0038645D">
        <w:rPr>
          <w:b/>
          <w:i/>
        </w:rPr>
        <w:t xml:space="preserve">Table </w:t>
      </w:r>
      <w:r>
        <w:rPr>
          <w:b/>
          <w:i/>
        </w:rPr>
        <w:t>8.2</w:t>
      </w:r>
      <w:r>
        <w:t xml:space="preserve"> includes a summary of the lake acres assigned to each EPA Integrated Report category, and </w:t>
      </w:r>
      <w:r w:rsidRPr="0038645D">
        <w:rPr>
          <w:b/>
          <w:i/>
          <w:snapToGrid w:val="0"/>
        </w:rPr>
        <w:t xml:space="preserve">Table </w:t>
      </w:r>
      <w:r>
        <w:rPr>
          <w:b/>
          <w:i/>
          <w:snapToGrid w:val="0"/>
        </w:rPr>
        <w:t>8.3b</w:t>
      </w:r>
      <w:r>
        <w:rPr>
          <w:snapToGrid w:val="0"/>
        </w:rPr>
        <w:t xml:space="preserve"> </w:t>
      </w:r>
      <w:r>
        <w:t xml:space="preserve">provides information on the acres of lakes impaired by various causes. </w:t>
      </w:r>
      <w:r w:rsidRPr="0022335E">
        <w:rPr>
          <w:b/>
        </w:rPr>
        <w:t xml:space="preserve"> </w:t>
      </w:r>
    </w:p>
    <w:p w:rsidR="00485094" w:rsidRDefault="00485094" w:rsidP="005F5866">
      <w:pPr>
        <w:pStyle w:val="Bodytext"/>
      </w:pPr>
    </w:p>
    <w:p w:rsidR="00485094" w:rsidRDefault="00485094" w:rsidP="0041391B">
      <w:pPr>
        <w:pStyle w:val="Heading3"/>
        <w:rPr>
          <w:snapToGrid w:val="0"/>
        </w:rPr>
      </w:pPr>
      <w:bookmarkStart w:id="610" w:name="_Toc255822558"/>
      <w:bookmarkStart w:id="611" w:name="_Toc271279998"/>
      <w:r w:rsidRPr="00C71D52">
        <w:rPr>
          <w:snapToGrid w:val="0"/>
        </w:rPr>
        <w:t>Lake Trends</w:t>
      </w:r>
      <w:bookmarkEnd w:id="610"/>
      <w:bookmarkEnd w:id="611"/>
    </w:p>
    <w:p w:rsidR="00485094" w:rsidRPr="00ED71FB" w:rsidRDefault="00485094" w:rsidP="005F5866">
      <w:pPr>
        <w:pStyle w:val="Bodytext"/>
        <w:rPr>
          <w:rFonts w:cs="Arial"/>
        </w:rPr>
      </w:pPr>
      <w:r>
        <w:rPr>
          <w:snapToGrid w:val="0"/>
        </w:rPr>
        <w:t>Trends in Florida lakes between 1999 and 2008 were analyzed, and there were sufficient data for trend analysis for 369 lakes.  Of these 369 lakes, 52 were improving, 260 were stable, and 57 were degrading</w:t>
      </w:r>
      <w:r w:rsidRPr="00A11646">
        <w:rPr>
          <w:i/>
          <w:snapToGrid w:val="0"/>
        </w:rPr>
        <w:t xml:space="preserve">. </w:t>
      </w:r>
      <w:r w:rsidRPr="002D4929">
        <w:rPr>
          <w:i/>
          <w:snapToGrid w:val="0"/>
        </w:rPr>
        <w:t xml:space="preserve"> </w:t>
      </w:r>
      <w:r w:rsidRPr="00ED71FB">
        <w:rPr>
          <w:snapToGrid w:val="0"/>
        </w:rPr>
        <w:t xml:space="preserve">For </w:t>
      </w:r>
      <w:r>
        <w:rPr>
          <w:snapToGrid w:val="0"/>
        </w:rPr>
        <w:t>966</w:t>
      </w:r>
      <w:r w:rsidRPr="00ED71FB">
        <w:rPr>
          <w:snapToGrid w:val="0"/>
        </w:rPr>
        <w:t xml:space="preserve"> </w:t>
      </w:r>
      <w:r>
        <w:rPr>
          <w:snapToGrid w:val="0"/>
        </w:rPr>
        <w:t>lakes</w:t>
      </w:r>
      <w:r w:rsidRPr="00ED71FB">
        <w:rPr>
          <w:snapToGrid w:val="0"/>
        </w:rPr>
        <w:t>, trends were unknown.</w:t>
      </w:r>
    </w:p>
    <w:p w:rsidR="00485094" w:rsidRPr="00ED71FB" w:rsidRDefault="00485094" w:rsidP="005F5866">
      <w:pPr>
        <w:autoSpaceDE w:val="0"/>
        <w:autoSpaceDN w:val="0"/>
        <w:adjustRightInd w:val="0"/>
        <w:rPr>
          <w:rFonts w:ascii="Arial" w:hAnsi="Arial" w:cs="Arial"/>
          <w:bCs/>
          <w:sz w:val="22"/>
          <w:szCs w:val="22"/>
        </w:rPr>
      </w:pPr>
    </w:p>
    <w:p w:rsidR="00485094" w:rsidRPr="00F77C15" w:rsidRDefault="00485094" w:rsidP="005F5866">
      <w:pPr>
        <w:autoSpaceDE w:val="0"/>
        <w:autoSpaceDN w:val="0"/>
        <w:adjustRightInd w:val="0"/>
        <w:rPr>
          <w:rFonts w:ascii="Arial" w:hAnsi="Arial" w:cs="Arial"/>
          <w:bCs/>
          <w:sz w:val="22"/>
          <w:szCs w:val="22"/>
        </w:rPr>
      </w:pPr>
      <w:r w:rsidRPr="00F77C15">
        <w:rPr>
          <w:rFonts w:ascii="Arial" w:hAnsi="Arial" w:cs="Arial"/>
          <w:bCs/>
          <w:sz w:val="22"/>
          <w:szCs w:val="22"/>
        </w:rPr>
        <w:t>Trend analysis was accomplished using quarterly waterbody medians of nitrogen, phosphorus and chlorophyll</w:t>
      </w:r>
      <w:r>
        <w:rPr>
          <w:rFonts w:ascii="Arial" w:hAnsi="Arial" w:cs="Arial"/>
          <w:bCs/>
          <w:sz w:val="22"/>
          <w:szCs w:val="22"/>
        </w:rPr>
        <w:t xml:space="preserve"> </w:t>
      </w:r>
      <w:r w:rsidRPr="00D47239">
        <w:rPr>
          <w:rFonts w:ascii="Arial" w:hAnsi="Arial" w:cs="Arial"/>
          <w:bCs/>
          <w:i/>
          <w:sz w:val="22"/>
          <w:szCs w:val="22"/>
        </w:rPr>
        <w:t>a</w:t>
      </w:r>
      <w:r w:rsidRPr="00F77C15">
        <w:rPr>
          <w:rFonts w:ascii="Arial" w:hAnsi="Arial" w:cs="Arial"/>
          <w:bCs/>
          <w:sz w:val="22"/>
          <w:szCs w:val="22"/>
        </w:rPr>
        <w:t xml:space="preserve"> </w:t>
      </w:r>
      <w:r>
        <w:rPr>
          <w:rFonts w:ascii="Arial" w:hAnsi="Arial" w:cs="Arial"/>
          <w:bCs/>
          <w:sz w:val="22"/>
          <w:szCs w:val="22"/>
        </w:rPr>
        <w:t xml:space="preserve">from </w:t>
      </w:r>
      <w:r w:rsidRPr="00F77C15">
        <w:rPr>
          <w:rFonts w:ascii="Arial" w:hAnsi="Arial" w:cs="Arial"/>
          <w:bCs/>
          <w:sz w:val="22"/>
          <w:szCs w:val="22"/>
        </w:rPr>
        <w:t>199</w:t>
      </w:r>
      <w:r>
        <w:rPr>
          <w:rFonts w:ascii="Arial" w:hAnsi="Arial" w:cs="Arial"/>
          <w:bCs/>
          <w:sz w:val="22"/>
          <w:szCs w:val="22"/>
        </w:rPr>
        <w:t xml:space="preserve">9 through </w:t>
      </w:r>
      <w:r w:rsidRPr="00F77C15">
        <w:rPr>
          <w:rFonts w:ascii="Arial" w:hAnsi="Arial" w:cs="Arial"/>
          <w:bCs/>
          <w:sz w:val="22"/>
          <w:szCs w:val="22"/>
        </w:rPr>
        <w:t>200</w:t>
      </w:r>
      <w:r>
        <w:rPr>
          <w:rFonts w:ascii="Arial" w:hAnsi="Arial" w:cs="Arial"/>
          <w:bCs/>
          <w:sz w:val="22"/>
          <w:szCs w:val="22"/>
        </w:rPr>
        <w:t>8</w:t>
      </w:r>
      <w:r w:rsidRPr="00F77C15">
        <w:rPr>
          <w:rFonts w:ascii="Arial" w:hAnsi="Arial" w:cs="Arial"/>
          <w:bCs/>
          <w:sz w:val="22"/>
          <w:szCs w:val="22"/>
        </w:rPr>
        <w:t xml:space="preserve">.  Only waterbodies with at least 10 years </w:t>
      </w:r>
      <w:r>
        <w:rPr>
          <w:rFonts w:ascii="Arial" w:hAnsi="Arial" w:cs="Arial"/>
          <w:bCs/>
          <w:sz w:val="22"/>
          <w:szCs w:val="22"/>
        </w:rPr>
        <w:t xml:space="preserve">of </w:t>
      </w:r>
      <w:r w:rsidRPr="00F77C15">
        <w:rPr>
          <w:rFonts w:ascii="Arial" w:hAnsi="Arial" w:cs="Arial"/>
          <w:bCs/>
          <w:sz w:val="22"/>
          <w:szCs w:val="22"/>
        </w:rPr>
        <w:t xml:space="preserve">data were used in the Spearman rank-order nonparametric correlation (correlations had to be significant at the 95% confidence level). </w:t>
      </w:r>
    </w:p>
    <w:p w:rsidR="00485094" w:rsidRDefault="00485094" w:rsidP="005F5866">
      <w:pPr>
        <w:pStyle w:val="Bodytext"/>
        <w:rPr>
          <w:snapToGrid w:val="0"/>
        </w:rPr>
      </w:pPr>
    </w:p>
    <w:p w:rsidR="00485094" w:rsidRDefault="00485094" w:rsidP="0041391B">
      <w:pPr>
        <w:pStyle w:val="Heading3"/>
      </w:pPr>
      <w:bookmarkStart w:id="612" w:name="_Toc255822560"/>
      <w:bookmarkStart w:id="613" w:name="_Toc271279999"/>
      <w:r w:rsidRPr="0022335E">
        <w:t>Approaches to Controlling Lake Pollution</w:t>
      </w:r>
      <w:r>
        <w:t xml:space="preserve"> and Lake Water Quality</w:t>
      </w:r>
      <w:bookmarkEnd w:id="612"/>
      <w:bookmarkEnd w:id="613"/>
    </w:p>
    <w:p w:rsidR="00485094" w:rsidRPr="001C2211" w:rsidRDefault="00485094" w:rsidP="005F5866">
      <w:pPr>
        <w:pStyle w:val="Bodytext"/>
        <w:rPr>
          <w:highlight w:val="cyan"/>
        </w:rPr>
      </w:pPr>
      <w:r w:rsidRPr="00AA4EFD">
        <w:t xml:space="preserve">The TMDL </w:t>
      </w:r>
      <w:r>
        <w:t>assessment process</w:t>
      </w:r>
      <w:r w:rsidRPr="00AA4EFD">
        <w:t xml:space="preserve"> described </w:t>
      </w:r>
      <w:r>
        <w:t>i</w:t>
      </w:r>
      <w:r w:rsidRPr="00AA4EFD">
        <w:t xml:space="preserve">n </w:t>
      </w:r>
      <w:hyperlink w:anchor="_Chapter_7._" w:history="1">
        <w:r w:rsidRPr="00CA461C">
          <w:rPr>
            <w:rStyle w:val="Hyperlink"/>
          </w:rPr>
          <w:t>Chapter 7</w:t>
        </w:r>
      </w:hyperlink>
      <w:r>
        <w:t xml:space="preserve"> </w:t>
      </w:r>
      <w:r w:rsidRPr="00AA4EFD">
        <w:t xml:space="preserve">provides an approach to controlling </w:t>
      </w:r>
      <w:r>
        <w:t xml:space="preserve">the </w:t>
      </w:r>
      <w:r w:rsidRPr="00AA4EFD">
        <w:t xml:space="preserve">point and nonpoint source pollution entering </w:t>
      </w:r>
      <w:r>
        <w:t xml:space="preserve">Florida’s </w:t>
      </w:r>
      <w:r w:rsidRPr="00AA4EFD">
        <w:t>lakes</w:t>
      </w:r>
      <w:r>
        <w:t xml:space="preserve"> and restoring lake water quality</w:t>
      </w:r>
      <w:r w:rsidRPr="00AA4EFD">
        <w:t xml:space="preserve">.  </w:t>
      </w:r>
      <w:r>
        <w:t>In particular, the BMAPs developed for impaired waterbodies describe specific management activities and BMPs for reducing pollution.  Each BMAP also provides interim and final targets for evaluating water quality improvements, a mechanism for tracking the implementation of management actions, procedures for monitoring and reporting on progress, data management and QA/QC procedures, a description of methods used to evaluate progress towards goals, a strategy and schedule for periodically reporting results to the public, and procedures to determine whether additional corrective actions are needed and whether plan components need to be revised.</w:t>
      </w:r>
    </w:p>
    <w:p w:rsidR="00485094" w:rsidRPr="00E00021" w:rsidRDefault="00485094" w:rsidP="005F5866">
      <w:pPr>
        <w:autoSpaceDE w:val="0"/>
        <w:autoSpaceDN w:val="0"/>
        <w:adjustRightInd w:val="0"/>
        <w:rPr>
          <w:rFonts w:ascii="Arial" w:hAnsi="Arial" w:cs="Arial"/>
          <w:bCs/>
          <w:sz w:val="22"/>
          <w:szCs w:val="22"/>
        </w:rPr>
      </w:pPr>
    </w:p>
    <w:p w:rsidR="00485094" w:rsidRDefault="00485094" w:rsidP="0041391B">
      <w:pPr>
        <w:pStyle w:val="Heading3"/>
      </w:pPr>
      <w:bookmarkStart w:id="614" w:name="_Toc255822562"/>
      <w:bookmarkStart w:id="615" w:name="_Toc271280000"/>
      <w:r w:rsidRPr="0022335E">
        <w:t>Publicly Owned Lakes with Impaired Uses</w:t>
      </w:r>
      <w:bookmarkEnd w:id="614"/>
      <w:bookmarkEnd w:id="615"/>
    </w:p>
    <w:p w:rsidR="00485094" w:rsidRPr="00F105D3" w:rsidRDefault="00485094" w:rsidP="005F5866">
      <w:pPr>
        <w:pStyle w:val="Bodytext"/>
        <w:rPr>
          <w:b/>
        </w:rPr>
      </w:pPr>
      <w:r w:rsidRPr="00832476">
        <w:t>Florida has a number of publicly</w:t>
      </w:r>
      <w:r w:rsidRPr="00010E67">
        <w:t xml:space="preserve"> owned lakes </w:t>
      </w:r>
      <w:r>
        <w:t xml:space="preserve">that </w:t>
      </w:r>
      <w:r w:rsidRPr="00010E67">
        <w:t>are known to be impaired</w:t>
      </w:r>
      <w:r>
        <w:t>.  These include</w:t>
      </w:r>
      <w:r w:rsidRPr="00010E67">
        <w:t xml:space="preserve"> lakes that do not meet applicable </w:t>
      </w:r>
      <w:r>
        <w:t>water quality standards</w:t>
      </w:r>
      <w:r w:rsidRPr="00010E67">
        <w:t xml:space="preserve"> or that require</w:t>
      </w:r>
      <w:r>
        <w:t xml:space="preserve"> the</w:t>
      </w:r>
      <w:r w:rsidRPr="00010E67">
        <w:t xml:space="preserve"> implementation of control programs to maintain compliance with applicable standards</w:t>
      </w:r>
      <w:r>
        <w:t xml:space="preserve">.  </w:t>
      </w:r>
      <w:r w:rsidRPr="001601D8">
        <w:rPr>
          <w:b/>
        </w:rPr>
        <w:t xml:space="preserve">Appendix </w:t>
      </w:r>
      <w:r>
        <w:rPr>
          <w:b/>
        </w:rPr>
        <w:t>E</w:t>
      </w:r>
      <w:r>
        <w:t xml:space="preserve"> lists alphabetically the impaired lakes in the state, the parameter causing impairment, the basin group, and the river basin within which each lake is located.</w:t>
      </w:r>
    </w:p>
    <w:p w:rsidR="00485094" w:rsidRDefault="00485094" w:rsidP="005F5866">
      <w:pPr>
        <w:autoSpaceDE w:val="0"/>
        <w:autoSpaceDN w:val="0"/>
        <w:adjustRightInd w:val="0"/>
        <w:rPr>
          <w:rFonts w:ascii="Arial" w:hAnsi="Arial" w:cs="Arial"/>
          <w:bCs/>
          <w:sz w:val="22"/>
          <w:szCs w:val="22"/>
        </w:rPr>
      </w:pPr>
    </w:p>
    <w:p w:rsidR="00485094" w:rsidRPr="00312FC8" w:rsidRDefault="00485094" w:rsidP="0041391B">
      <w:pPr>
        <w:pStyle w:val="Heading2"/>
      </w:pPr>
      <w:bookmarkStart w:id="616" w:name="_Toc254269895"/>
      <w:bookmarkStart w:id="617" w:name="_Toc255822563"/>
      <w:bookmarkStart w:id="618" w:name="_Toc271280001"/>
      <w:r w:rsidRPr="00312FC8">
        <w:t>Drinking Water</w:t>
      </w:r>
      <w:bookmarkEnd w:id="616"/>
      <w:bookmarkEnd w:id="617"/>
      <w:bookmarkEnd w:id="618"/>
    </w:p>
    <w:p w:rsidR="00485094" w:rsidRDefault="00485094" w:rsidP="005F5866">
      <w:pPr>
        <w:pStyle w:val="Bodytext"/>
        <w:rPr>
          <w:snapToGrid w:val="0"/>
        </w:rPr>
      </w:pPr>
      <w:r>
        <w:rPr>
          <w:snapToGrid w:val="0"/>
        </w:rPr>
        <w:t>Surface waters supply only about 13% of Florida's drinking water.  Of 5,634 public drinking water systems statewide, 18 obtain their water from surface water.  An additional 53 systems wholly or partially purchase water from these 18 systems.  Because it is expensive to operate a surface water system (given that filtration and advanced disinfection are costly), most are large.</w:t>
      </w:r>
    </w:p>
    <w:p w:rsidR="00485094" w:rsidRDefault="00485094" w:rsidP="005F5866">
      <w:pPr>
        <w:pStyle w:val="Bodytext"/>
        <w:rPr>
          <w:snapToGrid w:val="0"/>
        </w:rPr>
      </w:pPr>
    </w:p>
    <w:p w:rsidR="00485094" w:rsidRDefault="00485094" w:rsidP="00D21F4A">
      <w:pPr>
        <w:pStyle w:val="Bodytext"/>
        <w:rPr>
          <w:snapToGrid w:val="0"/>
        </w:rPr>
      </w:pPr>
      <w:r>
        <w:t xml:space="preserve">While earlier </w:t>
      </w:r>
      <w:r w:rsidRPr="007B13C0">
        <w:t>sections o</w:t>
      </w:r>
      <w:r>
        <w:t>f this chapter</w:t>
      </w:r>
      <w:r w:rsidRPr="007B13C0">
        <w:t xml:space="preserve"> discussed impaired waters by waterbody type</w:t>
      </w:r>
      <w:r>
        <w:t>, t</w:t>
      </w:r>
      <w:r w:rsidRPr="007B13C0">
        <w:t xml:space="preserve">his section provides assessment results </w:t>
      </w:r>
      <w:r>
        <w:t xml:space="preserve">for waterbodies designated as Class I, potable water supply.  </w:t>
      </w:r>
      <w:r>
        <w:rPr>
          <w:snapToGrid w:val="0"/>
        </w:rPr>
        <w:t xml:space="preserve">To determine the attainment of water quality standards, the data for all Class I rivers/streams and lakes in the state were assessed against all criteria associated with those waters, not just those designated to potable water supply.  Class I waters must also protect general human health, aquatic life, and allow for the protection of fish and wildlife, and recreational uses.  In fact, the criteria not being attained in Class I waters are those that support Class III uses, not necessarily those uses associated with providing safe drinking water.  </w:t>
      </w:r>
      <w:r w:rsidRPr="00CA461C">
        <w:rPr>
          <w:b/>
          <w:i/>
          <w:snapToGrid w:val="0"/>
        </w:rPr>
        <w:t>Table 8.</w:t>
      </w:r>
      <w:r>
        <w:rPr>
          <w:b/>
          <w:i/>
          <w:snapToGrid w:val="0"/>
        </w:rPr>
        <w:t>5</w:t>
      </w:r>
      <w:r>
        <w:rPr>
          <w:snapToGrid w:val="0"/>
        </w:rPr>
        <w:t xml:space="preserve"> lists the total miles of rivers/streams and acres of lakes/reservoirs designated for drinking water use, and </w:t>
      </w:r>
      <w:r w:rsidRPr="00CA461C">
        <w:rPr>
          <w:b/>
          <w:i/>
          <w:snapToGrid w:val="0"/>
        </w:rPr>
        <w:t>Table 8.</w:t>
      </w:r>
      <w:r>
        <w:rPr>
          <w:b/>
          <w:i/>
          <w:snapToGrid w:val="0"/>
        </w:rPr>
        <w:t>6</w:t>
      </w:r>
      <w:r>
        <w:rPr>
          <w:snapToGrid w:val="0"/>
        </w:rPr>
        <w:t xml:space="preserve"> lists the miles of rivers/streams and acres of lakes/reservoirs designated for drinking water use that are assigned to each of the EPA’s five reporting categories.  Note that Lake Okeechobee is a Class I waterbody, and it comprises 435,840 acres of the total 490,356 lake acres that are currently impaired.</w:t>
      </w:r>
    </w:p>
    <w:p w:rsidR="00485094" w:rsidRDefault="00485094" w:rsidP="005F5866">
      <w:pPr>
        <w:pStyle w:val="Bodytext"/>
        <w:rPr>
          <w:snapToGrid w:val="0"/>
        </w:rPr>
      </w:pPr>
    </w:p>
    <w:p w:rsidR="00485094" w:rsidRDefault="00485094" w:rsidP="005F5866">
      <w:pPr>
        <w:pStyle w:val="Bodytext"/>
        <w:rPr>
          <w:snapToGrid w:val="0"/>
        </w:rPr>
      </w:pPr>
    </w:p>
    <w:p w:rsidR="00485094" w:rsidRDefault="00485094">
      <w:pPr>
        <w:pStyle w:val="Tableheading"/>
      </w:pPr>
      <w:bookmarkStart w:id="619" w:name="_Toc254267143"/>
      <w:bookmarkStart w:id="620" w:name="_Toc255807517"/>
      <w:bookmarkStart w:id="621" w:name="_Toc271280123"/>
      <w:r w:rsidRPr="00BD1516">
        <w:t>Table 8.</w:t>
      </w:r>
      <w:r>
        <w:t>5</w:t>
      </w:r>
      <w:r w:rsidRPr="00BD1516">
        <w:t>.  Total Miles of Rivers/Streams and Acres of Lakes/Reservoirs Designated for Drinking Water Use</w:t>
      </w:r>
      <w:bookmarkEnd w:id="619"/>
      <w:bookmarkEnd w:id="620"/>
      <w:bookmarkEnd w:id="621"/>
    </w:p>
    <w:p w:rsidR="00485094" w:rsidRDefault="00485094" w:rsidP="00C84B1C">
      <w:pPr>
        <w:pStyle w:val="TabledescriptionBF"/>
      </w:pPr>
      <w:r>
        <w:t>This is a three-column table.  Column 1 lists the waterbody type, Column 2 lists the number of waterbodies in the state designated for drinking water use, and Column 3 lists the stream miles and lake acres with that designation.</w:t>
      </w:r>
    </w:p>
    <w:p w:rsidR="00485094" w:rsidRPr="00BD1516" w:rsidRDefault="00485094" w:rsidP="00C84B1C">
      <w:pPr>
        <w:pStyle w:val="TabledescriptionBF"/>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2"/>
        <w:gridCol w:w="1031"/>
        <w:gridCol w:w="1620"/>
      </w:tblGrid>
      <w:tr w:rsidR="00485094" w:rsidRPr="006D266D" w:rsidTr="001C044D">
        <w:trPr>
          <w:trHeight w:val="288"/>
          <w:jc w:val="center"/>
        </w:trPr>
        <w:tc>
          <w:tcPr>
            <w:tcW w:w="1262" w:type="dxa"/>
            <w:tcBorders>
              <w:bottom w:val="double" w:sz="4" w:space="0" w:color="auto"/>
            </w:tcBorders>
            <w:shd w:val="clear" w:color="auto" w:fill="BDFFFF"/>
            <w:vAlign w:val="bottom"/>
          </w:tcPr>
          <w:p w:rsidR="00485094" w:rsidRPr="006D266D" w:rsidRDefault="00485094" w:rsidP="001C044D">
            <w:pPr>
              <w:pStyle w:val="TableText"/>
              <w:jc w:val="center"/>
              <w:rPr>
                <w:b/>
                <w:bCs/>
                <w:i/>
              </w:rPr>
            </w:pPr>
            <w:r w:rsidRPr="006D266D">
              <w:rPr>
                <w:b/>
                <w:bCs/>
                <w:i/>
              </w:rPr>
              <w:t>Waterbody Type</w:t>
            </w:r>
          </w:p>
        </w:tc>
        <w:tc>
          <w:tcPr>
            <w:tcW w:w="1031" w:type="dxa"/>
            <w:tcBorders>
              <w:bottom w:val="double" w:sz="4" w:space="0" w:color="auto"/>
            </w:tcBorders>
            <w:shd w:val="clear" w:color="auto" w:fill="BDFFFF"/>
            <w:vAlign w:val="bottom"/>
          </w:tcPr>
          <w:p w:rsidR="00485094" w:rsidRPr="006D266D" w:rsidRDefault="00485094" w:rsidP="001C044D">
            <w:pPr>
              <w:pStyle w:val="TableText"/>
              <w:jc w:val="center"/>
              <w:rPr>
                <w:b/>
                <w:bCs/>
                <w:i/>
              </w:rPr>
            </w:pPr>
            <w:r w:rsidRPr="006D266D">
              <w:rPr>
                <w:b/>
                <w:bCs/>
                <w:i/>
              </w:rPr>
              <w:t>Number</w:t>
            </w:r>
          </w:p>
        </w:tc>
        <w:tc>
          <w:tcPr>
            <w:tcW w:w="1620" w:type="dxa"/>
            <w:tcBorders>
              <w:bottom w:val="double" w:sz="4" w:space="0" w:color="auto"/>
            </w:tcBorders>
            <w:shd w:val="clear" w:color="auto" w:fill="BDFFFF"/>
            <w:vAlign w:val="bottom"/>
          </w:tcPr>
          <w:p w:rsidR="00485094" w:rsidRPr="006D266D" w:rsidRDefault="00485094" w:rsidP="001C044D">
            <w:pPr>
              <w:pStyle w:val="TableText"/>
              <w:jc w:val="center"/>
              <w:rPr>
                <w:b/>
                <w:bCs/>
                <w:i/>
              </w:rPr>
            </w:pPr>
            <w:r w:rsidRPr="006D266D">
              <w:rPr>
                <w:b/>
                <w:bCs/>
                <w:i/>
              </w:rPr>
              <w:t>Total in State</w:t>
            </w:r>
          </w:p>
        </w:tc>
      </w:tr>
      <w:tr w:rsidR="00485094" w:rsidTr="00BD1516">
        <w:trPr>
          <w:trHeight w:val="288"/>
          <w:jc w:val="center"/>
        </w:trPr>
        <w:tc>
          <w:tcPr>
            <w:tcW w:w="1262" w:type="dxa"/>
            <w:tcBorders>
              <w:top w:val="double" w:sz="4" w:space="0" w:color="auto"/>
            </w:tcBorders>
            <w:shd w:val="clear" w:color="auto" w:fill="FFFFCC"/>
            <w:vAlign w:val="center"/>
          </w:tcPr>
          <w:p w:rsidR="00485094" w:rsidRDefault="00485094" w:rsidP="005F5866">
            <w:pPr>
              <w:pStyle w:val="TableText"/>
              <w:jc w:val="center"/>
            </w:pPr>
            <w:r>
              <w:t>Streams</w:t>
            </w:r>
          </w:p>
        </w:tc>
        <w:tc>
          <w:tcPr>
            <w:tcW w:w="1031" w:type="dxa"/>
            <w:tcBorders>
              <w:top w:val="double" w:sz="4" w:space="0" w:color="auto"/>
            </w:tcBorders>
            <w:vAlign w:val="center"/>
          </w:tcPr>
          <w:p w:rsidR="00485094" w:rsidRDefault="00485094" w:rsidP="005F5866">
            <w:pPr>
              <w:pStyle w:val="TableText"/>
              <w:jc w:val="center"/>
            </w:pPr>
            <w:r>
              <w:t>90</w:t>
            </w:r>
          </w:p>
        </w:tc>
        <w:tc>
          <w:tcPr>
            <w:tcW w:w="1620" w:type="dxa"/>
            <w:tcBorders>
              <w:top w:val="double" w:sz="4" w:space="0" w:color="auto"/>
            </w:tcBorders>
            <w:vAlign w:val="center"/>
          </w:tcPr>
          <w:p w:rsidR="00485094" w:rsidRDefault="00485094" w:rsidP="005F5866">
            <w:pPr>
              <w:pStyle w:val="TableText"/>
              <w:jc w:val="center"/>
            </w:pPr>
            <w:r>
              <w:t>556 miles</w:t>
            </w:r>
          </w:p>
        </w:tc>
      </w:tr>
      <w:tr w:rsidR="00485094" w:rsidTr="00BD1516">
        <w:trPr>
          <w:trHeight w:val="288"/>
          <w:jc w:val="center"/>
        </w:trPr>
        <w:tc>
          <w:tcPr>
            <w:tcW w:w="1262" w:type="dxa"/>
            <w:shd w:val="clear" w:color="auto" w:fill="FFFFCC"/>
            <w:vAlign w:val="center"/>
          </w:tcPr>
          <w:p w:rsidR="00485094" w:rsidRDefault="00485094" w:rsidP="005F5866">
            <w:pPr>
              <w:pStyle w:val="TableText"/>
              <w:jc w:val="center"/>
            </w:pPr>
            <w:r>
              <w:t>Lakes</w:t>
            </w:r>
          </w:p>
        </w:tc>
        <w:tc>
          <w:tcPr>
            <w:tcW w:w="1031" w:type="dxa"/>
            <w:vAlign w:val="center"/>
          </w:tcPr>
          <w:p w:rsidR="00485094" w:rsidRDefault="00485094" w:rsidP="005F5866">
            <w:pPr>
              <w:pStyle w:val="TableText"/>
              <w:jc w:val="center"/>
            </w:pPr>
            <w:r>
              <w:t>24</w:t>
            </w:r>
          </w:p>
        </w:tc>
        <w:tc>
          <w:tcPr>
            <w:tcW w:w="1620" w:type="dxa"/>
            <w:vAlign w:val="center"/>
          </w:tcPr>
          <w:p w:rsidR="00485094" w:rsidRDefault="00485094" w:rsidP="005F5866">
            <w:pPr>
              <w:pStyle w:val="TableText"/>
              <w:jc w:val="center"/>
            </w:pPr>
            <w:r>
              <w:t>501,170 acres</w:t>
            </w:r>
          </w:p>
        </w:tc>
      </w:tr>
    </w:tbl>
    <w:p w:rsidR="00485094" w:rsidRDefault="00485094">
      <w:pPr>
        <w:pStyle w:val="Bodytextreduced"/>
      </w:pPr>
    </w:p>
    <w:p w:rsidR="00485094" w:rsidRDefault="00485094">
      <w:pPr>
        <w:pStyle w:val="Bodytextreduced"/>
      </w:pPr>
      <w:bookmarkStart w:id="622" w:name="_Toc254267144"/>
      <w:bookmarkStart w:id="623" w:name="_Toc255807518"/>
    </w:p>
    <w:p w:rsidR="00485094" w:rsidRDefault="00485094">
      <w:pPr>
        <w:rPr>
          <w:rFonts w:ascii="Arial" w:hAnsi="Arial"/>
          <w:b/>
          <w:i/>
          <w:sz w:val="20"/>
          <w:szCs w:val="20"/>
        </w:rPr>
      </w:pPr>
      <w:r>
        <w:br w:type="page"/>
      </w:r>
    </w:p>
    <w:p w:rsidR="00485094" w:rsidRDefault="00485094">
      <w:pPr>
        <w:pStyle w:val="Tableheading"/>
      </w:pPr>
      <w:bookmarkStart w:id="624" w:name="_Toc271280124"/>
      <w:r w:rsidRPr="00CA461C">
        <w:t>Table 8.6.  Miles of Rivers/Streams and Acres of Lakes/Reservoirs Designated for Drinking Water Use that Are Assigned to Each of the EPA’s Five Reporting Categories</w:t>
      </w:r>
      <w:bookmarkEnd w:id="622"/>
      <w:bookmarkEnd w:id="623"/>
      <w:bookmarkEnd w:id="624"/>
    </w:p>
    <w:p w:rsidR="00485094" w:rsidRDefault="00485094" w:rsidP="00BD1516">
      <w:pPr>
        <w:pStyle w:val="TabledescriptionBF"/>
      </w:pPr>
      <w:r>
        <w:t>This is a five-column table.  Column 1 lists the waterbody type, Column 2 lists the number of waterbodies, Column 3 lists the stream miles and lake acres, Column 4 lists the EPA category, and Column 5 lists the assessment status.</w:t>
      </w:r>
    </w:p>
    <w:p w:rsidR="00485094" w:rsidRDefault="00485094" w:rsidP="00BD1516">
      <w:pPr>
        <w:pStyle w:val="TabledescriptionBF"/>
      </w:pPr>
    </w:p>
    <w:p w:rsidR="00485094" w:rsidRPr="006B65A3" w:rsidRDefault="00485094" w:rsidP="00BD1516">
      <w:pPr>
        <w:pStyle w:val="Bodytextreduced"/>
      </w:pPr>
      <w:r w:rsidRPr="00BD1516">
        <w:rPr>
          <w:vertAlign w:val="superscript"/>
        </w:rPr>
        <w:t>1</w:t>
      </w:r>
      <w:r w:rsidRPr="00BD1516">
        <w:t xml:space="preserve"> </w:t>
      </w:r>
      <w:r w:rsidRPr="006B65A3">
        <w:t>The EPA’s Integrated Report categories are as follows:</w:t>
      </w:r>
    </w:p>
    <w:p w:rsidR="00485094" w:rsidRPr="006B65A3" w:rsidRDefault="00485094" w:rsidP="00BD1516">
      <w:pPr>
        <w:pStyle w:val="Bodytextreduced"/>
        <w:ind w:left="900" w:hanging="360"/>
      </w:pPr>
      <w:r w:rsidRPr="006B65A3">
        <w:t>1</w:t>
      </w:r>
      <w:r>
        <w:t xml:space="preserve"> = </w:t>
      </w:r>
      <w:r w:rsidRPr="006B65A3">
        <w:t>Attains all designated uses;</w:t>
      </w:r>
    </w:p>
    <w:p w:rsidR="00485094" w:rsidRPr="006B65A3" w:rsidRDefault="00485094" w:rsidP="00BD1516">
      <w:pPr>
        <w:pStyle w:val="Bodytextreduced"/>
        <w:ind w:left="900" w:hanging="360"/>
      </w:pPr>
      <w:r w:rsidRPr="006B65A3">
        <w:t>2</w:t>
      </w:r>
      <w:r>
        <w:t xml:space="preserve"> = </w:t>
      </w:r>
      <w:r w:rsidRPr="006B65A3">
        <w:t>Attains some designated uses;</w:t>
      </w:r>
    </w:p>
    <w:p w:rsidR="00485094" w:rsidRPr="006B65A3" w:rsidRDefault="00485094" w:rsidP="00BD1516">
      <w:pPr>
        <w:pStyle w:val="Bodytextreduced"/>
        <w:ind w:left="900" w:hanging="360"/>
      </w:pPr>
      <w:r w:rsidRPr="006B65A3">
        <w:t>3a</w:t>
      </w:r>
      <w:r>
        <w:t xml:space="preserve"> = </w:t>
      </w:r>
      <w:r w:rsidRPr="006B65A3">
        <w:t>No data and information are available to determine if any designated use is attained;</w:t>
      </w:r>
    </w:p>
    <w:p w:rsidR="00485094" w:rsidRPr="006B65A3" w:rsidRDefault="00485094" w:rsidP="00BD1516">
      <w:pPr>
        <w:pStyle w:val="Bodytextreduced"/>
        <w:ind w:left="900" w:hanging="360"/>
      </w:pPr>
      <w:r w:rsidRPr="006B65A3">
        <w:t>3b</w:t>
      </w:r>
      <w:r>
        <w:t xml:space="preserve"> = </w:t>
      </w:r>
      <w:r w:rsidRPr="006B65A3">
        <w:t>Some data and information are available, but they are insufficient for determining if any designated use is attained;</w:t>
      </w:r>
    </w:p>
    <w:p w:rsidR="00485094" w:rsidRPr="006B65A3" w:rsidRDefault="00485094" w:rsidP="00BD1516">
      <w:pPr>
        <w:pStyle w:val="Bodytextreduced"/>
        <w:ind w:left="900" w:hanging="360"/>
      </w:pPr>
      <w:r w:rsidRPr="006B65A3">
        <w:t>3c</w:t>
      </w:r>
      <w:r>
        <w:t xml:space="preserve"> = </w:t>
      </w:r>
      <w:r w:rsidRPr="006B65A3">
        <w:t>Meets Planning List criteria and is potentially impaired for one or more designated uses;</w:t>
      </w:r>
    </w:p>
    <w:p w:rsidR="00485094" w:rsidRPr="006B65A3" w:rsidRDefault="00485094" w:rsidP="00BD1516">
      <w:pPr>
        <w:pStyle w:val="Bodytextreduced"/>
        <w:ind w:left="900" w:hanging="360"/>
      </w:pPr>
      <w:r w:rsidRPr="006B65A3">
        <w:t>3d</w:t>
      </w:r>
      <w:r>
        <w:t xml:space="preserve"> = </w:t>
      </w:r>
      <w:r w:rsidRPr="006B65A3">
        <w:t>Meets Verified List criteria and is potentially impaired for one or more designated uses;</w:t>
      </w:r>
    </w:p>
    <w:p w:rsidR="00485094" w:rsidRPr="006B65A3" w:rsidRDefault="00485094" w:rsidP="00BD1516">
      <w:pPr>
        <w:pStyle w:val="Bodytextreduced"/>
        <w:ind w:left="900" w:hanging="360"/>
      </w:pPr>
      <w:r w:rsidRPr="006B65A3">
        <w:t>4a</w:t>
      </w:r>
      <w:r>
        <w:t xml:space="preserve"> = </w:t>
      </w:r>
      <w:r w:rsidRPr="006B65A3">
        <w:t>Impaired for one or more designated uses and the TMDL is complete;</w:t>
      </w:r>
    </w:p>
    <w:p w:rsidR="00485094" w:rsidRPr="006B65A3" w:rsidRDefault="00485094" w:rsidP="00BD1516">
      <w:pPr>
        <w:pStyle w:val="Bodytextreduced"/>
        <w:ind w:left="900" w:hanging="360"/>
      </w:pPr>
      <w:r w:rsidRPr="006B65A3">
        <w:t>4b</w:t>
      </w:r>
      <w:r>
        <w:t xml:space="preserve"> = </w:t>
      </w:r>
      <w:r w:rsidRPr="006B65A3">
        <w:t xml:space="preserve">Impaired for one or more designated uses, but no TMDL is required because an existing or proposed pollutant control mechanism provides reasonable assurance that the water will attain standards in the future; </w:t>
      </w:r>
    </w:p>
    <w:p w:rsidR="00485094" w:rsidRPr="006B65A3" w:rsidRDefault="00485094" w:rsidP="00BD1516">
      <w:pPr>
        <w:pStyle w:val="Bodytextreduced"/>
        <w:ind w:left="900" w:hanging="360"/>
      </w:pPr>
      <w:r w:rsidRPr="006B65A3">
        <w:t>4c</w:t>
      </w:r>
      <w:r>
        <w:t xml:space="preserve"> = </w:t>
      </w:r>
      <w:r w:rsidRPr="006B65A3">
        <w:t>Impaired for one or more designated uses but no TMDL is required because the impairment is not caused by a pollutant; and</w:t>
      </w:r>
    </w:p>
    <w:p w:rsidR="00485094" w:rsidRPr="00BD1516" w:rsidRDefault="00485094" w:rsidP="00BD1516">
      <w:pPr>
        <w:pStyle w:val="Bodytextreduced"/>
        <w:ind w:left="900" w:hanging="360"/>
      </w:pPr>
      <w:r w:rsidRPr="006B65A3">
        <w:t>5</w:t>
      </w:r>
      <w:r>
        <w:t xml:space="preserve"> = </w:t>
      </w:r>
      <w:r w:rsidRPr="006B65A3">
        <w:t>Water quality standards are not attained and a TMDL is required.</w:t>
      </w:r>
    </w:p>
    <w:tbl>
      <w:tblPr>
        <w:tblW w:w="8912" w:type="dxa"/>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2"/>
        <w:gridCol w:w="1530"/>
        <w:gridCol w:w="1800"/>
        <w:gridCol w:w="1800"/>
        <w:gridCol w:w="1800"/>
      </w:tblGrid>
      <w:tr w:rsidR="00485094" w:rsidRPr="006D266D" w:rsidTr="00E86B70">
        <w:trPr>
          <w:trHeight w:val="458"/>
          <w:jc w:val="center"/>
        </w:trPr>
        <w:tc>
          <w:tcPr>
            <w:tcW w:w="1982" w:type="dxa"/>
            <w:tcBorders>
              <w:bottom w:val="double" w:sz="4" w:space="0" w:color="auto"/>
            </w:tcBorders>
            <w:shd w:val="clear" w:color="auto" w:fill="BDFFFF"/>
            <w:vAlign w:val="bottom"/>
          </w:tcPr>
          <w:p w:rsidR="00485094" w:rsidRPr="006D266D" w:rsidRDefault="00485094" w:rsidP="00BD1516">
            <w:pPr>
              <w:pStyle w:val="TableText"/>
              <w:jc w:val="center"/>
              <w:rPr>
                <w:b/>
                <w:i/>
              </w:rPr>
            </w:pPr>
            <w:r w:rsidRPr="006D266D">
              <w:rPr>
                <w:b/>
                <w:i/>
              </w:rPr>
              <w:t>Waterbody Type</w:t>
            </w:r>
          </w:p>
        </w:tc>
        <w:tc>
          <w:tcPr>
            <w:tcW w:w="1530" w:type="dxa"/>
            <w:tcBorders>
              <w:bottom w:val="double" w:sz="4" w:space="0" w:color="auto"/>
            </w:tcBorders>
            <w:shd w:val="clear" w:color="auto" w:fill="BDFFFF"/>
            <w:vAlign w:val="bottom"/>
          </w:tcPr>
          <w:p w:rsidR="00485094" w:rsidRPr="006D266D" w:rsidRDefault="00485094" w:rsidP="00BD1516">
            <w:pPr>
              <w:pStyle w:val="TableText"/>
              <w:jc w:val="center"/>
              <w:rPr>
                <w:b/>
                <w:i/>
              </w:rPr>
            </w:pPr>
            <w:r w:rsidRPr="006D266D">
              <w:rPr>
                <w:b/>
                <w:i/>
              </w:rPr>
              <w:t>Number of Waterbodies</w:t>
            </w:r>
          </w:p>
        </w:tc>
        <w:tc>
          <w:tcPr>
            <w:tcW w:w="1800" w:type="dxa"/>
            <w:tcBorders>
              <w:bottom w:val="double" w:sz="4" w:space="0" w:color="auto"/>
            </w:tcBorders>
            <w:shd w:val="clear" w:color="auto" w:fill="BDFFFF"/>
            <w:vAlign w:val="bottom"/>
          </w:tcPr>
          <w:p w:rsidR="00485094" w:rsidRPr="006D266D" w:rsidRDefault="00485094" w:rsidP="00BD1516">
            <w:pPr>
              <w:pStyle w:val="TableText"/>
              <w:jc w:val="center"/>
              <w:rPr>
                <w:b/>
                <w:i/>
              </w:rPr>
            </w:pPr>
            <w:r w:rsidRPr="006D266D">
              <w:rPr>
                <w:b/>
                <w:i/>
              </w:rPr>
              <w:t>Stream Miles</w:t>
            </w:r>
          </w:p>
          <w:p w:rsidR="00485094" w:rsidRPr="006D266D" w:rsidRDefault="00485094" w:rsidP="00BD1516">
            <w:pPr>
              <w:pStyle w:val="TableText"/>
              <w:jc w:val="center"/>
              <w:rPr>
                <w:b/>
                <w:i/>
              </w:rPr>
            </w:pPr>
            <w:r w:rsidRPr="006D266D">
              <w:rPr>
                <w:b/>
                <w:i/>
              </w:rPr>
              <w:t>and Lake Acres</w:t>
            </w:r>
          </w:p>
        </w:tc>
        <w:tc>
          <w:tcPr>
            <w:tcW w:w="1800" w:type="dxa"/>
            <w:tcBorders>
              <w:bottom w:val="double" w:sz="4" w:space="0" w:color="auto"/>
            </w:tcBorders>
            <w:shd w:val="clear" w:color="auto" w:fill="BDFFFF"/>
            <w:vAlign w:val="bottom"/>
          </w:tcPr>
          <w:p w:rsidR="00485094" w:rsidRPr="006D266D" w:rsidRDefault="00485094" w:rsidP="00BD1516">
            <w:pPr>
              <w:pStyle w:val="TableText"/>
              <w:jc w:val="center"/>
              <w:rPr>
                <w:b/>
                <w:i/>
              </w:rPr>
            </w:pPr>
            <w:r w:rsidRPr="006D266D">
              <w:rPr>
                <w:b/>
                <w:i/>
              </w:rPr>
              <w:t>EPA Category</w:t>
            </w:r>
            <w:r w:rsidRPr="00BD1516">
              <w:rPr>
                <w:b/>
                <w:i/>
                <w:vertAlign w:val="superscript"/>
              </w:rPr>
              <w:t>1</w:t>
            </w:r>
          </w:p>
        </w:tc>
        <w:tc>
          <w:tcPr>
            <w:tcW w:w="1800" w:type="dxa"/>
            <w:tcBorders>
              <w:bottom w:val="double" w:sz="4" w:space="0" w:color="auto"/>
            </w:tcBorders>
            <w:shd w:val="clear" w:color="auto" w:fill="BDFFFF"/>
            <w:vAlign w:val="bottom"/>
          </w:tcPr>
          <w:p w:rsidR="00485094" w:rsidRPr="006D266D" w:rsidRDefault="00485094" w:rsidP="00BD1516">
            <w:pPr>
              <w:pStyle w:val="TableText"/>
              <w:jc w:val="center"/>
              <w:rPr>
                <w:b/>
                <w:i/>
              </w:rPr>
            </w:pPr>
            <w:r w:rsidRPr="006D266D">
              <w:rPr>
                <w:b/>
                <w:i/>
              </w:rPr>
              <w:t>Assessment Status</w:t>
            </w:r>
          </w:p>
        </w:tc>
      </w:tr>
      <w:tr w:rsidR="00485094" w:rsidTr="00BD1516">
        <w:trPr>
          <w:trHeight w:val="288"/>
          <w:jc w:val="center"/>
        </w:trPr>
        <w:tc>
          <w:tcPr>
            <w:tcW w:w="1982" w:type="dxa"/>
            <w:tcBorders>
              <w:top w:val="double" w:sz="4" w:space="0" w:color="auto"/>
            </w:tcBorders>
            <w:vAlign w:val="center"/>
          </w:tcPr>
          <w:p w:rsidR="00485094" w:rsidRDefault="00485094" w:rsidP="005F5866">
            <w:pPr>
              <w:pStyle w:val="TableText"/>
              <w:jc w:val="center"/>
            </w:pPr>
            <w:r>
              <w:t>Rivers/Streams</w:t>
            </w:r>
          </w:p>
        </w:tc>
        <w:tc>
          <w:tcPr>
            <w:tcW w:w="1530" w:type="dxa"/>
            <w:tcBorders>
              <w:top w:val="double" w:sz="4" w:space="0" w:color="auto"/>
            </w:tcBorders>
            <w:vAlign w:val="center"/>
          </w:tcPr>
          <w:p w:rsidR="00485094" w:rsidRDefault="00485094" w:rsidP="005F5866">
            <w:pPr>
              <w:pStyle w:val="TableText"/>
              <w:jc w:val="center"/>
            </w:pPr>
            <w:r>
              <w:t>3</w:t>
            </w:r>
          </w:p>
        </w:tc>
        <w:tc>
          <w:tcPr>
            <w:tcW w:w="1800" w:type="dxa"/>
            <w:tcBorders>
              <w:top w:val="double" w:sz="4" w:space="0" w:color="auto"/>
            </w:tcBorders>
            <w:vAlign w:val="center"/>
          </w:tcPr>
          <w:p w:rsidR="00485094" w:rsidRDefault="00485094" w:rsidP="005F5866">
            <w:pPr>
              <w:pStyle w:val="TableText"/>
              <w:jc w:val="center"/>
            </w:pPr>
            <w:r>
              <w:t>39</w:t>
            </w:r>
          </w:p>
        </w:tc>
        <w:tc>
          <w:tcPr>
            <w:tcW w:w="1800" w:type="dxa"/>
            <w:tcBorders>
              <w:top w:val="double" w:sz="4" w:space="0" w:color="auto"/>
            </w:tcBorders>
            <w:vAlign w:val="center"/>
          </w:tcPr>
          <w:p w:rsidR="00485094" w:rsidRDefault="00485094" w:rsidP="005F5866">
            <w:pPr>
              <w:pStyle w:val="TableText"/>
              <w:jc w:val="center"/>
            </w:pPr>
            <w:r>
              <w:t>2</w:t>
            </w:r>
          </w:p>
        </w:tc>
        <w:tc>
          <w:tcPr>
            <w:tcW w:w="1800" w:type="dxa"/>
            <w:tcBorders>
              <w:top w:val="double" w:sz="4" w:space="0" w:color="auto"/>
            </w:tcBorders>
            <w:vAlign w:val="center"/>
          </w:tcPr>
          <w:p w:rsidR="00485094" w:rsidRDefault="00485094" w:rsidP="005F5866">
            <w:pPr>
              <w:pStyle w:val="TableText"/>
              <w:jc w:val="center"/>
            </w:pPr>
            <w:r>
              <w:t>Meets use</w:t>
            </w:r>
          </w:p>
        </w:tc>
      </w:tr>
      <w:tr w:rsidR="00485094" w:rsidTr="00BD1516">
        <w:trPr>
          <w:trHeight w:val="288"/>
          <w:jc w:val="center"/>
        </w:trPr>
        <w:tc>
          <w:tcPr>
            <w:tcW w:w="1982" w:type="dxa"/>
            <w:vAlign w:val="center"/>
          </w:tcPr>
          <w:p w:rsidR="00485094" w:rsidRPr="00D620A4" w:rsidRDefault="00485094" w:rsidP="005F5866">
            <w:pPr>
              <w:pStyle w:val="TableText"/>
              <w:jc w:val="center"/>
            </w:pPr>
            <w:r>
              <w:t>Rivers/Streams</w:t>
            </w:r>
          </w:p>
        </w:tc>
        <w:tc>
          <w:tcPr>
            <w:tcW w:w="1530" w:type="dxa"/>
            <w:vAlign w:val="center"/>
          </w:tcPr>
          <w:p w:rsidR="00485094" w:rsidRDefault="00485094" w:rsidP="005F5866">
            <w:pPr>
              <w:pStyle w:val="TableText"/>
              <w:jc w:val="center"/>
            </w:pPr>
            <w:r>
              <w:t>17</w:t>
            </w:r>
          </w:p>
        </w:tc>
        <w:tc>
          <w:tcPr>
            <w:tcW w:w="1800" w:type="dxa"/>
            <w:vAlign w:val="center"/>
          </w:tcPr>
          <w:p w:rsidR="00485094" w:rsidRDefault="00485094" w:rsidP="005F5866">
            <w:pPr>
              <w:pStyle w:val="TableText"/>
              <w:jc w:val="center"/>
            </w:pPr>
            <w:r>
              <w:t>69</w:t>
            </w:r>
          </w:p>
        </w:tc>
        <w:tc>
          <w:tcPr>
            <w:tcW w:w="1800" w:type="dxa"/>
            <w:vAlign w:val="center"/>
          </w:tcPr>
          <w:p w:rsidR="00485094" w:rsidRDefault="00485094" w:rsidP="005F5866">
            <w:pPr>
              <w:pStyle w:val="TableText"/>
              <w:jc w:val="center"/>
            </w:pPr>
            <w:r>
              <w:t>3a</w:t>
            </w:r>
          </w:p>
        </w:tc>
        <w:tc>
          <w:tcPr>
            <w:tcW w:w="1800" w:type="dxa"/>
            <w:vAlign w:val="center"/>
          </w:tcPr>
          <w:p w:rsidR="00485094" w:rsidRDefault="00485094" w:rsidP="005F5866">
            <w:pPr>
              <w:pStyle w:val="TableText"/>
              <w:jc w:val="center"/>
            </w:pPr>
            <w:r>
              <w:t>No data</w:t>
            </w:r>
          </w:p>
        </w:tc>
      </w:tr>
      <w:tr w:rsidR="00485094" w:rsidTr="00BD1516">
        <w:trPr>
          <w:trHeight w:val="288"/>
          <w:jc w:val="center"/>
        </w:trPr>
        <w:tc>
          <w:tcPr>
            <w:tcW w:w="1982" w:type="dxa"/>
            <w:vAlign w:val="center"/>
          </w:tcPr>
          <w:p w:rsidR="00485094" w:rsidRDefault="00485094" w:rsidP="005F5866">
            <w:pPr>
              <w:pStyle w:val="TableText"/>
              <w:jc w:val="center"/>
            </w:pPr>
            <w:r w:rsidRPr="00D620A4">
              <w:t>Rivers/Streams</w:t>
            </w:r>
          </w:p>
        </w:tc>
        <w:tc>
          <w:tcPr>
            <w:tcW w:w="1530" w:type="dxa"/>
            <w:vAlign w:val="center"/>
          </w:tcPr>
          <w:p w:rsidR="00485094" w:rsidRDefault="00485094" w:rsidP="005F5866">
            <w:pPr>
              <w:pStyle w:val="TableText"/>
              <w:jc w:val="center"/>
            </w:pPr>
            <w:r>
              <w:t>11</w:t>
            </w:r>
          </w:p>
        </w:tc>
        <w:tc>
          <w:tcPr>
            <w:tcW w:w="1800" w:type="dxa"/>
            <w:vAlign w:val="center"/>
          </w:tcPr>
          <w:p w:rsidR="00485094" w:rsidRDefault="00485094" w:rsidP="005F5866">
            <w:pPr>
              <w:pStyle w:val="TableText"/>
              <w:jc w:val="center"/>
            </w:pPr>
            <w:r>
              <w:t>32</w:t>
            </w:r>
          </w:p>
        </w:tc>
        <w:tc>
          <w:tcPr>
            <w:tcW w:w="1800" w:type="dxa"/>
            <w:vAlign w:val="center"/>
          </w:tcPr>
          <w:p w:rsidR="00485094" w:rsidRDefault="00485094" w:rsidP="005F5866">
            <w:pPr>
              <w:pStyle w:val="TableText"/>
              <w:jc w:val="center"/>
            </w:pPr>
            <w:r>
              <w:t>3b</w:t>
            </w:r>
          </w:p>
        </w:tc>
        <w:tc>
          <w:tcPr>
            <w:tcW w:w="1800" w:type="dxa"/>
            <w:vAlign w:val="center"/>
          </w:tcPr>
          <w:p w:rsidR="00485094" w:rsidRDefault="00485094" w:rsidP="005F5866">
            <w:pPr>
              <w:pStyle w:val="TableText"/>
              <w:jc w:val="center"/>
            </w:pPr>
            <w:r>
              <w:t>Insufficient data</w:t>
            </w:r>
          </w:p>
        </w:tc>
      </w:tr>
      <w:tr w:rsidR="00485094" w:rsidTr="00BD1516">
        <w:trPr>
          <w:trHeight w:val="288"/>
          <w:jc w:val="center"/>
        </w:trPr>
        <w:tc>
          <w:tcPr>
            <w:tcW w:w="1982" w:type="dxa"/>
            <w:vAlign w:val="center"/>
          </w:tcPr>
          <w:p w:rsidR="00485094" w:rsidRDefault="00485094" w:rsidP="005F5866">
            <w:pPr>
              <w:pStyle w:val="TableText"/>
              <w:jc w:val="center"/>
            </w:pPr>
            <w:r w:rsidRPr="00D620A4">
              <w:t>Rivers/Streams</w:t>
            </w:r>
          </w:p>
        </w:tc>
        <w:tc>
          <w:tcPr>
            <w:tcW w:w="1530" w:type="dxa"/>
            <w:vAlign w:val="center"/>
          </w:tcPr>
          <w:p w:rsidR="00485094" w:rsidRDefault="00485094" w:rsidP="005F5866">
            <w:pPr>
              <w:pStyle w:val="TableText"/>
              <w:jc w:val="center"/>
            </w:pPr>
            <w:r>
              <w:t>13</w:t>
            </w:r>
          </w:p>
        </w:tc>
        <w:tc>
          <w:tcPr>
            <w:tcW w:w="1800" w:type="dxa"/>
            <w:vAlign w:val="center"/>
          </w:tcPr>
          <w:p w:rsidR="00485094" w:rsidRDefault="00485094" w:rsidP="005F5866">
            <w:pPr>
              <w:pStyle w:val="TableText"/>
              <w:jc w:val="center"/>
            </w:pPr>
            <w:r>
              <w:t>72</w:t>
            </w:r>
          </w:p>
        </w:tc>
        <w:tc>
          <w:tcPr>
            <w:tcW w:w="1800" w:type="dxa"/>
            <w:vAlign w:val="center"/>
          </w:tcPr>
          <w:p w:rsidR="00485094" w:rsidRDefault="00485094" w:rsidP="005F5866">
            <w:pPr>
              <w:pStyle w:val="TableText"/>
              <w:jc w:val="center"/>
            </w:pPr>
            <w:r>
              <w:t>3c</w:t>
            </w:r>
          </w:p>
        </w:tc>
        <w:tc>
          <w:tcPr>
            <w:tcW w:w="1800" w:type="dxa"/>
            <w:vAlign w:val="center"/>
          </w:tcPr>
          <w:p w:rsidR="00485094" w:rsidRDefault="00485094" w:rsidP="005F5866">
            <w:pPr>
              <w:pStyle w:val="TableText"/>
              <w:jc w:val="center"/>
            </w:pPr>
            <w:r>
              <w:t>Planning List</w:t>
            </w:r>
          </w:p>
        </w:tc>
      </w:tr>
      <w:tr w:rsidR="00485094" w:rsidTr="00BD1516">
        <w:trPr>
          <w:trHeight w:val="288"/>
          <w:jc w:val="center"/>
        </w:trPr>
        <w:tc>
          <w:tcPr>
            <w:tcW w:w="1982" w:type="dxa"/>
            <w:tcBorders>
              <w:bottom w:val="double" w:sz="4" w:space="0" w:color="auto"/>
            </w:tcBorders>
            <w:vAlign w:val="center"/>
          </w:tcPr>
          <w:p w:rsidR="00485094" w:rsidRDefault="00485094" w:rsidP="005F5866">
            <w:pPr>
              <w:pStyle w:val="TableText"/>
              <w:jc w:val="center"/>
            </w:pPr>
            <w:r w:rsidRPr="00D620A4">
              <w:t>Rivers/Streams</w:t>
            </w:r>
          </w:p>
        </w:tc>
        <w:tc>
          <w:tcPr>
            <w:tcW w:w="1530" w:type="dxa"/>
            <w:tcBorders>
              <w:bottom w:val="double" w:sz="4" w:space="0" w:color="auto"/>
            </w:tcBorders>
            <w:vAlign w:val="center"/>
          </w:tcPr>
          <w:p w:rsidR="00485094" w:rsidRDefault="00485094" w:rsidP="005F5866">
            <w:pPr>
              <w:pStyle w:val="TableText"/>
              <w:jc w:val="center"/>
            </w:pPr>
            <w:r>
              <w:t>44</w:t>
            </w:r>
          </w:p>
        </w:tc>
        <w:tc>
          <w:tcPr>
            <w:tcW w:w="1800" w:type="dxa"/>
            <w:tcBorders>
              <w:bottom w:val="double" w:sz="4" w:space="0" w:color="auto"/>
            </w:tcBorders>
            <w:vAlign w:val="center"/>
          </w:tcPr>
          <w:p w:rsidR="00485094" w:rsidRDefault="00485094" w:rsidP="005F5866">
            <w:pPr>
              <w:pStyle w:val="TableText"/>
              <w:jc w:val="center"/>
            </w:pPr>
            <w:r>
              <w:t>346</w:t>
            </w:r>
          </w:p>
        </w:tc>
        <w:tc>
          <w:tcPr>
            <w:tcW w:w="1800" w:type="dxa"/>
            <w:tcBorders>
              <w:bottom w:val="double" w:sz="4" w:space="0" w:color="auto"/>
            </w:tcBorders>
            <w:vAlign w:val="center"/>
          </w:tcPr>
          <w:p w:rsidR="00485094" w:rsidRDefault="00485094" w:rsidP="005F5866">
            <w:pPr>
              <w:pStyle w:val="TableText"/>
              <w:jc w:val="center"/>
            </w:pPr>
            <w:r>
              <w:t>5</w:t>
            </w:r>
          </w:p>
        </w:tc>
        <w:tc>
          <w:tcPr>
            <w:tcW w:w="1800" w:type="dxa"/>
            <w:tcBorders>
              <w:bottom w:val="double" w:sz="4" w:space="0" w:color="auto"/>
            </w:tcBorders>
            <w:vAlign w:val="center"/>
          </w:tcPr>
          <w:p w:rsidR="00485094" w:rsidRDefault="00485094" w:rsidP="005F5866">
            <w:pPr>
              <w:pStyle w:val="TableText"/>
              <w:jc w:val="center"/>
            </w:pPr>
            <w:r>
              <w:t>Verified List</w:t>
            </w:r>
          </w:p>
        </w:tc>
      </w:tr>
      <w:tr w:rsidR="00485094" w:rsidTr="00BD1516">
        <w:trPr>
          <w:trHeight w:val="288"/>
          <w:jc w:val="center"/>
        </w:trPr>
        <w:tc>
          <w:tcPr>
            <w:tcW w:w="1982" w:type="dxa"/>
            <w:tcBorders>
              <w:top w:val="double" w:sz="4" w:space="0" w:color="auto"/>
            </w:tcBorders>
            <w:shd w:val="clear" w:color="auto" w:fill="FFFFCC"/>
            <w:vAlign w:val="center"/>
          </w:tcPr>
          <w:p w:rsidR="00485094" w:rsidRDefault="00485094" w:rsidP="005F5866">
            <w:pPr>
              <w:pStyle w:val="TableText"/>
              <w:jc w:val="center"/>
            </w:pPr>
            <w:r>
              <w:t>Lakes</w:t>
            </w:r>
          </w:p>
        </w:tc>
        <w:tc>
          <w:tcPr>
            <w:tcW w:w="1530" w:type="dxa"/>
            <w:tcBorders>
              <w:top w:val="double" w:sz="4" w:space="0" w:color="auto"/>
            </w:tcBorders>
            <w:shd w:val="clear" w:color="auto" w:fill="FFFFCC"/>
            <w:vAlign w:val="center"/>
          </w:tcPr>
          <w:p w:rsidR="00485094" w:rsidRDefault="00485094" w:rsidP="005F5866">
            <w:pPr>
              <w:pStyle w:val="TableText"/>
              <w:jc w:val="center"/>
            </w:pPr>
            <w:r>
              <w:t>2</w:t>
            </w:r>
          </w:p>
        </w:tc>
        <w:tc>
          <w:tcPr>
            <w:tcW w:w="1800" w:type="dxa"/>
            <w:tcBorders>
              <w:top w:val="double" w:sz="4" w:space="0" w:color="auto"/>
            </w:tcBorders>
            <w:shd w:val="clear" w:color="auto" w:fill="FFFFCC"/>
            <w:vAlign w:val="center"/>
          </w:tcPr>
          <w:p w:rsidR="00485094" w:rsidRDefault="00485094" w:rsidP="005F5866">
            <w:pPr>
              <w:pStyle w:val="TableText"/>
              <w:jc w:val="center"/>
            </w:pPr>
            <w:r>
              <w:t>640</w:t>
            </w:r>
          </w:p>
        </w:tc>
        <w:tc>
          <w:tcPr>
            <w:tcW w:w="1800" w:type="dxa"/>
            <w:tcBorders>
              <w:top w:val="double" w:sz="4" w:space="0" w:color="auto"/>
            </w:tcBorders>
            <w:shd w:val="clear" w:color="auto" w:fill="FFFFCC"/>
            <w:vAlign w:val="center"/>
          </w:tcPr>
          <w:p w:rsidR="00485094" w:rsidRDefault="00485094" w:rsidP="005F5866">
            <w:pPr>
              <w:pStyle w:val="TableText"/>
              <w:jc w:val="center"/>
            </w:pPr>
            <w:r>
              <w:t>2</w:t>
            </w:r>
          </w:p>
        </w:tc>
        <w:tc>
          <w:tcPr>
            <w:tcW w:w="1800" w:type="dxa"/>
            <w:tcBorders>
              <w:top w:val="double" w:sz="4" w:space="0" w:color="auto"/>
            </w:tcBorders>
            <w:shd w:val="clear" w:color="auto" w:fill="FFFFCC"/>
            <w:vAlign w:val="center"/>
          </w:tcPr>
          <w:p w:rsidR="00485094" w:rsidRDefault="00485094" w:rsidP="005F5866">
            <w:pPr>
              <w:pStyle w:val="TableText"/>
              <w:jc w:val="center"/>
            </w:pPr>
            <w:r>
              <w:t>Meets use</w:t>
            </w:r>
          </w:p>
        </w:tc>
      </w:tr>
      <w:tr w:rsidR="00485094" w:rsidTr="00BD1516">
        <w:trPr>
          <w:trHeight w:val="288"/>
          <w:jc w:val="center"/>
        </w:trPr>
        <w:tc>
          <w:tcPr>
            <w:tcW w:w="1982" w:type="dxa"/>
            <w:shd w:val="clear" w:color="auto" w:fill="FFFFCC"/>
            <w:vAlign w:val="center"/>
          </w:tcPr>
          <w:p w:rsidR="00485094" w:rsidRDefault="00485094" w:rsidP="005F5866">
            <w:pPr>
              <w:pStyle w:val="TableText"/>
              <w:jc w:val="center"/>
            </w:pPr>
            <w:r>
              <w:t>Lakes</w:t>
            </w:r>
          </w:p>
        </w:tc>
        <w:tc>
          <w:tcPr>
            <w:tcW w:w="1530" w:type="dxa"/>
            <w:shd w:val="clear" w:color="auto" w:fill="FFFFCC"/>
            <w:vAlign w:val="center"/>
          </w:tcPr>
          <w:p w:rsidR="00485094" w:rsidRDefault="00485094" w:rsidP="005F5866">
            <w:pPr>
              <w:pStyle w:val="TableText"/>
              <w:jc w:val="center"/>
            </w:pPr>
            <w:r>
              <w:t>1</w:t>
            </w:r>
          </w:p>
        </w:tc>
        <w:tc>
          <w:tcPr>
            <w:tcW w:w="1800" w:type="dxa"/>
            <w:shd w:val="clear" w:color="auto" w:fill="FFFFCC"/>
            <w:vAlign w:val="center"/>
          </w:tcPr>
          <w:p w:rsidR="00485094" w:rsidRDefault="00485094" w:rsidP="005F5866">
            <w:pPr>
              <w:pStyle w:val="TableText"/>
              <w:jc w:val="center"/>
            </w:pPr>
            <w:r>
              <w:t>3,952</w:t>
            </w:r>
          </w:p>
        </w:tc>
        <w:tc>
          <w:tcPr>
            <w:tcW w:w="1800" w:type="dxa"/>
            <w:shd w:val="clear" w:color="auto" w:fill="FFFFCC"/>
            <w:vAlign w:val="center"/>
          </w:tcPr>
          <w:p w:rsidR="00485094" w:rsidRDefault="00485094" w:rsidP="005F5866">
            <w:pPr>
              <w:pStyle w:val="TableText"/>
              <w:jc w:val="center"/>
            </w:pPr>
            <w:r>
              <w:t>3a</w:t>
            </w:r>
          </w:p>
        </w:tc>
        <w:tc>
          <w:tcPr>
            <w:tcW w:w="1800" w:type="dxa"/>
            <w:shd w:val="clear" w:color="auto" w:fill="FFFFCC"/>
            <w:vAlign w:val="center"/>
          </w:tcPr>
          <w:p w:rsidR="00485094" w:rsidRDefault="00485094" w:rsidP="005F5866">
            <w:pPr>
              <w:pStyle w:val="TableText"/>
              <w:jc w:val="center"/>
            </w:pPr>
            <w:r>
              <w:t>No data</w:t>
            </w:r>
          </w:p>
        </w:tc>
      </w:tr>
      <w:tr w:rsidR="00485094" w:rsidTr="00BD1516">
        <w:trPr>
          <w:trHeight w:val="288"/>
          <w:jc w:val="center"/>
        </w:trPr>
        <w:tc>
          <w:tcPr>
            <w:tcW w:w="1982" w:type="dxa"/>
            <w:shd w:val="clear" w:color="auto" w:fill="FFFFCC"/>
            <w:vAlign w:val="center"/>
          </w:tcPr>
          <w:p w:rsidR="00485094" w:rsidRDefault="00485094" w:rsidP="005F5866">
            <w:pPr>
              <w:pStyle w:val="TableText"/>
              <w:jc w:val="center"/>
            </w:pPr>
            <w:r>
              <w:t>Lakes</w:t>
            </w:r>
          </w:p>
        </w:tc>
        <w:tc>
          <w:tcPr>
            <w:tcW w:w="1530" w:type="dxa"/>
            <w:shd w:val="clear" w:color="auto" w:fill="FFFFCC"/>
            <w:vAlign w:val="center"/>
          </w:tcPr>
          <w:p w:rsidR="00485094" w:rsidRDefault="00485094" w:rsidP="005F5866">
            <w:pPr>
              <w:pStyle w:val="TableText"/>
              <w:jc w:val="center"/>
            </w:pPr>
            <w:r>
              <w:t>0</w:t>
            </w:r>
          </w:p>
        </w:tc>
        <w:tc>
          <w:tcPr>
            <w:tcW w:w="1800" w:type="dxa"/>
            <w:shd w:val="clear" w:color="auto" w:fill="FFFFCC"/>
            <w:vAlign w:val="center"/>
          </w:tcPr>
          <w:p w:rsidR="00485094" w:rsidRDefault="00485094" w:rsidP="005F5866">
            <w:pPr>
              <w:pStyle w:val="TableText"/>
              <w:jc w:val="center"/>
            </w:pPr>
            <w:r>
              <w:t>0</w:t>
            </w:r>
          </w:p>
        </w:tc>
        <w:tc>
          <w:tcPr>
            <w:tcW w:w="1800" w:type="dxa"/>
            <w:shd w:val="clear" w:color="auto" w:fill="FFFFCC"/>
            <w:vAlign w:val="center"/>
          </w:tcPr>
          <w:p w:rsidR="00485094" w:rsidRDefault="00485094" w:rsidP="005F5866">
            <w:pPr>
              <w:pStyle w:val="TableText"/>
              <w:jc w:val="center"/>
            </w:pPr>
            <w:r>
              <w:t>3c</w:t>
            </w:r>
          </w:p>
        </w:tc>
        <w:tc>
          <w:tcPr>
            <w:tcW w:w="1800" w:type="dxa"/>
            <w:shd w:val="clear" w:color="auto" w:fill="FFFFCC"/>
            <w:vAlign w:val="center"/>
          </w:tcPr>
          <w:p w:rsidR="00485094" w:rsidRDefault="00485094" w:rsidP="005F5866">
            <w:pPr>
              <w:pStyle w:val="TableText"/>
              <w:jc w:val="center"/>
            </w:pPr>
            <w:r>
              <w:t>Planning List</w:t>
            </w:r>
          </w:p>
        </w:tc>
      </w:tr>
      <w:tr w:rsidR="00485094" w:rsidTr="00BD1516">
        <w:trPr>
          <w:trHeight w:val="288"/>
          <w:jc w:val="center"/>
        </w:trPr>
        <w:tc>
          <w:tcPr>
            <w:tcW w:w="1982" w:type="dxa"/>
            <w:shd w:val="clear" w:color="auto" w:fill="FFFFCC"/>
            <w:vAlign w:val="center"/>
          </w:tcPr>
          <w:p w:rsidR="00485094" w:rsidRDefault="00485094" w:rsidP="005F5866">
            <w:pPr>
              <w:pStyle w:val="TableText"/>
              <w:jc w:val="center"/>
            </w:pPr>
            <w:r>
              <w:t>Lakes</w:t>
            </w:r>
          </w:p>
        </w:tc>
        <w:tc>
          <w:tcPr>
            <w:tcW w:w="1530" w:type="dxa"/>
            <w:shd w:val="clear" w:color="auto" w:fill="FFFFCC"/>
            <w:vAlign w:val="center"/>
          </w:tcPr>
          <w:p w:rsidR="00485094" w:rsidRDefault="00485094" w:rsidP="005F5866">
            <w:pPr>
              <w:pStyle w:val="TableText"/>
              <w:jc w:val="center"/>
            </w:pPr>
            <w:r>
              <w:t>20</w:t>
            </w:r>
          </w:p>
        </w:tc>
        <w:tc>
          <w:tcPr>
            <w:tcW w:w="1800" w:type="dxa"/>
            <w:shd w:val="clear" w:color="auto" w:fill="FFFFCC"/>
            <w:vAlign w:val="center"/>
          </w:tcPr>
          <w:p w:rsidR="00485094" w:rsidRDefault="00485094" w:rsidP="005F5866">
            <w:pPr>
              <w:pStyle w:val="TableText"/>
              <w:jc w:val="center"/>
            </w:pPr>
            <w:r>
              <w:t>490,356</w:t>
            </w:r>
          </w:p>
        </w:tc>
        <w:tc>
          <w:tcPr>
            <w:tcW w:w="1800" w:type="dxa"/>
            <w:shd w:val="clear" w:color="auto" w:fill="FFFFCC"/>
            <w:vAlign w:val="center"/>
          </w:tcPr>
          <w:p w:rsidR="00485094" w:rsidRDefault="00485094" w:rsidP="005F5866">
            <w:pPr>
              <w:pStyle w:val="TableText"/>
              <w:jc w:val="center"/>
            </w:pPr>
            <w:r>
              <w:t>5</w:t>
            </w:r>
          </w:p>
        </w:tc>
        <w:tc>
          <w:tcPr>
            <w:tcW w:w="1800" w:type="dxa"/>
            <w:shd w:val="clear" w:color="auto" w:fill="FFFFCC"/>
            <w:vAlign w:val="center"/>
          </w:tcPr>
          <w:p w:rsidR="00485094" w:rsidRDefault="00485094" w:rsidP="005F5866">
            <w:pPr>
              <w:pStyle w:val="TableText"/>
              <w:jc w:val="center"/>
            </w:pPr>
            <w:r>
              <w:t>Verified List</w:t>
            </w:r>
          </w:p>
        </w:tc>
      </w:tr>
    </w:tbl>
    <w:p w:rsidR="00485094" w:rsidRDefault="00485094" w:rsidP="00BD1516">
      <w:pPr>
        <w:pStyle w:val="Bodytextreduced"/>
      </w:pPr>
    </w:p>
    <w:p w:rsidR="00485094" w:rsidRDefault="00485094" w:rsidP="00BD1516">
      <w:pPr>
        <w:pStyle w:val="Bodytextreduced"/>
      </w:pPr>
    </w:p>
    <w:p w:rsidR="00485094" w:rsidRDefault="00485094" w:rsidP="00512DF2">
      <w:pPr>
        <w:pStyle w:val="Heading3"/>
      </w:pPr>
      <w:bookmarkStart w:id="625" w:name="_Toc271280002"/>
      <w:r w:rsidRPr="0054410D">
        <w:t>Overlap of Source Water Areas and Impaired Surface Waters</w:t>
      </w:r>
      <w:bookmarkEnd w:id="625"/>
    </w:p>
    <w:p w:rsidR="00485094" w:rsidRPr="0054410D" w:rsidRDefault="00485094" w:rsidP="00512DF2">
      <w:pPr>
        <w:pStyle w:val="Bodytext"/>
        <w:rPr>
          <w:rStyle w:val="Emphasis"/>
          <w:i w:val="0"/>
          <w:szCs w:val="22"/>
        </w:rPr>
      </w:pPr>
      <w:r w:rsidRPr="0054410D">
        <w:rPr>
          <w:rStyle w:val="Emphasis"/>
          <w:i w:val="0"/>
          <w:szCs w:val="22"/>
        </w:rPr>
        <w:t>Verified Lists of impaired surface waters have b</w:t>
      </w:r>
      <w:r>
        <w:rPr>
          <w:rStyle w:val="Emphasis"/>
          <w:i w:val="0"/>
          <w:szCs w:val="22"/>
        </w:rPr>
        <w:t>een adopted for the Group 1–5</w:t>
      </w:r>
      <w:r w:rsidRPr="0054410D">
        <w:rPr>
          <w:rStyle w:val="Emphasis"/>
          <w:i w:val="0"/>
          <w:szCs w:val="22"/>
        </w:rPr>
        <w:t xml:space="preserve"> basins.  Source water areas were modeled based on a 3-day travel time to the intake within surface waters and their 100-year floodplains.  Streams were added to the source water coverage from USGS quadrangles, with a 3-meter buffer around each one.  The overlap of surface waters</w:t>
      </w:r>
      <w:r>
        <w:rPr>
          <w:rStyle w:val="Emphasis"/>
          <w:i w:val="0"/>
          <w:szCs w:val="22"/>
        </w:rPr>
        <w:t xml:space="preserve"> that do not attain all criteria</w:t>
      </w:r>
      <w:r w:rsidRPr="0054410D">
        <w:rPr>
          <w:rStyle w:val="Emphasis"/>
          <w:i w:val="0"/>
          <w:szCs w:val="22"/>
        </w:rPr>
        <w:t xml:space="preserve"> and these source water areas </w:t>
      </w:r>
      <w:r>
        <w:rPr>
          <w:rStyle w:val="Emphasis"/>
          <w:i w:val="0"/>
          <w:szCs w:val="22"/>
        </w:rPr>
        <w:t>were</w:t>
      </w:r>
      <w:r w:rsidRPr="0054410D">
        <w:rPr>
          <w:rStyle w:val="Emphasis"/>
          <w:i w:val="0"/>
          <w:szCs w:val="22"/>
        </w:rPr>
        <w:t xml:space="preserve"> determined using the source water coverage, the list</w:t>
      </w:r>
      <w:r>
        <w:rPr>
          <w:rStyle w:val="Emphasis"/>
          <w:i w:val="0"/>
          <w:szCs w:val="22"/>
        </w:rPr>
        <w:t>s</w:t>
      </w:r>
      <w:r w:rsidRPr="0054410D">
        <w:rPr>
          <w:rStyle w:val="Emphasis"/>
          <w:i w:val="0"/>
          <w:szCs w:val="22"/>
        </w:rPr>
        <w:t xml:space="preserve"> of impaired surface waters, the areas of Florida’s lakes and reservoirs, and the 1:24,000-scale </w:t>
      </w:r>
      <w:r>
        <w:rPr>
          <w:rStyle w:val="Emphasis"/>
          <w:i w:val="0"/>
          <w:szCs w:val="22"/>
        </w:rPr>
        <w:t xml:space="preserve">NHD </w:t>
      </w:r>
      <w:r w:rsidRPr="0054410D">
        <w:rPr>
          <w:rStyle w:val="Emphasis"/>
          <w:i w:val="0"/>
          <w:szCs w:val="22"/>
        </w:rPr>
        <w:t xml:space="preserve">for streams. </w:t>
      </w:r>
      <w:r>
        <w:rPr>
          <w:rStyle w:val="Emphasis"/>
          <w:i w:val="0"/>
          <w:szCs w:val="22"/>
        </w:rPr>
        <w:t xml:space="preserve"> </w:t>
      </w:r>
      <w:r w:rsidRPr="00192CE0">
        <w:rPr>
          <w:rStyle w:val="Emphasis"/>
          <w:b/>
          <w:szCs w:val="22"/>
        </w:rPr>
        <w:t>Table 8.</w:t>
      </w:r>
      <w:r>
        <w:rPr>
          <w:rStyle w:val="Emphasis"/>
          <w:b/>
          <w:szCs w:val="22"/>
        </w:rPr>
        <w:t>7</w:t>
      </w:r>
      <w:r>
        <w:rPr>
          <w:rStyle w:val="Emphasis"/>
          <w:i w:val="0"/>
          <w:szCs w:val="22"/>
        </w:rPr>
        <w:t xml:space="preserve"> lists the impaired river/stream miles and acres of lakes/reservoirs overlapping the source water areas of community water systems.</w:t>
      </w:r>
    </w:p>
    <w:p w:rsidR="00485094" w:rsidRDefault="00485094" w:rsidP="00512DF2">
      <w:pPr>
        <w:rPr>
          <w:rFonts w:ascii="Arial" w:hAnsi="Arial"/>
          <w:sz w:val="16"/>
          <w:szCs w:val="20"/>
        </w:rPr>
      </w:pPr>
    </w:p>
    <w:p w:rsidR="00485094" w:rsidRDefault="00485094" w:rsidP="00BD1516">
      <w:pPr>
        <w:pStyle w:val="Bodytextreduced"/>
      </w:pPr>
    </w:p>
    <w:p w:rsidR="00485094" w:rsidRDefault="00485094">
      <w:pPr>
        <w:rPr>
          <w:rFonts w:ascii="Arial" w:hAnsi="Arial"/>
          <w:b/>
          <w:i/>
          <w:sz w:val="20"/>
          <w:szCs w:val="20"/>
        </w:rPr>
      </w:pPr>
      <w:bookmarkStart w:id="626" w:name="_Toc254267145"/>
      <w:bookmarkStart w:id="627" w:name="_Toc255807519"/>
      <w:r>
        <w:br w:type="page"/>
      </w:r>
    </w:p>
    <w:p w:rsidR="00485094" w:rsidRDefault="00485094">
      <w:pPr>
        <w:pStyle w:val="Tableheading"/>
      </w:pPr>
      <w:bookmarkStart w:id="628" w:name="_Toc271280125"/>
      <w:r w:rsidRPr="00CA461C">
        <w:t>Table 8.7.  Summary of Impaired River/Stream Miles and Lake/Reservoir Acres Overlapping Source Water Areas of Community Water Systems</w:t>
      </w:r>
      <w:bookmarkEnd w:id="626"/>
      <w:bookmarkEnd w:id="627"/>
      <w:bookmarkEnd w:id="628"/>
    </w:p>
    <w:p w:rsidR="00485094" w:rsidRDefault="00485094" w:rsidP="00DC54B0">
      <w:pPr>
        <w:pStyle w:val="TabledescriptionBF"/>
      </w:pPr>
      <w:r>
        <w:t>This is a three-column table.  Column 1 lists the surface water type, Column 2 lists the length or area of impaired waters overlapping source water areas in Groups 1–5, and Column 3 lists the percent of total length or area in Groups 1–5.</w:t>
      </w:r>
    </w:p>
    <w:p w:rsidR="00485094" w:rsidRDefault="00485094" w:rsidP="00DC54B0">
      <w:pPr>
        <w:pStyle w:val="Tableheading"/>
      </w:pPr>
    </w:p>
    <w:p w:rsidR="00485094" w:rsidRPr="00DC54B0" w:rsidRDefault="00485094" w:rsidP="00DC54B0">
      <w:pPr>
        <w:autoSpaceDE w:val="0"/>
        <w:autoSpaceDN w:val="0"/>
        <w:adjustRightInd w:val="0"/>
        <w:ind w:left="748" w:right="945"/>
      </w:pPr>
      <w:r w:rsidRPr="00740F5B">
        <w:rPr>
          <w:rFonts w:ascii="Arial" w:hAnsi="Arial" w:cs="Arial"/>
          <w:b/>
          <w:sz w:val="16"/>
          <w:szCs w:val="16"/>
        </w:rPr>
        <w:t>Note:</w:t>
      </w:r>
      <w:r w:rsidRPr="00740F5B">
        <w:rPr>
          <w:rFonts w:ascii="Arial" w:hAnsi="Arial" w:cs="Arial"/>
          <w:sz w:val="16"/>
          <w:szCs w:val="16"/>
        </w:rPr>
        <w:t xml:space="preserve">  The analysis is based on adopted lists of impaired surface waters for the Group 1</w:t>
      </w:r>
      <w:r>
        <w:rPr>
          <w:rFonts w:ascii="Arial" w:hAnsi="Arial" w:cs="Arial"/>
          <w:sz w:val="16"/>
          <w:szCs w:val="16"/>
        </w:rPr>
        <w:t xml:space="preserve">–5 </w:t>
      </w:r>
      <w:r w:rsidRPr="00740F5B">
        <w:rPr>
          <w:rFonts w:ascii="Arial" w:hAnsi="Arial" w:cs="Arial"/>
          <w:sz w:val="16"/>
          <w:szCs w:val="16"/>
        </w:rPr>
        <w:t xml:space="preserve">basins.  </w:t>
      </w:r>
      <w:r w:rsidRPr="00857404">
        <w:rPr>
          <w:rFonts w:ascii="Arial" w:hAnsi="Arial" w:cs="Arial"/>
          <w:sz w:val="16"/>
          <w:szCs w:val="16"/>
        </w:rPr>
        <w:t xml:space="preserve">Parameter of interest </w:t>
      </w:r>
      <w:r>
        <w:rPr>
          <w:rFonts w:ascii="Arial" w:hAnsi="Arial" w:cs="Arial"/>
          <w:sz w:val="16"/>
          <w:szCs w:val="16"/>
        </w:rPr>
        <w:t xml:space="preserve">was </w:t>
      </w:r>
      <w:r w:rsidRPr="00857404">
        <w:rPr>
          <w:rFonts w:ascii="Arial" w:hAnsi="Arial" w:cs="Arial"/>
          <w:sz w:val="16"/>
          <w:szCs w:val="16"/>
        </w:rPr>
        <w:t xml:space="preserve"> fecal coliform.</w:t>
      </w:r>
    </w:p>
    <w:tbl>
      <w:tblPr>
        <w:tblW w:w="8036" w:type="dxa"/>
        <w:jc w:val="center"/>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83"/>
        <w:gridCol w:w="3409"/>
        <w:gridCol w:w="2244"/>
      </w:tblGrid>
      <w:tr w:rsidR="00485094" w:rsidRPr="00E76B4B" w:rsidTr="00E86B70">
        <w:trPr>
          <w:trHeight w:val="530"/>
          <w:jc w:val="center"/>
        </w:trPr>
        <w:tc>
          <w:tcPr>
            <w:tcW w:w="2383" w:type="dxa"/>
            <w:tcBorders>
              <w:bottom w:val="double" w:sz="4" w:space="0" w:color="auto"/>
            </w:tcBorders>
            <w:shd w:val="clear" w:color="auto" w:fill="BDFFFF"/>
            <w:vAlign w:val="bottom"/>
          </w:tcPr>
          <w:p w:rsidR="00485094" w:rsidRPr="00E76B4B" w:rsidRDefault="00485094" w:rsidP="00DC54B0">
            <w:pPr>
              <w:pStyle w:val="TableText"/>
              <w:jc w:val="center"/>
              <w:rPr>
                <w:b/>
                <w:i/>
              </w:rPr>
            </w:pPr>
            <w:r w:rsidRPr="00E76B4B">
              <w:rPr>
                <w:b/>
                <w:i/>
              </w:rPr>
              <w:t>Surface Water Type</w:t>
            </w:r>
          </w:p>
        </w:tc>
        <w:tc>
          <w:tcPr>
            <w:tcW w:w="3409" w:type="dxa"/>
            <w:tcBorders>
              <w:bottom w:val="double" w:sz="4" w:space="0" w:color="auto"/>
            </w:tcBorders>
            <w:shd w:val="clear" w:color="auto" w:fill="BDFFFF"/>
            <w:vAlign w:val="bottom"/>
          </w:tcPr>
          <w:p w:rsidR="00485094" w:rsidRPr="00E76B4B" w:rsidRDefault="00485094" w:rsidP="00DC54B0">
            <w:pPr>
              <w:pStyle w:val="TableText"/>
              <w:jc w:val="center"/>
              <w:rPr>
                <w:b/>
                <w:i/>
              </w:rPr>
            </w:pPr>
            <w:r w:rsidRPr="00E76B4B">
              <w:rPr>
                <w:b/>
                <w:i/>
              </w:rPr>
              <w:t xml:space="preserve">Length or Area of Impaired Surface Waters Overlapping Source Water Areas in </w:t>
            </w:r>
            <w:r>
              <w:rPr>
                <w:b/>
                <w:i/>
              </w:rPr>
              <w:t xml:space="preserve">Basin </w:t>
            </w:r>
            <w:r w:rsidRPr="00E76B4B">
              <w:rPr>
                <w:b/>
                <w:i/>
              </w:rPr>
              <w:t>Groups 1</w:t>
            </w:r>
            <w:r>
              <w:rPr>
                <w:b/>
                <w:i/>
              </w:rPr>
              <w:t>–</w:t>
            </w:r>
            <w:r w:rsidRPr="00E76B4B">
              <w:rPr>
                <w:b/>
                <w:i/>
              </w:rPr>
              <w:t>5</w:t>
            </w:r>
          </w:p>
        </w:tc>
        <w:tc>
          <w:tcPr>
            <w:tcW w:w="2244" w:type="dxa"/>
            <w:tcBorders>
              <w:bottom w:val="double" w:sz="4" w:space="0" w:color="auto"/>
            </w:tcBorders>
            <w:shd w:val="clear" w:color="auto" w:fill="BDFFFF"/>
            <w:vAlign w:val="bottom"/>
          </w:tcPr>
          <w:p w:rsidR="00485094" w:rsidRPr="00E76B4B" w:rsidRDefault="00485094" w:rsidP="00DC54B0">
            <w:pPr>
              <w:pStyle w:val="TableText"/>
              <w:jc w:val="center"/>
              <w:rPr>
                <w:b/>
                <w:i/>
              </w:rPr>
            </w:pPr>
            <w:r>
              <w:rPr>
                <w:b/>
                <w:i/>
              </w:rPr>
              <w:t>%</w:t>
            </w:r>
            <w:r w:rsidRPr="00E76B4B">
              <w:rPr>
                <w:b/>
                <w:i/>
              </w:rPr>
              <w:t xml:space="preserve"> of Total Length or Area in </w:t>
            </w:r>
            <w:r>
              <w:rPr>
                <w:b/>
                <w:i/>
              </w:rPr>
              <w:t xml:space="preserve">Basin </w:t>
            </w:r>
            <w:r w:rsidRPr="00E76B4B">
              <w:rPr>
                <w:b/>
                <w:i/>
              </w:rPr>
              <w:t>Groups 1</w:t>
            </w:r>
            <w:r>
              <w:rPr>
                <w:b/>
                <w:i/>
              </w:rPr>
              <w:t>–</w:t>
            </w:r>
            <w:r w:rsidRPr="00E76B4B">
              <w:rPr>
                <w:b/>
                <w:i/>
              </w:rPr>
              <w:t>5</w:t>
            </w:r>
          </w:p>
        </w:tc>
      </w:tr>
      <w:tr w:rsidR="00485094" w:rsidRPr="00E76B4B" w:rsidTr="00DC54B0">
        <w:trPr>
          <w:trHeight w:val="350"/>
          <w:jc w:val="center"/>
        </w:trPr>
        <w:tc>
          <w:tcPr>
            <w:tcW w:w="2383" w:type="dxa"/>
            <w:tcBorders>
              <w:top w:val="double" w:sz="4" w:space="0" w:color="auto"/>
            </w:tcBorders>
            <w:shd w:val="clear" w:color="auto" w:fill="FFFFCC"/>
            <w:vAlign w:val="center"/>
          </w:tcPr>
          <w:p w:rsidR="00485094" w:rsidRDefault="00485094">
            <w:pPr>
              <w:pStyle w:val="TableText"/>
              <w:jc w:val="center"/>
            </w:pPr>
            <w:r w:rsidRPr="00740F5B">
              <w:t>Streams</w:t>
            </w:r>
            <w:r>
              <w:t>/</w:t>
            </w:r>
            <w:r w:rsidRPr="00740F5B">
              <w:t>Rivers</w:t>
            </w:r>
          </w:p>
        </w:tc>
        <w:tc>
          <w:tcPr>
            <w:tcW w:w="3409" w:type="dxa"/>
            <w:tcBorders>
              <w:top w:val="double" w:sz="4" w:space="0" w:color="auto"/>
            </w:tcBorders>
            <w:vAlign w:val="center"/>
          </w:tcPr>
          <w:p w:rsidR="00485094" w:rsidRPr="00740F5B" w:rsidRDefault="00485094" w:rsidP="005F5866">
            <w:pPr>
              <w:pStyle w:val="TableText"/>
              <w:jc w:val="center"/>
            </w:pPr>
            <w:r>
              <w:t>584</w:t>
            </w:r>
            <w:r w:rsidRPr="00740F5B">
              <w:t xml:space="preserve"> miles</w:t>
            </w:r>
          </w:p>
        </w:tc>
        <w:tc>
          <w:tcPr>
            <w:tcW w:w="2244" w:type="dxa"/>
            <w:tcBorders>
              <w:top w:val="double" w:sz="4" w:space="0" w:color="auto"/>
            </w:tcBorders>
            <w:vAlign w:val="center"/>
          </w:tcPr>
          <w:p w:rsidR="00485094" w:rsidRPr="00740F5B" w:rsidRDefault="00485094" w:rsidP="005F5866">
            <w:pPr>
              <w:pStyle w:val="TableText"/>
              <w:jc w:val="center"/>
            </w:pPr>
            <w:r w:rsidRPr="00740F5B">
              <w:t>1.</w:t>
            </w:r>
            <w:r>
              <w:t>15</w:t>
            </w:r>
            <w:r w:rsidRPr="00740F5B">
              <w:t>%</w:t>
            </w:r>
          </w:p>
        </w:tc>
      </w:tr>
      <w:tr w:rsidR="00485094" w:rsidRPr="00E76B4B" w:rsidTr="00DC54B0">
        <w:trPr>
          <w:trHeight w:val="350"/>
          <w:jc w:val="center"/>
        </w:trPr>
        <w:tc>
          <w:tcPr>
            <w:tcW w:w="2383" w:type="dxa"/>
            <w:shd w:val="clear" w:color="auto" w:fill="FFFFCC"/>
            <w:vAlign w:val="center"/>
          </w:tcPr>
          <w:p w:rsidR="00485094" w:rsidRPr="00740F5B" w:rsidRDefault="00485094" w:rsidP="005F5866">
            <w:pPr>
              <w:pStyle w:val="TableText"/>
              <w:jc w:val="center"/>
            </w:pPr>
            <w:r w:rsidRPr="00740F5B">
              <w:t>Lakes/Reservoirs</w:t>
            </w:r>
          </w:p>
        </w:tc>
        <w:tc>
          <w:tcPr>
            <w:tcW w:w="3409" w:type="dxa"/>
            <w:vAlign w:val="center"/>
          </w:tcPr>
          <w:p w:rsidR="00485094" w:rsidRPr="00740F5B" w:rsidRDefault="00485094" w:rsidP="005F5866">
            <w:pPr>
              <w:pStyle w:val="TableText"/>
              <w:jc w:val="center"/>
            </w:pPr>
            <w:r w:rsidRPr="00740F5B">
              <w:t>1,</w:t>
            </w:r>
            <w:r>
              <w:t>478</w:t>
            </w:r>
            <w:r w:rsidRPr="00740F5B">
              <w:t xml:space="preserve"> acres</w:t>
            </w:r>
          </w:p>
        </w:tc>
        <w:tc>
          <w:tcPr>
            <w:tcW w:w="2244" w:type="dxa"/>
            <w:vAlign w:val="center"/>
          </w:tcPr>
          <w:p w:rsidR="00485094" w:rsidRPr="00740F5B" w:rsidRDefault="00485094" w:rsidP="005F5866">
            <w:pPr>
              <w:pStyle w:val="TableText"/>
              <w:jc w:val="center"/>
            </w:pPr>
            <w:r w:rsidRPr="00740F5B">
              <w:t>0.</w:t>
            </w:r>
            <w:r>
              <w:t>094</w:t>
            </w:r>
            <w:r w:rsidRPr="00740F5B">
              <w:t>%</w:t>
            </w:r>
          </w:p>
        </w:tc>
      </w:tr>
    </w:tbl>
    <w:p w:rsidR="00485094" w:rsidRDefault="00485094" w:rsidP="00DC54B0">
      <w:pPr>
        <w:pStyle w:val="Bodytextreduced"/>
      </w:pPr>
      <w:bookmarkStart w:id="629" w:name="_Toc254269896"/>
      <w:bookmarkStart w:id="630" w:name="_Toc255822565"/>
    </w:p>
    <w:p w:rsidR="00485094" w:rsidRDefault="00485094" w:rsidP="00DC54B0">
      <w:pPr>
        <w:pStyle w:val="Bodytextreduced"/>
      </w:pPr>
    </w:p>
    <w:p w:rsidR="00485094" w:rsidRPr="00B22DB9" w:rsidRDefault="00485094" w:rsidP="0041391B">
      <w:pPr>
        <w:pStyle w:val="Heading2"/>
      </w:pPr>
      <w:bookmarkStart w:id="631" w:name="_Toc271280003"/>
      <w:r w:rsidRPr="00B22DB9">
        <w:t>Sediment Contamination</w:t>
      </w:r>
      <w:bookmarkEnd w:id="629"/>
      <w:bookmarkEnd w:id="630"/>
      <w:bookmarkEnd w:id="631"/>
    </w:p>
    <w:p w:rsidR="00485094" w:rsidRDefault="00485094" w:rsidP="00525390">
      <w:pPr>
        <w:pStyle w:val="Heading3"/>
      </w:pPr>
      <w:bookmarkStart w:id="632" w:name="_Toc255822566"/>
      <w:bookmarkStart w:id="633" w:name="_Toc271280004"/>
      <w:r w:rsidRPr="00B22DB9">
        <w:t>Freshwater Sediments</w:t>
      </w:r>
      <w:bookmarkEnd w:id="632"/>
      <w:bookmarkEnd w:id="633"/>
    </w:p>
    <w:p w:rsidR="00485094" w:rsidRPr="003E5A85" w:rsidRDefault="00485094" w:rsidP="005F5866">
      <w:pPr>
        <w:rPr>
          <w:rFonts w:ascii="Arial" w:hAnsi="Arial" w:cs="Arial"/>
          <w:sz w:val="22"/>
          <w:szCs w:val="22"/>
        </w:rPr>
      </w:pPr>
      <w:r w:rsidRPr="003E5A85">
        <w:rPr>
          <w:rFonts w:ascii="Arial" w:hAnsi="Arial" w:cs="Arial"/>
          <w:sz w:val="22"/>
          <w:szCs w:val="22"/>
        </w:rPr>
        <w:t xml:space="preserve">In 2004, </w:t>
      </w:r>
      <w:r>
        <w:rPr>
          <w:rFonts w:ascii="Arial" w:hAnsi="Arial" w:cs="Arial"/>
          <w:sz w:val="22"/>
          <w:szCs w:val="22"/>
        </w:rPr>
        <w:t xml:space="preserve">FDEP, </w:t>
      </w:r>
      <w:r w:rsidRPr="003E5A85">
        <w:rPr>
          <w:rFonts w:ascii="Arial" w:hAnsi="Arial" w:cs="Arial"/>
          <w:sz w:val="22"/>
          <w:szCs w:val="22"/>
        </w:rPr>
        <w:t xml:space="preserve">in conjunction with </w:t>
      </w:r>
      <w:r>
        <w:rPr>
          <w:rFonts w:ascii="Arial" w:hAnsi="Arial" w:cs="Arial"/>
          <w:sz w:val="22"/>
          <w:szCs w:val="22"/>
        </w:rPr>
        <w:t>two water management districts (Northwest Florida and St. Johns River)</w:t>
      </w:r>
      <w:r w:rsidRPr="003E5A85">
        <w:rPr>
          <w:rFonts w:ascii="Arial" w:hAnsi="Arial" w:cs="Arial"/>
          <w:sz w:val="22"/>
          <w:szCs w:val="22"/>
        </w:rPr>
        <w:t xml:space="preserve">, </w:t>
      </w:r>
      <w:r>
        <w:rPr>
          <w:rFonts w:ascii="Arial" w:hAnsi="Arial" w:cs="Arial"/>
          <w:sz w:val="22"/>
          <w:szCs w:val="22"/>
        </w:rPr>
        <w:t>s</w:t>
      </w:r>
      <w:r w:rsidRPr="003E5A85">
        <w:rPr>
          <w:rFonts w:ascii="Arial" w:hAnsi="Arial" w:cs="Arial"/>
          <w:sz w:val="22"/>
          <w:szCs w:val="22"/>
        </w:rPr>
        <w:t>urvey</w:t>
      </w:r>
      <w:r>
        <w:rPr>
          <w:rFonts w:ascii="Arial" w:hAnsi="Arial" w:cs="Arial"/>
          <w:sz w:val="22"/>
          <w:szCs w:val="22"/>
        </w:rPr>
        <w:t>ed</w:t>
      </w:r>
      <w:r w:rsidRPr="003E5A85">
        <w:rPr>
          <w:rFonts w:ascii="Arial" w:hAnsi="Arial" w:cs="Arial"/>
          <w:sz w:val="22"/>
          <w:szCs w:val="22"/>
        </w:rPr>
        <w:t xml:space="preserve"> sediments </w:t>
      </w:r>
      <w:r>
        <w:rPr>
          <w:rFonts w:ascii="Arial" w:hAnsi="Arial" w:cs="Arial"/>
          <w:sz w:val="22"/>
          <w:szCs w:val="22"/>
        </w:rPr>
        <w:t xml:space="preserve">from both large and small lakes </w:t>
      </w:r>
      <w:r w:rsidRPr="003E5A85">
        <w:rPr>
          <w:rFonts w:ascii="Arial" w:hAnsi="Arial" w:cs="Arial"/>
          <w:sz w:val="22"/>
          <w:szCs w:val="22"/>
        </w:rPr>
        <w:t xml:space="preserve">in the </w:t>
      </w:r>
      <w:r>
        <w:rPr>
          <w:rFonts w:ascii="Arial" w:hAnsi="Arial" w:cs="Arial"/>
          <w:sz w:val="22"/>
          <w:szCs w:val="22"/>
        </w:rPr>
        <w:t xml:space="preserve">6 </w:t>
      </w:r>
      <w:r w:rsidRPr="003E5A85">
        <w:rPr>
          <w:rFonts w:ascii="Arial" w:hAnsi="Arial" w:cs="Arial"/>
          <w:sz w:val="22"/>
          <w:szCs w:val="22"/>
        </w:rPr>
        <w:t xml:space="preserve">Group 1 basins.  A total of 284 lake sediment samples </w:t>
      </w:r>
      <w:r>
        <w:rPr>
          <w:rFonts w:ascii="Arial" w:hAnsi="Arial" w:cs="Arial"/>
          <w:sz w:val="22"/>
          <w:szCs w:val="22"/>
        </w:rPr>
        <w:t xml:space="preserve">were </w:t>
      </w:r>
      <w:r w:rsidRPr="003E5A85">
        <w:rPr>
          <w:rFonts w:ascii="Arial" w:hAnsi="Arial" w:cs="Arial"/>
          <w:sz w:val="22"/>
          <w:szCs w:val="22"/>
        </w:rPr>
        <w:t>collected</w:t>
      </w:r>
      <w:r>
        <w:rPr>
          <w:rFonts w:ascii="Arial" w:hAnsi="Arial" w:cs="Arial"/>
          <w:sz w:val="22"/>
          <w:szCs w:val="22"/>
        </w:rPr>
        <w:t xml:space="preserve"> after the collection of the water samples.</w:t>
      </w:r>
      <w:r w:rsidRPr="003E5A85">
        <w:rPr>
          <w:rFonts w:ascii="Arial" w:hAnsi="Arial" w:cs="Arial"/>
          <w:sz w:val="22"/>
          <w:szCs w:val="22"/>
        </w:rPr>
        <w:t xml:space="preserve">  </w:t>
      </w:r>
      <w:r>
        <w:rPr>
          <w:rFonts w:ascii="Arial" w:hAnsi="Arial" w:cs="Arial"/>
          <w:sz w:val="22"/>
          <w:szCs w:val="22"/>
        </w:rPr>
        <w:t xml:space="preserve">FDEP’s </w:t>
      </w:r>
      <w:r w:rsidRPr="003E5A85">
        <w:rPr>
          <w:rFonts w:ascii="Arial" w:hAnsi="Arial" w:cs="Arial"/>
          <w:sz w:val="22"/>
          <w:szCs w:val="22"/>
        </w:rPr>
        <w:t>Central Laboratory analyzed the</w:t>
      </w:r>
      <w:r>
        <w:rPr>
          <w:rFonts w:ascii="Arial" w:hAnsi="Arial" w:cs="Arial"/>
          <w:sz w:val="22"/>
          <w:szCs w:val="22"/>
        </w:rPr>
        <w:t>se</w:t>
      </w:r>
      <w:r w:rsidRPr="003E5A85">
        <w:rPr>
          <w:rFonts w:ascii="Arial" w:hAnsi="Arial" w:cs="Arial"/>
          <w:sz w:val="22"/>
          <w:szCs w:val="22"/>
        </w:rPr>
        <w:t xml:space="preserve"> samples for metals, nutrients</w:t>
      </w:r>
      <w:r>
        <w:rPr>
          <w:rFonts w:ascii="Arial" w:hAnsi="Arial" w:cs="Arial"/>
          <w:sz w:val="22"/>
          <w:szCs w:val="22"/>
        </w:rPr>
        <w:t>,</w:t>
      </w:r>
      <w:r w:rsidRPr="003E5A85">
        <w:rPr>
          <w:rFonts w:ascii="Arial" w:hAnsi="Arial" w:cs="Arial"/>
          <w:sz w:val="22"/>
          <w:szCs w:val="22"/>
        </w:rPr>
        <w:t xml:space="preserve"> and organic contaminants.  </w:t>
      </w:r>
      <w:r>
        <w:rPr>
          <w:rFonts w:ascii="Arial" w:hAnsi="Arial" w:cs="Arial"/>
          <w:sz w:val="22"/>
          <w:szCs w:val="22"/>
        </w:rPr>
        <w:t>M</w:t>
      </w:r>
      <w:r w:rsidRPr="003E5A85">
        <w:rPr>
          <w:rFonts w:ascii="Arial" w:hAnsi="Arial" w:cs="Arial"/>
          <w:sz w:val="22"/>
          <w:szCs w:val="22"/>
        </w:rPr>
        <w:t>etals analyzed included arsenic, cadmium, chromium, copper,</w:t>
      </w:r>
      <w:r>
        <w:rPr>
          <w:rFonts w:ascii="Arial" w:hAnsi="Arial" w:cs="Arial"/>
          <w:sz w:val="22"/>
          <w:szCs w:val="22"/>
        </w:rPr>
        <w:t xml:space="preserve"> lead, nickel, mercury, silver, and zinc;</w:t>
      </w:r>
      <w:r w:rsidRPr="003E5A85">
        <w:rPr>
          <w:rFonts w:ascii="Arial" w:hAnsi="Arial" w:cs="Arial"/>
          <w:sz w:val="22"/>
          <w:szCs w:val="22"/>
        </w:rPr>
        <w:t xml:space="preserve"> organic contaminants include</w:t>
      </w:r>
      <w:r>
        <w:rPr>
          <w:rFonts w:ascii="Arial" w:hAnsi="Arial" w:cs="Arial"/>
          <w:sz w:val="22"/>
          <w:szCs w:val="22"/>
        </w:rPr>
        <w:t>d</w:t>
      </w:r>
      <w:r w:rsidRPr="003E5A85">
        <w:rPr>
          <w:rFonts w:ascii="Arial" w:hAnsi="Arial" w:cs="Arial"/>
          <w:sz w:val="22"/>
          <w:szCs w:val="22"/>
        </w:rPr>
        <w:t xml:space="preserve"> polynuclear hydrocarbons (PAHs), polychlorinated biphenyls </w:t>
      </w:r>
      <w:r>
        <w:rPr>
          <w:rFonts w:ascii="Arial" w:hAnsi="Arial" w:cs="Arial"/>
          <w:sz w:val="22"/>
          <w:szCs w:val="22"/>
        </w:rPr>
        <w:t xml:space="preserve">(PCBs), </w:t>
      </w:r>
      <w:r w:rsidRPr="003E5A85">
        <w:rPr>
          <w:rFonts w:ascii="Arial" w:hAnsi="Arial" w:cs="Arial"/>
          <w:sz w:val="22"/>
          <w:szCs w:val="22"/>
        </w:rPr>
        <w:t>and organochlorine pesticides (for example</w:t>
      </w:r>
      <w:r>
        <w:rPr>
          <w:rFonts w:ascii="Arial" w:hAnsi="Arial" w:cs="Arial"/>
          <w:sz w:val="22"/>
          <w:szCs w:val="22"/>
        </w:rPr>
        <w:t>,</w:t>
      </w:r>
      <w:r w:rsidRPr="003E5A85">
        <w:rPr>
          <w:rFonts w:ascii="Arial" w:hAnsi="Arial" w:cs="Arial"/>
          <w:sz w:val="22"/>
          <w:szCs w:val="22"/>
        </w:rPr>
        <w:t xml:space="preserve"> DDT and its breakdown products).  FDEP</w:t>
      </w:r>
      <w:r>
        <w:rPr>
          <w:rFonts w:ascii="Arial" w:hAnsi="Arial" w:cs="Arial"/>
          <w:sz w:val="22"/>
          <w:szCs w:val="22"/>
        </w:rPr>
        <w:t>’s</w:t>
      </w:r>
      <w:r w:rsidRPr="003E5A85">
        <w:rPr>
          <w:rFonts w:ascii="Arial" w:hAnsi="Arial" w:cs="Arial"/>
          <w:sz w:val="22"/>
          <w:szCs w:val="22"/>
        </w:rPr>
        <w:t xml:space="preserve"> Monitoring Section then applied the sediment quality assessment tools to the resulting dataset.  </w:t>
      </w:r>
    </w:p>
    <w:p w:rsidR="00485094" w:rsidRDefault="00485094" w:rsidP="005F5866">
      <w:pPr>
        <w:rPr>
          <w:rFonts w:ascii="Arial" w:hAnsi="Arial" w:cs="Arial"/>
          <w:sz w:val="22"/>
          <w:szCs w:val="22"/>
        </w:rPr>
      </w:pPr>
    </w:p>
    <w:p w:rsidR="00485094" w:rsidRDefault="00485094" w:rsidP="005F5866">
      <w:pPr>
        <w:rPr>
          <w:rFonts w:ascii="Arial" w:hAnsi="Arial" w:cs="Arial"/>
          <w:sz w:val="22"/>
          <w:szCs w:val="22"/>
        </w:rPr>
      </w:pPr>
      <w:r>
        <w:rPr>
          <w:rFonts w:ascii="Arial" w:hAnsi="Arial" w:cs="Arial"/>
          <w:sz w:val="22"/>
          <w:szCs w:val="22"/>
        </w:rPr>
        <w:t>Using the two guidelines in the 2003 guidelines document, the metals copper, lead, and zinc produce the most exceedances of both the lower and higher guidelines.  Arsenic, cadmium, chromium, and mercury rarely exceed the higher guideline but do commonly exceed the lower guideline.  Not surprisingly, sediment metals were highest in lakes in urbanized areas, with the highest number of samples that show elevated metals collected in the Tampa Bay region.</w:t>
      </w:r>
    </w:p>
    <w:p w:rsidR="00485094" w:rsidRDefault="00485094" w:rsidP="005F5866">
      <w:pPr>
        <w:rPr>
          <w:rFonts w:ascii="Arial" w:hAnsi="Arial" w:cs="Arial"/>
          <w:sz w:val="22"/>
          <w:szCs w:val="22"/>
        </w:rPr>
      </w:pPr>
    </w:p>
    <w:p w:rsidR="00485094" w:rsidRDefault="00485094" w:rsidP="005F5866">
      <w:pPr>
        <w:rPr>
          <w:rFonts w:ascii="Arial" w:hAnsi="Arial" w:cs="Arial"/>
          <w:sz w:val="22"/>
          <w:szCs w:val="22"/>
        </w:rPr>
      </w:pPr>
      <w:r>
        <w:rPr>
          <w:rFonts w:ascii="Arial" w:hAnsi="Arial" w:cs="Arial"/>
          <w:sz w:val="22"/>
          <w:szCs w:val="22"/>
        </w:rPr>
        <w:t xml:space="preserve">In </w:t>
      </w:r>
      <w:r w:rsidRPr="003E5A85">
        <w:rPr>
          <w:rFonts w:ascii="Arial" w:hAnsi="Arial" w:cs="Arial"/>
          <w:sz w:val="22"/>
          <w:szCs w:val="22"/>
        </w:rPr>
        <w:t xml:space="preserve">the 284 samples, there were </w:t>
      </w:r>
      <w:r>
        <w:rPr>
          <w:rFonts w:ascii="Arial" w:hAnsi="Arial" w:cs="Arial"/>
          <w:sz w:val="22"/>
          <w:szCs w:val="22"/>
        </w:rPr>
        <w:t>41</w:t>
      </w:r>
      <w:r w:rsidRPr="003E5A85">
        <w:rPr>
          <w:rFonts w:ascii="Arial" w:hAnsi="Arial" w:cs="Arial"/>
          <w:sz w:val="22"/>
          <w:szCs w:val="22"/>
        </w:rPr>
        <w:t xml:space="preserve"> detections of an organic contaminant</w:t>
      </w:r>
      <w:r>
        <w:rPr>
          <w:rFonts w:ascii="Arial" w:hAnsi="Arial" w:cs="Arial"/>
          <w:sz w:val="22"/>
          <w:szCs w:val="22"/>
        </w:rPr>
        <w:t xml:space="preserve">; however, some sediment </w:t>
      </w:r>
      <w:r w:rsidRPr="003E5A85">
        <w:rPr>
          <w:rFonts w:ascii="Arial" w:hAnsi="Arial" w:cs="Arial"/>
          <w:sz w:val="22"/>
          <w:szCs w:val="22"/>
        </w:rPr>
        <w:t xml:space="preserve">samples had detections of </w:t>
      </w:r>
      <w:r>
        <w:rPr>
          <w:rFonts w:ascii="Arial" w:hAnsi="Arial" w:cs="Arial"/>
          <w:sz w:val="22"/>
          <w:szCs w:val="22"/>
        </w:rPr>
        <w:t xml:space="preserve">more than 1 </w:t>
      </w:r>
      <w:r w:rsidRPr="003E5A85">
        <w:rPr>
          <w:rFonts w:ascii="Arial" w:hAnsi="Arial" w:cs="Arial"/>
          <w:sz w:val="22"/>
          <w:szCs w:val="22"/>
        </w:rPr>
        <w:t xml:space="preserve">individual </w:t>
      </w:r>
      <w:r>
        <w:rPr>
          <w:rFonts w:ascii="Arial" w:hAnsi="Arial" w:cs="Arial"/>
          <w:sz w:val="22"/>
          <w:szCs w:val="22"/>
        </w:rPr>
        <w:t xml:space="preserve">organic </w:t>
      </w:r>
      <w:r w:rsidRPr="003E5A85">
        <w:rPr>
          <w:rFonts w:ascii="Arial" w:hAnsi="Arial" w:cs="Arial"/>
          <w:sz w:val="22"/>
          <w:szCs w:val="22"/>
        </w:rPr>
        <w:t xml:space="preserve">contaminant.  </w:t>
      </w:r>
      <w:r>
        <w:rPr>
          <w:rFonts w:ascii="Arial" w:hAnsi="Arial" w:cs="Arial"/>
          <w:sz w:val="22"/>
          <w:szCs w:val="22"/>
        </w:rPr>
        <w:t xml:space="preserve">No PCB compounds </w:t>
      </w:r>
      <w:r w:rsidRPr="003E5A85">
        <w:rPr>
          <w:rFonts w:ascii="Arial" w:hAnsi="Arial" w:cs="Arial"/>
          <w:sz w:val="22"/>
          <w:szCs w:val="22"/>
        </w:rPr>
        <w:t xml:space="preserve">were detected, and only </w:t>
      </w:r>
      <w:r>
        <w:rPr>
          <w:rFonts w:ascii="Arial" w:hAnsi="Arial" w:cs="Arial"/>
          <w:sz w:val="22"/>
          <w:szCs w:val="22"/>
        </w:rPr>
        <w:t>7</w:t>
      </w:r>
      <w:r w:rsidRPr="003E5A85">
        <w:rPr>
          <w:rFonts w:ascii="Arial" w:hAnsi="Arial" w:cs="Arial"/>
          <w:sz w:val="22"/>
          <w:szCs w:val="22"/>
        </w:rPr>
        <w:t xml:space="preserve"> samples had detectable amounts of PAHs.  However, the </w:t>
      </w:r>
      <w:r>
        <w:rPr>
          <w:rFonts w:ascii="Arial" w:hAnsi="Arial" w:cs="Arial"/>
          <w:sz w:val="22"/>
          <w:szCs w:val="22"/>
        </w:rPr>
        <w:t>persistent organochlorine pes</w:t>
      </w:r>
      <w:r w:rsidRPr="003E5A85">
        <w:rPr>
          <w:rFonts w:ascii="Arial" w:hAnsi="Arial" w:cs="Arial"/>
          <w:sz w:val="22"/>
          <w:szCs w:val="22"/>
        </w:rPr>
        <w:t>ticide</w:t>
      </w:r>
      <w:r>
        <w:rPr>
          <w:rFonts w:ascii="Arial" w:hAnsi="Arial" w:cs="Arial"/>
          <w:sz w:val="22"/>
          <w:szCs w:val="22"/>
        </w:rPr>
        <w:t>s</w:t>
      </w:r>
      <w:r w:rsidRPr="003E5A85">
        <w:rPr>
          <w:rFonts w:ascii="Arial" w:hAnsi="Arial" w:cs="Arial"/>
          <w:sz w:val="22"/>
          <w:szCs w:val="22"/>
        </w:rPr>
        <w:t xml:space="preserve"> </w:t>
      </w:r>
      <w:r>
        <w:rPr>
          <w:rFonts w:ascii="Arial" w:hAnsi="Arial" w:cs="Arial"/>
          <w:sz w:val="22"/>
          <w:szCs w:val="22"/>
        </w:rPr>
        <w:t xml:space="preserve">DDT (along with </w:t>
      </w:r>
      <w:r w:rsidRPr="003E5A85">
        <w:rPr>
          <w:rFonts w:ascii="Arial" w:hAnsi="Arial" w:cs="Arial"/>
          <w:sz w:val="22"/>
          <w:szCs w:val="22"/>
        </w:rPr>
        <w:t>its breakdown products, DDD and DDE</w:t>
      </w:r>
      <w:r>
        <w:rPr>
          <w:rFonts w:ascii="Arial" w:hAnsi="Arial" w:cs="Arial"/>
          <w:sz w:val="22"/>
          <w:szCs w:val="22"/>
        </w:rPr>
        <w:t xml:space="preserve">) </w:t>
      </w:r>
      <w:r w:rsidRPr="003E5A85">
        <w:rPr>
          <w:rFonts w:ascii="Arial" w:hAnsi="Arial" w:cs="Arial"/>
          <w:sz w:val="22"/>
          <w:szCs w:val="22"/>
        </w:rPr>
        <w:t xml:space="preserve">and chlordane were detected at 20 stations.  </w:t>
      </w:r>
      <w:r>
        <w:rPr>
          <w:rFonts w:ascii="Arial" w:hAnsi="Arial" w:cs="Arial"/>
          <w:sz w:val="22"/>
          <w:szCs w:val="22"/>
        </w:rPr>
        <w:t>The two Group 1 basins with the most exceedances of the higher organic contaminant guideline were the Ocklawaha Basin, which is heavily agricultural, and the urban Tampa Bay Basin.  C</w:t>
      </w:r>
      <w:r w:rsidRPr="003E5A85">
        <w:rPr>
          <w:rFonts w:ascii="Arial" w:hAnsi="Arial" w:cs="Arial"/>
          <w:sz w:val="22"/>
          <w:szCs w:val="22"/>
        </w:rPr>
        <w:t>hlordane, a now</w:t>
      </w:r>
      <w:r>
        <w:rPr>
          <w:rFonts w:ascii="Arial" w:hAnsi="Arial" w:cs="Arial"/>
          <w:sz w:val="22"/>
          <w:szCs w:val="22"/>
        </w:rPr>
        <w:t>-</w:t>
      </w:r>
      <w:r w:rsidRPr="003E5A85">
        <w:rPr>
          <w:rFonts w:ascii="Arial" w:hAnsi="Arial" w:cs="Arial"/>
          <w:sz w:val="22"/>
          <w:szCs w:val="22"/>
        </w:rPr>
        <w:t xml:space="preserve">banned but formerly </w:t>
      </w:r>
      <w:r>
        <w:rPr>
          <w:rFonts w:ascii="Arial" w:hAnsi="Arial" w:cs="Arial"/>
          <w:sz w:val="22"/>
          <w:szCs w:val="22"/>
        </w:rPr>
        <w:t xml:space="preserve">widely </w:t>
      </w:r>
      <w:r w:rsidRPr="003E5A85">
        <w:rPr>
          <w:rFonts w:ascii="Arial" w:hAnsi="Arial" w:cs="Arial"/>
          <w:sz w:val="22"/>
          <w:szCs w:val="22"/>
        </w:rPr>
        <w:t xml:space="preserve">used termiticide, was detected in </w:t>
      </w:r>
      <w:r>
        <w:rPr>
          <w:rFonts w:ascii="Arial" w:hAnsi="Arial" w:cs="Arial"/>
          <w:sz w:val="22"/>
          <w:szCs w:val="22"/>
        </w:rPr>
        <w:t>7</w:t>
      </w:r>
      <w:r w:rsidRPr="003E5A85">
        <w:rPr>
          <w:rFonts w:ascii="Arial" w:hAnsi="Arial" w:cs="Arial"/>
          <w:sz w:val="22"/>
          <w:szCs w:val="22"/>
        </w:rPr>
        <w:t xml:space="preserve"> lake</w:t>
      </w:r>
      <w:r>
        <w:rPr>
          <w:rFonts w:ascii="Arial" w:hAnsi="Arial" w:cs="Arial"/>
          <w:sz w:val="22"/>
          <w:szCs w:val="22"/>
        </w:rPr>
        <w:t xml:space="preserve"> sediment samples</w:t>
      </w:r>
      <w:r w:rsidRPr="003E5A85">
        <w:rPr>
          <w:rFonts w:ascii="Arial" w:hAnsi="Arial" w:cs="Arial"/>
          <w:sz w:val="22"/>
          <w:szCs w:val="22"/>
        </w:rPr>
        <w:t xml:space="preserve">, all in the Tampa Bay </w:t>
      </w:r>
      <w:r>
        <w:rPr>
          <w:rFonts w:ascii="Arial" w:hAnsi="Arial" w:cs="Arial"/>
          <w:sz w:val="22"/>
          <w:szCs w:val="22"/>
        </w:rPr>
        <w:t>Basin.</w:t>
      </w:r>
    </w:p>
    <w:p w:rsidR="00485094" w:rsidRDefault="00485094" w:rsidP="00707D7A">
      <w:pPr>
        <w:rPr>
          <w:rFonts w:ascii="Arial" w:hAnsi="Arial" w:cs="Arial"/>
          <w:sz w:val="22"/>
          <w:szCs w:val="22"/>
        </w:rPr>
      </w:pPr>
    </w:p>
    <w:p w:rsidR="00485094" w:rsidRDefault="00485094">
      <w:pPr>
        <w:pStyle w:val="Heading3"/>
      </w:pPr>
      <w:bookmarkStart w:id="634" w:name="_Toc262484173"/>
      <w:bookmarkStart w:id="635" w:name="_Toc271280005"/>
      <w:bookmarkStart w:id="636" w:name="_Toc255822567"/>
      <w:r>
        <w:t>Estuarine</w:t>
      </w:r>
      <w:r w:rsidRPr="00B22DB9">
        <w:t xml:space="preserve"> and Marine Sediment</w:t>
      </w:r>
      <w:r>
        <w:t>s</w:t>
      </w:r>
      <w:bookmarkEnd w:id="634"/>
      <w:bookmarkEnd w:id="635"/>
    </w:p>
    <w:p w:rsidR="00485094" w:rsidRDefault="00485094" w:rsidP="00525390">
      <w:pPr>
        <w:pStyle w:val="Bodytext"/>
        <w:rPr>
          <w:snapToGrid w:val="0"/>
        </w:rPr>
      </w:pPr>
      <w:r>
        <w:rPr>
          <w:rFonts w:cs="Arial"/>
          <w:szCs w:val="22"/>
        </w:rPr>
        <w:t>From several perspectives—economic, social, demographic, and particularly ecological—Florida’s inshore marine resources are one of the state's most valuable assets.  But the state’s</w:t>
      </w:r>
      <w:r w:rsidRPr="00AE1D2A">
        <w:t xml:space="preserve"> geologic and hydrologic features make its </w:t>
      </w:r>
      <w:r>
        <w:t xml:space="preserve">coastal </w:t>
      </w:r>
      <w:r w:rsidRPr="00AE1D2A">
        <w:t>surface water</w:t>
      </w:r>
      <w:r>
        <w:t xml:space="preserve">s and sediments </w:t>
      </w:r>
      <w:r w:rsidRPr="00AE1D2A">
        <w:t xml:space="preserve">relatively vulnerable to contamination.  Sediment contamination is particularly important to water quality, because </w:t>
      </w:r>
      <w:r>
        <w:t xml:space="preserve">sediments </w:t>
      </w:r>
      <w:r w:rsidRPr="00AE1D2A">
        <w:t xml:space="preserve">and surface water interact extensively.  </w:t>
      </w:r>
      <w:r>
        <w:rPr>
          <w:snapToGrid w:val="0"/>
        </w:rPr>
        <w:t>Although Florida currently has no criteria for heavy metals or toxic organic contaminants in estuarine sediments, FDEP does have sediment guidelines to assess current conditions, to identify contaminated areas, and to provide background information for project managers.  Guidance concentrations for most sediment contaminants are available for both fresh and estuarine/marine waters.</w:t>
      </w:r>
    </w:p>
    <w:p w:rsidR="00485094" w:rsidRDefault="00485094" w:rsidP="00525390">
      <w:pPr>
        <w:pStyle w:val="Bodytext"/>
        <w:rPr>
          <w:snapToGrid w:val="0"/>
        </w:rPr>
      </w:pPr>
    </w:p>
    <w:p w:rsidR="00485094" w:rsidRDefault="00485094" w:rsidP="00525390">
      <w:pPr>
        <w:pStyle w:val="Bodytext"/>
        <w:rPr>
          <w:snapToGrid w:val="0"/>
        </w:rPr>
      </w:pPr>
      <w:r>
        <w:rPr>
          <w:snapToGrid w:val="0"/>
        </w:rPr>
        <w:t>Starting in the 1980s, Florida Department of Environmental Regulation (FDER) staff began carrying out a number of surveys to assess sediment contamination.  From 1983 to 1984, sediments were collected as part of the Deepwater Ports Project from sites near dense population centers and close to commercial channels and ship berths.  A second survey, from 1985 to 1991, assessed sites where contamination was expected because of flows from tributaries and local land use practices.  A third survey examined sites in relatively remote or unimpacted areas.  The assembled data provided FDER staff with much needed sediment chemistry information.  For example, they were used to determine the natural background concentrations of certain metals in Florida coastal sediments, including arsenic, cadmium, chromium, copper, mercury, lead, and zinc.  T</w:t>
      </w:r>
      <w:r w:rsidRPr="00D016FC">
        <w:rPr>
          <w:snapToGrid w:val="0"/>
        </w:rPr>
        <w:t xml:space="preserve">his effort culminated in the release of the document, </w:t>
      </w:r>
      <w:hyperlink r:id="rId142" w:history="1">
        <w:r w:rsidRPr="00525390">
          <w:rPr>
            <w:rStyle w:val="Hyperlink"/>
            <w:i/>
            <w:snapToGrid w:val="0"/>
          </w:rPr>
          <w:t>A Guide to Interpretation of Metal Concentrations in Estuarine Sediments</w:t>
        </w:r>
      </w:hyperlink>
      <w:r w:rsidRPr="00D016FC">
        <w:rPr>
          <w:snapToGrid w:val="0"/>
        </w:rPr>
        <w:t xml:space="preserve"> (Schropp and Windom, 1988</w:t>
      </w:r>
      <w:r>
        <w:rPr>
          <w:snapToGrid w:val="0"/>
        </w:rPr>
        <w:t xml:space="preserve">), which employed </w:t>
      </w:r>
      <w:r w:rsidRPr="00072C64">
        <w:rPr>
          <w:rFonts w:cs="Arial"/>
          <w:szCs w:val="22"/>
        </w:rPr>
        <w:t>statistical normalization techniques to determine background concentrations of metals in sediments</w:t>
      </w:r>
      <w:r>
        <w:rPr>
          <w:snapToGrid w:val="0"/>
        </w:rPr>
        <w:t xml:space="preserve"> </w:t>
      </w:r>
    </w:p>
    <w:p w:rsidR="00485094" w:rsidRDefault="00485094" w:rsidP="00525390">
      <w:pPr>
        <w:pStyle w:val="Bodytext"/>
        <w:rPr>
          <w:snapToGrid w:val="0"/>
        </w:rPr>
      </w:pPr>
    </w:p>
    <w:p w:rsidR="00485094" w:rsidRPr="00BB45F3" w:rsidRDefault="00485094" w:rsidP="00525390">
      <w:pPr>
        <w:pStyle w:val="Bodytext"/>
        <w:rPr>
          <w:b/>
          <w:snapToGrid w:val="0"/>
        </w:rPr>
      </w:pPr>
      <w:r>
        <w:rPr>
          <w:snapToGrid w:val="0"/>
        </w:rPr>
        <w:t>In the early 1990s, the sediment research staff at the former FDER, now called FDEP, took this dataset (over 700 sites), and combined it with data from 42 sites collected by NOAA’s National Status and Trends Program (NSTP) and 33 sites in the St. Johns River collected by Mote Marine Laboratory (MML), a marine research facility in Sarasota.  This enlarged dataset was later incorporated into a statewide Sediment Atlas that contained information collected from nearly 800 sites, and displayed metals contamination data as well as data for five classes of organic contaminants:  chlorinated hydrocarbons (pesticides), polycyclic aromatic hydrocarbons (PAHs), polychlorinated biphenyls, phenolic hydrocarbons, and aliphatic hydrocarbons.</w:t>
      </w:r>
      <w:r>
        <w:rPr>
          <w:rStyle w:val="FootnoteReference"/>
          <w:snapToGrid w:val="0"/>
        </w:rPr>
        <w:footnoteReference w:id="7"/>
      </w:r>
      <w:r>
        <w:rPr>
          <w:snapToGrid w:val="0"/>
        </w:rPr>
        <w:t xml:space="preserve">  The purpose of the Atlas was to document the locations of contaminated sediments throughout the state’s coastal waters.</w:t>
      </w:r>
    </w:p>
    <w:p w:rsidR="00485094" w:rsidRDefault="00485094" w:rsidP="00525390">
      <w:pPr>
        <w:pStyle w:val="Bodytext"/>
        <w:rPr>
          <w:snapToGrid w:val="0"/>
        </w:rPr>
      </w:pPr>
    </w:p>
    <w:p w:rsidR="00485094" w:rsidRPr="00AA2DDF" w:rsidRDefault="00485094" w:rsidP="00525390">
      <w:pPr>
        <w:pStyle w:val="Bodytext"/>
        <w:rPr>
          <w:rFonts w:cs="Arial"/>
          <w:snapToGrid w:val="0"/>
        </w:rPr>
      </w:pPr>
      <w:r>
        <w:rPr>
          <w:snapToGrid w:val="0"/>
        </w:rPr>
        <w:t>In the Atlas, estuarine sediment metal contamination above background levels was most often seen for cadmium, mercury, lead, and zinc.  PAHs were found in about 70% of the samples tested for organic chemicals.  Of this group, fluoranthene and pyrene were found in more than 50% of the samples.  Not surprisingly, more contaminants were found in urban watersheds than in rural or undeveloped watersheds.</w:t>
      </w:r>
    </w:p>
    <w:p w:rsidR="00485094" w:rsidRPr="00AA2DDF" w:rsidRDefault="00485094" w:rsidP="00525390">
      <w:pPr>
        <w:pStyle w:val="Bodytext"/>
        <w:rPr>
          <w:rFonts w:cs="Arial"/>
          <w:snapToGrid w:val="0"/>
        </w:rPr>
      </w:pPr>
    </w:p>
    <w:p w:rsidR="00485094" w:rsidRDefault="00485094" w:rsidP="00525390">
      <w:pPr>
        <w:rPr>
          <w:rFonts w:ascii="Arial" w:hAnsi="Arial" w:cs="Arial"/>
          <w:snapToGrid w:val="0"/>
          <w:sz w:val="22"/>
          <w:szCs w:val="22"/>
        </w:rPr>
      </w:pPr>
      <w:r w:rsidRPr="00862D14">
        <w:rPr>
          <w:rFonts w:ascii="Arial" w:hAnsi="Arial" w:cs="Arial"/>
          <w:snapToGrid w:val="0"/>
          <w:sz w:val="22"/>
          <w:szCs w:val="22"/>
        </w:rPr>
        <w:t xml:space="preserve">As mentioned in </w:t>
      </w:r>
      <w:hyperlink w:anchor="_Chapter_6:_" w:history="1">
        <w:r w:rsidRPr="00512DF2">
          <w:rPr>
            <w:rStyle w:val="Hyperlink"/>
            <w:rFonts w:ascii="Arial" w:hAnsi="Arial" w:cs="Arial"/>
            <w:snapToGrid w:val="0"/>
            <w:sz w:val="22"/>
            <w:szCs w:val="22"/>
          </w:rPr>
          <w:t>Chapter 6</w:t>
        </w:r>
      </w:hyperlink>
      <w:r w:rsidRPr="00862D14">
        <w:rPr>
          <w:rFonts w:ascii="Arial" w:hAnsi="Arial" w:cs="Arial"/>
          <w:snapToGrid w:val="0"/>
          <w:sz w:val="22"/>
          <w:szCs w:val="22"/>
        </w:rPr>
        <w:t xml:space="preserve"> for the Watershed Monitoring Section’s freshwater sediment evaluation project, guidelines were developed to assess sediment contaminants in estuarine and marine sediments as well.</w:t>
      </w:r>
      <w:r w:rsidRPr="00862D14">
        <w:rPr>
          <w:snapToGrid w:val="0"/>
          <w:sz w:val="22"/>
          <w:szCs w:val="22"/>
        </w:rPr>
        <w:t xml:space="preserve">  </w:t>
      </w:r>
      <w:r w:rsidRPr="00862D14">
        <w:rPr>
          <w:rFonts w:ascii="Arial" w:hAnsi="Arial" w:cs="Arial"/>
          <w:snapToGrid w:val="0"/>
          <w:color w:val="000000"/>
          <w:sz w:val="22"/>
          <w:szCs w:val="22"/>
        </w:rPr>
        <w:t xml:space="preserve">The document </w:t>
      </w:r>
      <w:hyperlink r:id="rId143" w:history="1">
        <w:r w:rsidRPr="00D145F4">
          <w:rPr>
            <w:rStyle w:val="Hyperlink"/>
            <w:rFonts w:ascii="Arial" w:hAnsi="Arial" w:cs="Arial"/>
            <w:i/>
            <w:iCs/>
            <w:sz w:val="22"/>
            <w:szCs w:val="22"/>
          </w:rPr>
          <w:t>Approach to the Assessment of Sediment Quality in Florida Coastal Waters</w:t>
        </w:r>
        <w:r>
          <w:rPr>
            <w:rStyle w:val="Hyperlink"/>
            <w:rFonts w:ascii="Arial" w:hAnsi="Arial" w:cs="Arial"/>
            <w:iCs/>
            <w:sz w:val="22"/>
            <w:szCs w:val="22"/>
          </w:rPr>
          <w:t xml:space="preserve"> </w:t>
        </w:r>
      </w:hyperlink>
      <w:r w:rsidRPr="00862D14">
        <w:rPr>
          <w:rFonts w:ascii="Arial" w:hAnsi="Arial" w:cs="Arial"/>
          <w:i/>
          <w:iCs/>
          <w:sz w:val="22"/>
          <w:szCs w:val="22"/>
        </w:rPr>
        <w:t>(</w:t>
      </w:r>
      <w:r w:rsidRPr="00862D14">
        <w:rPr>
          <w:rFonts w:ascii="Arial" w:hAnsi="Arial" w:cs="Arial"/>
          <w:iCs/>
          <w:sz w:val="22"/>
          <w:szCs w:val="22"/>
        </w:rPr>
        <w:t>MacDonald Environmental Sciences Ltd.</w:t>
      </w:r>
      <w:r>
        <w:rPr>
          <w:rFonts w:ascii="Arial" w:hAnsi="Arial" w:cs="Arial"/>
          <w:iCs/>
          <w:sz w:val="22"/>
          <w:szCs w:val="22"/>
        </w:rPr>
        <w:t>,</w:t>
      </w:r>
      <w:r w:rsidRPr="00862D14">
        <w:rPr>
          <w:rFonts w:ascii="Arial" w:hAnsi="Arial" w:cs="Arial"/>
          <w:iCs/>
          <w:sz w:val="22"/>
          <w:szCs w:val="22"/>
        </w:rPr>
        <w:t xml:space="preserve"> </w:t>
      </w:r>
      <w:r>
        <w:rPr>
          <w:rFonts w:ascii="Arial" w:hAnsi="Arial" w:cs="Arial"/>
          <w:iCs/>
          <w:sz w:val="22"/>
          <w:szCs w:val="22"/>
        </w:rPr>
        <w:t>1994</w:t>
      </w:r>
      <w:r w:rsidRPr="00862D14">
        <w:rPr>
          <w:rFonts w:ascii="Arial" w:hAnsi="Arial" w:cs="Arial"/>
          <w:iCs/>
          <w:sz w:val="22"/>
          <w:szCs w:val="22"/>
        </w:rPr>
        <w:t>) is still the source of FDEP</w:t>
      </w:r>
      <w:r>
        <w:rPr>
          <w:rFonts w:ascii="Arial" w:hAnsi="Arial" w:cs="Arial"/>
          <w:iCs/>
          <w:sz w:val="22"/>
          <w:szCs w:val="22"/>
        </w:rPr>
        <w:t>’s</w:t>
      </w:r>
      <w:r w:rsidRPr="00862D14">
        <w:rPr>
          <w:rFonts w:ascii="Arial" w:hAnsi="Arial" w:cs="Arial"/>
          <w:iCs/>
          <w:sz w:val="22"/>
          <w:szCs w:val="22"/>
        </w:rPr>
        <w:t xml:space="preserve"> contaminated sediment guidance in 2010.  </w:t>
      </w:r>
      <w:r w:rsidRPr="00862D14">
        <w:rPr>
          <w:rFonts w:ascii="Arial" w:hAnsi="Arial" w:cs="Arial"/>
          <w:snapToGrid w:val="0"/>
          <w:sz w:val="22"/>
          <w:szCs w:val="22"/>
        </w:rPr>
        <w:t xml:space="preserve">Although the guidelines are a valuable tool, they </w:t>
      </w:r>
      <w:r>
        <w:rPr>
          <w:rFonts w:ascii="Arial" w:hAnsi="Arial" w:cs="Arial"/>
          <w:snapToGrid w:val="0"/>
          <w:sz w:val="22"/>
          <w:szCs w:val="22"/>
        </w:rPr>
        <w:t xml:space="preserve">must </w:t>
      </w:r>
      <w:r w:rsidRPr="00862D14">
        <w:rPr>
          <w:rFonts w:ascii="Arial" w:hAnsi="Arial" w:cs="Arial"/>
          <w:snapToGrid w:val="0"/>
          <w:sz w:val="22"/>
          <w:szCs w:val="22"/>
        </w:rPr>
        <w:t>be used with other tools and assessment procedures.  The</w:t>
      </w:r>
      <w:r>
        <w:rPr>
          <w:rFonts w:ascii="Arial" w:hAnsi="Arial" w:cs="Arial"/>
          <w:snapToGrid w:val="0"/>
          <w:sz w:val="22"/>
          <w:szCs w:val="22"/>
        </w:rPr>
        <w:t xml:space="preserve"> sediment guidelines </w:t>
      </w:r>
      <w:r w:rsidRPr="00862D14">
        <w:rPr>
          <w:rFonts w:ascii="Arial" w:hAnsi="Arial" w:cs="Arial"/>
          <w:snapToGrid w:val="0"/>
          <w:sz w:val="22"/>
          <w:szCs w:val="22"/>
        </w:rPr>
        <w:t>do not replace dredging disposal criteria or formal procedures, nor are they meant to be sediment quality criteria or numeric attainment levels for cleaning up Superfund sites.</w:t>
      </w:r>
    </w:p>
    <w:p w:rsidR="00485094" w:rsidRDefault="00485094" w:rsidP="00525390">
      <w:pPr>
        <w:rPr>
          <w:rFonts w:ascii="Arial" w:hAnsi="Arial" w:cs="Arial"/>
          <w:snapToGrid w:val="0"/>
          <w:sz w:val="22"/>
          <w:szCs w:val="22"/>
        </w:rPr>
      </w:pPr>
    </w:p>
    <w:p w:rsidR="00485094" w:rsidRPr="00C81219" w:rsidRDefault="00485094" w:rsidP="00D145F4">
      <w:pPr>
        <w:rPr>
          <w:rStyle w:val="BodytextChar1"/>
          <w:sz w:val="22"/>
        </w:rPr>
      </w:pPr>
      <w:r w:rsidRPr="00862D14">
        <w:rPr>
          <w:rFonts w:ascii="Arial" w:hAnsi="Arial" w:cs="Arial"/>
          <w:bCs/>
          <w:sz w:val="22"/>
          <w:szCs w:val="22"/>
        </w:rPr>
        <w:t xml:space="preserve">Although FDEP no longer </w:t>
      </w:r>
      <w:r w:rsidR="00533252">
        <w:rPr>
          <w:rFonts w:ascii="Arial" w:hAnsi="Arial" w:cs="Arial"/>
          <w:bCs/>
          <w:sz w:val="22"/>
          <w:szCs w:val="22"/>
        </w:rPr>
        <w:t>carries out</w:t>
      </w:r>
      <w:r w:rsidR="00533252" w:rsidRPr="00862D14">
        <w:rPr>
          <w:rFonts w:ascii="Arial" w:hAnsi="Arial" w:cs="Arial"/>
          <w:bCs/>
          <w:sz w:val="22"/>
          <w:szCs w:val="22"/>
        </w:rPr>
        <w:t xml:space="preserve"> </w:t>
      </w:r>
      <w:r w:rsidR="00533252">
        <w:rPr>
          <w:rFonts w:ascii="Arial" w:hAnsi="Arial" w:cs="Arial"/>
          <w:bCs/>
          <w:sz w:val="22"/>
          <w:szCs w:val="22"/>
        </w:rPr>
        <w:t xml:space="preserve">regular </w:t>
      </w:r>
      <w:r w:rsidRPr="00862D14">
        <w:rPr>
          <w:rFonts w:ascii="Arial" w:hAnsi="Arial" w:cs="Arial"/>
          <w:bCs/>
          <w:sz w:val="22"/>
          <w:szCs w:val="22"/>
        </w:rPr>
        <w:t xml:space="preserve">estuarine and marine sediment monitoring, the </w:t>
      </w:r>
      <w:r>
        <w:rPr>
          <w:rFonts w:ascii="Arial" w:hAnsi="Arial" w:cs="Arial"/>
          <w:sz w:val="22"/>
          <w:szCs w:val="22"/>
        </w:rPr>
        <w:t>F</w:t>
      </w:r>
      <w:r w:rsidR="00533252">
        <w:rPr>
          <w:rFonts w:ascii="Arial" w:hAnsi="Arial" w:cs="Arial"/>
          <w:sz w:val="22"/>
          <w:szCs w:val="22"/>
        </w:rPr>
        <w:t>WC’s F</w:t>
      </w:r>
      <w:r>
        <w:rPr>
          <w:rFonts w:ascii="Arial" w:hAnsi="Arial" w:cs="Arial"/>
          <w:sz w:val="22"/>
          <w:szCs w:val="22"/>
        </w:rPr>
        <w:t xml:space="preserve">lorida </w:t>
      </w:r>
      <w:r w:rsidRPr="00862D14">
        <w:rPr>
          <w:rFonts w:ascii="Arial" w:hAnsi="Arial" w:cs="Arial"/>
          <w:bCs/>
          <w:sz w:val="22"/>
          <w:szCs w:val="22"/>
        </w:rPr>
        <w:t xml:space="preserve">Marine Research Institute </w:t>
      </w:r>
      <w:r>
        <w:rPr>
          <w:rFonts w:ascii="Arial" w:hAnsi="Arial" w:cs="Arial"/>
          <w:bCs/>
          <w:sz w:val="22"/>
          <w:szCs w:val="22"/>
        </w:rPr>
        <w:t>(FMRI) conducted</w:t>
      </w:r>
      <w:r w:rsidRPr="00862D14">
        <w:rPr>
          <w:rFonts w:ascii="Arial" w:hAnsi="Arial" w:cs="Arial"/>
          <w:bCs/>
          <w:sz w:val="22"/>
          <w:szCs w:val="22"/>
        </w:rPr>
        <w:t xml:space="preserve"> a </w:t>
      </w:r>
      <w:r w:rsidRPr="00862D14">
        <w:rPr>
          <w:rFonts w:ascii="Arial" w:hAnsi="Arial" w:cs="Arial"/>
          <w:sz w:val="22"/>
          <w:szCs w:val="22"/>
        </w:rPr>
        <w:t>series of coastal and estuarine sediment chem</w:t>
      </w:r>
      <w:r>
        <w:rPr>
          <w:rFonts w:ascii="Arial" w:hAnsi="Arial" w:cs="Arial"/>
          <w:sz w:val="22"/>
          <w:szCs w:val="22"/>
        </w:rPr>
        <w:t xml:space="preserve">istry </w:t>
      </w:r>
      <w:r w:rsidRPr="00862D14">
        <w:rPr>
          <w:rFonts w:ascii="Arial" w:hAnsi="Arial" w:cs="Arial"/>
          <w:sz w:val="22"/>
          <w:szCs w:val="22"/>
        </w:rPr>
        <w:t xml:space="preserve">surveys </w:t>
      </w:r>
      <w:r>
        <w:rPr>
          <w:rFonts w:ascii="Arial" w:hAnsi="Arial" w:cs="Arial"/>
          <w:sz w:val="22"/>
          <w:szCs w:val="22"/>
        </w:rPr>
        <w:t xml:space="preserve">from 2000 through 2004, and prepared a series of annual reports that outlined its results and activities.  The program, named the Florida Inshore Marine Monitoring and Assessment Program (IMAP), was a collaborative project between the EPA and FMRI.  IMAP was designed to assess the ecological condition of Florida’s inshore waters using a set of ecological indicators combined with water and sediment chemistry results.  IMAP began full-scale field sampling in the summer of 2000, and ended the work in 2004.  The results of these efforts are available on </w:t>
      </w:r>
      <w:r w:rsidRPr="00CA461C">
        <w:rPr>
          <w:rStyle w:val="BodytextChar1"/>
          <w:sz w:val="22"/>
        </w:rPr>
        <w:t xml:space="preserve">the </w:t>
      </w:r>
      <w:hyperlink r:id="rId144" w:history="1">
        <w:r w:rsidRPr="006A373D">
          <w:rPr>
            <w:rStyle w:val="Hyperlink"/>
            <w:rFonts w:ascii="Arial" w:hAnsi="Arial" w:cs="Arial"/>
            <w:sz w:val="22"/>
          </w:rPr>
          <w:t>FMRI website</w:t>
        </w:r>
      </w:hyperlink>
      <w:r w:rsidRPr="00CA461C">
        <w:rPr>
          <w:rStyle w:val="BodytextChar1"/>
          <w:sz w:val="22"/>
        </w:rPr>
        <w:t>.</w:t>
      </w:r>
    </w:p>
    <w:p w:rsidR="00485094" w:rsidRDefault="00485094" w:rsidP="00525390">
      <w:pPr>
        <w:autoSpaceDE w:val="0"/>
        <w:autoSpaceDN w:val="0"/>
        <w:adjustRightInd w:val="0"/>
        <w:rPr>
          <w:rFonts w:ascii="Arial" w:hAnsi="Arial" w:cs="Arial"/>
          <w:sz w:val="22"/>
          <w:szCs w:val="22"/>
        </w:rPr>
      </w:pPr>
    </w:p>
    <w:p w:rsidR="00485094" w:rsidRDefault="00485094" w:rsidP="00525390">
      <w:pPr>
        <w:autoSpaceDE w:val="0"/>
        <w:autoSpaceDN w:val="0"/>
        <w:adjustRightInd w:val="0"/>
        <w:rPr>
          <w:rFonts w:ascii="Arial" w:hAnsi="Arial" w:cs="Arial"/>
          <w:sz w:val="22"/>
          <w:szCs w:val="22"/>
        </w:rPr>
      </w:pPr>
      <w:r>
        <w:rPr>
          <w:rFonts w:ascii="Arial" w:hAnsi="Arial" w:cs="Arial"/>
          <w:sz w:val="22"/>
          <w:szCs w:val="22"/>
        </w:rPr>
        <w:t xml:space="preserve">Some Florida county governments also have active coastal sediment monitoring programs, or did in the recent past.  Dade (Miami) and Hillsborough County governments both have engaged in extensive sediment monitoring efforts to assess the status of their coastal waters.  The St. Johns River Water Management District has also conducted extensive sediment sampling up and down the St. Johns River, from the estuary mouth and back upstream.  </w:t>
      </w:r>
    </w:p>
    <w:p w:rsidR="00485094" w:rsidRDefault="00485094" w:rsidP="00525390"/>
    <w:bookmarkEnd w:id="636"/>
    <w:p w:rsidR="00485094" w:rsidRPr="00F35C56" w:rsidRDefault="00485094" w:rsidP="00F35C56">
      <w:pPr>
        <w:pStyle w:val="Bodytextreduced"/>
        <w:rPr>
          <w:szCs w:val="16"/>
        </w:rPr>
      </w:pPr>
      <w:r>
        <w:rPr>
          <w:rFonts w:cs="Arial"/>
          <w:bCs/>
          <w:sz w:val="22"/>
          <w:szCs w:val="22"/>
        </w:rPr>
        <w:br w:type="page"/>
      </w:r>
    </w:p>
    <w:p w:rsidR="00FC6EE0" w:rsidRDefault="00FC6EE0" w:rsidP="00FC6EE0">
      <w:pPr>
        <w:pStyle w:val="Bodytextreduced"/>
      </w:pPr>
      <w:bookmarkStart w:id="637" w:name="_Toc209241271"/>
      <w:bookmarkStart w:id="638" w:name="_Toc255822568"/>
      <w:bookmarkStart w:id="639" w:name="_Toc271280006"/>
    </w:p>
    <w:p w:rsidR="00485094" w:rsidRPr="003A4461" w:rsidRDefault="00485094" w:rsidP="003B37D3">
      <w:pPr>
        <w:pStyle w:val="Heading1"/>
      </w:pPr>
      <w:r>
        <w:t xml:space="preserve">Chapter 9:  Introduction to </w:t>
      </w:r>
      <w:r w:rsidRPr="003A4461">
        <w:t>Ground Water Monitoring</w:t>
      </w:r>
      <w:bookmarkEnd w:id="637"/>
      <w:bookmarkEnd w:id="638"/>
      <w:bookmarkEnd w:id="639"/>
      <w:r w:rsidRPr="003A4461">
        <w:t xml:space="preserve"> </w:t>
      </w:r>
    </w:p>
    <w:p w:rsidR="00485094" w:rsidRPr="00BE569D" w:rsidRDefault="00485094" w:rsidP="001B0F18">
      <w:pPr>
        <w:pStyle w:val="Heading2"/>
      </w:pPr>
      <w:bookmarkStart w:id="640" w:name="_Toc257365063"/>
      <w:bookmarkStart w:id="641" w:name="_Toc271280007"/>
      <w:bookmarkStart w:id="642" w:name="_Toc209241272"/>
      <w:bookmarkStart w:id="643" w:name="_Toc255822569"/>
      <w:r w:rsidRPr="00BE569D">
        <w:t>Summary of Ground Water Monitoring Programs</w:t>
      </w:r>
      <w:bookmarkEnd w:id="640"/>
      <w:bookmarkEnd w:id="641"/>
      <w:r w:rsidRPr="00BE569D">
        <w:t xml:space="preserve"> </w:t>
      </w:r>
    </w:p>
    <w:p w:rsidR="00485094" w:rsidRDefault="00485094" w:rsidP="001B0F18">
      <w:pPr>
        <w:pStyle w:val="Bodytext"/>
      </w:pPr>
      <w:r>
        <w:t xml:space="preserve">The quality of ground water is of foremost concern in </w:t>
      </w:r>
      <w:smartTag w:uri="urn:schemas-microsoft-com:office:smarttags" w:element="State">
        <w:smartTag w:uri="urn:schemas-microsoft-com:office:smarttags" w:element="place">
          <w:r>
            <w:t>Florida</w:t>
          </w:r>
        </w:smartTag>
      </w:smartTag>
      <w:r>
        <w:t xml:space="preserve">, because ground water is so heavily used as a potable water source and because ground water inputs into surface water systems are so important.  Over the years, ground water quality monitoring has been incorporated into several programs.  The programs pertinent to this report are discussed below and summarized in </w:t>
      </w:r>
      <w:r w:rsidRPr="002B1769">
        <w:rPr>
          <w:b/>
          <w:i/>
        </w:rPr>
        <w:t>Table</w:t>
      </w:r>
      <w:r>
        <w:rPr>
          <w:b/>
          <w:i/>
        </w:rPr>
        <w:t>s</w:t>
      </w:r>
      <w:r w:rsidRPr="002B1769">
        <w:rPr>
          <w:b/>
          <w:i/>
        </w:rPr>
        <w:t xml:space="preserve"> </w:t>
      </w:r>
      <w:r>
        <w:rPr>
          <w:b/>
          <w:i/>
        </w:rPr>
        <w:t xml:space="preserve">9.1a </w:t>
      </w:r>
      <w:r w:rsidRPr="00473985">
        <w:t>and</w:t>
      </w:r>
      <w:r>
        <w:rPr>
          <w:b/>
          <w:i/>
        </w:rPr>
        <w:t xml:space="preserve"> 9.1b</w:t>
      </w:r>
      <w:r w:rsidRPr="002B1769">
        <w:rPr>
          <w:b/>
          <w:i/>
        </w:rPr>
        <w:t>.</w:t>
      </w:r>
    </w:p>
    <w:p w:rsidR="00485094" w:rsidRDefault="00485094" w:rsidP="001B0F18">
      <w:pPr>
        <w:pStyle w:val="Bodytext"/>
      </w:pPr>
    </w:p>
    <w:p w:rsidR="00485094" w:rsidRDefault="00485094" w:rsidP="001B0F18">
      <w:pPr>
        <w:pStyle w:val="Tableheading"/>
        <w:rPr>
          <w:snapToGrid w:val="0"/>
        </w:rPr>
      </w:pPr>
      <w:bookmarkStart w:id="644" w:name="_Toc257365162"/>
      <w:bookmarkStart w:id="645" w:name="_Toc271280126"/>
      <w:r>
        <w:rPr>
          <w:snapToGrid w:val="0"/>
        </w:rPr>
        <w:t xml:space="preserve">Table 9.1a.  Summary of Ground Water Monitoring Programs and Data Sources:  </w:t>
      </w:r>
      <w:r>
        <w:rPr>
          <w:snapToGrid w:val="0"/>
        </w:rPr>
        <w:br/>
        <w:t>FDEP-Maintained Monitoring Networks</w:t>
      </w:r>
      <w:bookmarkEnd w:id="644"/>
      <w:bookmarkEnd w:id="645"/>
    </w:p>
    <w:p w:rsidR="00485094" w:rsidRDefault="00485094" w:rsidP="001B0F18">
      <w:pPr>
        <w:pStyle w:val="TabledescriptionBF"/>
        <w:rPr>
          <w:snapToGrid w:val="0"/>
        </w:rPr>
      </w:pPr>
      <w:r>
        <w:rPr>
          <w:snapToGrid w:val="0"/>
        </w:rPr>
        <w:t>This is a three-column table.  Column 1 lists the monitoring network or program, Column 2 lists the period over which it has operated, and Column 3 provides a description.</w:t>
      </w:r>
    </w:p>
    <w:p w:rsidR="00485094" w:rsidRDefault="00485094" w:rsidP="001B0F18">
      <w:pPr>
        <w:pStyle w:val="TabledescriptionBF"/>
        <w:rPr>
          <w:snapToGrid w:val="0"/>
        </w:rPr>
      </w:pP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92"/>
        <w:gridCol w:w="1506"/>
        <w:gridCol w:w="5310"/>
      </w:tblGrid>
      <w:tr w:rsidR="00485094" w:rsidRPr="00847549" w:rsidTr="00E86B70">
        <w:trPr>
          <w:trHeight w:val="377"/>
          <w:jc w:val="center"/>
        </w:trPr>
        <w:tc>
          <w:tcPr>
            <w:tcW w:w="3192" w:type="dxa"/>
            <w:tcBorders>
              <w:bottom w:val="double" w:sz="4" w:space="0" w:color="auto"/>
            </w:tcBorders>
            <w:shd w:val="clear" w:color="auto" w:fill="BDFFFF"/>
            <w:vAlign w:val="center"/>
          </w:tcPr>
          <w:p w:rsidR="00485094" w:rsidRPr="00847549" w:rsidRDefault="00485094" w:rsidP="005D2035">
            <w:pPr>
              <w:pStyle w:val="TableText"/>
              <w:jc w:val="center"/>
              <w:rPr>
                <w:b/>
                <w:i/>
                <w:szCs w:val="18"/>
              </w:rPr>
            </w:pPr>
            <w:r w:rsidRPr="00847549">
              <w:rPr>
                <w:b/>
                <w:i/>
                <w:szCs w:val="18"/>
              </w:rPr>
              <w:t>Monitoring Network or Program</w:t>
            </w:r>
          </w:p>
        </w:tc>
        <w:tc>
          <w:tcPr>
            <w:tcW w:w="1506" w:type="dxa"/>
            <w:tcBorders>
              <w:bottom w:val="double" w:sz="4" w:space="0" w:color="auto"/>
            </w:tcBorders>
            <w:shd w:val="clear" w:color="auto" w:fill="BDFFFF"/>
            <w:vAlign w:val="center"/>
          </w:tcPr>
          <w:p w:rsidR="00485094" w:rsidRPr="00847549" w:rsidRDefault="00485094" w:rsidP="005D2035">
            <w:pPr>
              <w:pStyle w:val="TableText"/>
              <w:jc w:val="center"/>
              <w:rPr>
                <w:b/>
                <w:i/>
                <w:szCs w:val="18"/>
              </w:rPr>
            </w:pPr>
            <w:r w:rsidRPr="00847549">
              <w:rPr>
                <w:b/>
                <w:i/>
                <w:szCs w:val="18"/>
              </w:rPr>
              <w:t>Period</w:t>
            </w:r>
          </w:p>
        </w:tc>
        <w:tc>
          <w:tcPr>
            <w:tcW w:w="5310" w:type="dxa"/>
            <w:tcBorders>
              <w:bottom w:val="double" w:sz="4" w:space="0" w:color="auto"/>
            </w:tcBorders>
            <w:shd w:val="clear" w:color="auto" w:fill="BDFFFF"/>
            <w:vAlign w:val="center"/>
          </w:tcPr>
          <w:p w:rsidR="00485094" w:rsidRPr="00847549" w:rsidRDefault="00485094" w:rsidP="005D2035">
            <w:pPr>
              <w:pStyle w:val="TableText"/>
              <w:jc w:val="center"/>
              <w:rPr>
                <w:b/>
                <w:i/>
                <w:szCs w:val="18"/>
              </w:rPr>
            </w:pPr>
            <w:r w:rsidRPr="00847549">
              <w:rPr>
                <w:b/>
                <w:i/>
                <w:szCs w:val="18"/>
              </w:rPr>
              <w:t>Description</w:t>
            </w:r>
          </w:p>
        </w:tc>
      </w:tr>
      <w:tr w:rsidR="00485094" w:rsidRPr="00101C99" w:rsidTr="005D2035">
        <w:trPr>
          <w:trHeight w:val="1419"/>
          <w:jc w:val="center"/>
        </w:trPr>
        <w:tc>
          <w:tcPr>
            <w:tcW w:w="3192" w:type="dxa"/>
            <w:tcBorders>
              <w:top w:val="double" w:sz="4" w:space="0" w:color="auto"/>
            </w:tcBorders>
            <w:shd w:val="clear" w:color="auto" w:fill="FFFFCC"/>
            <w:vAlign w:val="center"/>
          </w:tcPr>
          <w:p w:rsidR="00485094" w:rsidRPr="00101C99" w:rsidRDefault="00485094" w:rsidP="005D2035">
            <w:pPr>
              <w:pStyle w:val="TableText"/>
              <w:jc w:val="center"/>
              <w:rPr>
                <w:szCs w:val="18"/>
              </w:rPr>
            </w:pPr>
            <w:r w:rsidRPr="00101C99">
              <w:rPr>
                <w:szCs w:val="18"/>
              </w:rPr>
              <w:t>Status Network</w:t>
            </w:r>
          </w:p>
        </w:tc>
        <w:tc>
          <w:tcPr>
            <w:tcW w:w="1506" w:type="dxa"/>
            <w:tcBorders>
              <w:top w:val="double" w:sz="4" w:space="0" w:color="auto"/>
            </w:tcBorders>
            <w:vAlign w:val="center"/>
          </w:tcPr>
          <w:p w:rsidR="00485094" w:rsidRDefault="00485094" w:rsidP="005D2035">
            <w:pPr>
              <w:pStyle w:val="TableText"/>
              <w:jc w:val="center"/>
              <w:rPr>
                <w:szCs w:val="18"/>
              </w:rPr>
            </w:pPr>
            <w:r w:rsidRPr="00101C99">
              <w:rPr>
                <w:szCs w:val="18"/>
              </w:rPr>
              <w:t>1999–</w:t>
            </w:r>
            <w:r>
              <w:rPr>
                <w:szCs w:val="18"/>
              </w:rPr>
              <w:t>2003</w:t>
            </w:r>
          </w:p>
          <w:p w:rsidR="00485094" w:rsidRPr="00101C99" w:rsidRDefault="00485094" w:rsidP="005D2035">
            <w:pPr>
              <w:pStyle w:val="TableText"/>
              <w:jc w:val="center"/>
              <w:rPr>
                <w:szCs w:val="18"/>
              </w:rPr>
            </w:pPr>
            <w:r>
              <w:rPr>
                <w:szCs w:val="18"/>
              </w:rPr>
              <w:t>2004-2008</w:t>
            </w:r>
          </w:p>
        </w:tc>
        <w:tc>
          <w:tcPr>
            <w:tcW w:w="5310" w:type="dxa"/>
            <w:tcBorders>
              <w:top w:val="double" w:sz="4" w:space="0" w:color="auto"/>
            </w:tcBorders>
            <w:vAlign w:val="center"/>
          </w:tcPr>
          <w:p w:rsidR="00485094" w:rsidRPr="00101C99" w:rsidRDefault="00485094" w:rsidP="005D2035">
            <w:pPr>
              <w:pStyle w:val="TableText"/>
              <w:jc w:val="center"/>
              <w:rPr>
                <w:szCs w:val="18"/>
              </w:rPr>
            </w:pPr>
            <w:r>
              <w:rPr>
                <w:szCs w:val="18"/>
              </w:rPr>
              <w:t>The s</w:t>
            </w:r>
            <w:r w:rsidRPr="00101C99">
              <w:rPr>
                <w:szCs w:val="18"/>
              </w:rPr>
              <w:t xml:space="preserve">tatewide </w:t>
            </w:r>
            <w:r>
              <w:rPr>
                <w:szCs w:val="18"/>
              </w:rPr>
              <w:t>rotating basin, probabilistic sampling network was based on sampling 60 wells from several basins per year.  The 1999–2003 cycle (Cycle 1) completed a statewide survey in 4 years.  During 2004–08, the state adopted the TMDL 29-basin design (Cycle 2), completing the statewide survey in 5 years.  These s</w:t>
            </w:r>
            <w:r w:rsidRPr="00101C99">
              <w:rPr>
                <w:szCs w:val="18"/>
              </w:rPr>
              <w:t xml:space="preserve">ample locations </w:t>
            </w:r>
            <w:r>
              <w:rPr>
                <w:szCs w:val="18"/>
              </w:rPr>
              <w:t>were</w:t>
            </w:r>
            <w:r w:rsidRPr="00101C99">
              <w:rPr>
                <w:szCs w:val="18"/>
              </w:rPr>
              <w:t xml:space="preserve"> randomly selected from a list frame of wells</w:t>
            </w:r>
            <w:r>
              <w:rPr>
                <w:szCs w:val="18"/>
              </w:rPr>
              <w:t>,</w:t>
            </w:r>
            <w:r w:rsidRPr="00101C99">
              <w:rPr>
                <w:szCs w:val="18"/>
              </w:rPr>
              <w:t xml:space="preserve"> with samples collected from </w:t>
            </w:r>
            <w:r>
              <w:rPr>
                <w:szCs w:val="18"/>
              </w:rPr>
              <w:t xml:space="preserve">30 </w:t>
            </w:r>
            <w:r w:rsidRPr="00101C99">
              <w:rPr>
                <w:szCs w:val="18"/>
              </w:rPr>
              <w:t xml:space="preserve">unconfined and </w:t>
            </w:r>
            <w:r>
              <w:rPr>
                <w:szCs w:val="18"/>
              </w:rPr>
              <w:t>30</w:t>
            </w:r>
            <w:r w:rsidRPr="00101C99">
              <w:rPr>
                <w:szCs w:val="18"/>
              </w:rPr>
              <w:t xml:space="preserve"> confined aquifers in </w:t>
            </w:r>
            <w:r>
              <w:rPr>
                <w:szCs w:val="18"/>
              </w:rPr>
              <w:t>each 5 to 6 reporting units</w:t>
            </w:r>
            <w:r w:rsidRPr="00101C99">
              <w:rPr>
                <w:szCs w:val="18"/>
              </w:rPr>
              <w:t>.</w:t>
            </w:r>
            <w:r>
              <w:rPr>
                <w:szCs w:val="18"/>
              </w:rPr>
              <w:t xml:space="preserve">  This report presents the results from Cycle 2.</w:t>
            </w:r>
          </w:p>
        </w:tc>
      </w:tr>
      <w:tr w:rsidR="00485094" w:rsidRPr="00101C99" w:rsidTr="005D2035">
        <w:trPr>
          <w:trHeight w:val="1419"/>
          <w:jc w:val="center"/>
        </w:trPr>
        <w:tc>
          <w:tcPr>
            <w:tcW w:w="3192" w:type="dxa"/>
            <w:shd w:val="clear" w:color="auto" w:fill="FFFFCC"/>
            <w:vAlign w:val="center"/>
          </w:tcPr>
          <w:p w:rsidR="00485094" w:rsidRPr="00101C99" w:rsidRDefault="00485094" w:rsidP="005D2035">
            <w:pPr>
              <w:pStyle w:val="TableText"/>
              <w:jc w:val="center"/>
              <w:rPr>
                <w:szCs w:val="18"/>
              </w:rPr>
            </w:pPr>
            <w:r w:rsidRPr="00101C99">
              <w:rPr>
                <w:szCs w:val="18"/>
              </w:rPr>
              <w:t>Status Network</w:t>
            </w:r>
          </w:p>
        </w:tc>
        <w:tc>
          <w:tcPr>
            <w:tcW w:w="1506" w:type="dxa"/>
            <w:vAlign w:val="center"/>
          </w:tcPr>
          <w:p w:rsidR="00485094" w:rsidRPr="00101C99" w:rsidRDefault="00485094" w:rsidP="005D2035">
            <w:pPr>
              <w:pStyle w:val="TableText"/>
              <w:jc w:val="center"/>
              <w:rPr>
                <w:szCs w:val="18"/>
              </w:rPr>
            </w:pPr>
            <w:r>
              <w:rPr>
                <w:szCs w:val="18"/>
              </w:rPr>
              <w:t>2009</w:t>
            </w:r>
            <w:r w:rsidRPr="00101C99">
              <w:rPr>
                <w:szCs w:val="18"/>
              </w:rPr>
              <w:t>–ongoing</w:t>
            </w:r>
          </w:p>
        </w:tc>
        <w:tc>
          <w:tcPr>
            <w:tcW w:w="5310" w:type="dxa"/>
            <w:vAlign w:val="center"/>
          </w:tcPr>
          <w:p w:rsidR="00485094" w:rsidRPr="00101C99" w:rsidRDefault="00485094" w:rsidP="005D2035">
            <w:pPr>
              <w:pStyle w:val="TableText"/>
              <w:jc w:val="center"/>
              <w:rPr>
                <w:szCs w:val="18"/>
              </w:rPr>
            </w:pPr>
            <w:r>
              <w:rPr>
                <w:szCs w:val="18"/>
              </w:rPr>
              <w:t>This s</w:t>
            </w:r>
            <w:r w:rsidRPr="00101C99">
              <w:rPr>
                <w:szCs w:val="18"/>
              </w:rPr>
              <w:t>tatewide probabilistic sampling network</w:t>
            </w:r>
            <w:r>
              <w:rPr>
                <w:szCs w:val="18"/>
              </w:rPr>
              <w:t xml:space="preserve"> samples 240 wells annually. </w:t>
            </w:r>
            <w:r w:rsidRPr="00101C99">
              <w:rPr>
                <w:szCs w:val="18"/>
              </w:rPr>
              <w:t xml:space="preserve"> Sample locations are randomly selected from a list frame of wells</w:t>
            </w:r>
            <w:r>
              <w:rPr>
                <w:szCs w:val="18"/>
              </w:rPr>
              <w:t>,</w:t>
            </w:r>
            <w:r w:rsidRPr="00101C99">
              <w:rPr>
                <w:szCs w:val="18"/>
              </w:rPr>
              <w:t xml:space="preserve"> with samples collected from </w:t>
            </w:r>
            <w:r>
              <w:rPr>
                <w:szCs w:val="18"/>
              </w:rPr>
              <w:t>20</w:t>
            </w:r>
            <w:r w:rsidRPr="00101C99">
              <w:rPr>
                <w:szCs w:val="18"/>
              </w:rPr>
              <w:t xml:space="preserve"> unconfined and </w:t>
            </w:r>
            <w:r>
              <w:rPr>
                <w:szCs w:val="18"/>
              </w:rPr>
              <w:t>20</w:t>
            </w:r>
            <w:r w:rsidRPr="00101C99">
              <w:rPr>
                <w:szCs w:val="18"/>
              </w:rPr>
              <w:t xml:space="preserve"> confined aquifers in </w:t>
            </w:r>
            <w:r>
              <w:rPr>
                <w:szCs w:val="18"/>
              </w:rPr>
              <w:t>each of 6 reporting units</w:t>
            </w:r>
            <w:r w:rsidRPr="00101C99">
              <w:rPr>
                <w:szCs w:val="18"/>
              </w:rPr>
              <w:t xml:space="preserve">.  </w:t>
            </w:r>
            <w:r>
              <w:rPr>
                <w:szCs w:val="18"/>
              </w:rPr>
              <w:t xml:space="preserve">The data used </w:t>
            </w:r>
            <w:r w:rsidRPr="00101C99">
              <w:rPr>
                <w:szCs w:val="18"/>
              </w:rPr>
              <w:t xml:space="preserve">to characterize water quality on a </w:t>
            </w:r>
            <w:r>
              <w:rPr>
                <w:szCs w:val="18"/>
              </w:rPr>
              <w:t>statewide</w:t>
            </w:r>
            <w:r w:rsidRPr="00101C99">
              <w:rPr>
                <w:szCs w:val="18"/>
              </w:rPr>
              <w:t xml:space="preserve"> scale</w:t>
            </w:r>
            <w:r>
              <w:rPr>
                <w:szCs w:val="18"/>
              </w:rPr>
              <w:t>,</w:t>
            </w:r>
            <w:r w:rsidRPr="00101C99">
              <w:rPr>
                <w:szCs w:val="18"/>
              </w:rPr>
              <w:t xml:space="preserve"> and </w:t>
            </w:r>
            <w:r>
              <w:rPr>
                <w:szCs w:val="18"/>
              </w:rPr>
              <w:t xml:space="preserve">the </w:t>
            </w:r>
            <w:r w:rsidRPr="00101C99">
              <w:rPr>
                <w:szCs w:val="18"/>
              </w:rPr>
              <w:t>parameters monitored</w:t>
            </w:r>
            <w:r>
              <w:rPr>
                <w:szCs w:val="18"/>
              </w:rPr>
              <w:t>,</w:t>
            </w:r>
            <w:r w:rsidRPr="00101C99">
              <w:rPr>
                <w:szCs w:val="18"/>
              </w:rPr>
              <w:t xml:space="preserve"> correspond with those targeted in surface water evaluations.</w:t>
            </w:r>
          </w:p>
        </w:tc>
      </w:tr>
      <w:tr w:rsidR="00485094" w:rsidRPr="00101C99" w:rsidTr="005D2035">
        <w:trPr>
          <w:trHeight w:val="1070"/>
          <w:jc w:val="center"/>
        </w:trPr>
        <w:tc>
          <w:tcPr>
            <w:tcW w:w="3192" w:type="dxa"/>
            <w:shd w:val="clear" w:color="auto" w:fill="FFFFCC"/>
            <w:vAlign w:val="center"/>
          </w:tcPr>
          <w:p w:rsidR="00485094" w:rsidRDefault="00485094" w:rsidP="005D2035">
            <w:pPr>
              <w:pStyle w:val="TableText"/>
              <w:jc w:val="center"/>
              <w:rPr>
                <w:szCs w:val="18"/>
              </w:rPr>
            </w:pPr>
            <w:r w:rsidRPr="00101C99">
              <w:rPr>
                <w:szCs w:val="18"/>
              </w:rPr>
              <w:t>Background Network and</w:t>
            </w:r>
          </w:p>
          <w:p w:rsidR="00485094" w:rsidRPr="00101C99" w:rsidRDefault="00485094" w:rsidP="005D2035">
            <w:pPr>
              <w:pStyle w:val="TableText"/>
              <w:jc w:val="center"/>
              <w:rPr>
                <w:szCs w:val="18"/>
              </w:rPr>
            </w:pPr>
            <w:r w:rsidRPr="00101C99">
              <w:rPr>
                <w:szCs w:val="18"/>
              </w:rPr>
              <w:t>Temporal Variability (TV) Subnetwork</w:t>
            </w:r>
          </w:p>
        </w:tc>
        <w:tc>
          <w:tcPr>
            <w:tcW w:w="1506" w:type="dxa"/>
            <w:vAlign w:val="center"/>
          </w:tcPr>
          <w:p w:rsidR="00485094" w:rsidRPr="00101C99" w:rsidRDefault="00485094" w:rsidP="005D2035">
            <w:pPr>
              <w:pStyle w:val="TableText"/>
              <w:jc w:val="center"/>
              <w:rPr>
                <w:szCs w:val="18"/>
              </w:rPr>
            </w:pPr>
            <w:r w:rsidRPr="00101C99">
              <w:rPr>
                <w:szCs w:val="18"/>
              </w:rPr>
              <w:t>1985–</w:t>
            </w:r>
            <w:r>
              <w:rPr>
                <w:szCs w:val="18"/>
              </w:rPr>
              <w:t>19</w:t>
            </w:r>
            <w:r w:rsidRPr="00101C99">
              <w:rPr>
                <w:szCs w:val="18"/>
              </w:rPr>
              <w:t>99</w:t>
            </w:r>
          </w:p>
        </w:tc>
        <w:tc>
          <w:tcPr>
            <w:tcW w:w="5310" w:type="dxa"/>
            <w:vAlign w:val="center"/>
          </w:tcPr>
          <w:p w:rsidR="00485094" w:rsidRPr="00101C99" w:rsidRDefault="00485094" w:rsidP="005D2035">
            <w:pPr>
              <w:pStyle w:val="TableText"/>
              <w:jc w:val="center"/>
              <w:rPr>
                <w:szCs w:val="18"/>
              </w:rPr>
            </w:pPr>
            <w:r>
              <w:rPr>
                <w:szCs w:val="18"/>
              </w:rPr>
              <w:t>A st</w:t>
            </w:r>
            <w:r w:rsidRPr="00101C99">
              <w:rPr>
                <w:szCs w:val="18"/>
              </w:rPr>
              <w:t xml:space="preserve">atewide network of 1,600 water wells and monitoring wells </w:t>
            </w:r>
            <w:r>
              <w:rPr>
                <w:szCs w:val="18"/>
              </w:rPr>
              <w:t>used to</w:t>
            </w:r>
            <w:r w:rsidRPr="00101C99">
              <w:rPr>
                <w:szCs w:val="18"/>
              </w:rPr>
              <w:t xml:space="preserve"> spatially monitor general background water quality of local aquifers (surficial, intermediate, and Floridan).  On average, each well was sampled once every 3 years for an extensive list of analytes.  TV network well</w:t>
            </w:r>
            <w:r>
              <w:rPr>
                <w:szCs w:val="18"/>
              </w:rPr>
              <w:t>s</w:t>
            </w:r>
            <w:r w:rsidRPr="00101C99">
              <w:rPr>
                <w:szCs w:val="18"/>
              </w:rPr>
              <w:t xml:space="preserve"> </w:t>
            </w:r>
            <w:r>
              <w:rPr>
                <w:szCs w:val="18"/>
              </w:rPr>
              <w:t xml:space="preserve">are </w:t>
            </w:r>
            <w:r w:rsidRPr="00101C99">
              <w:rPr>
                <w:szCs w:val="18"/>
              </w:rPr>
              <w:t>sampled monthly to quarterly.</w:t>
            </w:r>
          </w:p>
        </w:tc>
      </w:tr>
      <w:tr w:rsidR="00485094" w:rsidRPr="00101C99" w:rsidTr="005D2035">
        <w:trPr>
          <w:trHeight w:val="530"/>
          <w:jc w:val="center"/>
        </w:trPr>
        <w:tc>
          <w:tcPr>
            <w:tcW w:w="3192" w:type="dxa"/>
            <w:shd w:val="clear" w:color="auto" w:fill="FFFFCC"/>
            <w:vAlign w:val="center"/>
          </w:tcPr>
          <w:p w:rsidR="00485094" w:rsidRPr="002C6A99" w:rsidRDefault="00485094" w:rsidP="005D2035">
            <w:pPr>
              <w:pStyle w:val="TableText"/>
              <w:jc w:val="center"/>
              <w:rPr>
                <w:szCs w:val="18"/>
              </w:rPr>
            </w:pPr>
            <w:r w:rsidRPr="002C6A99">
              <w:rPr>
                <w:szCs w:val="18"/>
              </w:rPr>
              <w:t>Ground Water Temporal Variability (GWTV) Subnetwork</w:t>
            </w:r>
          </w:p>
        </w:tc>
        <w:tc>
          <w:tcPr>
            <w:tcW w:w="1506" w:type="dxa"/>
            <w:vAlign w:val="center"/>
          </w:tcPr>
          <w:p w:rsidR="00485094" w:rsidRPr="00101C99" w:rsidRDefault="00485094" w:rsidP="005D2035">
            <w:pPr>
              <w:pStyle w:val="TableText"/>
              <w:jc w:val="center"/>
              <w:rPr>
                <w:szCs w:val="18"/>
              </w:rPr>
            </w:pPr>
            <w:r w:rsidRPr="00101C99">
              <w:rPr>
                <w:szCs w:val="18"/>
              </w:rPr>
              <w:t>1999–ongoing</w:t>
            </w:r>
          </w:p>
        </w:tc>
        <w:tc>
          <w:tcPr>
            <w:tcW w:w="5310" w:type="dxa"/>
            <w:vAlign w:val="center"/>
          </w:tcPr>
          <w:p w:rsidR="00485094" w:rsidRPr="00101C99" w:rsidRDefault="00485094" w:rsidP="005D2035">
            <w:pPr>
              <w:pStyle w:val="TableText"/>
              <w:jc w:val="center"/>
              <w:rPr>
                <w:szCs w:val="18"/>
              </w:rPr>
            </w:pPr>
            <w:r>
              <w:rPr>
                <w:szCs w:val="18"/>
              </w:rPr>
              <w:t>The c</w:t>
            </w:r>
            <w:r w:rsidRPr="00101C99">
              <w:rPr>
                <w:szCs w:val="18"/>
              </w:rPr>
              <w:t xml:space="preserve">urrent network consists of 46 wells statewide.  </w:t>
            </w:r>
            <w:r>
              <w:rPr>
                <w:szCs w:val="18"/>
              </w:rPr>
              <w:t>It is d</w:t>
            </w:r>
            <w:r w:rsidRPr="00101C99">
              <w:rPr>
                <w:szCs w:val="18"/>
              </w:rPr>
              <w:t xml:space="preserve">esigned to help correlate Status Network results with seasonal hydrologic variations, </w:t>
            </w:r>
            <w:r>
              <w:rPr>
                <w:szCs w:val="18"/>
              </w:rPr>
              <w:t xml:space="preserve">and </w:t>
            </w:r>
            <w:r w:rsidRPr="00101C99">
              <w:rPr>
                <w:szCs w:val="18"/>
              </w:rPr>
              <w:t xml:space="preserve">estimate </w:t>
            </w:r>
            <w:r>
              <w:rPr>
                <w:szCs w:val="18"/>
              </w:rPr>
              <w:t xml:space="preserve">the </w:t>
            </w:r>
            <w:r w:rsidRPr="00101C99">
              <w:rPr>
                <w:szCs w:val="18"/>
              </w:rPr>
              <w:t>temporal variance of analytes.</w:t>
            </w:r>
          </w:p>
        </w:tc>
      </w:tr>
      <w:tr w:rsidR="00485094" w:rsidRPr="00101C99" w:rsidTr="005D2035">
        <w:trPr>
          <w:trHeight w:val="890"/>
          <w:jc w:val="center"/>
        </w:trPr>
        <w:tc>
          <w:tcPr>
            <w:tcW w:w="3192" w:type="dxa"/>
            <w:shd w:val="clear" w:color="auto" w:fill="FFFFCC"/>
            <w:vAlign w:val="center"/>
          </w:tcPr>
          <w:p w:rsidR="00485094" w:rsidRPr="00101C99" w:rsidRDefault="00485094" w:rsidP="005D2035">
            <w:pPr>
              <w:pStyle w:val="TableText"/>
              <w:jc w:val="center"/>
              <w:rPr>
                <w:szCs w:val="18"/>
              </w:rPr>
            </w:pPr>
            <w:r w:rsidRPr="00101C99">
              <w:rPr>
                <w:szCs w:val="18"/>
              </w:rPr>
              <w:t>Very Intense Study Area (VISA) Network</w:t>
            </w:r>
          </w:p>
        </w:tc>
        <w:tc>
          <w:tcPr>
            <w:tcW w:w="1506" w:type="dxa"/>
            <w:vAlign w:val="center"/>
          </w:tcPr>
          <w:p w:rsidR="00485094" w:rsidRPr="00101C99" w:rsidRDefault="00485094" w:rsidP="005D2035">
            <w:pPr>
              <w:pStyle w:val="TableText"/>
              <w:jc w:val="center"/>
              <w:rPr>
                <w:szCs w:val="18"/>
              </w:rPr>
            </w:pPr>
            <w:r w:rsidRPr="00101C99">
              <w:rPr>
                <w:szCs w:val="18"/>
              </w:rPr>
              <w:t>1989–</w:t>
            </w:r>
            <w:r>
              <w:rPr>
                <w:szCs w:val="18"/>
              </w:rPr>
              <w:t>19</w:t>
            </w:r>
            <w:r w:rsidRPr="00101C99">
              <w:rPr>
                <w:szCs w:val="18"/>
              </w:rPr>
              <w:t>99</w:t>
            </w:r>
          </w:p>
        </w:tc>
        <w:tc>
          <w:tcPr>
            <w:tcW w:w="5310" w:type="dxa"/>
            <w:vAlign w:val="center"/>
          </w:tcPr>
          <w:p w:rsidR="00485094" w:rsidRPr="00101C99" w:rsidRDefault="00485094" w:rsidP="005D2035">
            <w:pPr>
              <w:pStyle w:val="TableText"/>
              <w:jc w:val="center"/>
              <w:rPr>
                <w:szCs w:val="18"/>
              </w:rPr>
            </w:pPr>
            <w:r>
              <w:rPr>
                <w:szCs w:val="18"/>
              </w:rPr>
              <w:t>The n</w:t>
            </w:r>
            <w:r w:rsidRPr="00101C99">
              <w:rPr>
                <w:szCs w:val="18"/>
              </w:rPr>
              <w:t>etwork monitored the effects of land uses on ground water quality in 23 selected areas of the state.  Individual VISAs consisted of approximately 20 wells sampled 3 times over an 11-year period.  Sampl</w:t>
            </w:r>
            <w:r>
              <w:rPr>
                <w:szCs w:val="18"/>
              </w:rPr>
              <w:t xml:space="preserve">ing was carried out </w:t>
            </w:r>
            <w:r w:rsidRPr="00101C99">
              <w:rPr>
                <w:szCs w:val="18"/>
              </w:rPr>
              <w:t>for a targeted list of analytes.</w:t>
            </w:r>
          </w:p>
        </w:tc>
      </w:tr>
      <w:tr w:rsidR="00485094" w:rsidRPr="00101C99" w:rsidTr="005D2035">
        <w:trPr>
          <w:trHeight w:val="539"/>
          <w:jc w:val="center"/>
        </w:trPr>
        <w:tc>
          <w:tcPr>
            <w:tcW w:w="3192" w:type="dxa"/>
            <w:shd w:val="clear" w:color="auto" w:fill="FFFFCC"/>
            <w:vAlign w:val="center"/>
          </w:tcPr>
          <w:p w:rsidR="00485094" w:rsidRPr="00101C99" w:rsidRDefault="00485094" w:rsidP="005D2035">
            <w:pPr>
              <w:pStyle w:val="TableText"/>
              <w:jc w:val="center"/>
              <w:rPr>
                <w:szCs w:val="18"/>
              </w:rPr>
            </w:pPr>
            <w:r>
              <w:rPr>
                <w:szCs w:val="18"/>
              </w:rPr>
              <w:t>Springs Monitoring Network</w:t>
            </w:r>
          </w:p>
        </w:tc>
        <w:tc>
          <w:tcPr>
            <w:tcW w:w="1506" w:type="dxa"/>
            <w:vAlign w:val="center"/>
          </w:tcPr>
          <w:p w:rsidR="00485094" w:rsidRPr="00101C99" w:rsidRDefault="00485094" w:rsidP="006F006D">
            <w:pPr>
              <w:pStyle w:val="TableText"/>
              <w:jc w:val="center"/>
              <w:rPr>
                <w:szCs w:val="18"/>
              </w:rPr>
            </w:pPr>
            <w:r>
              <w:rPr>
                <w:szCs w:val="18"/>
              </w:rPr>
              <w:t>2001–2010</w:t>
            </w:r>
          </w:p>
        </w:tc>
        <w:tc>
          <w:tcPr>
            <w:tcW w:w="5310" w:type="dxa"/>
            <w:vAlign w:val="center"/>
          </w:tcPr>
          <w:p w:rsidR="00485094" w:rsidRPr="00303A1A" w:rsidRDefault="00485094" w:rsidP="005D2035">
            <w:pPr>
              <w:pStyle w:val="TableText"/>
              <w:jc w:val="center"/>
              <w:rPr>
                <w:szCs w:val="18"/>
              </w:rPr>
            </w:pPr>
            <w:r>
              <w:rPr>
                <w:szCs w:val="18"/>
              </w:rPr>
              <w:t>Fifty-eight</w:t>
            </w:r>
            <w:r w:rsidRPr="00303A1A">
              <w:rPr>
                <w:szCs w:val="18"/>
              </w:rPr>
              <w:t xml:space="preserve"> samples </w:t>
            </w:r>
            <w:r>
              <w:rPr>
                <w:szCs w:val="18"/>
              </w:rPr>
              <w:t xml:space="preserve">were </w:t>
            </w:r>
            <w:r w:rsidRPr="00303A1A">
              <w:rPr>
                <w:szCs w:val="18"/>
              </w:rPr>
              <w:t>collected quarterly from 23 first-magnitude and 9 second-magnitude spring cluster</w:t>
            </w:r>
            <w:r>
              <w:rPr>
                <w:szCs w:val="18"/>
              </w:rPr>
              <w:t>s.  The b</w:t>
            </w:r>
            <w:r w:rsidRPr="00303A1A">
              <w:rPr>
                <w:szCs w:val="18"/>
              </w:rPr>
              <w:t xml:space="preserve">asic analyte list </w:t>
            </w:r>
            <w:r>
              <w:rPr>
                <w:szCs w:val="18"/>
              </w:rPr>
              <w:t xml:space="preserve">is </w:t>
            </w:r>
            <w:r w:rsidRPr="00303A1A">
              <w:rPr>
                <w:szCs w:val="18"/>
              </w:rPr>
              <w:t>identical to that used for the Status Network.</w:t>
            </w:r>
          </w:p>
        </w:tc>
      </w:tr>
    </w:tbl>
    <w:p w:rsidR="00485094" w:rsidRDefault="00485094" w:rsidP="001B0F18">
      <w:pPr>
        <w:pStyle w:val="TableText"/>
        <w:rPr>
          <w:b/>
          <w:szCs w:val="18"/>
        </w:rPr>
      </w:pPr>
    </w:p>
    <w:p w:rsidR="00485094" w:rsidRDefault="00485094" w:rsidP="001B0F18">
      <w:pPr>
        <w:pStyle w:val="TableText"/>
        <w:rPr>
          <w:b/>
          <w:szCs w:val="18"/>
        </w:rPr>
      </w:pPr>
      <w:r>
        <w:rPr>
          <w:b/>
          <w:szCs w:val="18"/>
        </w:rPr>
        <w:br w:type="page"/>
      </w:r>
    </w:p>
    <w:p w:rsidR="00485094" w:rsidRDefault="00485094" w:rsidP="001B0F18">
      <w:pPr>
        <w:pStyle w:val="Tableheading"/>
        <w:rPr>
          <w:snapToGrid w:val="0"/>
        </w:rPr>
      </w:pPr>
      <w:bookmarkStart w:id="646" w:name="_Toc257365163"/>
      <w:bookmarkStart w:id="647" w:name="_Toc271280127"/>
      <w:r>
        <w:rPr>
          <w:snapToGrid w:val="0"/>
        </w:rPr>
        <w:t xml:space="preserve">Table 9.1b.  Summary of Ground Water Monitoring Programs and Data Sources:  Programs that Include Potable Ground Water Sampling:  </w:t>
      </w:r>
      <w:r>
        <w:rPr>
          <w:snapToGrid w:val="0"/>
        </w:rPr>
        <w:br/>
        <w:t>FDEP-Maintained Monitoring Networks</w:t>
      </w:r>
      <w:bookmarkEnd w:id="646"/>
      <w:bookmarkEnd w:id="647"/>
    </w:p>
    <w:p w:rsidR="00485094" w:rsidRDefault="00485094" w:rsidP="001B0F18">
      <w:pPr>
        <w:pStyle w:val="TabledescriptionBF"/>
        <w:rPr>
          <w:snapToGrid w:val="0"/>
        </w:rPr>
      </w:pPr>
      <w:r>
        <w:rPr>
          <w:snapToGrid w:val="0"/>
        </w:rPr>
        <w:t>This is a three-column table.  Column 1 lists the monitoring network or program, Column 2 lists the period over which it has operated, and Column 3 provides a description.</w:t>
      </w:r>
    </w:p>
    <w:p w:rsidR="00485094" w:rsidRPr="00101C99" w:rsidRDefault="00485094" w:rsidP="001B0F18">
      <w:pPr>
        <w:pStyle w:val="Tabledescription"/>
        <w:rPr>
          <w:b w:val="0"/>
        </w:rPr>
      </w:pP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92"/>
        <w:gridCol w:w="1030"/>
        <w:gridCol w:w="5354"/>
      </w:tblGrid>
      <w:tr w:rsidR="00485094" w:rsidRPr="00101C99" w:rsidTr="00E86B70">
        <w:trPr>
          <w:trHeight w:val="404"/>
          <w:jc w:val="center"/>
        </w:trPr>
        <w:tc>
          <w:tcPr>
            <w:tcW w:w="3192" w:type="dxa"/>
            <w:tcBorders>
              <w:bottom w:val="double" w:sz="4" w:space="0" w:color="auto"/>
            </w:tcBorders>
            <w:shd w:val="clear" w:color="auto" w:fill="BDFFFF"/>
            <w:vAlign w:val="center"/>
          </w:tcPr>
          <w:p w:rsidR="00485094" w:rsidRPr="00101C99" w:rsidRDefault="00485094" w:rsidP="005D2035">
            <w:pPr>
              <w:pStyle w:val="TableText"/>
              <w:jc w:val="center"/>
              <w:rPr>
                <w:szCs w:val="18"/>
              </w:rPr>
            </w:pPr>
            <w:r w:rsidRPr="00847549">
              <w:rPr>
                <w:b/>
                <w:i/>
                <w:szCs w:val="18"/>
              </w:rPr>
              <w:t>Monitoring Network or Program</w:t>
            </w:r>
          </w:p>
        </w:tc>
        <w:tc>
          <w:tcPr>
            <w:tcW w:w="1030" w:type="dxa"/>
            <w:tcBorders>
              <w:bottom w:val="double" w:sz="4" w:space="0" w:color="auto"/>
            </w:tcBorders>
            <w:shd w:val="clear" w:color="auto" w:fill="BDFFFF"/>
            <w:vAlign w:val="center"/>
          </w:tcPr>
          <w:p w:rsidR="00485094" w:rsidRDefault="00485094" w:rsidP="005D2035">
            <w:pPr>
              <w:pStyle w:val="TableText"/>
              <w:jc w:val="center"/>
              <w:rPr>
                <w:szCs w:val="18"/>
              </w:rPr>
            </w:pPr>
            <w:r w:rsidRPr="00847549">
              <w:rPr>
                <w:b/>
                <w:i/>
                <w:szCs w:val="18"/>
              </w:rPr>
              <w:t>Period</w:t>
            </w:r>
          </w:p>
        </w:tc>
        <w:tc>
          <w:tcPr>
            <w:tcW w:w="5354" w:type="dxa"/>
            <w:tcBorders>
              <w:bottom w:val="double" w:sz="4" w:space="0" w:color="auto"/>
            </w:tcBorders>
            <w:shd w:val="clear" w:color="auto" w:fill="BDFFFF"/>
            <w:vAlign w:val="center"/>
          </w:tcPr>
          <w:p w:rsidR="00485094" w:rsidRDefault="00485094" w:rsidP="005D2035">
            <w:pPr>
              <w:pStyle w:val="TableText"/>
              <w:jc w:val="center"/>
              <w:rPr>
                <w:szCs w:val="18"/>
              </w:rPr>
            </w:pPr>
            <w:r w:rsidRPr="00847549">
              <w:rPr>
                <w:b/>
                <w:i/>
                <w:szCs w:val="18"/>
              </w:rPr>
              <w:t>Description</w:t>
            </w:r>
          </w:p>
        </w:tc>
      </w:tr>
      <w:tr w:rsidR="00485094" w:rsidRPr="00101C99" w:rsidTr="005D2035">
        <w:trPr>
          <w:trHeight w:val="834"/>
          <w:jc w:val="center"/>
        </w:trPr>
        <w:tc>
          <w:tcPr>
            <w:tcW w:w="3192" w:type="dxa"/>
            <w:tcBorders>
              <w:top w:val="double" w:sz="4" w:space="0" w:color="auto"/>
            </w:tcBorders>
            <w:shd w:val="clear" w:color="auto" w:fill="FFFFCC"/>
            <w:vAlign w:val="center"/>
          </w:tcPr>
          <w:p w:rsidR="00485094" w:rsidRPr="00101C99" w:rsidRDefault="00485094" w:rsidP="005D2035">
            <w:pPr>
              <w:pStyle w:val="TableText"/>
              <w:jc w:val="center"/>
              <w:rPr>
                <w:szCs w:val="18"/>
              </w:rPr>
            </w:pPr>
            <w:r w:rsidRPr="00101C99">
              <w:rPr>
                <w:szCs w:val="18"/>
              </w:rPr>
              <w:t>Public Water System (PWS)</w:t>
            </w:r>
          </w:p>
          <w:p w:rsidR="00485094" w:rsidRPr="00101C99" w:rsidRDefault="00485094" w:rsidP="005D2035">
            <w:pPr>
              <w:pStyle w:val="TableText"/>
              <w:jc w:val="center"/>
              <w:rPr>
                <w:szCs w:val="18"/>
              </w:rPr>
            </w:pPr>
            <w:r w:rsidRPr="00101C99">
              <w:rPr>
                <w:szCs w:val="18"/>
              </w:rPr>
              <w:t>Monitoring</w:t>
            </w:r>
          </w:p>
        </w:tc>
        <w:tc>
          <w:tcPr>
            <w:tcW w:w="1030" w:type="dxa"/>
            <w:tcBorders>
              <w:top w:val="double" w:sz="4" w:space="0" w:color="auto"/>
            </w:tcBorders>
            <w:vAlign w:val="center"/>
          </w:tcPr>
          <w:p w:rsidR="00485094" w:rsidRPr="00101C99" w:rsidRDefault="00485094" w:rsidP="005D2035">
            <w:pPr>
              <w:pStyle w:val="TableText"/>
              <w:jc w:val="center"/>
              <w:rPr>
                <w:szCs w:val="18"/>
              </w:rPr>
            </w:pPr>
            <w:r w:rsidRPr="00101C99">
              <w:rPr>
                <w:szCs w:val="18"/>
              </w:rPr>
              <w:t>Ongoing</w:t>
            </w:r>
          </w:p>
        </w:tc>
        <w:tc>
          <w:tcPr>
            <w:tcW w:w="5354" w:type="dxa"/>
            <w:tcBorders>
              <w:top w:val="double" w:sz="4" w:space="0" w:color="auto"/>
            </w:tcBorders>
            <w:vAlign w:val="center"/>
          </w:tcPr>
          <w:p w:rsidR="00485094" w:rsidRPr="00101C99" w:rsidRDefault="00485094" w:rsidP="005D2035">
            <w:pPr>
              <w:pStyle w:val="TableText"/>
              <w:jc w:val="center"/>
              <w:rPr>
                <w:szCs w:val="18"/>
              </w:rPr>
            </w:pPr>
            <w:r>
              <w:rPr>
                <w:szCs w:val="18"/>
              </w:rPr>
              <w:t>Under</w:t>
            </w:r>
            <w:r w:rsidRPr="00101C99">
              <w:rPr>
                <w:szCs w:val="18"/>
              </w:rPr>
              <w:t xml:space="preserve"> </w:t>
            </w:r>
            <w:r>
              <w:rPr>
                <w:szCs w:val="18"/>
              </w:rPr>
              <w:t>Chapter</w:t>
            </w:r>
            <w:r w:rsidRPr="00101C99">
              <w:rPr>
                <w:szCs w:val="18"/>
              </w:rPr>
              <w:t xml:space="preserve"> 62-550, F.A.C., all public water systems are required to monitor and report water quality at regular intervals within their Compliance Cycle.  Ground water is the primary source of potable water in the state.</w:t>
            </w:r>
          </w:p>
        </w:tc>
      </w:tr>
      <w:tr w:rsidR="00485094" w:rsidRPr="00101C99" w:rsidTr="005D2035">
        <w:trPr>
          <w:trHeight w:val="782"/>
          <w:jc w:val="center"/>
        </w:trPr>
        <w:tc>
          <w:tcPr>
            <w:tcW w:w="3192" w:type="dxa"/>
            <w:shd w:val="clear" w:color="auto" w:fill="FFFFCC"/>
            <w:vAlign w:val="center"/>
          </w:tcPr>
          <w:p w:rsidR="00485094" w:rsidRPr="00101C99" w:rsidRDefault="00485094" w:rsidP="005D2035">
            <w:pPr>
              <w:pStyle w:val="TableText"/>
              <w:jc w:val="center"/>
              <w:rPr>
                <w:szCs w:val="18"/>
              </w:rPr>
            </w:pPr>
            <w:r w:rsidRPr="00101C99">
              <w:rPr>
                <w:szCs w:val="18"/>
              </w:rPr>
              <w:t>FDOH/FDEP Water Supply Restoration Program</w:t>
            </w:r>
            <w:r>
              <w:rPr>
                <w:szCs w:val="18"/>
              </w:rPr>
              <w:t xml:space="preserve"> (WSRP)–</w:t>
            </w:r>
            <w:r w:rsidRPr="00101C99">
              <w:rPr>
                <w:szCs w:val="18"/>
              </w:rPr>
              <w:t>Private Well Sampling Program</w:t>
            </w:r>
          </w:p>
        </w:tc>
        <w:tc>
          <w:tcPr>
            <w:tcW w:w="1030" w:type="dxa"/>
            <w:vAlign w:val="center"/>
          </w:tcPr>
          <w:p w:rsidR="00485094" w:rsidRPr="00101C99" w:rsidRDefault="00485094" w:rsidP="005D2035">
            <w:pPr>
              <w:pStyle w:val="TableText"/>
              <w:jc w:val="center"/>
              <w:rPr>
                <w:szCs w:val="18"/>
              </w:rPr>
            </w:pPr>
            <w:r w:rsidRPr="00101C99">
              <w:rPr>
                <w:szCs w:val="18"/>
              </w:rPr>
              <w:t>Ongoing</w:t>
            </w:r>
          </w:p>
        </w:tc>
        <w:tc>
          <w:tcPr>
            <w:tcW w:w="5354" w:type="dxa"/>
            <w:vAlign w:val="center"/>
          </w:tcPr>
          <w:p w:rsidR="00485094" w:rsidRPr="00101C99" w:rsidRDefault="00485094" w:rsidP="005D2035">
            <w:pPr>
              <w:pStyle w:val="TableText"/>
              <w:jc w:val="center"/>
              <w:rPr>
                <w:szCs w:val="18"/>
              </w:rPr>
            </w:pPr>
            <w:r>
              <w:rPr>
                <w:szCs w:val="18"/>
              </w:rPr>
              <w:t>This consists of p</w:t>
            </w:r>
            <w:r w:rsidRPr="00101C99">
              <w:rPr>
                <w:szCs w:val="18"/>
              </w:rPr>
              <w:t>rivate well data collected in investigations of potential ground water contamination, maintai</w:t>
            </w:r>
            <w:r>
              <w:rPr>
                <w:szCs w:val="18"/>
              </w:rPr>
              <w:t>ned in an FDEP WSRP database.  The p</w:t>
            </w:r>
            <w:r w:rsidRPr="00101C99">
              <w:rPr>
                <w:szCs w:val="18"/>
              </w:rPr>
              <w:t xml:space="preserve">arameter list is variable, depending on </w:t>
            </w:r>
            <w:r>
              <w:rPr>
                <w:szCs w:val="18"/>
              </w:rPr>
              <w:t xml:space="preserve">the </w:t>
            </w:r>
            <w:r w:rsidRPr="00101C99">
              <w:rPr>
                <w:szCs w:val="18"/>
              </w:rPr>
              <w:t>contaminants of concern.</w:t>
            </w:r>
          </w:p>
        </w:tc>
      </w:tr>
      <w:tr w:rsidR="00485094" w:rsidRPr="00101C99" w:rsidTr="005D2035">
        <w:trPr>
          <w:trHeight w:val="638"/>
          <w:jc w:val="center"/>
        </w:trPr>
        <w:tc>
          <w:tcPr>
            <w:tcW w:w="3192" w:type="dxa"/>
            <w:shd w:val="clear" w:color="auto" w:fill="FFFFCC"/>
            <w:vAlign w:val="center"/>
          </w:tcPr>
          <w:p w:rsidR="00485094" w:rsidRDefault="00485094" w:rsidP="005D2035">
            <w:pPr>
              <w:pStyle w:val="TableText"/>
              <w:jc w:val="center"/>
              <w:rPr>
                <w:szCs w:val="18"/>
              </w:rPr>
            </w:pPr>
            <w:r w:rsidRPr="00101C99">
              <w:rPr>
                <w:szCs w:val="18"/>
              </w:rPr>
              <w:t xml:space="preserve">Monitoring </w:t>
            </w:r>
            <w:r>
              <w:rPr>
                <w:szCs w:val="18"/>
              </w:rPr>
              <w:t>of discharges</w:t>
            </w:r>
          </w:p>
          <w:p w:rsidR="00485094" w:rsidRPr="00101C99" w:rsidRDefault="00485094" w:rsidP="005D2035">
            <w:pPr>
              <w:pStyle w:val="TableText"/>
              <w:jc w:val="center"/>
              <w:rPr>
                <w:szCs w:val="18"/>
              </w:rPr>
            </w:pPr>
            <w:r>
              <w:rPr>
                <w:szCs w:val="18"/>
              </w:rPr>
              <w:t>to ground water</w:t>
            </w:r>
          </w:p>
        </w:tc>
        <w:tc>
          <w:tcPr>
            <w:tcW w:w="1030" w:type="dxa"/>
            <w:vAlign w:val="center"/>
          </w:tcPr>
          <w:p w:rsidR="00485094" w:rsidRPr="00101C99" w:rsidRDefault="00485094" w:rsidP="005D2035">
            <w:pPr>
              <w:pStyle w:val="TableText"/>
              <w:jc w:val="center"/>
              <w:rPr>
                <w:szCs w:val="18"/>
              </w:rPr>
            </w:pPr>
            <w:r w:rsidRPr="00101C99">
              <w:rPr>
                <w:szCs w:val="18"/>
              </w:rPr>
              <w:t>Ongoing</w:t>
            </w:r>
          </w:p>
        </w:tc>
        <w:tc>
          <w:tcPr>
            <w:tcW w:w="5354" w:type="dxa"/>
            <w:vAlign w:val="center"/>
          </w:tcPr>
          <w:p w:rsidR="00485094" w:rsidRPr="003B421E" w:rsidRDefault="00485094" w:rsidP="005D2035">
            <w:pPr>
              <w:pStyle w:val="TableText"/>
              <w:jc w:val="center"/>
              <w:rPr>
                <w:szCs w:val="18"/>
              </w:rPr>
            </w:pPr>
            <w:r>
              <w:rPr>
                <w:szCs w:val="18"/>
              </w:rPr>
              <w:t>Under</w:t>
            </w:r>
            <w:r w:rsidRPr="00101C99">
              <w:rPr>
                <w:szCs w:val="18"/>
              </w:rPr>
              <w:t xml:space="preserve"> </w:t>
            </w:r>
            <w:r>
              <w:rPr>
                <w:szCs w:val="18"/>
              </w:rPr>
              <w:t xml:space="preserve">Chapter </w:t>
            </w:r>
            <w:r w:rsidRPr="003B421E">
              <w:rPr>
                <w:szCs w:val="18"/>
              </w:rPr>
              <w:t xml:space="preserve"> 62-522, F</w:t>
            </w:r>
            <w:r>
              <w:rPr>
                <w:szCs w:val="18"/>
              </w:rPr>
              <w:t>.A.C.,</w:t>
            </w:r>
            <w:r w:rsidRPr="003B421E">
              <w:rPr>
                <w:szCs w:val="18"/>
              </w:rPr>
              <w:t xml:space="preserve"> facilities discharging to ground water are required to implement a ground water monitoring plan and report those results to </w:t>
            </w:r>
            <w:r>
              <w:rPr>
                <w:szCs w:val="18"/>
              </w:rPr>
              <w:t>FDEP</w:t>
            </w:r>
            <w:r w:rsidRPr="003B421E">
              <w:rPr>
                <w:szCs w:val="18"/>
              </w:rPr>
              <w:t>.</w:t>
            </w:r>
          </w:p>
        </w:tc>
      </w:tr>
    </w:tbl>
    <w:p w:rsidR="00485094" w:rsidRDefault="00485094" w:rsidP="001B0F18">
      <w:pPr>
        <w:pStyle w:val="Bodytext"/>
      </w:pPr>
    </w:p>
    <w:p w:rsidR="00485094" w:rsidRDefault="00485094" w:rsidP="001B0F18">
      <w:pPr>
        <w:pStyle w:val="Bodytext"/>
      </w:pPr>
    </w:p>
    <w:p w:rsidR="00485094" w:rsidRDefault="00485094" w:rsidP="001B0F18">
      <w:pPr>
        <w:pStyle w:val="ListBullet"/>
        <w:numPr>
          <w:ilvl w:val="0"/>
          <w:numId w:val="0"/>
        </w:numPr>
      </w:pPr>
      <w:bookmarkStart w:id="648" w:name="_Toc257365064"/>
      <w:bookmarkStart w:id="649" w:name="_Toc271280008"/>
      <w:r>
        <w:rPr>
          <w:rStyle w:val="Heading3Char"/>
          <w:sz w:val="28"/>
        </w:rPr>
        <w:t>FDEP-maintained Ground Water and Springs M</w:t>
      </w:r>
      <w:r w:rsidRPr="005342CE">
        <w:rPr>
          <w:rStyle w:val="Heading3Char"/>
          <w:sz w:val="28"/>
        </w:rPr>
        <w:t>onitoring</w:t>
      </w:r>
      <w:r>
        <w:rPr>
          <w:rStyle w:val="Heading3Char"/>
          <w:sz w:val="28"/>
        </w:rPr>
        <w:t xml:space="preserve"> Programs</w:t>
      </w:r>
      <w:bookmarkEnd w:id="648"/>
      <w:bookmarkEnd w:id="649"/>
      <w:r w:rsidRPr="004511D7">
        <w:t xml:space="preserve"> </w:t>
      </w:r>
    </w:p>
    <w:p w:rsidR="00485094" w:rsidRDefault="00485094" w:rsidP="001B0F18">
      <w:pPr>
        <w:pStyle w:val="Bodytext"/>
        <w:rPr>
          <w:rFonts w:cs="Arial"/>
          <w:snapToGrid w:val="0"/>
          <w:szCs w:val="22"/>
        </w:rPr>
      </w:pPr>
      <w:r>
        <w:t xml:space="preserve">FDEP established a ground water quality monitoring network in 1984, under the authority and direction of the 1983 Water Quality Assurance Act.  From 1984 to1999, the Background Network was maintained to establish the background and baseline ground water quality of major aquifer systems in </w:t>
      </w:r>
      <w:smartTag w:uri="urn:schemas-microsoft-com:office:smarttags" w:element="State">
        <w:smartTag w:uri="urn:schemas-microsoft-com:office:smarttags" w:element="place">
          <w:r>
            <w:t>Florida</w:t>
          </w:r>
        </w:smartTag>
      </w:smartTag>
      <w:r>
        <w:t xml:space="preserve">.  </w:t>
      </w:r>
      <w:r w:rsidRPr="009D0424">
        <w:rPr>
          <w:rFonts w:cs="Arial"/>
          <w:szCs w:val="22"/>
        </w:rPr>
        <w:t>In 1999, FDEP initiated a probabilistic sampling Status Network to assess ground water and surface water quality on a basin</w:t>
      </w:r>
      <w:r>
        <w:rPr>
          <w:rFonts w:cs="Arial"/>
          <w:szCs w:val="22"/>
        </w:rPr>
        <w:t>-</w:t>
      </w:r>
      <w:r w:rsidRPr="009D0424">
        <w:rPr>
          <w:rFonts w:cs="Arial"/>
          <w:szCs w:val="22"/>
        </w:rPr>
        <w:t xml:space="preserve">wide scale.  This sampling has been integrated into the agency’s watershed management </w:t>
      </w:r>
      <w:r>
        <w:rPr>
          <w:rFonts w:cs="Arial"/>
          <w:szCs w:val="22"/>
        </w:rPr>
        <w:t>approach</w:t>
      </w:r>
      <w:r w:rsidRPr="009D0424">
        <w:rPr>
          <w:rFonts w:cs="Arial"/>
          <w:szCs w:val="22"/>
        </w:rPr>
        <w:t xml:space="preserve">.  </w:t>
      </w:r>
      <w:r>
        <w:rPr>
          <w:rFonts w:cs="Arial"/>
          <w:szCs w:val="22"/>
        </w:rPr>
        <w:t>Since the Status Network’s inception, three statewide samplings have been completed</w:t>
      </w:r>
      <w:r w:rsidRPr="009D0424">
        <w:rPr>
          <w:rFonts w:cs="Arial"/>
          <w:snapToGrid w:val="0"/>
          <w:szCs w:val="22"/>
        </w:rPr>
        <w:t>.</w:t>
      </w:r>
    </w:p>
    <w:p w:rsidR="00485094" w:rsidRPr="009D0424" w:rsidRDefault="00485094" w:rsidP="001B0F18">
      <w:pPr>
        <w:pStyle w:val="Bodytext"/>
        <w:rPr>
          <w:rFonts w:cs="Arial"/>
          <w:snapToGrid w:val="0"/>
          <w:szCs w:val="22"/>
        </w:rPr>
      </w:pPr>
    </w:p>
    <w:p w:rsidR="00485094" w:rsidRDefault="00485094" w:rsidP="001B0F18">
      <w:pPr>
        <w:pStyle w:val="Bodytext"/>
        <w:rPr>
          <w:rFonts w:cs="Arial"/>
          <w:snapToGrid w:val="0"/>
          <w:szCs w:val="22"/>
        </w:rPr>
      </w:pPr>
      <w:r w:rsidRPr="009D0424">
        <w:rPr>
          <w:rFonts w:cs="Arial"/>
          <w:snapToGrid w:val="0"/>
          <w:szCs w:val="22"/>
        </w:rPr>
        <w:t>Monitoring results for the Ground Water Temporal Variability Network, which also began in 1999, are used to assess seasonal and long-term variability in ground water quality.  Other, historical monitoring efforts include the Background Network, the VISA Network, and FDOH’s Private Water Well Quality Survey.</w:t>
      </w:r>
      <w:r>
        <w:rPr>
          <w:rFonts w:cs="Arial"/>
          <w:snapToGrid w:val="0"/>
          <w:szCs w:val="22"/>
        </w:rPr>
        <w:t xml:space="preserve">  </w:t>
      </w:r>
      <w:r>
        <w:rPr>
          <w:rFonts w:cs="Arial"/>
          <w:szCs w:val="22"/>
        </w:rPr>
        <w:t xml:space="preserve">Additional information on all these monitoring networks is available on the </w:t>
      </w:r>
      <w:hyperlink r:id="rId145" w:history="1">
        <w:r w:rsidRPr="00A83D11">
          <w:rPr>
            <w:rStyle w:val="Hyperlink"/>
            <w:rFonts w:cs="Arial"/>
            <w:szCs w:val="22"/>
          </w:rPr>
          <w:t>FDEP Watershed Monitoring website</w:t>
        </w:r>
      </w:hyperlink>
      <w:r>
        <w:rPr>
          <w:rFonts w:cs="Arial"/>
          <w:szCs w:val="22"/>
        </w:rPr>
        <w:t>.</w:t>
      </w:r>
    </w:p>
    <w:p w:rsidR="00485094" w:rsidRPr="009D0424" w:rsidRDefault="00485094" w:rsidP="001B0F18">
      <w:pPr>
        <w:pStyle w:val="Bodytext"/>
        <w:rPr>
          <w:rFonts w:cs="Arial"/>
          <w:snapToGrid w:val="0"/>
          <w:szCs w:val="22"/>
        </w:rPr>
      </w:pPr>
    </w:p>
    <w:p w:rsidR="00485094" w:rsidRDefault="00485094" w:rsidP="001B0F18">
      <w:pPr>
        <w:pStyle w:val="Bodytext"/>
        <w:rPr>
          <w:rFonts w:cs="Arial"/>
          <w:snapToGrid w:val="0"/>
          <w:szCs w:val="22"/>
        </w:rPr>
      </w:pPr>
      <w:r w:rsidRPr="009D0424">
        <w:rPr>
          <w:rFonts w:cs="Arial"/>
          <w:snapToGrid w:val="0"/>
          <w:szCs w:val="22"/>
        </w:rPr>
        <w:t>T</w:t>
      </w:r>
      <w:r>
        <w:rPr>
          <w:rFonts w:cs="Arial"/>
          <w:snapToGrid w:val="0"/>
          <w:szCs w:val="22"/>
        </w:rPr>
        <w:t>his report includes t</w:t>
      </w:r>
      <w:r w:rsidRPr="009D0424">
        <w:rPr>
          <w:rFonts w:cs="Arial"/>
          <w:snapToGrid w:val="0"/>
          <w:szCs w:val="22"/>
        </w:rPr>
        <w:t xml:space="preserve">he Status </w:t>
      </w:r>
      <w:r>
        <w:rPr>
          <w:rFonts w:cs="Arial"/>
          <w:snapToGrid w:val="0"/>
          <w:szCs w:val="22"/>
        </w:rPr>
        <w:t xml:space="preserve">Network </w:t>
      </w:r>
      <w:r w:rsidRPr="009D0424">
        <w:rPr>
          <w:rFonts w:cs="Arial"/>
          <w:snapToGrid w:val="0"/>
          <w:szCs w:val="22"/>
        </w:rPr>
        <w:t xml:space="preserve">monitoring data </w:t>
      </w:r>
      <w:r>
        <w:rPr>
          <w:rFonts w:cs="Arial"/>
          <w:snapToGrid w:val="0"/>
          <w:szCs w:val="22"/>
        </w:rPr>
        <w:t>in the dataset used to</w:t>
      </w:r>
      <w:r w:rsidRPr="009D0424">
        <w:rPr>
          <w:rFonts w:cs="Arial"/>
          <w:snapToGrid w:val="0"/>
          <w:szCs w:val="22"/>
        </w:rPr>
        <w:t xml:space="preserve"> evaluate overall ground water quality and ground water parameters of particular concern that may influence receiving surface waters.</w:t>
      </w:r>
    </w:p>
    <w:p w:rsidR="00485094" w:rsidRPr="009D0424" w:rsidRDefault="00485094" w:rsidP="001B0F18">
      <w:pPr>
        <w:pStyle w:val="Bodytext"/>
        <w:rPr>
          <w:rFonts w:cs="Arial"/>
          <w:snapToGrid w:val="0"/>
          <w:szCs w:val="22"/>
        </w:rPr>
      </w:pPr>
    </w:p>
    <w:p w:rsidR="00485094" w:rsidRPr="009D0424" w:rsidRDefault="00485094" w:rsidP="001B0F18">
      <w:pPr>
        <w:pStyle w:val="Bodytext"/>
        <w:rPr>
          <w:rFonts w:cs="Arial"/>
          <w:snapToGrid w:val="0"/>
          <w:szCs w:val="22"/>
        </w:rPr>
      </w:pPr>
      <w:r>
        <w:rPr>
          <w:rFonts w:cs="Arial"/>
          <w:snapToGrid w:val="0"/>
          <w:szCs w:val="22"/>
        </w:rPr>
        <w:t>FDEP established a</w:t>
      </w:r>
      <w:r w:rsidRPr="009D0424">
        <w:rPr>
          <w:rFonts w:cs="Arial"/>
          <w:snapToGrid w:val="0"/>
          <w:szCs w:val="22"/>
        </w:rPr>
        <w:t xml:space="preserve"> springs monitoring network as part of the </w:t>
      </w:r>
      <w:hyperlink r:id="rId146" w:history="1">
        <w:r w:rsidRPr="00C46301">
          <w:rPr>
            <w:rStyle w:val="Hyperlink"/>
            <w:rFonts w:cs="Arial"/>
            <w:snapToGrid w:val="0"/>
            <w:szCs w:val="22"/>
          </w:rPr>
          <w:t>Florida Springs Initiative</w:t>
        </w:r>
      </w:hyperlink>
      <w:r w:rsidRPr="009D0424">
        <w:rPr>
          <w:rFonts w:cs="Arial"/>
          <w:snapToGrid w:val="0"/>
          <w:szCs w:val="22"/>
        </w:rPr>
        <w:t xml:space="preserve">.  Beginning in 2000, </w:t>
      </w:r>
      <w:r>
        <w:rPr>
          <w:rFonts w:cs="Arial"/>
          <w:snapToGrid w:val="0"/>
          <w:szCs w:val="22"/>
        </w:rPr>
        <w:t>this</w:t>
      </w:r>
      <w:r w:rsidRPr="009D0424">
        <w:rPr>
          <w:rFonts w:cs="Arial"/>
          <w:snapToGrid w:val="0"/>
          <w:szCs w:val="22"/>
        </w:rPr>
        <w:t xml:space="preserve"> initially included quarterly monitoring at each of the state’s </w:t>
      </w:r>
      <w:r>
        <w:rPr>
          <w:rFonts w:cs="Arial"/>
          <w:snapToGrid w:val="0"/>
          <w:szCs w:val="22"/>
        </w:rPr>
        <w:t>first-magnitude</w:t>
      </w:r>
      <w:r w:rsidRPr="009D0424">
        <w:rPr>
          <w:rFonts w:cs="Arial"/>
          <w:snapToGrid w:val="0"/>
          <w:szCs w:val="22"/>
        </w:rPr>
        <w:t xml:space="preserve"> springs but has since expanded to include important second</w:t>
      </w:r>
      <w:r>
        <w:rPr>
          <w:rFonts w:cs="Arial"/>
          <w:snapToGrid w:val="0"/>
          <w:szCs w:val="22"/>
        </w:rPr>
        <w:t>-</w:t>
      </w:r>
      <w:r w:rsidRPr="009D0424">
        <w:rPr>
          <w:rFonts w:cs="Arial"/>
          <w:snapToGrid w:val="0"/>
          <w:szCs w:val="22"/>
        </w:rPr>
        <w:t>magnitude springs a</w:t>
      </w:r>
      <w:r>
        <w:rPr>
          <w:rFonts w:cs="Arial"/>
          <w:snapToGrid w:val="0"/>
          <w:szCs w:val="22"/>
        </w:rPr>
        <w:t>s</w:t>
      </w:r>
      <w:r w:rsidRPr="009D0424">
        <w:rPr>
          <w:rFonts w:cs="Arial"/>
          <w:snapToGrid w:val="0"/>
          <w:szCs w:val="22"/>
        </w:rPr>
        <w:t xml:space="preserve"> well.  In this report, Springs Initiative monitoring data are evaluated to identify spring water quality </w:t>
      </w:r>
      <w:r>
        <w:rPr>
          <w:rFonts w:cs="Arial"/>
          <w:snapToGrid w:val="0"/>
          <w:szCs w:val="22"/>
        </w:rPr>
        <w:t>with respect to nutrients.</w:t>
      </w:r>
    </w:p>
    <w:p w:rsidR="00485094" w:rsidRPr="009D0424" w:rsidRDefault="00485094" w:rsidP="001B0F18">
      <w:pPr>
        <w:pStyle w:val="Bodytext"/>
        <w:rPr>
          <w:szCs w:val="22"/>
        </w:rPr>
      </w:pPr>
    </w:p>
    <w:p w:rsidR="00485094" w:rsidRDefault="00485094" w:rsidP="001B0F18">
      <w:pPr>
        <w:pStyle w:val="Heading3"/>
      </w:pPr>
      <w:bookmarkStart w:id="650" w:name="_Toc257365065"/>
      <w:bookmarkStart w:id="651" w:name="_Toc271280009"/>
      <w:r w:rsidRPr="004511D7">
        <w:t xml:space="preserve">Potable Water Monitoring by </w:t>
      </w:r>
      <w:r>
        <w:t>FDOH/FDEP Water Supply Restoration Program</w:t>
      </w:r>
      <w:bookmarkEnd w:id="650"/>
      <w:bookmarkEnd w:id="651"/>
    </w:p>
    <w:p w:rsidR="00485094" w:rsidRPr="00D17DAD" w:rsidRDefault="00485094" w:rsidP="001B0F18">
      <w:pPr>
        <w:pStyle w:val="Bodytext"/>
      </w:pPr>
      <w:r w:rsidRPr="00D17DAD">
        <w:t xml:space="preserve">Contaminated drinking water wells are identified through the sampling efforts of the local </w:t>
      </w:r>
      <w:r>
        <w:t>c</w:t>
      </w:r>
      <w:r w:rsidRPr="00D17DAD">
        <w:t xml:space="preserve">ounty </w:t>
      </w:r>
      <w:r>
        <w:t>p</w:t>
      </w:r>
      <w:r w:rsidRPr="00D17DAD">
        <w:t xml:space="preserve">ublic </w:t>
      </w:r>
      <w:r>
        <w:t>h</w:t>
      </w:r>
      <w:r w:rsidRPr="00D17DAD">
        <w:t xml:space="preserve">ealth </w:t>
      </w:r>
      <w:r>
        <w:t>u</w:t>
      </w:r>
      <w:r w:rsidRPr="00D17DAD">
        <w:t>nits</w:t>
      </w:r>
      <w:r>
        <w:t>,</w:t>
      </w:r>
      <w:r w:rsidRPr="00D17DAD">
        <w:t xml:space="preserve"> supported by </w:t>
      </w:r>
      <w:r>
        <w:t>FDEP</w:t>
      </w:r>
      <w:r w:rsidRPr="00D17DAD">
        <w:t xml:space="preserve"> funding. </w:t>
      </w:r>
      <w:r>
        <w:t xml:space="preserve"> </w:t>
      </w:r>
      <w:r w:rsidRPr="00D17DAD">
        <w:t>To optimize resources, wells are sampled in areas of known or suspected contamination, such as agricultural areas, areas of known off</w:t>
      </w:r>
      <w:r>
        <w:t>-</w:t>
      </w:r>
      <w:r w:rsidRPr="00D17DAD">
        <w:t xml:space="preserve">site contamination near regulated facilities, landfills, or </w:t>
      </w:r>
      <w:r w:rsidRPr="00CB7EAC">
        <w:t>near</w:t>
      </w:r>
      <w:r w:rsidRPr="00D17DAD">
        <w:t xml:space="preserve"> underground storage tanks. </w:t>
      </w:r>
    </w:p>
    <w:p w:rsidR="00485094" w:rsidRDefault="00485094" w:rsidP="001B0F18">
      <w:pPr>
        <w:pStyle w:val="Bodytext"/>
      </w:pPr>
    </w:p>
    <w:p w:rsidR="00485094" w:rsidRPr="00D17DAD" w:rsidRDefault="00485094" w:rsidP="001B0F18">
      <w:pPr>
        <w:pStyle w:val="Bodytext"/>
      </w:pPr>
      <w:r w:rsidRPr="00D17DAD">
        <w:t xml:space="preserve">The </w:t>
      </w:r>
      <w:hyperlink r:id="rId147" w:history="1">
        <w:r w:rsidRPr="00C46301">
          <w:rPr>
            <w:rStyle w:val="Hyperlink"/>
          </w:rPr>
          <w:t>FDOH Petroleum Surveillance Program</w:t>
        </w:r>
      </w:hyperlink>
      <w:r w:rsidRPr="00D17DAD">
        <w:t xml:space="preserve"> concentrates its efforts in areas suspected to have petroleum</w:t>
      </w:r>
      <w:r>
        <w:t>-</w:t>
      </w:r>
      <w:r w:rsidRPr="00D17DAD">
        <w:t>related contamination and targets drinking water wells near known storage tanks for sampling.</w:t>
      </w:r>
    </w:p>
    <w:p w:rsidR="00485094" w:rsidRDefault="00485094" w:rsidP="001B0F18">
      <w:pPr>
        <w:pStyle w:val="Bodytext"/>
      </w:pPr>
    </w:p>
    <w:p w:rsidR="00485094" w:rsidRDefault="00485094" w:rsidP="001B0F18">
      <w:pPr>
        <w:pStyle w:val="Bodytext"/>
      </w:pPr>
      <w:r>
        <w:rPr>
          <w:rFonts w:cs="Arial"/>
          <w:szCs w:val="22"/>
        </w:rPr>
        <w:t>T</w:t>
      </w:r>
      <w:r w:rsidRPr="00D17DAD">
        <w:rPr>
          <w:rFonts w:cs="Arial"/>
          <w:szCs w:val="22"/>
        </w:rPr>
        <w:t xml:space="preserve">he </w:t>
      </w:r>
      <w:hyperlink r:id="rId148" w:anchor="Drinking2" w:history="1">
        <w:r>
          <w:rPr>
            <w:rStyle w:val="Hyperlink"/>
            <w:rFonts w:cs="Arial"/>
            <w:szCs w:val="22"/>
          </w:rPr>
          <w:t>D</w:t>
        </w:r>
        <w:r w:rsidRPr="00A83D11">
          <w:rPr>
            <w:rStyle w:val="Hyperlink"/>
            <w:rFonts w:cs="Arial"/>
            <w:szCs w:val="22"/>
          </w:rPr>
          <w:t>rinking Water Toxics Program</w:t>
        </w:r>
      </w:hyperlink>
      <w:r w:rsidRPr="00D17DAD">
        <w:rPr>
          <w:rFonts w:cs="Arial"/>
          <w:szCs w:val="22"/>
        </w:rPr>
        <w:t xml:space="preserve"> looks for contamination related to </w:t>
      </w:r>
      <w:r>
        <w:rPr>
          <w:rFonts w:cs="Arial"/>
          <w:szCs w:val="22"/>
        </w:rPr>
        <w:t xml:space="preserve">the </w:t>
      </w:r>
      <w:r w:rsidRPr="00D17DAD">
        <w:rPr>
          <w:rFonts w:cs="Arial"/>
          <w:szCs w:val="22"/>
        </w:rPr>
        <w:t xml:space="preserve">use of pesticides and </w:t>
      </w:r>
      <w:r w:rsidRPr="00D17DAD">
        <w:t xml:space="preserve">fertilizers, and contamination from solvents and metals. </w:t>
      </w:r>
      <w:r>
        <w:t xml:space="preserve"> </w:t>
      </w:r>
      <w:r w:rsidRPr="00D17DAD">
        <w:t>Th</w:t>
      </w:r>
      <w:r>
        <w:t>e</w:t>
      </w:r>
      <w:r w:rsidRPr="00D17DAD">
        <w:t xml:space="preserve"> program is a cooperative effort between </w:t>
      </w:r>
      <w:r>
        <w:t>F</w:t>
      </w:r>
      <w:r w:rsidRPr="00D17DAD">
        <w:t xml:space="preserve">DOH, the </w:t>
      </w:r>
      <w:r>
        <w:t>c</w:t>
      </w:r>
      <w:r w:rsidRPr="00D17DAD">
        <w:t xml:space="preserve">ounty </w:t>
      </w:r>
      <w:r>
        <w:t>p</w:t>
      </w:r>
      <w:r w:rsidRPr="00D17DAD">
        <w:t xml:space="preserve">ublic </w:t>
      </w:r>
      <w:r>
        <w:t>h</w:t>
      </w:r>
      <w:r w:rsidRPr="00D17DAD">
        <w:t xml:space="preserve">ealth </w:t>
      </w:r>
      <w:r>
        <w:t>u</w:t>
      </w:r>
      <w:r w:rsidRPr="00D17DAD">
        <w:t xml:space="preserve">nits, and </w:t>
      </w:r>
      <w:r>
        <w:t>FDEP</w:t>
      </w:r>
      <w:r w:rsidRPr="00D17DAD">
        <w:t xml:space="preserve">.  </w:t>
      </w:r>
      <w:r>
        <w:t xml:space="preserve">FDEP </w:t>
      </w:r>
      <w:r w:rsidRPr="00D17DAD">
        <w:t xml:space="preserve">funds the program through a contract with </w:t>
      </w:r>
      <w:r>
        <w:t>F</w:t>
      </w:r>
      <w:r w:rsidRPr="00D17DAD">
        <w:t xml:space="preserve">DOH, and </w:t>
      </w:r>
      <w:r>
        <w:t>F</w:t>
      </w:r>
      <w:r w:rsidRPr="00D17DAD">
        <w:t xml:space="preserve">DOH directs the sampling effort by local </w:t>
      </w:r>
      <w:r>
        <w:t>p</w:t>
      </w:r>
      <w:r w:rsidRPr="00D17DAD">
        <w:t xml:space="preserve">ublic </w:t>
      </w:r>
      <w:r>
        <w:t>h</w:t>
      </w:r>
      <w:r w:rsidRPr="00D17DAD">
        <w:t xml:space="preserve">ealth </w:t>
      </w:r>
      <w:r>
        <w:t>u</w:t>
      </w:r>
      <w:r w:rsidRPr="00D17DAD">
        <w:t>nits.</w:t>
      </w:r>
    </w:p>
    <w:p w:rsidR="00485094" w:rsidRPr="00D17DAD" w:rsidRDefault="00485094" w:rsidP="001B0F18">
      <w:pPr>
        <w:pStyle w:val="Bodytext"/>
      </w:pPr>
    </w:p>
    <w:p w:rsidR="00485094" w:rsidRDefault="00485094" w:rsidP="001B0F18">
      <w:pPr>
        <w:pStyle w:val="Bodytext"/>
        <w:rPr>
          <w:color w:val="333333"/>
        </w:rPr>
      </w:pPr>
      <w:r w:rsidRPr="00D17DAD">
        <w:rPr>
          <w:color w:val="333333"/>
        </w:rPr>
        <w:t xml:space="preserve">In this report, the </w:t>
      </w:r>
      <w:hyperlink r:id="rId149" w:history="1">
        <w:r w:rsidRPr="00A83D11">
          <w:rPr>
            <w:rStyle w:val="Hyperlink"/>
          </w:rPr>
          <w:t>FDEP Water Supply Restoration Program</w:t>
        </w:r>
      </w:hyperlink>
      <w:r>
        <w:rPr>
          <w:color w:val="333333"/>
        </w:rPr>
        <w:t xml:space="preserve"> (WSRP) database</w:t>
      </w:r>
      <w:r w:rsidRPr="00D17DAD">
        <w:rPr>
          <w:color w:val="333333"/>
        </w:rPr>
        <w:t xml:space="preserve"> maintained by </w:t>
      </w:r>
      <w:r>
        <w:t xml:space="preserve">FDEP </w:t>
      </w:r>
      <w:r w:rsidRPr="00D17DAD">
        <w:rPr>
          <w:color w:val="333333"/>
        </w:rPr>
        <w:t>was used in the evaluation of the ground water contaminants of concern identified in private drinking water wells.  Th</w:t>
      </w:r>
      <w:r>
        <w:rPr>
          <w:color w:val="333333"/>
        </w:rPr>
        <w:t>e</w:t>
      </w:r>
      <w:r w:rsidRPr="00D17DAD">
        <w:rPr>
          <w:color w:val="333333"/>
        </w:rPr>
        <w:t xml:space="preserve"> database currently has water quality records for approximately </w:t>
      </w:r>
      <w:r>
        <w:rPr>
          <w:color w:val="333333"/>
        </w:rPr>
        <w:t>40,000</w:t>
      </w:r>
      <w:r w:rsidRPr="00D17DAD">
        <w:rPr>
          <w:color w:val="333333"/>
        </w:rPr>
        <w:t xml:space="preserve"> private wells.</w:t>
      </w:r>
      <w:r>
        <w:rPr>
          <w:color w:val="333333"/>
        </w:rPr>
        <w:t xml:space="preserve">  A caveat to their use in this evaluation is that these wells are not evenly distributed because they were sampled in areas of known or suspected contamination.  Thus, the number of exceedances in a particular basin can be misleading because the results may depend on well density and distribution in relationship to a given problem area.</w:t>
      </w:r>
    </w:p>
    <w:p w:rsidR="00485094" w:rsidRPr="00D17DAD" w:rsidRDefault="00485094" w:rsidP="001B0F18">
      <w:pPr>
        <w:pStyle w:val="Bodytext"/>
        <w:rPr>
          <w:color w:val="333333"/>
        </w:rPr>
      </w:pPr>
    </w:p>
    <w:p w:rsidR="00485094" w:rsidRDefault="00485094" w:rsidP="001B0F18">
      <w:pPr>
        <w:pStyle w:val="Heading3"/>
      </w:pPr>
      <w:bookmarkStart w:id="652" w:name="_Toc257365066"/>
      <w:bookmarkStart w:id="653" w:name="_Toc271280010"/>
      <w:r>
        <w:t>Public Water System Monitoring</w:t>
      </w:r>
      <w:bookmarkEnd w:id="652"/>
      <w:bookmarkEnd w:id="653"/>
    </w:p>
    <w:p w:rsidR="00485094" w:rsidRPr="009D0424" w:rsidRDefault="00485094" w:rsidP="001B0F18">
      <w:pPr>
        <w:pStyle w:val="Bodytext"/>
      </w:pPr>
      <w:r>
        <w:t>A</w:t>
      </w:r>
      <w:r w:rsidRPr="009D0424">
        <w:t xml:space="preserve">pproximately </w:t>
      </w:r>
      <w:r w:rsidRPr="00D95715">
        <w:t>5,</w:t>
      </w:r>
      <w:r>
        <w:t>6</w:t>
      </w:r>
      <w:r w:rsidRPr="00D95715">
        <w:t xml:space="preserve">00 public water systems </w:t>
      </w:r>
      <w:r>
        <w:t xml:space="preserve">(PWSs) </w:t>
      </w:r>
      <w:r w:rsidRPr="00D95715">
        <w:t xml:space="preserve">in </w:t>
      </w:r>
      <w:smartTag w:uri="urn:schemas-microsoft-com:office:smarttags" w:element="State">
        <w:smartTag w:uri="urn:schemas-microsoft-com:office:smarttags" w:element="place">
          <w:r w:rsidRPr="00D95715">
            <w:t>Florida</w:t>
          </w:r>
        </w:smartTag>
      </w:smartTag>
      <w:r w:rsidRPr="00D95715">
        <w:t xml:space="preserve"> rely on ground water.  These are served by </w:t>
      </w:r>
      <w:r>
        <w:t>over</w:t>
      </w:r>
      <w:r w:rsidRPr="00D95715">
        <w:t xml:space="preserve"> 10,000</w:t>
      </w:r>
      <w:r w:rsidRPr="009D0424">
        <w:t xml:space="preserve"> wells. </w:t>
      </w:r>
      <w:r>
        <w:t xml:space="preserve"> Chapter </w:t>
      </w:r>
      <w:r w:rsidRPr="009D0424">
        <w:t>62-550, F</w:t>
      </w:r>
      <w:r>
        <w:t>.A.C.</w:t>
      </w:r>
      <w:r w:rsidRPr="009D0424">
        <w:t xml:space="preserve">, sets the drinking water standards, </w:t>
      </w:r>
      <w:r>
        <w:t xml:space="preserve">the </w:t>
      </w:r>
      <w:r w:rsidRPr="009D0424">
        <w:t xml:space="preserve">monitoring requirements and treatment techniques to be met by </w:t>
      </w:r>
      <w:r>
        <w:t xml:space="preserve">PWSs, </w:t>
      </w:r>
      <w:r w:rsidRPr="009D0424">
        <w:t xml:space="preserve">and </w:t>
      </w:r>
      <w:r>
        <w:t xml:space="preserve">that </w:t>
      </w:r>
      <w:r w:rsidRPr="009D0424">
        <w:t xml:space="preserve">testing </w:t>
      </w:r>
      <w:r>
        <w:t>must be conducted by DOH</w:t>
      </w:r>
      <w:r w:rsidRPr="009D0424">
        <w:t xml:space="preserve"> certified laboratories.  The ultimate concern of the </w:t>
      </w:r>
      <w:r>
        <w:t xml:space="preserve">PWS </w:t>
      </w:r>
      <w:r w:rsidRPr="009D0424">
        <w:t xml:space="preserve">supervision program is the quality of water when the water reaches consumers, </w:t>
      </w:r>
      <w:r>
        <w:t xml:space="preserve">but PWS </w:t>
      </w:r>
      <w:r w:rsidRPr="009D0424">
        <w:t xml:space="preserve">monitoring involves </w:t>
      </w:r>
      <w:r>
        <w:t xml:space="preserve">the </w:t>
      </w:r>
      <w:r w:rsidRPr="009D0424">
        <w:t>direct sampling of wells in some instances</w:t>
      </w:r>
      <w:r>
        <w:t>.  Water quality results</w:t>
      </w:r>
      <w:r w:rsidRPr="009D0424">
        <w:t xml:space="preserve"> include </w:t>
      </w:r>
      <w:r>
        <w:t xml:space="preserve">samples from various </w:t>
      </w:r>
      <w:r w:rsidRPr="009D0424">
        <w:t>entry points into the water system and</w:t>
      </w:r>
      <w:r>
        <w:t xml:space="preserve"> points in the distribution system, </w:t>
      </w:r>
      <w:r w:rsidRPr="009D0424">
        <w:t>include treated water, and for some parameters may include composite sampl</w:t>
      </w:r>
      <w:r>
        <w:t xml:space="preserve">es.  Not all samples included in the data are used to determine compliance with 62-550.  </w:t>
      </w:r>
    </w:p>
    <w:p w:rsidR="00485094" w:rsidRPr="009D0424" w:rsidRDefault="00485094" w:rsidP="001B0F18">
      <w:pPr>
        <w:pStyle w:val="Bodytext"/>
      </w:pPr>
    </w:p>
    <w:p w:rsidR="00485094" w:rsidRPr="008B0E79" w:rsidRDefault="00485094" w:rsidP="001B0F18">
      <w:pPr>
        <w:pStyle w:val="Bodytext"/>
      </w:pPr>
      <w:r w:rsidRPr="009D0424">
        <w:t xml:space="preserve">The monitoring framework for </w:t>
      </w:r>
      <w:r>
        <w:t xml:space="preserve">PWSs </w:t>
      </w:r>
      <w:r w:rsidRPr="009D0424">
        <w:t xml:space="preserve">is a </w:t>
      </w:r>
      <w:r>
        <w:t>nine</w:t>
      </w:r>
      <w:r w:rsidRPr="009D0424">
        <w:t xml:space="preserve">-year compliance cycle </w:t>
      </w:r>
      <w:r>
        <w:t>containing</w:t>
      </w:r>
      <w:r w:rsidRPr="009D0424">
        <w:t xml:space="preserve"> specific monitoring requirements for individual parameter groups and specific actions based on the detection of parameters above action limits or maximum contaminant levels (MCLs).</w:t>
      </w:r>
      <w:r>
        <w:t xml:space="preserve">  Water quality data in the PWS database are reported by the public water system (PWS ID#).  </w:t>
      </w:r>
      <w:r w:rsidRPr="008B0E79">
        <w:t xml:space="preserve">While individual sample results collected for this report may exceed an action level or MCL, that exceedance does not necessarily translate directly into a violation of water delivered to the consumer </w:t>
      </w:r>
      <w:r>
        <w:t xml:space="preserve">because of </w:t>
      </w:r>
      <w:r w:rsidRPr="008B0E79">
        <w:t>the compositing or blending of water mentioned above, or because averaging with subsequent samples was below the action level or MCL.</w:t>
      </w:r>
      <w:r>
        <w:t xml:space="preserve">  Additional information is available on the </w:t>
      </w:r>
      <w:hyperlink r:id="rId150" w:history="1">
        <w:r w:rsidRPr="00A83D11">
          <w:rPr>
            <w:rStyle w:val="Hyperlink"/>
          </w:rPr>
          <w:t>FDEP Drinking Water Program website</w:t>
        </w:r>
      </w:hyperlink>
      <w:r>
        <w:t>.</w:t>
      </w:r>
    </w:p>
    <w:p w:rsidR="00485094" w:rsidRPr="009D0424" w:rsidRDefault="00485094" w:rsidP="001B0F18">
      <w:pPr>
        <w:pStyle w:val="Bodytext"/>
        <w:rPr>
          <w:rFonts w:ascii="TimesNewRomanPSMT" w:hAnsi="TimesNewRomanPSMT" w:cs="TimesNewRomanPSMT"/>
        </w:rPr>
      </w:pPr>
    </w:p>
    <w:p w:rsidR="00485094" w:rsidRDefault="00485094" w:rsidP="001B0F18">
      <w:pPr>
        <w:pStyle w:val="Bodytext"/>
      </w:pPr>
      <w:r w:rsidRPr="008D7208">
        <w:t>Water quality data in the P</w:t>
      </w:r>
      <w:r>
        <w:t>WS d</w:t>
      </w:r>
      <w:r w:rsidRPr="008D7208">
        <w:t>atabase were used in the evaluation of regional and statewide contaminants of concern.  These data can either represent one individual well or a composite sample from multiple wells that comprise a system.  Generally, the most densely populated areas of the state have public supply systems with multiple wells</w:t>
      </w:r>
      <w:r>
        <w:t>,</w:t>
      </w:r>
      <w:r w:rsidRPr="008D7208">
        <w:t xml:space="preserve"> while less populated areas may rely on only one well.  Each public supply well was assigned to a basin or, in the case of a system, the basin that represents the majority of those wells.  In the analysis of contaminants of concern, the number of MCL exceedances </w:t>
      </w:r>
      <w:r>
        <w:t>is</w:t>
      </w:r>
      <w:r w:rsidRPr="008D7208">
        <w:t xml:space="preserve"> not weighted</w:t>
      </w:r>
      <w:r w:rsidRPr="00E138B6">
        <w:t>, and thus</w:t>
      </w:r>
      <w:r w:rsidRPr="008D7208">
        <w:t xml:space="preserve"> each exceedance may represent one individual well or a composite of many wells in a system.  Drinking water standards, monitoring requirements</w:t>
      </w:r>
      <w:r>
        <w:t>,</w:t>
      </w:r>
      <w:r w:rsidRPr="008D7208">
        <w:t xml:space="preserve"> and the frequency of sampling for public water supply wells are based on </w:t>
      </w:r>
      <w:r>
        <w:t>Chapter</w:t>
      </w:r>
      <w:r w:rsidRPr="008D7208">
        <w:t xml:space="preserve"> 62-550, F.A.C.</w:t>
      </w:r>
    </w:p>
    <w:p w:rsidR="00485094" w:rsidRPr="008D7208" w:rsidRDefault="00485094" w:rsidP="001B0F18">
      <w:pPr>
        <w:pStyle w:val="Bodytext"/>
      </w:pPr>
    </w:p>
    <w:p w:rsidR="00485094" w:rsidRPr="00C30FAC" w:rsidRDefault="00485094" w:rsidP="001B0F18">
      <w:pPr>
        <w:pStyle w:val="Heading3"/>
      </w:pPr>
      <w:bookmarkStart w:id="654" w:name="_Toc257365067"/>
      <w:bookmarkStart w:id="655" w:name="_Toc271280011"/>
      <w:r w:rsidRPr="00C30FAC">
        <w:t xml:space="preserve">Monitoring </w:t>
      </w:r>
      <w:r>
        <w:t>of Discharges to Ground Water</w:t>
      </w:r>
      <w:bookmarkEnd w:id="654"/>
      <w:bookmarkEnd w:id="655"/>
    </w:p>
    <w:p w:rsidR="00485094" w:rsidRPr="00012923" w:rsidRDefault="00485094" w:rsidP="001B0F18">
      <w:pPr>
        <w:pStyle w:val="Bodytext"/>
      </w:pPr>
      <w:r w:rsidRPr="00012923">
        <w:t xml:space="preserve">FDEP implements a comprehensive ground water quality protection program that regulates discharges to ground water.  The program establishes ground water quality standards and classifications and permitting criteria.  </w:t>
      </w:r>
      <w:r>
        <w:t>S</w:t>
      </w:r>
      <w:r w:rsidRPr="00012923">
        <w:t xml:space="preserve">everal FDEP rules </w:t>
      </w:r>
      <w:r>
        <w:t>contain</w:t>
      </w:r>
      <w:r w:rsidRPr="00012923">
        <w:t xml:space="preserve"> construction and operation requirements, minimum setbacks, and ground water monitoring criteria. </w:t>
      </w:r>
    </w:p>
    <w:p w:rsidR="00485094" w:rsidRDefault="00485094" w:rsidP="001B0F18">
      <w:pPr>
        <w:pStyle w:val="Bodytext"/>
      </w:pPr>
    </w:p>
    <w:p w:rsidR="00485094" w:rsidRPr="00012923" w:rsidRDefault="00485094" w:rsidP="001B0F18">
      <w:pPr>
        <w:pStyle w:val="Bodytext"/>
      </w:pPr>
      <w:r w:rsidRPr="00012923">
        <w:t>Most permitted discharges to ground water are required to submit and implement a ground water monitoring plan show</w:t>
      </w:r>
      <w:r>
        <w:t>ing</w:t>
      </w:r>
      <w:r w:rsidRPr="00012923">
        <w:t xml:space="preserve"> the location of the proposed upgradient and downgradient monitoring wells, construction details, and a ground water sampling and analysis protocol.  At a minimum, these plans require three monitoring wells:  a background well, an intermediate well, and a compliance well.  These wells are generally sampled quarterly</w:t>
      </w:r>
      <w:r>
        <w:t xml:space="preserve"> by the permittee</w:t>
      </w:r>
      <w:r w:rsidRPr="00012923">
        <w:t xml:space="preserve">, and the analysis is submitted to FDEP to ensure compliance with </w:t>
      </w:r>
      <w:smartTag w:uri="urn:schemas-microsoft-com:office:smarttags" w:element="State">
        <w:smartTag w:uri="urn:schemas-microsoft-com:office:smarttags" w:element="place">
          <w:r w:rsidRPr="00012923">
            <w:t>Florida</w:t>
          </w:r>
        </w:smartTag>
      </w:smartTag>
      <w:r w:rsidRPr="00012923">
        <w:t xml:space="preserve">’s ground water standards. </w:t>
      </w:r>
    </w:p>
    <w:p w:rsidR="00485094" w:rsidRPr="00012923" w:rsidRDefault="00485094" w:rsidP="001B0F18">
      <w:pPr>
        <w:pStyle w:val="Bodytextreduced"/>
      </w:pPr>
    </w:p>
    <w:p w:rsidR="00485094" w:rsidRPr="00012923" w:rsidRDefault="00485094" w:rsidP="00E85D84">
      <w:pPr>
        <w:pStyle w:val="Bodytextreduced"/>
      </w:pPr>
      <w:bookmarkStart w:id="656" w:name="_Toc209241277"/>
      <w:bookmarkStart w:id="657" w:name="_Toc255822574"/>
      <w:bookmarkEnd w:id="642"/>
      <w:bookmarkEnd w:id="643"/>
      <w:r>
        <w:br w:type="page"/>
      </w:r>
    </w:p>
    <w:p w:rsidR="00FC6EE0" w:rsidRDefault="00FC6EE0" w:rsidP="00FC6EE0">
      <w:pPr>
        <w:pStyle w:val="Bodytextreduced"/>
      </w:pPr>
      <w:bookmarkStart w:id="658" w:name="_Chapter_10:_"/>
      <w:bookmarkStart w:id="659" w:name="_Toc271280012"/>
      <w:bookmarkEnd w:id="658"/>
    </w:p>
    <w:p w:rsidR="00485094" w:rsidRDefault="00485094" w:rsidP="006E16DB">
      <w:pPr>
        <w:pStyle w:val="Heading1"/>
      </w:pPr>
      <w:r>
        <w:t>Chapter 10:  Results of the Ground Water Assessment</w:t>
      </w:r>
      <w:bookmarkEnd w:id="656"/>
      <w:bookmarkEnd w:id="657"/>
      <w:r>
        <w:t>s</w:t>
      </w:r>
      <w:bookmarkEnd w:id="659"/>
      <w:r w:rsidRPr="003A4461">
        <w:t xml:space="preserve"> </w:t>
      </w:r>
    </w:p>
    <w:p w:rsidR="00485094" w:rsidRPr="00012923" w:rsidRDefault="00485094" w:rsidP="00E85D84">
      <w:pPr>
        <w:pStyle w:val="Bodytextreduced"/>
      </w:pPr>
      <w:bookmarkStart w:id="660" w:name="_Toc209241278"/>
      <w:bookmarkStart w:id="661" w:name="_Toc255822575"/>
    </w:p>
    <w:p w:rsidR="00485094" w:rsidRDefault="00485094" w:rsidP="005D2035">
      <w:pPr>
        <w:pStyle w:val="Heading2"/>
      </w:pPr>
      <w:bookmarkStart w:id="662" w:name="_Toc257365069"/>
      <w:bookmarkStart w:id="663" w:name="_Toc271280013"/>
      <w:r>
        <w:t>Overall Ground Water Quality</w:t>
      </w:r>
      <w:bookmarkEnd w:id="662"/>
      <w:bookmarkEnd w:id="663"/>
    </w:p>
    <w:p w:rsidR="00485094" w:rsidRDefault="00485094" w:rsidP="005D2035">
      <w:pPr>
        <w:pStyle w:val="Bodytext"/>
      </w:pPr>
      <w:r>
        <w:t xml:space="preserve">A combination of data from all agencies in </w:t>
      </w:r>
      <w:smartTag w:uri="urn:schemas-microsoft-com:office:smarttags" w:element="State">
        <w:smartTag w:uri="urn:schemas-microsoft-com:office:smarttags" w:element="place">
          <w:r>
            <w:t>Florida</w:t>
          </w:r>
        </w:smartTag>
      </w:smartTag>
      <w:r>
        <w:t xml:space="preserve"> with ground water monitoring programs was used to evaluate the overall quality of ground water based on several categories of </w:t>
      </w:r>
      <w:r w:rsidRPr="00380A2E">
        <w:t>primary ground water MCL</w:t>
      </w:r>
      <w:r>
        <w:t>s</w:t>
      </w:r>
      <w:r w:rsidRPr="00380A2E">
        <w:t>.  The data were sorted into analyte groups</w:t>
      </w:r>
      <w:r>
        <w:t>,</w:t>
      </w:r>
      <w:r w:rsidRPr="00380A2E">
        <w:t xml:space="preserve"> and an “indicator” analyte was selected to determine ground water quality for wells in each of the basins.  The groups </w:t>
      </w:r>
      <w:r>
        <w:t>used in this evaluation include metals, bacteria, nitrate</w:t>
      </w:r>
      <w:r w:rsidRPr="00380A2E">
        <w:t xml:space="preserve">, </w:t>
      </w:r>
      <w:r>
        <w:t>and saline water, which</w:t>
      </w:r>
      <w:r w:rsidRPr="00380A2E">
        <w:t xml:space="preserve"> represent </w:t>
      </w:r>
      <w:r>
        <w:t>some of th</w:t>
      </w:r>
      <w:r w:rsidRPr="00380A2E">
        <w:t xml:space="preserve">e most common threats to drinking water noted by </w:t>
      </w:r>
      <w:r>
        <w:t xml:space="preserve">the </w:t>
      </w:r>
      <w:r w:rsidRPr="00380A2E">
        <w:t xml:space="preserve">EPA in national surveys.  </w:t>
      </w:r>
      <w:r>
        <w:t xml:space="preserve">Organics and radionuclides were not included in the Status Network parameter list but are addressed in a later section.  It should be noted that the ground water evaluation used a larger set of data from more monitoring stations than were available in the probabilistic network used for the Status and Trends reporting in </w:t>
      </w:r>
      <w:hyperlink w:anchor="_Chapter_5._" w:history="1">
        <w:r w:rsidRPr="0011748B">
          <w:rPr>
            <w:rStyle w:val="Hyperlink"/>
          </w:rPr>
          <w:t>Chapter 5</w:t>
        </w:r>
      </w:hyperlink>
      <w:r>
        <w:t xml:space="preserve">.  This evaluation also provided information by basin rather than statewide as was done with the assessments reported in </w:t>
      </w:r>
      <w:hyperlink w:anchor="_Chapter_5._" w:history="1">
        <w:r w:rsidR="0011748B" w:rsidRPr="0011748B">
          <w:rPr>
            <w:rStyle w:val="Hyperlink"/>
          </w:rPr>
          <w:t>Chapter 5</w:t>
        </w:r>
      </w:hyperlink>
      <w:r>
        <w:t>.</w:t>
      </w:r>
    </w:p>
    <w:p w:rsidR="00485094" w:rsidRPr="00380A2E" w:rsidRDefault="00485094" w:rsidP="005D2035">
      <w:pPr>
        <w:pStyle w:val="Bodytext"/>
      </w:pPr>
    </w:p>
    <w:p w:rsidR="00485094" w:rsidRPr="00380A2E" w:rsidRDefault="00485094" w:rsidP="005D2035">
      <w:pPr>
        <w:pStyle w:val="Bodytext"/>
      </w:pPr>
      <w:r>
        <w:t>T</w:t>
      </w:r>
      <w:r w:rsidRPr="00380A2E">
        <w:t xml:space="preserve">he </w:t>
      </w:r>
      <w:r>
        <w:t>wells used in</w:t>
      </w:r>
      <w:r w:rsidRPr="00380A2E">
        <w:t xml:space="preserve"> </w:t>
      </w:r>
      <w:r>
        <w:t xml:space="preserve">this statewide </w:t>
      </w:r>
      <w:r w:rsidRPr="00380A2E">
        <w:t>evaluation</w:t>
      </w:r>
      <w:r>
        <w:t xml:space="preserve"> of overall ground water quality consist of a mixture of drinking water, irrigation, production, and monitoring wells that are used by FDEP, the water management districts, and the USGS for monitoring ground water quality.  There is no single database from which these come, nor is there a singular monitoring objective under which the sampling occurred.</w:t>
      </w:r>
      <w:r w:rsidRPr="00380A2E">
        <w:t xml:space="preserve">  These data indicate general </w:t>
      </w:r>
      <w:r>
        <w:t xml:space="preserve">basin-scale or </w:t>
      </w:r>
      <w:r w:rsidRPr="00380A2E">
        <w:t xml:space="preserve">statewide conditions and </w:t>
      </w:r>
      <w:r>
        <w:t>do</w:t>
      </w:r>
      <w:r w:rsidRPr="00380A2E">
        <w:t xml:space="preserve"> not represent local con</w:t>
      </w:r>
      <w:r>
        <w:t>ditions</w:t>
      </w:r>
      <w:r w:rsidRPr="00380A2E">
        <w:t>.  The</w:t>
      </w:r>
      <w:r>
        <w:t>y</w:t>
      </w:r>
      <w:r w:rsidRPr="00380A2E">
        <w:t xml:space="preserve"> generally represent ambient ground water</w:t>
      </w:r>
      <w:r>
        <w:t xml:space="preserve"> quality</w:t>
      </w:r>
      <w:r w:rsidRPr="00380A2E">
        <w:t xml:space="preserve">, although a small number of </w:t>
      </w:r>
      <w:r>
        <w:t>wells are used for targeted monitoring.  I</w:t>
      </w:r>
      <w:r w:rsidRPr="00380A2E">
        <w:t xml:space="preserve">t is assumed for the purposes of this </w:t>
      </w:r>
      <w:r>
        <w:t>analysis</w:t>
      </w:r>
      <w:r w:rsidRPr="00380A2E">
        <w:t xml:space="preserve"> that the water quality in these wells provide</w:t>
      </w:r>
      <w:r>
        <w:t>s</w:t>
      </w:r>
      <w:r w:rsidRPr="00380A2E">
        <w:t xml:space="preserve"> a </w:t>
      </w:r>
      <w:r>
        <w:t>generalized</w:t>
      </w:r>
      <w:r w:rsidRPr="00380A2E">
        <w:t xml:space="preserve"> representation of overall ground water conditions</w:t>
      </w:r>
      <w:r>
        <w:t>.</w:t>
      </w:r>
    </w:p>
    <w:p w:rsidR="00485094" w:rsidRPr="00380A2E" w:rsidRDefault="00485094" w:rsidP="005D2035">
      <w:pPr>
        <w:pStyle w:val="Bodytext"/>
      </w:pPr>
    </w:p>
    <w:p w:rsidR="00485094" w:rsidRDefault="00485094" w:rsidP="005D2035">
      <w:pPr>
        <w:pStyle w:val="Bodytext"/>
      </w:pPr>
      <w:r w:rsidRPr="00D76772">
        <w:rPr>
          <w:b/>
          <w:i/>
        </w:rPr>
        <w:t xml:space="preserve">Table </w:t>
      </w:r>
      <w:r>
        <w:rPr>
          <w:b/>
          <w:i/>
        </w:rPr>
        <w:t>10.1</w:t>
      </w:r>
      <w:r w:rsidRPr="00D76772">
        <w:rPr>
          <w:b/>
          <w:i/>
        </w:rPr>
        <w:t xml:space="preserve"> </w:t>
      </w:r>
      <w:r>
        <w:t xml:space="preserve">presents the results of this evaluation, with the results provided by individual basin and combined for statewide statistics.  The results in the table are further broken down to show the results from the past two years and prior data back to 2000.  Older (pre-2000) data may include nonrepresentative artifacts from sample collection and analysis, and so these are not included in the assessment. </w:t>
      </w:r>
    </w:p>
    <w:p w:rsidR="00485094" w:rsidRDefault="00485094" w:rsidP="005D2035">
      <w:pPr>
        <w:pStyle w:val="Bodytext"/>
        <w:rPr>
          <w:rFonts w:cs="Arial"/>
          <w:szCs w:val="22"/>
        </w:rPr>
      </w:pPr>
    </w:p>
    <w:p w:rsidR="00485094" w:rsidRDefault="00485094" w:rsidP="005D2035">
      <w:pPr>
        <w:pStyle w:val="Bodytext"/>
      </w:pPr>
      <w:r w:rsidRPr="005B0A81">
        <w:t xml:space="preserve">In the statewide </w:t>
      </w:r>
      <w:r>
        <w:t>dataset</w:t>
      </w:r>
      <w:r w:rsidRPr="005B0A81">
        <w:t xml:space="preserve">, </w:t>
      </w:r>
      <w:r>
        <w:t xml:space="preserve">bacteria (as total coliform) and salinity (as sodium) were </w:t>
      </w:r>
      <w:r w:rsidRPr="005B0A81">
        <w:t>the analyte group</w:t>
      </w:r>
      <w:r>
        <w:t>s</w:t>
      </w:r>
      <w:r w:rsidRPr="005B0A81">
        <w:t xml:space="preserve"> with the fewest wells that </w:t>
      </w:r>
      <w:r>
        <w:t xml:space="preserve">were found to </w:t>
      </w:r>
      <w:r w:rsidRPr="005B0A81">
        <w:t>m</w:t>
      </w:r>
      <w:r>
        <w:t>e</w:t>
      </w:r>
      <w:r w:rsidRPr="005B0A81">
        <w:t>et their designated use</w:t>
      </w:r>
      <w:r>
        <w:t>s.</w:t>
      </w:r>
    </w:p>
    <w:p w:rsidR="00485094" w:rsidRPr="005B0A81" w:rsidRDefault="00485094" w:rsidP="005D2035">
      <w:pPr>
        <w:pStyle w:val="Bodytext"/>
      </w:pPr>
    </w:p>
    <w:p w:rsidR="00485094" w:rsidRDefault="00485094" w:rsidP="005D2035">
      <w:pPr>
        <w:pStyle w:val="Bodytext"/>
      </w:pPr>
      <w:r w:rsidRPr="005B0A81">
        <w:t>Coliform</w:t>
      </w:r>
      <w:r>
        <w:t xml:space="preserve"> bacteria</w:t>
      </w:r>
      <w:r w:rsidRPr="005B0A81">
        <w:t xml:space="preserve"> can commonly reflect conditions in the well rather than the aquifer when associated with well construction or inadequate maintenance issues, </w:t>
      </w:r>
      <w:r>
        <w:t xml:space="preserve">and </w:t>
      </w:r>
      <w:r w:rsidRPr="005B0A81">
        <w:t xml:space="preserve">so these results should also be scrutinized.  They are discussed in greater detail in the </w:t>
      </w:r>
      <w:r>
        <w:t xml:space="preserve">next section </w:t>
      </w:r>
      <w:r w:rsidRPr="005B0A81">
        <w:t xml:space="preserve">on contaminants of concern.  The statewide assessment shows that </w:t>
      </w:r>
      <w:r>
        <w:t xml:space="preserve">data from the past 2 years were similar to the 2000–07 median in the number of samples achieving the MCL (84% compared with 81%).  </w:t>
      </w:r>
      <w:r w:rsidRPr="006E16DB">
        <w:rPr>
          <w:b/>
          <w:i/>
        </w:rPr>
        <w:t>Table 10.1</w:t>
      </w:r>
      <w:r>
        <w:t xml:space="preserve"> shows the basins with the highest number of wells achieving the ground water standards.  The Everglades, Everglades West Coast, Ochlockonee–St. Marks, and Southeast Coast–Biscayne Bay Basins have the highest number of wells exceeding the MCL for total coliform.</w:t>
      </w:r>
    </w:p>
    <w:p w:rsidR="00485094" w:rsidRPr="005B0A81" w:rsidRDefault="00485094" w:rsidP="005D2035">
      <w:pPr>
        <w:pStyle w:val="Bodytext"/>
      </w:pPr>
    </w:p>
    <w:p w:rsidR="00485094" w:rsidRDefault="00485094" w:rsidP="005D2035">
      <w:pPr>
        <w:pStyle w:val="Bodytext"/>
        <w:sectPr w:rsidR="00485094" w:rsidSect="005D2035">
          <w:headerReference w:type="even" r:id="rId151"/>
          <w:footerReference w:type="even" r:id="rId152"/>
          <w:footerReference w:type="default" r:id="rId153"/>
          <w:headerReference w:type="first" r:id="rId154"/>
          <w:pgSz w:w="12240" w:h="15840"/>
          <w:pgMar w:top="1440" w:right="1440" w:bottom="1440" w:left="1440" w:header="720" w:footer="720" w:gutter="0"/>
          <w:cols w:space="720"/>
          <w:docGrid w:linePitch="360"/>
        </w:sectPr>
      </w:pPr>
    </w:p>
    <w:p w:rsidR="00485094" w:rsidRDefault="00485094" w:rsidP="005D2035">
      <w:pPr>
        <w:pStyle w:val="Tableheading"/>
      </w:pPr>
      <w:bookmarkStart w:id="664" w:name="_Toc257365164"/>
      <w:bookmarkStart w:id="665" w:name="_Toc271280128"/>
      <w:r w:rsidRPr="00742904">
        <w:t xml:space="preserve">Table </w:t>
      </w:r>
      <w:r>
        <w:t>10.1</w:t>
      </w:r>
      <w:r w:rsidRPr="00742904">
        <w:t>.</w:t>
      </w:r>
      <w:r>
        <w:tab/>
      </w:r>
      <w:r w:rsidRPr="00742904">
        <w:t>Summary of Percent Ground Water Samples Achieving Primary Ground Water Standards for Selected Analytes</w:t>
      </w:r>
      <w:r>
        <w:t xml:space="preserve"> b</w:t>
      </w:r>
      <w:r w:rsidRPr="00742904">
        <w:t>y Basin</w:t>
      </w:r>
      <w:bookmarkEnd w:id="664"/>
      <w:bookmarkEnd w:id="665"/>
    </w:p>
    <w:p w:rsidR="00485094" w:rsidRDefault="00485094" w:rsidP="005D2035">
      <w:pPr>
        <w:pStyle w:val="TabledescriptionBF"/>
      </w:pPr>
      <w:r>
        <w:t>This is a seven-column table.  Column 1 lists the basins, Column 2 lists the most frequent metal (arsenic or lead) over the MCL in 2000–07 and 2008–09, and Columns 3 through 5 list the results for arsenic, lead, total coliform, nitrate + nitrite (as N), and total sodium, respectively, in 2000–07 and 2008–09.</w:t>
      </w:r>
    </w:p>
    <w:p w:rsidR="00485094" w:rsidRDefault="00485094" w:rsidP="005D2035">
      <w:pPr>
        <w:pStyle w:val="Bodytextreduced"/>
        <w:rPr>
          <w:b/>
        </w:rPr>
      </w:pPr>
    </w:p>
    <w:p w:rsidR="00485094" w:rsidRPr="00336540" w:rsidRDefault="00485094" w:rsidP="00943060">
      <w:pPr>
        <w:pStyle w:val="Bodytextreduced"/>
      </w:pPr>
      <w:r w:rsidRPr="00336540">
        <w:rPr>
          <w:b/>
        </w:rPr>
        <w:t>Note</w:t>
      </w:r>
      <w:r>
        <w:rPr>
          <w:b/>
        </w:rPr>
        <w:t>s</w:t>
      </w:r>
      <w:r w:rsidRPr="00336540">
        <w:rPr>
          <w:b/>
        </w:rPr>
        <w:t>:</w:t>
      </w:r>
      <w:r>
        <w:rPr>
          <w:b/>
        </w:rPr>
        <w:t xml:space="preserve">  </w:t>
      </w:r>
      <w:r w:rsidRPr="00336540">
        <w:t>Data are from a combination of sources</w:t>
      </w:r>
      <w:r>
        <w:t>,</w:t>
      </w:r>
      <w:r w:rsidRPr="00336540">
        <w:t xml:space="preserve"> including FDEP’s Status Network, the water management districts, and USGS.</w:t>
      </w:r>
      <w:r>
        <w:t xml:space="preserve">  </w:t>
      </w:r>
      <w:r w:rsidRPr="00336540">
        <w:t>For some basins, datasets are limited</w:t>
      </w:r>
      <w:r>
        <w:t>.  V</w:t>
      </w:r>
      <w:r w:rsidRPr="00336540">
        <w:t xml:space="preserve">alues for basins with 5 or fewer samples are </w:t>
      </w:r>
      <w:r>
        <w:t xml:space="preserve">indicated by </w:t>
      </w:r>
      <w:r w:rsidRPr="00336540">
        <w:rPr>
          <w:highlight w:val="lightGray"/>
        </w:rPr>
        <w:t>shad</w:t>
      </w:r>
      <w:r>
        <w:rPr>
          <w:highlight w:val="lightGray"/>
        </w:rPr>
        <w:t>ing</w:t>
      </w:r>
      <w:r>
        <w:t xml:space="preserve"> and an asterisk</w:t>
      </w:r>
      <w:r w:rsidRPr="00336540">
        <w:t>.</w:t>
      </w:r>
    </w:p>
    <w:p w:rsidR="00485094" w:rsidRPr="00336540" w:rsidRDefault="00485094" w:rsidP="005D2035">
      <w:pPr>
        <w:pStyle w:val="Bodytextreduced"/>
      </w:pPr>
      <w:r w:rsidRPr="001B5059">
        <w:rPr>
          <w:vertAlign w:val="superscript"/>
        </w:rPr>
        <w:t>1</w:t>
      </w:r>
      <w:r>
        <w:t xml:space="preserve"> </w:t>
      </w:r>
      <w:r w:rsidRPr="00336540">
        <w:t xml:space="preserve">Metals assessments were conducted for arsenic (As) and lead (Pb), the two primary metals most commonly exceeding their MCL.  </w:t>
      </w:r>
    </w:p>
    <w:p w:rsidR="00485094" w:rsidRPr="00814746" w:rsidRDefault="00485094" w:rsidP="005D2035">
      <w:pPr>
        <w:pStyle w:val="Bodytextreduced"/>
        <w:rPr>
          <w:rFonts w:cs="Arial"/>
          <w:b/>
          <w:sz w:val="18"/>
          <w:szCs w:val="18"/>
        </w:rPr>
      </w:pPr>
      <w:r w:rsidRPr="00336540">
        <w:t>N/A</w:t>
      </w:r>
      <w:r>
        <w:t xml:space="preserve"> = N</w:t>
      </w:r>
      <w:r w:rsidRPr="00336540">
        <w:t>ot available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0"/>
        <w:gridCol w:w="1850"/>
        <w:gridCol w:w="1845"/>
        <w:gridCol w:w="1838"/>
        <w:gridCol w:w="1847"/>
        <w:gridCol w:w="1841"/>
        <w:gridCol w:w="1845"/>
      </w:tblGrid>
      <w:tr w:rsidR="00485094" w:rsidRPr="000F2909" w:rsidTr="000F2909">
        <w:trPr>
          <w:jc w:val="center"/>
        </w:trPr>
        <w:tc>
          <w:tcPr>
            <w:tcW w:w="2134" w:type="dxa"/>
            <w:tcBorders>
              <w:bottom w:val="double" w:sz="4" w:space="0" w:color="auto"/>
            </w:tcBorders>
            <w:shd w:val="clear" w:color="auto" w:fill="BDFFFF"/>
            <w:vAlign w:val="bottom"/>
          </w:tcPr>
          <w:p w:rsidR="00485094" w:rsidRPr="000F2909" w:rsidRDefault="00485094" w:rsidP="005D2035">
            <w:pPr>
              <w:pStyle w:val="Tabletextreduced"/>
              <w:jc w:val="center"/>
              <w:rPr>
                <w:rFonts w:ascii="Arial" w:hAnsi="Arial"/>
                <w:b/>
                <w:bCs/>
                <w:i/>
              </w:rPr>
            </w:pPr>
            <w:r w:rsidRPr="000F2909">
              <w:rPr>
                <w:rFonts w:ascii="Arial" w:hAnsi="Arial"/>
                <w:b/>
                <w:i/>
              </w:rPr>
              <w:t>Basin</w:t>
            </w:r>
          </w:p>
        </w:tc>
        <w:tc>
          <w:tcPr>
            <w:tcW w:w="1882" w:type="dxa"/>
            <w:tcBorders>
              <w:bottom w:val="double" w:sz="4" w:space="0" w:color="auto"/>
            </w:tcBorders>
            <w:shd w:val="clear" w:color="auto" w:fill="BDFFFF"/>
            <w:vAlign w:val="bottom"/>
          </w:tcPr>
          <w:p w:rsidR="00485094" w:rsidRPr="000F2909" w:rsidRDefault="00485094" w:rsidP="005D2035">
            <w:pPr>
              <w:pStyle w:val="Tabletextreduced"/>
              <w:jc w:val="center"/>
              <w:rPr>
                <w:rFonts w:ascii="Arial" w:hAnsi="Arial"/>
                <w:b/>
                <w:bCs/>
                <w:i/>
              </w:rPr>
            </w:pPr>
            <w:r w:rsidRPr="000F2909">
              <w:rPr>
                <w:rFonts w:ascii="Arial" w:hAnsi="Arial"/>
                <w:b/>
                <w:bCs/>
                <w:i/>
              </w:rPr>
              <w:t>Metals</w:t>
            </w:r>
          </w:p>
          <w:p w:rsidR="00485094" w:rsidRPr="000F2909" w:rsidRDefault="00485094" w:rsidP="005D2035">
            <w:pPr>
              <w:pStyle w:val="Tabletextreduced"/>
              <w:jc w:val="center"/>
              <w:rPr>
                <w:rFonts w:ascii="Arial" w:hAnsi="Arial"/>
                <w:b/>
                <w:bCs/>
                <w:i/>
              </w:rPr>
            </w:pPr>
            <w:r w:rsidRPr="000F2909">
              <w:rPr>
                <w:rFonts w:ascii="Arial" w:hAnsi="Arial"/>
                <w:b/>
                <w:bCs/>
                <w:i/>
              </w:rPr>
              <w:t>(Most Frequent Metal exceeding MCL</w:t>
            </w:r>
          </w:p>
          <w:p w:rsidR="00485094" w:rsidRPr="000F2909" w:rsidRDefault="00485094" w:rsidP="005D2035">
            <w:pPr>
              <w:pStyle w:val="Tabletextreduced"/>
              <w:jc w:val="center"/>
              <w:rPr>
                <w:rFonts w:ascii="Arial" w:hAnsi="Arial"/>
                <w:b/>
                <w:bCs/>
                <w:i/>
              </w:rPr>
            </w:pPr>
            <w:r w:rsidRPr="000F2909">
              <w:rPr>
                <w:rFonts w:ascii="Arial" w:hAnsi="Arial"/>
                <w:b/>
                <w:bCs/>
                <w:i/>
                <w:iCs/>
              </w:rPr>
              <w:t>2000–07 / 2008–09</w:t>
            </w:r>
          </w:p>
        </w:tc>
        <w:tc>
          <w:tcPr>
            <w:tcW w:w="1882" w:type="dxa"/>
            <w:tcBorders>
              <w:bottom w:val="double" w:sz="4" w:space="0" w:color="auto"/>
            </w:tcBorders>
            <w:shd w:val="clear" w:color="auto" w:fill="BDFFFF"/>
            <w:vAlign w:val="bottom"/>
          </w:tcPr>
          <w:p w:rsidR="00485094" w:rsidRPr="000F2909" w:rsidRDefault="00485094" w:rsidP="005D2035">
            <w:pPr>
              <w:pStyle w:val="Tabletextreduced"/>
              <w:jc w:val="center"/>
              <w:rPr>
                <w:rFonts w:ascii="Arial" w:hAnsi="Arial"/>
                <w:b/>
                <w:bCs/>
                <w:i/>
              </w:rPr>
            </w:pPr>
            <w:r w:rsidRPr="000F2909">
              <w:rPr>
                <w:rFonts w:ascii="Arial" w:hAnsi="Arial"/>
                <w:b/>
                <w:bCs/>
                <w:i/>
              </w:rPr>
              <w:t>Arsenic</w:t>
            </w:r>
            <w:r w:rsidRPr="000F2909">
              <w:rPr>
                <w:rFonts w:ascii="Arial" w:hAnsi="Arial"/>
                <w:b/>
                <w:bCs/>
                <w:i/>
                <w:vertAlign w:val="superscript"/>
              </w:rPr>
              <w:t>1</w:t>
            </w:r>
          </w:p>
          <w:p w:rsidR="00485094" w:rsidRPr="000F2909" w:rsidRDefault="00485094" w:rsidP="005D2035">
            <w:pPr>
              <w:pStyle w:val="Tabletextreduced"/>
              <w:jc w:val="center"/>
              <w:rPr>
                <w:rFonts w:ascii="Arial" w:hAnsi="Arial"/>
                <w:b/>
                <w:bCs/>
                <w:i/>
              </w:rPr>
            </w:pPr>
            <w:r w:rsidRPr="000F2909">
              <w:rPr>
                <w:rFonts w:ascii="Arial" w:hAnsi="Arial"/>
                <w:b/>
                <w:bCs/>
                <w:i/>
                <w:iCs/>
              </w:rPr>
              <w:t>2000–07 / 2008–09</w:t>
            </w:r>
          </w:p>
        </w:tc>
        <w:tc>
          <w:tcPr>
            <w:tcW w:w="1882" w:type="dxa"/>
            <w:tcBorders>
              <w:bottom w:val="double" w:sz="4" w:space="0" w:color="auto"/>
            </w:tcBorders>
            <w:shd w:val="clear" w:color="auto" w:fill="BDFFFF"/>
            <w:vAlign w:val="bottom"/>
          </w:tcPr>
          <w:p w:rsidR="00485094" w:rsidRPr="000F2909" w:rsidRDefault="00485094" w:rsidP="005D2035">
            <w:pPr>
              <w:pStyle w:val="Tabletextreduced"/>
              <w:jc w:val="center"/>
              <w:rPr>
                <w:rFonts w:ascii="Arial" w:hAnsi="Arial"/>
                <w:b/>
                <w:bCs/>
                <w:i/>
              </w:rPr>
            </w:pPr>
            <w:r w:rsidRPr="000F2909">
              <w:rPr>
                <w:rFonts w:ascii="Arial" w:hAnsi="Arial"/>
                <w:b/>
                <w:bCs/>
                <w:i/>
              </w:rPr>
              <w:t>Lead</w:t>
            </w:r>
            <w:r w:rsidRPr="000F2909">
              <w:rPr>
                <w:rFonts w:ascii="Arial" w:hAnsi="Arial"/>
                <w:b/>
                <w:bCs/>
                <w:i/>
                <w:vertAlign w:val="superscript"/>
              </w:rPr>
              <w:t>1</w:t>
            </w:r>
          </w:p>
          <w:p w:rsidR="00485094" w:rsidRPr="000F2909" w:rsidRDefault="00485094" w:rsidP="005D2035">
            <w:pPr>
              <w:pStyle w:val="Tabletextreduced"/>
              <w:jc w:val="center"/>
              <w:rPr>
                <w:rFonts w:ascii="Arial" w:hAnsi="Arial"/>
                <w:b/>
                <w:bCs/>
                <w:i/>
              </w:rPr>
            </w:pPr>
            <w:r w:rsidRPr="000F2909">
              <w:rPr>
                <w:rFonts w:ascii="Arial" w:hAnsi="Arial"/>
                <w:b/>
                <w:bCs/>
                <w:i/>
                <w:iCs/>
              </w:rPr>
              <w:t>2000–07 / 2008–09</w:t>
            </w:r>
          </w:p>
        </w:tc>
        <w:tc>
          <w:tcPr>
            <w:tcW w:w="1882" w:type="dxa"/>
            <w:tcBorders>
              <w:bottom w:val="double" w:sz="4" w:space="0" w:color="auto"/>
            </w:tcBorders>
            <w:shd w:val="clear" w:color="auto" w:fill="BDFFFF"/>
            <w:vAlign w:val="bottom"/>
          </w:tcPr>
          <w:p w:rsidR="00485094" w:rsidRPr="000F2909" w:rsidRDefault="00485094" w:rsidP="005D2035">
            <w:pPr>
              <w:pStyle w:val="Tabletextreduced"/>
              <w:jc w:val="center"/>
              <w:rPr>
                <w:rFonts w:ascii="Arial" w:hAnsi="Arial"/>
                <w:b/>
                <w:bCs/>
                <w:i/>
              </w:rPr>
            </w:pPr>
            <w:r w:rsidRPr="000F2909">
              <w:rPr>
                <w:rFonts w:ascii="Arial" w:hAnsi="Arial"/>
                <w:b/>
                <w:bCs/>
                <w:i/>
              </w:rPr>
              <w:t>Coliform, Total</w:t>
            </w:r>
          </w:p>
          <w:p w:rsidR="00485094" w:rsidRPr="000F2909" w:rsidRDefault="00485094" w:rsidP="005D2035">
            <w:pPr>
              <w:pStyle w:val="Tabletextreduced"/>
              <w:jc w:val="center"/>
              <w:rPr>
                <w:rFonts w:ascii="Arial" w:hAnsi="Arial"/>
                <w:b/>
                <w:bCs/>
                <w:i/>
              </w:rPr>
            </w:pPr>
            <w:r w:rsidRPr="000F2909">
              <w:rPr>
                <w:rFonts w:ascii="Arial" w:hAnsi="Arial"/>
                <w:b/>
                <w:bCs/>
                <w:i/>
                <w:iCs/>
              </w:rPr>
              <w:t>2000–07 / 2008–09</w:t>
            </w:r>
          </w:p>
        </w:tc>
        <w:tc>
          <w:tcPr>
            <w:tcW w:w="1883" w:type="dxa"/>
            <w:tcBorders>
              <w:bottom w:val="double" w:sz="4" w:space="0" w:color="auto"/>
            </w:tcBorders>
            <w:shd w:val="clear" w:color="auto" w:fill="BDFFFF"/>
            <w:vAlign w:val="bottom"/>
          </w:tcPr>
          <w:p w:rsidR="00485094" w:rsidRPr="000F2909" w:rsidRDefault="00485094" w:rsidP="005D2035">
            <w:pPr>
              <w:pStyle w:val="Tabletextreduced"/>
              <w:jc w:val="center"/>
              <w:rPr>
                <w:rFonts w:ascii="Arial" w:hAnsi="Arial"/>
                <w:b/>
                <w:bCs/>
                <w:i/>
              </w:rPr>
            </w:pPr>
            <w:r w:rsidRPr="000F2909">
              <w:rPr>
                <w:rFonts w:ascii="Arial" w:hAnsi="Arial"/>
                <w:b/>
                <w:bCs/>
                <w:i/>
              </w:rPr>
              <w:t xml:space="preserve">Nitrate + Nitrite </w:t>
            </w:r>
          </w:p>
          <w:p w:rsidR="00485094" w:rsidRPr="000F2909" w:rsidRDefault="00485094" w:rsidP="005D2035">
            <w:pPr>
              <w:pStyle w:val="Tabletextreduced"/>
              <w:jc w:val="center"/>
              <w:rPr>
                <w:rFonts w:ascii="Arial" w:hAnsi="Arial"/>
                <w:b/>
                <w:bCs/>
                <w:i/>
              </w:rPr>
            </w:pPr>
            <w:r w:rsidRPr="000F2909">
              <w:rPr>
                <w:rFonts w:ascii="Arial" w:hAnsi="Arial"/>
                <w:b/>
                <w:bCs/>
                <w:i/>
              </w:rPr>
              <w:t>(as N)</w:t>
            </w:r>
          </w:p>
          <w:p w:rsidR="00485094" w:rsidRPr="000F2909" w:rsidRDefault="00485094" w:rsidP="005D2035">
            <w:pPr>
              <w:pStyle w:val="Tabletextreduced"/>
              <w:jc w:val="center"/>
              <w:rPr>
                <w:rFonts w:ascii="Arial" w:hAnsi="Arial"/>
                <w:b/>
                <w:bCs/>
                <w:i/>
              </w:rPr>
            </w:pPr>
            <w:r w:rsidRPr="000F2909">
              <w:rPr>
                <w:rFonts w:ascii="Arial" w:hAnsi="Arial"/>
                <w:b/>
                <w:bCs/>
                <w:i/>
                <w:iCs/>
              </w:rPr>
              <w:t>2000–07 / 2008–09</w:t>
            </w:r>
          </w:p>
        </w:tc>
        <w:tc>
          <w:tcPr>
            <w:tcW w:w="1883" w:type="dxa"/>
            <w:tcBorders>
              <w:bottom w:val="double" w:sz="4" w:space="0" w:color="auto"/>
            </w:tcBorders>
            <w:shd w:val="clear" w:color="auto" w:fill="BDFFFF"/>
            <w:vAlign w:val="bottom"/>
          </w:tcPr>
          <w:p w:rsidR="00485094" w:rsidRPr="000F2909" w:rsidRDefault="00485094" w:rsidP="005D2035">
            <w:pPr>
              <w:pStyle w:val="Tabletextreduced"/>
              <w:jc w:val="center"/>
              <w:rPr>
                <w:rFonts w:ascii="Arial" w:hAnsi="Arial"/>
                <w:b/>
                <w:bCs/>
                <w:i/>
              </w:rPr>
            </w:pPr>
            <w:r w:rsidRPr="000F2909">
              <w:rPr>
                <w:rFonts w:ascii="Arial" w:hAnsi="Arial"/>
                <w:b/>
                <w:bCs/>
                <w:i/>
              </w:rPr>
              <w:t>Sodium, Total</w:t>
            </w:r>
          </w:p>
          <w:p w:rsidR="00485094" w:rsidRPr="000F2909" w:rsidRDefault="00485094" w:rsidP="005D2035">
            <w:pPr>
              <w:pStyle w:val="Tabletextreduced"/>
              <w:jc w:val="center"/>
              <w:rPr>
                <w:rFonts w:ascii="Arial" w:hAnsi="Arial"/>
                <w:b/>
                <w:bCs/>
                <w:i/>
              </w:rPr>
            </w:pPr>
            <w:r w:rsidRPr="000F2909">
              <w:rPr>
                <w:rFonts w:ascii="Arial" w:hAnsi="Arial"/>
                <w:b/>
                <w:bCs/>
                <w:i/>
                <w:iCs/>
              </w:rPr>
              <w:t>2000–07 / 2008–09</w:t>
            </w:r>
          </w:p>
        </w:tc>
      </w:tr>
      <w:tr w:rsidR="00485094" w:rsidRPr="00336540" w:rsidTr="000F2909">
        <w:trPr>
          <w:jc w:val="center"/>
        </w:trPr>
        <w:tc>
          <w:tcPr>
            <w:tcW w:w="2134" w:type="dxa"/>
            <w:tcBorders>
              <w:top w:val="double" w:sz="4" w:space="0" w:color="auto"/>
            </w:tcBorders>
            <w:shd w:val="clear" w:color="auto" w:fill="FFFFCC"/>
            <w:vAlign w:val="center"/>
          </w:tcPr>
          <w:p w:rsidR="00485094" w:rsidRPr="00336540" w:rsidRDefault="00485094" w:rsidP="005D2035">
            <w:pPr>
              <w:pStyle w:val="Tabletextreduced"/>
              <w:jc w:val="center"/>
              <w:rPr>
                <w:rFonts w:ascii="Arial" w:hAnsi="Arial"/>
                <w:bCs/>
              </w:rPr>
            </w:pPr>
            <w:r w:rsidRPr="00336540">
              <w:rPr>
                <w:rFonts w:ascii="Arial" w:hAnsi="Arial"/>
                <w:bCs/>
              </w:rPr>
              <w:t>Apalachicola–Chipola</w:t>
            </w:r>
          </w:p>
        </w:tc>
        <w:tc>
          <w:tcPr>
            <w:tcW w:w="1882" w:type="dxa"/>
            <w:tcBorders>
              <w:top w:val="double" w:sz="4" w:space="0" w:color="auto"/>
            </w:tcBorders>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tcBorders>
              <w:top w:val="double" w:sz="4" w:space="0" w:color="auto"/>
            </w:tcBorders>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tcBorders>
              <w:top w:val="double" w:sz="4" w:space="0" w:color="auto"/>
            </w:tcBorders>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tcBorders>
              <w:top w:val="double" w:sz="4" w:space="0" w:color="auto"/>
            </w:tcBorders>
            <w:vAlign w:val="center"/>
          </w:tcPr>
          <w:p w:rsidR="00485094" w:rsidRPr="00336540" w:rsidRDefault="00485094" w:rsidP="005D2035">
            <w:pPr>
              <w:pStyle w:val="Tabletextreduced"/>
              <w:jc w:val="center"/>
              <w:rPr>
                <w:rFonts w:ascii="Arial" w:hAnsi="Arial"/>
                <w:bCs/>
              </w:rPr>
            </w:pPr>
            <w:r w:rsidRPr="00336540">
              <w:rPr>
                <w:rFonts w:ascii="Arial" w:hAnsi="Arial"/>
                <w:bCs/>
              </w:rPr>
              <w:t>92% - 100%</w:t>
            </w:r>
          </w:p>
        </w:tc>
        <w:tc>
          <w:tcPr>
            <w:tcW w:w="1883" w:type="dxa"/>
            <w:tcBorders>
              <w:top w:val="double" w:sz="4" w:space="0" w:color="auto"/>
            </w:tcBorders>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3" w:type="dxa"/>
            <w:tcBorders>
              <w:top w:val="double" w:sz="4" w:space="0" w:color="auto"/>
            </w:tcBorders>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r w:rsidRPr="00336540">
              <w:rPr>
                <w:rFonts w:ascii="Arial" w:hAnsi="Arial"/>
                <w:bCs/>
              </w:rPr>
              <w:t>Caloosahatchee</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82% - 100% (As)</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82%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75% - 83%</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39% -75 %</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smartTag w:uri="urn:schemas-microsoft-com:office:smarttags" w:element="PlaceName">
              <w:smartTag w:uri="urn:schemas-microsoft-com:office:smarttags" w:element="place">
                <w:r w:rsidRPr="00336540">
                  <w:rPr>
                    <w:rFonts w:ascii="Arial" w:hAnsi="Arial"/>
                    <w:bCs/>
                  </w:rPr>
                  <w:t>Charlotte</w:t>
                </w:r>
              </w:smartTag>
              <w:r w:rsidRPr="00336540">
                <w:rPr>
                  <w:rFonts w:ascii="Arial" w:hAnsi="Arial"/>
                  <w:bCs/>
                </w:rPr>
                <w:t xml:space="preserve"> </w:t>
              </w:r>
              <w:smartTag w:uri="urn:schemas-microsoft-com:office:smarttags" w:element="PlaceName">
                <w:r w:rsidRPr="00336540">
                  <w:rPr>
                    <w:rFonts w:ascii="Arial" w:hAnsi="Arial"/>
                    <w:bCs/>
                  </w:rPr>
                  <w:t>Harbor</w:t>
                </w:r>
              </w:smartTag>
            </w:smartTag>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95% - 100% (As)</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95%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97%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84%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 xml:space="preserve">37% - </w:t>
            </w:r>
            <w:r w:rsidRPr="00336540">
              <w:rPr>
                <w:rFonts w:ascii="Arial" w:hAnsi="Arial"/>
                <w:bCs/>
                <w:highlight w:val="lightGray"/>
              </w:rPr>
              <w:t>0%</w:t>
            </w:r>
            <w:r>
              <w:rPr>
                <w:rFonts w:ascii="Arial" w:hAnsi="Arial"/>
                <w:bCs/>
              </w:rPr>
              <w:t>*</w:t>
            </w:r>
          </w:p>
        </w:tc>
      </w:tr>
      <w:tr w:rsidR="00485094" w:rsidRPr="00336540" w:rsidTr="00E86B70">
        <w:trPr>
          <w:jc w:val="center"/>
        </w:trPr>
        <w:tc>
          <w:tcPr>
            <w:tcW w:w="2134" w:type="dxa"/>
            <w:shd w:val="clear" w:color="auto" w:fill="FFFFCC"/>
            <w:vAlign w:val="center"/>
          </w:tcPr>
          <w:p w:rsidR="00485094" w:rsidRDefault="00485094" w:rsidP="005D2035">
            <w:pPr>
              <w:pStyle w:val="Tabletextreduced"/>
              <w:jc w:val="center"/>
              <w:rPr>
                <w:rFonts w:ascii="Arial" w:hAnsi="Arial"/>
                <w:bCs/>
              </w:rPr>
            </w:pPr>
            <w:smartTag w:uri="urn:schemas-microsoft-com:office:smarttags" w:element="place">
              <w:r w:rsidRPr="00336540">
                <w:rPr>
                  <w:rFonts w:ascii="Arial" w:hAnsi="Arial"/>
                  <w:bCs/>
                </w:rPr>
                <w:t>Choctawhatchee–</w:t>
              </w:r>
            </w:smartTag>
          </w:p>
          <w:p w:rsidR="00485094" w:rsidRPr="00336540" w:rsidRDefault="00485094" w:rsidP="005D2035">
            <w:pPr>
              <w:pStyle w:val="Tabletextreduced"/>
              <w:jc w:val="center"/>
              <w:rPr>
                <w:rFonts w:ascii="Arial" w:hAnsi="Arial"/>
                <w:bCs/>
              </w:rPr>
            </w:pPr>
            <w:r w:rsidRPr="00336540">
              <w:rPr>
                <w:rFonts w:ascii="Arial" w:hAnsi="Arial"/>
                <w:bCs/>
              </w:rPr>
              <w:t>St. Andrew</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87% - 90%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- 100%</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smartTag w:uri="urn:schemas-microsoft-com:office:smarttags" w:element="place">
              <w:r w:rsidRPr="00336540">
                <w:rPr>
                  <w:rFonts w:ascii="Arial" w:hAnsi="Arial"/>
                  <w:bCs/>
                </w:rPr>
                <w:t>Everglades</w:t>
              </w:r>
            </w:smartTag>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N/A - 63%</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- 98%</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55% - 76%</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smartTag w:uri="urn:schemas-microsoft-com:office:smarttags" w:element="place">
              <w:r w:rsidRPr="00336540">
                <w:rPr>
                  <w:rFonts w:ascii="Arial" w:hAnsi="Arial"/>
                  <w:bCs/>
                </w:rPr>
                <w:t>Everglades</w:t>
              </w:r>
            </w:smartTag>
            <w:r w:rsidRPr="00336540">
              <w:rPr>
                <w:rFonts w:ascii="Arial" w:hAnsi="Arial"/>
                <w:bCs/>
              </w:rPr>
              <w:t xml:space="preserve"> West Coast</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88% - 96% (Pb)</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94% - 88%</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88% - 96%</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72% - 68%</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28% - 64%</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r w:rsidRPr="00336540">
              <w:rPr>
                <w:rFonts w:ascii="Arial" w:hAnsi="Arial"/>
                <w:bCs/>
              </w:rPr>
              <w:t>Fisheating Creek</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N/A</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N/A</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N/A</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97% - N/A</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53% - 61%</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89% - N/A</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smartTag w:uri="urn:schemas-microsoft-com:office:smarttags" w:element="place">
              <w:r w:rsidRPr="00336540">
                <w:rPr>
                  <w:rFonts w:ascii="Arial" w:hAnsi="Arial"/>
                  <w:bCs/>
                </w:rPr>
                <w:t>Florida Keys</w:t>
              </w:r>
            </w:smartTag>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N/A - 88% (As)</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N/A - 88%</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N/A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N/A - 75%</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highlight w:val="lightGray"/>
              </w:rPr>
              <w:t>0%</w:t>
            </w:r>
            <w:r>
              <w:rPr>
                <w:rFonts w:ascii="Arial" w:hAnsi="Arial"/>
                <w:bCs/>
              </w:rPr>
              <w:t>*</w:t>
            </w:r>
            <w:r w:rsidRPr="00336540">
              <w:rPr>
                <w:rFonts w:ascii="Arial" w:hAnsi="Arial"/>
                <w:bCs/>
              </w:rPr>
              <w:t xml:space="preserve"> - 0%</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smartTag w:uri="urn:schemas-microsoft-com:office:smarttags" w:element="place">
              <w:r w:rsidRPr="00336540">
                <w:rPr>
                  <w:rFonts w:ascii="Arial" w:hAnsi="Arial"/>
                  <w:bCs/>
                </w:rPr>
                <w:t>Indian River</w:t>
              </w:r>
            </w:smartTag>
            <w:r w:rsidRPr="00336540">
              <w:rPr>
                <w:rFonts w:ascii="Arial" w:hAnsi="Arial"/>
                <w:bCs/>
              </w:rPr>
              <w:t xml:space="preserve"> Lagoon</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- 96% (As)</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- 96%</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- 98%</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- 85%</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- 98%</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60% - 47%</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smartTag w:uri="urn:schemas-microsoft-com:office:smarttags" w:element="place">
              <w:r w:rsidRPr="00336540">
                <w:rPr>
                  <w:rFonts w:ascii="Arial" w:hAnsi="Arial"/>
                  <w:bCs/>
                </w:rPr>
                <w:t>Kissimmee River</w:t>
              </w:r>
            </w:smartTag>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- 88% (Pb)</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- 88%</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90% - 97%</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52% - 54%</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- 95%</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smartTag w:uri="urn:schemas-microsoft-com:office:smarttags" w:element="place">
              <w:r w:rsidRPr="00336540">
                <w:rPr>
                  <w:rFonts w:ascii="Arial" w:hAnsi="Arial"/>
                  <w:bCs/>
                </w:rPr>
                <w:t>Lake Okeechobee</w:t>
              </w:r>
            </w:smartTag>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97% - 100% (Pb)</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97%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 xml:space="preserve">67% - </w:t>
            </w:r>
            <w:r w:rsidRPr="00336540">
              <w:rPr>
                <w:rFonts w:ascii="Arial" w:hAnsi="Arial"/>
                <w:bCs/>
                <w:highlight w:val="lightGray"/>
              </w:rPr>
              <w:t>40%</w:t>
            </w:r>
            <w:r>
              <w:rPr>
                <w:rFonts w:ascii="Arial" w:hAnsi="Arial"/>
                <w:bCs/>
              </w:rPr>
              <w:t>*</w:t>
            </w:r>
          </w:p>
        </w:tc>
      </w:tr>
      <w:tr w:rsidR="00485094" w:rsidRPr="00336540" w:rsidTr="00E86B70">
        <w:trPr>
          <w:jc w:val="center"/>
        </w:trPr>
        <w:tc>
          <w:tcPr>
            <w:tcW w:w="2134" w:type="dxa"/>
            <w:shd w:val="clear" w:color="auto" w:fill="FFFFCC"/>
            <w:vAlign w:val="center"/>
          </w:tcPr>
          <w:p w:rsidR="00485094" w:rsidRDefault="00485094" w:rsidP="005D2035">
            <w:pPr>
              <w:pStyle w:val="Tabletextreduced"/>
              <w:jc w:val="center"/>
              <w:rPr>
                <w:rFonts w:ascii="Arial" w:hAnsi="Arial"/>
                <w:bCs/>
              </w:rPr>
            </w:pPr>
            <w:smartTag w:uri="urn:schemas-microsoft-com:office:smarttags" w:element="place">
              <w:r w:rsidRPr="00336540">
                <w:rPr>
                  <w:rFonts w:ascii="Arial" w:hAnsi="Arial"/>
                  <w:bCs/>
                </w:rPr>
                <w:t>Lake</w:t>
              </w:r>
            </w:smartTag>
            <w:r w:rsidRPr="00336540">
              <w:rPr>
                <w:rFonts w:ascii="Arial" w:hAnsi="Arial"/>
                <w:bCs/>
              </w:rPr>
              <w:t xml:space="preserve"> Worth Lagoon–</w:t>
            </w:r>
          </w:p>
          <w:p w:rsidR="00485094" w:rsidRPr="00336540" w:rsidRDefault="00485094" w:rsidP="005D2035">
            <w:pPr>
              <w:pStyle w:val="Tabletextreduced"/>
              <w:jc w:val="center"/>
              <w:rPr>
                <w:rFonts w:ascii="Arial" w:hAnsi="Arial"/>
                <w:bCs/>
              </w:rPr>
            </w:pPr>
            <w:smartTag w:uri="urn:schemas-microsoft-com:office:smarttags" w:element="PlaceName">
              <w:smartTag w:uri="urn:schemas-microsoft-com:office:smarttags" w:element="place">
                <w:r w:rsidRPr="00336540">
                  <w:rPr>
                    <w:rFonts w:ascii="Arial" w:hAnsi="Arial"/>
                    <w:bCs/>
                  </w:rPr>
                  <w:t>Palm Beach</w:t>
                </w:r>
              </w:smartTag>
              <w:r w:rsidRPr="00336540">
                <w:rPr>
                  <w:rFonts w:ascii="Arial" w:hAnsi="Arial"/>
                  <w:bCs/>
                </w:rPr>
                <w:t xml:space="preserve"> </w:t>
              </w:r>
              <w:smartTag w:uri="urn:schemas-microsoft-com:office:smarttags" w:element="PlaceType">
                <w:r w:rsidRPr="00336540">
                  <w:rPr>
                    <w:rFonts w:ascii="Arial" w:hAnsi="Arial"/>
                    <w:bCs/>
                  </w:rPr>
                  <w:t>Coast</w:t>
                </w:r>
              </w:smartTag>
            </w:smartTag>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91% - 100% (Pb)</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96%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91%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74% - 88%</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 xml:space="preserve">47% - </w:t>
            </w:r>
            <w:r w:rsidRPr="00336540">
              <w:rPr>
                <w:rFonts w:ascii="Arial" w:hAnsi="Arial"/>
                <w:bCs/>
                <w:highlight w:val="lightGray"/>
              </w:rPr>
              <w:t>100%</w:t>
            </w:r>
            <w:r>
              <w:rPr>
                <w:rFonts w:ascii="Arial" w:hAnsi="Arial"/>
                <w:bCs/>
              </w:rPr>
              <w:t>*</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smartTag w:uri="urn:schemas-microsoft-com:office:smarttags" w:element="place">
              <w:r w:rsidRPr="00336540">
                <w:rPr>
                  <w:rFonts w:ascii="Arial" w:hAnsi="Arial"/>
                  <w:bCs/>
                </w:rPr>
                <w:t>Lower St. Johns</w:t>
              </w:r>
            </w:smartTag>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76% - 83%</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89% - 82%</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r w:rsidRPr="00336540">
              <w:rPr>
                <w:rFonts w:ascii="Arial" w:hAnsi="Arial"/>
                <w:bCs/>
              </w:rPr>
              <w:t xml:space="preserve">Middle </w:t>
            </w:r>
            <w:smartTag w:uri="urn:schemas-microsoft-com:office:smarttags" w:element="City">
              <w:smartTag w:uri="urn:schemas-microsoft-com:office:smarttags" w:element="place">
                <w:r w:rsidRPr="00336540">
                  <w:rPr>
                    <w:rFonts w:ascii="Arial" w:hAnsi="Arial"/>
                    <w:bCs/>
                  </w:rPr>
                  <w:t>St. Johns</w:t>
                </w:r>
              </w:smartTag>
            </w:smartTag>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97% - 100% (Pb)</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97%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79% - 84%</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97%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72% - 75%</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r w:rsidRPr="00336540">
              <w:rPr>
                <w:rFonts w:ascii="Arial" w:hAnsi="Arial"/>
                <w:bCs/>
              </w:rPr>
              <w:t>Nassau–St. Marys</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98% - 100% (Pb)</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98%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87% - 86%</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97% - 94%</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r w:rsidRPr="00336540">
              <w:rPr>
                <w:rFonts w:ascii="Arial" w:hAnsi="Arial"/>
                <w:bCs/>
              </w:rPr>
              <w:t>Ochlockonee–St. Marks</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97% - 100% (As)</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97%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66% - 68%</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- 81%</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- 100%</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r w:rsidRPr="00336540">
              <w:rPr>
                <w:rFonts w:ascii="Arial" w:hAnsi="Arial"/>
                <w:bCs/>
              </w:rPr>
              <w:t>Ocklawaha</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96% - 100% (Pb)</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97%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96%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79% - 91%</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98% - 99%</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smartTag w:uri="urn:schemas-microsoft-com:office:smarttags" w:element="City">
              <w:smartTag w:uri="urn:schemas-microsoft-com:office:smarttags" w:element="place">
                <w:r w:rsidRPr="00336540">
                  <w:rPr>
                    <w:rFonts w:ascii="Arial" w:hAnsi="Arial"/>
                    <w:bCs/>
                  </w:rPr>
                  <w:t>Pensacola</w:t>
                </w:r>
              </w:smartTag>
            </w:smartTag>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- 100% (Pb)</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93%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- 100%</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r w:rsidRPr="00336540">
              <w:rPr>
                <w:rFonts w:ascii="Arial" w:hAnsi="Arial"/>
                <w:bCs/>
              </w:rPr>
              <w:t>Perdido</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N/A - 97% (Pb)</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N/A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N/A - 97%</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N/A - 97%</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N/A - 97%</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r w:rsidRPr="00336540">
              <w:rPr>
                <w:rFonts w:ascii="Arial" w:hAnsi="Arial"/>
                <w:bCs/>
              </w:rPr>
              <w:t>Sarasota Bay–Peace–Myakka</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97% - 100% (As)</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97%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73% - 93%</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89% - 88%</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94% - 100%</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smartTag w:uri="urn:schemas-microsoft-com:office:smarttags" w:element="PlaceName">
              <w:smartTag w:uri="urn:schemas-microsoft-com:office:smarttags" w:element="place">
                <w:r w:rsidRPr="00336540">
                  <w:rPr>
                    <w:rFonts w:ascii="Arial" w:hAnsi="Arial"/>
                    <w:bCs/>
                  </w:rPr>
                  <w:t>Southeast</w:t>
                </w:r>
              </w:smartTag>
              <w:r w:rsidRPr="00336540">
                <w:rPr>
                  <w:rFonts w:ascii="Arial" w:hAnsi="Arial"/>
                  <w:bCs/>
                </w:rPr>
                <w:t xml:space="preserve"> </w:t>
              </w:r>
              <w:smartTag w:uri="urn:schemas-microsoft-com:office:smarttags" w:element="PlaceName">
                <w:r w:rsidRPr="00336540">
                  <w:rPr>
                    <w:rFonts w:ascii="Arial" w:hAnsi="Arial"/>
                    <w:bCs/>
                  </w:rPr>
                  <w:t>Coast–Biscayne</w:t>
                </w:r>
              </w:smartTag>
              <w:r w:rsidRPr="00336540">
                <w:rPr>
                  <w:rFonts w:ascii="Arial" w:hAnsi="Arial"/>
                  <w:bCs/>
                </w:rPr>
                <w:t xml:space="preserve"> </w:t>
              </w:r>
              <w:smartTag w:uri="urn:schemas-microsoft-com:office:smarttags" w:element="PlaceType">
                <w:r w:rsidRPr="00336540">
                  <w:rPr>
                    <w:rFonts w:ascii="Arial" w:hAnsi="Arial"/>
                    <w:bCs/>
                  </w:rPr>
                  <w:t>Bay</w:t>
                </w:r>
              </w:smartTag>
            </w:smartTag>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98% - 100% (Pb)</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98%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71% - 68%</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44% - 85%</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smartTag w:uri="urn:schemas-microsoft-com:office:smarttags" w:element="PlaceType">
              <w:smartTag w:uri="urn:schemas-microsoft-com:office:smarttags" w:element="place">
                <w:r w:rsidRPr="00336540">
                  <w:rPr>
                    <w:rFonts w:ascii="Arial" w:hAnsi="Arial"/>
                    <w:bCs/>
                  </w:rPr>
                  <w:t>Springs</w:t>
                </w:r>
              </w:smartTag>
              <w:r w:rsidRPr="00336540">
                <w:rPr>
                  <w:rFonts w:ascii="Arial" w:hAnsi="Arial"/>
                  <w:bCs/>
                </w:rPr>
                <w:t xml:space="preserve"> </w:t>
              </w:r>
              <w:smartTag w:uri="urn:schemas-microsoft-com:office:smarttags" w:element="PlaceType">
                <w:r w:rsidRPr="00336540">
                  <w:rPr>
                    <w:rFonts w:ascii="Arial" w:hAnsi="Arial"/>
                    <w:bCs/>
                  </w:rPr>
                  <w:t>Coast</w:t>
                </w:r>
              </w:smartTag>
            </w:smartTag>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N/A - 89% (As)</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N/A - 89%</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N/A - 97%</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N/A - 84%</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N/A - 73%</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r w:rsidRPr="00336540">
              <w:rPr>
                <w:rFonts w:ascii="Arial" w:hAnsi="Arial"/>
                <w:bCs/>
              </w:rPr>
              <w:t>St. Lucie–Loxahatchee</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95% - 100% (Pb)</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95%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64%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 xml:space="preserve">24% - </w:t>
            </w:r>
            <w:r w:rsidRPr="00336540">
              <w:rPr>
                <w:rFonts w:ascii="Arial" w:hAnsi="Arial"/>
                <w:bCs/>
                <w:highlight w:val="lightGray"/>
              </w:rPr>
              <w:t>0%</w:t>
            </w:r>
            <w:r>
              <w:rPr>
                <w:rFonts w:ascii="Arial" w:hAnsi="Arial"/>
                <w:bCs/>
              </w:rPr>
              <w:t>*</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smartTag w:uri="urn:schemas-microsoft-com:office:smarttags" w:element="place">
              <w:r w:rsidRPr="00336540">
                <w:rPr>
                  <w:rFonts w:ascii="Arial" w:hAnsi="Arial"/>
                  <w:bCs/>
                </w:rPr>
                <w:t>Suwannee</w:t>
              </w:r>
            </w:smartTag>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- 99% (As)</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- 99%</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83% - 80%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- 99%</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- 99%</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smartTag w:uri="urn:schemas-microsoft-com:office:smarttags" w:element="PlaceName">
              <w:smartTag w:uri="urn:schemas-microsoft-com:office:smarttags" w:element="place">
                <w:r w:rsidRPr="00336540">
                  <w:rPr>
                    <w:rFonts w:ascii="Arial" w:hAnsi="Arial"/>
                    <w:bCs/>
                  </w:rPr>
                  <w:t>Tampa</w:t>
                </w:r>
              </w:smartTag>
              <w:r w:rsidRPr="00336540">
                <w:rPr>
                  <w:rFonts w:ascii="Arial" w:hAnsi="Arial"/>
                  <w:bCs/>
                </w:rPr>
                <w:t xml:space="preserve"> </w:t>
              </w:r>
              <w:smartTag w:uri="urn:schemas-microsoft-com:office:smarttags" w:element="PlaceType">
                <w:r w:rsidRPr="00336540">
                  <w:rPr>
                    <w:rFonts w:ascii="Arial" w:hAnsi="Arial"/>
                    <w:bCs/>
                  </w:rPr>
                  <w:t>Bay</w:t>
                </w:r>
              </w:smartTag>
            </w:smartTag>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91% - 100% (As)</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91%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94%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80%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88% - 100%</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smartTag w:uri="urn:schemas-microsoft-com:office:smarttags" w:element="PlaceName">
              <w:smartTag w:uri="urn:schemas-microsoft-com:office:smarttags" w:element="place">
                <w:r w:rsidRPr="00336540">
                  <w:rPr>
                    <w:rFonts w:ascii="Arial" w:hAnsi="Arial"/>
                    <w:bCs/>
                  </w:rPr>
                  <w:t>Tampa</w:t>
                </w:r>
              </w:smartTag>
              <w:r w:rsidRPr="00336540">
                <w:rPr>
                  <w:rFonts w:ascii="Arial" w:hAnsi="Arial"/>
                  <w:bCs/>
                </w:rPr>
                <w:t xml:space="preserve"> </w:t>
              </w:r>
              <w:smartTag w:uri="urn:schemas-microsoft-com:office:smarttags" w:element="PlaceType">
                <w:r w:rsidRPr="00336540">
                  <w:rPr>
                    <w:rFonts w:ascii="Arial" w:hAnsi="Arial"/>
                    <w:bCs/>
                  </w:rPr>
                  <w:t>Bay</w:t>
                </w:r>
              </w:smartTag>
            </w:smartTag>
            <w:r w:rsidRPr="00336540">
              <w:rPr>
                <w:rFonts w:ascii="Arial" w:hAnsi="Arial"/>
                <w:bCs/>
              </w:rPr>
              <w:t xml:space="preserve"> Tributaries</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93% - 100% (As)</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93%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98%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77% - 67%</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98%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 xml:space="preserve">95% - </w:t>
            </w:r>
            <w:r w:rsidRPr="00336540">
              <w:rPr>
                <w:rFonts w:ascii="Arial" w:hAnsi="Arial"/>
                <w:bCs/>
                <w:highlight w:val="lightGray"/>
              </w:rPr>
              <w:t>75%</w:t>
            </w:r>
            <w:r>
              <w:rPr>
                <w:rFonts w:ascii="Arial" w:hAnsi="Arial"/>
                <w:bCs/>
              </w:rPr>
              <w:t>*</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smartTag w:uri="urn:schemas-microsoft-com:office:smarttags" w:element="place">
              <w:r w:rsidRPr="00336540">
                <w:rPr>
                  <w:rFonts w:ascii="Arial" w:hAnsi="Arial"/>
                  <w:bCs/>
                </w:rPr>
                <w:t>Upper East Coast</w:t>
              </w:r>
            </w:smartTag>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60% - 100% (Pb)</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highlight w:val="lightGray"/>
              </w:rPr>
              <w:t>80%</w:t>
            </w:r>
            <w:r>
              <w:rPr>
                <w:rFonts w:ascii="Arial" w:hAnsi="Arial"/>
                <w:bCs/>
              </w:rPr>
              <w:t>*</w:t>
            </w:r>
            <w:r w:rsidRPr="00336540">
              <w:rPr>
                <w:rFonts w:ascii="Arial" w:hAnsi="Arial"/>
                <w:bCs/>
              </w:rPr>
              <w:t xml:space="preserve">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highlight w:val="lightGray"/>
              </w:rPr>
              <w:t>60%</w:t>
            </w:r>
            <w:r>
              <w:rPr>
                <w:rFonts w:ascii="Arial" w:hAnsi="Arial"/>
                <w:bCs/>
              </w:rPr>
              <w:t>*</w:t>
            </w:r>
            <w:r w:rsidRPr="00336540">
              <w:rPr>
                <w:rFonts w:ascii="Arial" w:hAnsi="Arial"/>
                <w:bCs/>
              </w:rPr>
              <w:t xml:space="preserve">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highlight w:val="lightGray"/>
              </w:rPr>
              <w:t>0%</w:t>
            </w:r>
            <w:r>
              <w:rPr>
                <w:rFonts w:ascii="Arial" w:hAnsi="Arial"/>
                <w:bCs/>
              </w:rPr>
              <w:t>*</w:t>
            </w:r>
            <w:r w:rsidRPr="00336540">
              <w:rPr>
                <w:rFonts w:ascii="Arial" w:hAnsi="Arial"/>
                <w:bCs/>
              </w:rPr>
              <w:t xml:space="preserve"> - 79%</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67% - 63%</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smartTag w:uri="urn:schemas-microsoft-com:office:smarttags" w:element="place">
              <w:r w:rsidRPr="00336540">
                <w:rPr>
                  <w:rFonts w:ascii="Arial" w:hAnsi="Arial"/>
                  <w:bCs/>
                </w:rPr>
                <w:t>Upper St. Johns</w:t>
              </w:r>
            </w:smartTag>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96% - 100% (Pb)</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98%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96%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95% - 50%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- 83%</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44% - 43%</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smartTag w:uri="urn:schemas-microsoft-com:office:smarttags" w:element="place">
              <w:r w:rsidRPr="00336540">
                <w:rPr>
                  <w:rFonts w:ascii="Arial" w:hAnsi="Arial"/>
                  <w:bCs/>
                </w:rPr>
                <w:t>Withlacoochee</w:t>
              </w:r>
            </w:smartTag>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98% - 100% (Pb)</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98%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82% - 92%</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r>
      <w:tr w:rsidR="00485094" w:rsidRPr="00336540" w:rsidTr="00E86B70">
        <w:trPr>
          <w:jc w:val="center"/>
        </w:trPr>
        <w:tc>
          <w:tcPr>
            <w:tcW w:w="2134" w:type="dxa"/>
            <w:shd w:val="clear" w:color="auto" w:fill="FFD9FF"/>
            <w:vAlign w:val="center"/>
          </w:tcPr>
          <w:p w:rsidR="00485094" w:rsidRPr="00336540" w:rsidRDefault="00485094" w:rsidP="005D2035">
            <w:pPr>
              <w:pStyle w:val="Tabletextreduced"/>
              <w:jc w:val="center"/>
              <w:rPr>
                <w:rFonts w:ascii="Arial" w:hAnsi="Arial"/>
                <w:b/>
                <w:bCs/>
              </w:rPr>
            </w:pPr>
            <w:r w:rsidRPr="00336540">
              <w:rPr>
                <w:rFonts w:ascii="Arial" w:hAnsi="Arial"/>
                <w:b/>
                <w:bCs/>
              </w:rPr>
              <w:t>STATEWIDE SUMMARY</w:t>
            </w:r>
          </w:p>
        </w:tc>
        <w:tc>
          <w:tcPr>
            <w:tcW w:w="1882" w:type="dxa"/>
            <w:shd w:val="clear" w:color="auto" w:fill="FFD9FF"/>
            <w:vAlign w:val="center"/>
          </w:tcPr>
          <w:p w:rsidR="00485094" w:rsidRPr="00336540" w:rsidRDefault="00485094" w:rsidP="005D2035">
            <w:pPr>
              <w:pStyle w:val="Tabletextreduced"/>
              <w:jc w:val="center"/>
              <w:rPr>
                <w:rFonts w:ascii="Arial" w:hAnsi="Arial"/>
                <w:b/>
                <w:bCs/>
              </w:rPr>
            </w:pPr>
            <w:r w:rsidRPr="00336540">
              <w:rPr>
                <w:rFonts w:ascii="Arial" w:hAnsi="Arial"/>
                <w:b/>
                <w:bCs/>
              </w:rPr>
              <w:t>99% - 99% (Pb)</w:t>
            </w:r>
          </w:p>
        </w:tc>
        <w:tc>
          <w:tcPr>
            <w:tcW w:w="1882" w:type="dxa"/>
            <w:shd w:val="clear" w:color="auto" w:fill="FFD9FF"/>
            <w:vAlign w:val="center"/>
          </w:tcPr>
          <w:p w:rsidR="00485094" w:rsidRPr="00336540" w:rsidRDefault="00485094" w:rsidP="005D2035">
            <w:pPr>
              <w:pStyle w:val="Tabletextreduced"/>
              <w:jc w:val="center"/>
              <w:rPr>
                <w:rFonts w:ascii="Arial" w:hAnsi="Arial"/>
                <w:b/>
                <w:bCs/>
              </w:rPr>
            </w:pPr>
            <w:r w:rsidRPr="00336540">
              <w:rPr>
                <w:rFonts w:ascii="Arial" w:hAnsi="Arial"/>
                <w:b/>
                <w:bCs/>
              </w:rPr>
              <w:t>99% - 99%</w:t>
            </w:r>
          </w:p>
        </w:tc>
        <w:tc>
          <w:tcPr>
            <w:tcW w:w="1882" w:type="dxa"/>
            <w:shd w:val="clear" w:color="auto" w:fill="FFD9FF"/>
            <w:vAlign w:val="center"/>
          </w:tcPr>
          <w:p w:rsidR="00485094" w:rsidRPr="00336540" w:rsidRDefault="00485094" w:rsidP="005D2035">
            <w:pPr>
              <w:pStyle w:val="Tabletextreduced"/>
              <w:jc w:val="center"/>
              <w:rPr>
                <w:rFonts w:ascii="Arial" w:hAnsi="Arial"/>
                <w:b/>
                <w:bCs/>
              </w:rPr>
            </w:pPr>
            <w:r w:rsidRPr="00336540">
              <w:rPr>
                <w:rFonts w:ascii="Arial" w:hAnsi="Arial"/>
                <w:b/>
                <w:bCs/>
              </w:rPr>
              <w:t>99% - 99%</w:t>
            </w:r>
          </w:p>
        </w:tc>
        <w:tc>
          <w:tcPr>
            <w:tcW w:w="1882" w:type="dxa"/>
            <w:shd w:val="clear" w:color="auto" w:fill="FFD9FF"/>
            <w:vAlign w:val="center"/>
          </w:tcPr>
          <w:p w:rsidR="00485094" w:rsidRPr="00336540" w:rsidRDefault="00485094" w:rsidP="005D2035">
            <w:pPr>
              <w:pStyle w:val="Tabletextreduced"/>
              <w:jc w:val="center"/>
              <w:rPr>
                <w:rFonts w:ascii="Arial" w:hAnsi="Arial"/>
                <w:b/>
                <w:bCs/>
              </w:rPr>
            </w:pPr>
            <w:r w:rsidRPr="00336540">
              <w:rPr>
                <w:rFonts w:ascii="Arial" w:hAnsi="Arial"/>
                <w:b/>
                <w:bCs/>
              </w:rPr>
              <w:t>81% - 84%</w:t>
            </w:r>
          </w:p>
        </w:tc>
        <w:tc>
          <w:tcPr>
            <w:tcW w:w="1883" w:type="dxa"/>
            <w:shd w:val="clear" w:color="auto" w:fill="FFD9FF"/>
            <w:vAlign w:val="center"/>
          </w:tcPr>
          <w:p w:rsidR="00485094" w:rsidRPr="00336540" w:rsidRDefault="00485094" w:rsidP="005D2035">
            <w:pPr>
              <w:pStyle w:val="Tabletextreduced"/>
              <w:jc w:val="center"/>
              <w:rPr>
                <w:rFonts w:ascii="Arial" w:hAnsi="Arial"/>
                <w:b/>
                <w:bCs/>
              </w:rPr>
            </w:pPr>
            <w:r w:rsidRPr="00336540">
              <w:rPr>
                <w:rFonts w:ascii="Arial" w:hAnsi="Arial"/>
                <w:b/>
                <w:bCs/>
              </w:rPr>
              <w:t>94% - 94%</w:t>
            </w:r>
          </w:p>
        </w:tc>
        <w:tc>
          <w:tcPr>
            <w:tcW w:w="1883" w:type="dxa"/>
            <w:shd w:val="clear" w:color="auto" w:fill="FFD9FF"/>
            <w:vAlign w:val="center"/>
          </w:tcPr>
          <w:p w:rsidR="00485094" w:rsidRPr="00336540" w:rsidRDefault="00485094" w:rsidP="005D2035">
            <w:pPr>
              <w:pStyle w:val="Tabletextreduced"/>
              <w:jc w:val="center"/>
              <w:rPr>
                <w:rFonts w:ascii="Arial" w:hAnsi="Arial"/>
                <w:b/>
                <w:bCs/>
              </w:rPr>
            </w:pPr>
            <w:r w:rsidRPr="00336540">
              <w:rPr>
                <w:rFonts w:ascii="Arial" w:hAnsi="Arial"/>
                <w:b/>
                <w:bCs/>
              </w:rPr>
              <w:t>85% - 82%</w:t>
            </w:r>
          </w:p>
        </w:tc>
      </w:tr>
    </w:tbl>
    <w:p w:rsidR="00485094" w:rsidRDefault="00485094" w:rsidP="005D2035">
      <w:pPr>
        <w:pStyle w:val="Bodytext"/>
      </w:pPr>
    </w:p>
    <w:p w:rsidR="00485094" w:rsidRDefault="00485094" w:rsidP="005D2035">
      <w:pPr>
        <w:pStyle w:val="Bodytext"/>
        <w:sectPr w:rsidR="00485094" w:rsidSect="005D2035">
          <w:pgSz w:w="15840" w:h="12240" w:orient="landscape"/>
          <w:pgMar w:top="1440" w:right="1440" w:bottom="1440" w:left="1440" w:header="720" w:footer="720" w:gutter="0"/>
          <w:cols w:space="720"/>
          <w:docGrid w:linePitch="360"/>
        </w:sectPr>
      </w:pPr>
    </w:p>
    <w:p w:rsidR="00485094" w:rsidRDefault="00485094" w:rsidP="005D2035">
      <w:pPr>
        <w:pStyle w:val="Bodytext"/>
      </w:pPr>
    </w:p>
    <w:p w:rsidR="00485094" w:rsidRDefault="00485094" w:rsidP="005D2035">
      <w:pPr>
        <w:pStyle w:val="Bodytext"/>
        <w:rPr>
          <w:rFonts w:cs="Arial"/>
          <w:szCs w:val="22"/>
        </w:rPr>
      </w:pPr>
      <w:r w:rsidRPr="006A0BE8">
        <w:t xml:space="preserve">Sodium can be used as an indicator </w:t>
      </w:r>
      <w:r>
        <w:t>of</w:t>
      </w:r>
      <w:r w:rsidRPr="006A0BE8">
        <w:t xml:space="preserve"> saline ground water </w:t>
      </w:r>
      <w:r>
        <w:t>influence on</w:t>
      </w:r>
      <w:r w:rsidRPr="006A0BE8">
        <w:t xml:space="preserve"> freshwater aquifers.  The issues with salt water can be related to increased ground water usage that creates </w:t>
      </w:r>
      <w:r>
        <w:t xml:space="preserve">the </w:t>
      </w:r>
      <w:r w:rsidRPr="006A0BE8">
        <w:t xml:space="preserve">upconing of mineralized ground water from deeper aquifers or seawater intrusion if wells are located in coastal areas.  Saline water (as sodium) may be a </w:t>
      </w:r>
      <w:r>
        <w:rPr>
          <w:rFonts w:cs="Arial"/>
          <w:szCs w:val="22"/>
        </w:rPr>
        <w:t>concern in approximately 15</w:t>
      </w:r>
      <w:r w:rsidRPr="006A0BE8">
        <w:rPr>
          <w:rFonts w:cs="Arial"/>
          <w:szCs w:val="22"/>
        </w:rPr>
        <w:t>%</w:t>
      </w:r>
      <w:r>
        <w:t xml:space="preserve"> </w:t>
      </w:r>
      <w:r w:rsidRPr="006A0BE8">
        <w:rPr>
          <w:rFonts w:cs="Arial"/>
          <w:szCs w:val="22"/>
        </w:rPr>
        <w:t xml:space="preserve">of the state, based on statewide statistics.  </w:t>
      </w:r>
      <w:r w:rsidRPr="005B0A81">
        <w:t xml:space="preserve">The statewide assessment shows that </w:t>
      </w:r>
      <w:r>
        <w:t xml:space="preserve">data from the past 2 years were similar to the 2000–07 median in the number of samples achieving the MCL (82% in comparison to 85%).  </w:t>
      </w:r>
      <w:r w:rsidRPr="006D2864">
        <w:rPr>
          <w:b/>
          <w:i/>
        </w:rPr>
        <w:t>Table 10.1</w:t>
      </w:r>
      <w:r>
        <w:t xml:space="preserve"> shows the basins with the highest number of wells achieving the MCL for sodium.  Coastal basins were found to have the lowest percentage of wells meeting the MCL, with Caloosahatchee, </w:t>
      </w:r>
      <w:smartTag w:uri="urn:schemas-microsoft-com:office:smarttags" w:element="PlaceName">
        <w:smartTag w:uri="urn:schemas-microsoft-com:office:smarttags" w:element="place">
          <w:r>
            <w:t>Charlotte</w:t>
          </w:r>
        </w:smartTag>
        <w:r>
          <w:t xml:space="preserve"> </w:t>
        </w:r>
        <w:smartTag w:uri="urn:schemas-microsoft-com:office:smarttags" w:element="PlaceName">
          <w:r>
            <w:t>Harbor</w:t>
          </w:r>
        </w:smartTag>
      </w:smartTag>
      <w:r>
        <w:t>, Everglades West Coast, and St. Lucie–Loxahatchee having the highest number of wells exceeding the MCL for sodium</w:t>
      </w:r>
      <w:r>
        <w:rPr>
          <w:rFonts w:cs="Arial"/>
          <w:szCs w:val="22"/>
        </w:rPr>
        <w:t>.</w:t>
      </w:r>
    </w:p>
    <w:p w:rsidR="00485094" w:rsidRDefault="00485094" w:rsidP="005D2035">
      <w:pPr>
        <w:pStyle w:val="Bodytext"/>
      </w:pPr>
    </w:p>
    <w:p w:rsidR="00485094" w:rsidRDefault="00485094" w:rsidP="005D2035">
      <w:pPr>
        <w:pStyle w:val="Bodytext"/>
      </w:pPr>
      <w:r>
        <w:t>One or more metals exceeding a primary ground water MCL occurred in only about 1% of the samples, with the most prevalent metals exceedances for lead and arsenic.  Lead levels are sometimes related to well casing or plumbing material, but arsenic is most frequently associated with a contaminant source or natural condition in the aquifer when it is found at concentrations above its MCL.</w:t>
      </w:r>
    </w:p>
    <w:p w:rsidR="00485094" w:rsidRPr="005B0A81" w:rsidRDefault="00485094" w:rsidP="005D2035">
      <w:pPr>
        <w:pStyle w:val="Bodytext"/>
      </w:pPr>
    </w:p>
    <w:p w:rsidR="00485094" w:rsidRPr="005B0A81" w:rsidRDefault="00485094" w:rsidP="005D2035">
      <w:pPr>
        <w:pStyle w:val="Bodytext"/>
      </w:pPr>
      <w:r w:rsidRPr="005B0A81">
        <w:t>Nitrate</w:t>
      </w:r>
      <w:r>
        <w:t xml:space="preserve"> - nitrogen</w:t>
      </w:r>
      <w:r w:rsidRPr="005B0A81">
        <w:t xml:space="preserve"> is a conservative contaminant, and concentrations are not typically biased by well materials or sampling technique.  </w:t>
      </w:r>
      <w:r>
        <w:t xml:space="preserve">The compound nitrite - nitrogen is seldom detected in ground water and, if present, occurs in only minute concentrations.  Therefore, when concentrations of nitrate + nitrite - nitrogen are reported together, as they are in </w:t>
      </w:r>
      <w:r w:rsidRPr="006D2864">
        <w:rPr>
          <w:b/>
          <w:i/>
        </w:rPr>
        <w:t>Table 10.1</w:t>
      </w:r>
      <w:r>
        <w:t xml:space="preserve">, it can be safely assumed that the value represents the nitrate concentration.  </w:t>
      </w:r>
      <w:r w:rsidRPr="005B0A81">
        <w:t xml:space="preserve">Elevated nitrate </w:t>
      </w:r>
      <w:r>
        <w:t>levels</w:t>
      </w:r>
      <w:r w:rsidRPr="005B0A81">
        <w:t xml:space="preserve"> reflect the presence of nutrient sources such as fertilizers, animal waste, or domestic wastewater.  According to th</w:t>
      </w:r>
      <w:r>
        <w:t>e statewide assessment, nitrate</w:t>
      </w:r>
      <w:r w:rsidRPr="005B0A81">
        <w:t xml:space="preserve"> above </w:t>
      </w:r>
      <w:r>
        <w:t xml:space="preserve">the </w:t>
      </w:r>
      <w:r w:rsidRPr="005B0A81">
        <w:t xml:space="preserve">MCL </w:t>
      </w:r>
      <w:r>
        <w:t>is</w:t>
      </w:r>
      <w:r w:rsidRPr="005B0A81">
        <w:t xml:space="preserve"> a concern in </w:t>
      </w:r>
      <w:r>
        <w:t>6</w:t>
      </w:r>
      <w:r w:rsidRPr="005B0A81">
        <w:t xml:space="preserve">% of the </w:t>
      </w:r>
      <w:r>
        <w:t>wells sampled</w:t>
      </w:r>
      <w:r w:rsidRPr="005B0A81">
        <w:t>.</w:t>
      </w:r>
      <w:r>
        <w:t xml:space="preserve">  </w:t>
      </w:r>
      <w:r w:rsidRPr="006D2864">
        <w:rPr>
          <w:b/>
          <w:i/>
        </w:rPr>
        <w:t>Table 10.1</w:t>
      </w:r>
      <w:r>
        <w:t xml:space="preserve"> lists the basins with the highest number of wells achieving the MCL for nitrate.  Basins with the lowest percentage of wells meeting the MCL for nitrate included Fisheating Creek and </w:t>
      </w:r>
      <w:smartTag w:uri="urn:schemas-microsoft-com:office:smarttags" w:element="place">
        <w:r>
          <w:t>Kissimmee River</w:t>
        </w:r>
      </w:smartTag>
      <w:r>
        <w:t>.</w:t>
      </w:r>
    </w:p>
    <w:p w:rsidR="00485094" w:rsidRPr="006A0BE8" w:rsidRDefault="00485094" w:rsidP="005D2035">
      <w:pPr>
        <w:pStyle w:val="Bodytext"/>
      </w:pPr>
    </w:p>
    <w:p w:rsidR="00485094" w:rsidRDefault="00485094" w:rsidP="005D2035">
      <w:pPr>
        <w:pStyle w:val="Bodytext"/>
      </w:pPr>
      <w:r>
        <w:t>This</w:t>
      </w:r>
      <w:r w:rsidRPr="00C328E1">
        <w:t xml:space="preserve"> </w:t>
      </w:r>
      <w:r>
        <w:t xml:space="preserve">generalized </w:t>
      </w:r>
      <w:r w:rsidRPr="00C328E1">
        <w:t xml:space="preserve">analysis shows that overall ground water quality in the state is good, when considering these parameters. </w:t>
      </w:r>
      <w:r>
        <w:t xml:space="preserve"> However, this analysis indicates that there are some ground water quality issues in the state, and, depending on the contaminant, they can occur on a localized or regional scale.  The following section describes the contaminants of concern in </w:t>
      </w:r>
      <w:smartTag w:uri="urn:schemas-microsoft-com:office:smarttags" w:element="State">
        <w:smartTag w:uri="urn:schemas-microsoft-com:office:smarttags" w:element="place">
          <w:r>
            <w:t>Florida</w:t>
          </w:r>
        </w:smartTag>
      </w:smartTag>
      <w:r>
        <w:t xml:space="preserve"> and their observed occurrences in potable ground water.</w:t>
      </w:r>
    </w:p>
    <w:p w:rsidR="00485094" w:rsidRDefault="00485094">
      <w:pPr>
        <w:pStyle w:val="Bodytextreduced"/>
        <w:rPr>
          <w:rStyle w:val="Heading3Char"/>
          <w:rFonts w:cs="Times New Roman"/>
          <w:b w:val="0"/>
          <w:bCs w:val="0"/>
          <w:i w:val="0"/>
          <w:sz w:val="16"/>
        </w:rPr>
      </w:pPr>
    </w:p>
    <w:p w:rsidR="00485094" w:rsidRPr="00A94FE1" w:rsidRDefault="00485094" w:rsidP="00943060">
      <w:pPr>
        <w:pStyle w:val="Heading3"/>
      </w:pPr>
      <w:bookmarkStart w:id="666" w:name="_Toc271280014"/>
      <w:r w:rsidRPr="00943060">
        <w:t>Ground Water Quality Issues and Contaminants of Concern, Including Public Health Issues</w:t>
      </w:r>
      <w:bookmarkEnd w:id="666"/>
    </w:p>
    <w:p w:rsidR="00485094" w:rsidRDefault="00485094" w:rsidP="005D2035">
      <w:pPr>
        <w:pStyle w:val="Bodytext"/>
      </w:pPr>
      <w:r>
        <w:t>As discussed in the analysis of ambient data</w:t>
      </w:r>
      <w:r w:rsidRPr="009D0424">
        <w:t xml:space="preserve">, the overall quality of ground water in </w:t>
      </w:r>
      <w:smartTag w:uri="urn:schemas-microsoft-com:office:smarttags" w:element="State">
        <w:smartTag w:uri="urn:schemas-microsoft-com:office:smarttags" w:element="place">
          <w:r w:rsidRPr="009D0424">
            <w:t>Florida</w:t>
          </w:r>
        </w:smartTag>
      </w:smartTag>
      <w:r w:rsidRPr="009D0424">
        <w:t xml:space="preserve"> is good</w:t>
      </w:r>
      <w:r>
        <w:t>.  However</w:t>
      </w:r>
      <w:r w:rsidRPr="009D0424">
        <w:t>,</w:t>
      </w:r>
      <w:r>
        <w:t xml:space="preserve"> there are ground </w:t>
      </w:r>
      <w:r w:rsidRPr="009D0424">
        <w:t xml:space="preserve">water quality issues </w:t>
      </w:r>
      <w:r>
        <w:t>in</w:t>
      </w:r>
      <w:r w:rsidRPr="009D0424">
        <w:t xml:space="preserve"> specific areas.  </w:t>
      </w:r>
      <w:r>
        <w:t>P</w:t>
      </w:r>
      <w:r w:rsidRPr="009D0424">
        <w:t xml:space="preserve">rivate well sampling data and public water system </w:t>
      </w:r>
      <w:r>
        <w:t>data (which include both treated and raw water samples)</w:t>
      </w:r>
      <w:r w:rsidRPr="009D0424">
        <w:t xml:space="preserve"> were used to develop a summary of the </w:t>
      </w:r>
      <w:r>
        <w:t>categories of</w:t>
      </w:r>
      <w:r w:rsidRPr="009D0424">
        <w:t xml:space="preserve"> parameters </w:t>
      </w:r>
      <w:r>
        <w:t>that were most frequently found at levels exceeding primary ground water MCLs in potable water aquifers</w:t>
      </w:r>
      <w:r w:rsidRPr="009D0424">
        <w:t xml:space="preserve">.  </w:t>
      </w:r>
      <w:r>
        <w:t xml:space="preserve">Data were obtained for a two-year period of record spanning November 2007 through November 2009.  </w:t>
      </w:r>
      <w:r w:rsidRPr="009D0424">
        <w:t xml:space="preserve">The </w:t>
      </w:r>
      <w:r>
        <w:t>MCL exceedances</w:t>
      </w:r>
      <w:r w:rsidRPr="009D0424">
        <w:t xml:space="preserve"> </w:t>
      </w:r>
      <w:r>
        <w:t xml:space="preserve">during this period </w:t>
      </w:r>
      <w:r w:rsidRPr="009D0424">
        <w:t xml:space="preserve">help shape </w:t>
      </w:r>
      <w:r>
        <w:t xml:space="preserve">some of </w:t>
      </w:r>
      <w:r w:rsidRPr="009D0424">
        <w:t xml:space="preserve">the </w:t>
      </w:r>
      <w:r>
        <w:t xml:space="preserve">more current </w:t>
      </w:r>
      <w:r w:rsidRPr="009D0424">
        <w:t xml:space="preserve">issues </w:t>
      </w:r>
      <w:r>
        <w:t>and contaminants of concern for</w:t>
      </w:r>
      <w:r w:rsidRPr="009D0424">
        <w:t xml:space="preserve"> potable ground water </w:t>
      </w:r>
      <w:r>
        <w:t>resources</w:t>
      </w:r>
      <w:r w:rsidRPr="009D0424">
        <w:t xml:space="preserve">.  </w:t>
      </w:r>
      <w:r>
        <w:t xml:space="preserve">The reporting of these exceedances in wells and water systems is not meant to imply that well owners or public water customers are consuming contaminated ground water.  Alternative sources or treatment systems are provided to private well owners, and </w:t>
      </w:r>
      <w:r w:rsidRPr="00E7712C">
        <w:t>water</w:t>
      </w:r>
      <w:r>
        <w:t xml:space="preserve"> from public water systems is most often treated but sometimes blended to reduce contaminants to safe levels.</w:t>
      </w:r>
    </w:p>
    <w:p w:rsidR="00485094" w:rsidRDefault="00485094" w:rsidP="005D2035">
      <w:pPr>
        <w:pStyle w:val="Bodytext"/>
      </w:pPr>
    </w:p>
    <w:p w:rsidR="00485094" w:rsidRPr="009D0424" w:rsidRDefault="00485094" w:rsidP="005D2035">
      <w:pPr>
        <w:pStyle w:val="Bodytext"/>
      </w:pPr>
      <w:r w:rsidRPr="00895EBF">
        <w:rPr>
          <w:b/>
          <w:i/>
        </w:rPr>
        <w:t>Figure 10.1</w:t>
      </w:r>
      <w:r>
        <w:t xml:space="preserve"> provides a statewide summary of findings by contaminant category.  </w:t>
      </w:r>
      <w:r w:rsidRPr="000A42AD">
        <w:rPr>
          <w:b/>
          <w:i/>
        </w:rPr>
        <w:t>Table</w:t>
      </w:r>
      <w:r>
        <w:rPr>
          <w:b/>
          <w:i/>
        </w:rPr>
        <w:t>s</w:t>
      </w:r>
      <w:r w:rsidRPr="000A42AD">
        <w:rPr>
          <w:b/>
          <w:i/>
        </w:rPr>
        <w:t xml:space="preserve"> </w:t>
      </w:r>
      <w:r>
        <w:rPr>
          <w:b/>
          <w:i/>
        </w:rPr>
        <w:t xml:space="preserve">10.2a </w:t>
      </w:r>
      <w:r w:rsidRPr="005657F9">
        <w:t>and</w:t>
      </w:r>
      <w:r>
        <w:rPr>
          <w:b/>
          <w:i/>
        </w:rPr>
        <w:t xml:space="preserve"> 10.2b </w:t>
      </w:r>
      <w:r>
        <w:t>summarize</w:t>
      </w:r>
      <w:r w:rsidRPr="009D0424">
        <w:t xml:space="preserve"> contaminant</w:t>
      </w:r>
      <w:r>
        <w:t xml:space="preserve"> categories</w:t>
      </w:r>
      <w:r w:rsidRPr="009D0424">
        <w:t xml:space="preserve"> in </w:t>
      </w:r>
      <w:r>
        <w:t xml:space="preserve">each of </w:t>
      </w:r>
      <w:r w:rsidRPr="009D0424">
        <w:t xml:space="preserve">the </w:t>
      </w:r>
      <w:r>
        <w:t xml:space="preserve">state’s </w:t>
      </w:r>
      <w:r w:rsidRPr="009D0424">
        <w:t>29 major basins</w:t>
      </w:r>
      <w:r w:rsidRPr="003A2398">
        <w:t>, showing</w:t>
      </w:r>
      <w:r>
        <w:t xml:space="preserve"> the total number of MCL exceeda</w:t>
      </w:r>
      <w:r w:rsidRPr="003A2398">
        <w:t>nces reported over time</w:t>
      </w:r>
      <w:r>
        <w:t xml:space="preserve"> and the numbers of exceeda</w:t>
      </w:r>
      <w:r w:rsidRPr="003A2398">
        <w:t>nces found in the most recent 2-year period.</w:t>
      </w:r>
      <w:r w:rsidRPr="009D0424">
        <w:t xml:space="preserve">  </w:t>
      </w:r>
      <w:r>
        <w:t>These</w:t>
      </w:r>
      <w:r w:rsidRPr="009D0424">
        <w:t xml:space="preserve"> categories include volatile organic compounds (VOC</w:t>
      </w:r>
      <w:r>
        <w:t>s</w:t>
      </w:r>
      <w:r w:rsidRPr="009D0424">
        <w:t>), pesticides/synthetic organic chemicals (SOC</w:t>
      </w:r>
      <w:r>
        <w:t>s), nitrate</w:t>
      </w:r>
      <w:r w:rsidRPr="009D0424">
        <w:t xml:space="preserve">, primary metals, </w:t>
      </w:r>
      <w:r>
        <w:t>salinity (as measured by sodium concentrations), and radionuclides</w:t>
      </w:r>
      <w:r w:rsidRPr="009D0424">
        <w:t xml:space="preserve">.  </w:t>
      </w:r>
      <w:r>
        <w:t>The specific contaminants included in this evaluation have potable ground water MCLs.  Although not included in the summary table, trihalomethanes and bacteria are</w:t>
      </w:r>
      <w:r w:rsidRPr="009D0424">
        <w:t xml:space="preserve"> </w:t>
      </w:r>
      <w:r>
        <w:t>significant contaminants affecting water supplies, and they are also discussed in this section</w:t>
      </w:r>
      <w:r w:rsidRPr="009D0424">
        <w:t>.</w:t>
      </w:r>
    </w:p>
    <w:p w:rsidR="00485094" w:rsidRDefault="00485094" w:rsidP="005D2035">
      <w:pPr>
        <w:pStyle w:val="Bodytext"/>
      </w:pPr>
    </w:p>
    <w:p w:rsidR="00485094" w:rsidRPr="0022785D" w:rsidRDefault="00485094" w:rsidP="00943060">
      <w:pPr>
        <w:pStyle w:val="Heading4"/>
      </w:pPr>
      <w:bookmarkStart w:id="667" w:name="_Toc257365071"/>
      <w:r w:rsidRPr="0022785D">
        <w:t>Volatile Organic</w:t>
      </w:r>
      <w:r>
        <w:t xml:space="preserve"> Compound</w:t>
      </w:r>
      <w:r w:rsidRPr="0022785D">
        <w:t>s</w:t>
      </w:r>
      <w:bookmarkEnd w:id="667"/>
      <w:r>
        <w:t xml:space="preserve"> </w:t>
      </w:r>
    </w:p>
    <w:p w:rsidR="00485094" w:rsidRDefault="00485094" w:rsidP="005D2035">
      <w:pPr>
        <w:pStyle w:val="Bodytext"/>
      </w:pPr>
      <w:r w:rsidRPr="009D0424">
        <w:t>Volatile organics can be highly mobile and persistent in ground water</w:t>
      </w:r>
      <w:r>
        <w:t>,</w:t>
      </w:r>
      <w:r w:rsidRPr="009D0424">
        <w:t xml:space="preserve"> and incidences of ground water contamination </w:t>
      </w:r>
      <w:r>
        <w:t xml:space="preserve">by VOCs </w:t>
      </w:r>
      <w:r w:rsidRPr="009D0424">
        <w:t xml:space="preserve">are widespread.  </w:t>
      </w:r>
      <w:r w:rsidRPr="000A42AD">
        <w:rPr>
          <w:b/>
          <w:i/>
        </w:rPr>
        <w:t xml:space="preserve">Table </w:t>
      </w:r>
      <w:r>
        <w:rPr>
          <w:b/>
          <w:i/>
        </w:rPr>
        <w:t xml:space="preserve">10.2a </w:t>
      </w:r>
      <w:r w:rsidRPr="00943060">
        <w:t>includes a</w:t>
      </w:r>
      <w:r w:rsidRPr="00943060">
        <w:rPr>
          <w:b/>
        </w:rPr>
        <w:t xml:space="preserve"> </w:t>
      </w:r>
      <w:r w:rsidRPr="00943060">
        <w:t>summary</w:t>
      </w:r>
      <w:r>
        <w:t xml:space="preserve"> of t</w:t>
      </w:r>
      <w:r w:rsidRPr="009D0424">
        <w:t xml:space="preserve">he </w:t>
      </w:r>
      <w:r>
        <w:t>numbers of water systems or private wells for which samples contained above-MCL levels</w:t>
      </w:r>
      <w:r w:rsidRPr="009D0424">
        <w:t xml:space="preserve"> of VOCs that have primary drinking water MCLs.</w:t>
      </w:r>
      <w:r>
        <w:t xml:space="preserve">  The highest numbers of public water systems that have historically had above-MCL VOC levels were in the Ocklawaha, Middle St. Johns, and Tampa Bay Tributaries Basins; however, there have been few to no additions to these totals over the past two years.  Historically, the highest numbers of MCL exceedances in private wells were in the Lower St. Johns, Middle St. Johns, Sarasota–Peace–Myakka and </w:t>
      </w:r>
      <w:smartTag w:uri="urn:schemas-microsoft-com:office:smarttags" w:element="PlaceName">
        <w:smartTag w:uri="urn:schemas-microsoft-com:office:smarttags" w:element="place">
          <w:r>
            <w:t>Tampa</w:t>
          </w:r>
        </w:smartTag>
        <w:r>
          <w:t xml:space="preserve"> </w:t>
        </w:r>
        <w:smartTag w:uri="urn:schemas-microsoft-com:office:smarttags" w:element="PlaceType">
          <w:r>
            <w:t>Bay</w:t>
          </w:r>
        </w:smartTag>
        <w:r>
          <w:t xml:space="preserve"> </w:t>
        </w:r>
        <w:smartTag w:uri="urn:schemas-microsoft-com:office:smarttags" w:element="PlaceName">
          <w:r>
            <w:t>Tributaries</w:t>
          </w:r>
        </w:smartTag>
        <w:r>
          <w:t xml:space="preserve"> </w:t>
        </w:r>
        <w:smartTag w:uri="urn:schemas-microsoft-com:office:smarttags" w:element="PlaceType">
          <w:r>
            <w:t>Basins</w:t>
          </w:r>
        </w:smartTag>
      </w:smartTag>
      <w:r>
        <w:t xml:space="preserve">.  Of these, the highest number of MCL exceedances over the past two years was in the Middle St. Johns Basin (33 wells), followed by the Lower St. Johns and Southeast Coast–Biscayne Bay Basins (10 each).  </w:t>
      </w:r>
    </w:p>
    <w:p w:rsidR="00485094" w:rsidRDefault="00485094" w:rsidP="005D2035">
      <w:pPr>
        <w:pStyle w:val="Bodytext"/>
      </w:pPr>
    </w:p>
    <w:p w:rsidR="00485094" w:rsidRDefault="00485094" w:rsidP="005D2035">
      <w:pPr>
        <w:pStyle w:val="Bodytext"/>
      </w:pPr>
      <w:r>
        <w:t xml:space="preserve">Benzene has historically been the compound that most frequently exceeded MCLs in each of the two sets of water quality data, followed by trichloroethylene (TCE) and tetrachloroethylene (PCE).  Other compounds with primary MCLs that were exceeded included vinyl chloride, dichloromethane, 1,1-dichloroethylene, 1,2-dichloroethane, and carbon tetrachloride (in PWS systems only).  Based on the last two years of data, the highest number of exceedances in private wells was for vinyl chloride and the highest number of exceedances in public water systems was for 1,1-dichloroethylene.  </w:t>
      </w:r>
    </w:p>
    <w:p w:rsidR="00485094" w:rsidRDefault="00485094" w:rsidP="005D2035">
      <w:pPr>
        <w:pStyle w:val="Bodytext"/>
      </w:pPr>
      <w:r>
        <w:br w:type="page"/>
      </w:r>
    </w:p>
    <w:p w:rsidR="00485094" w:rsidRDefault="00485094" w:rsidP="005D2035">
      <w:pPr>
        <w:pStyle w:val="Caption"/>
      </w:pPr>
      <w:bookmarkStart w:id="668" w:name="_Toc271280187"/>
      <w:bookmarkStart w:id="669" w:name="_Toc257365218"/>
      <w:r w:rsidRPr="00C2428A">
        <w:t xml:space="preserve">Figure </w:t>
      </w:r>
      <w:r>
        <w:t>10.1.  Numbers of Primary MCL Exceedances in Samples from Public Water Systems and Private Wells for the Recent 2-Year Period</w:t>
      </w:r>
      <w:bookmarkEnd w:id="668"/>
      <w:r>
        <w:t xml:space="preserve"> </w:t>
      </w:r>
      <w:bookmarkEnd w:id="669"/>
    </w:p>
    <w:p w:rsidR="00485094" w:rsidRDefault="00485094" w:rsidP="005D2035"/>
    <w:p w:rsidR="00485094" w:rsidRDefault="00485094" w:rsidP="005D2035"/>
    <w:p w:rsidR="00485094" w:rsidRPr="005D7321" w:rsidRDefault="001717CD" w:rsidP="005D2035">
      <w:r>
        <w:rPr>
          <w:noProof/>
        </w:rPr>
        <w:drawing>
          <wp:inline distT="0" distB="0" distL="0" distR="0">
            <wp:extent cx="5518261" cy="4642991"/>
            <wp:effectExtent l="12202" t="6098" r="8007" b="381"/>
            <wp:docPr id="30" name="Chart 1" descr="Figure 10.1.  Numbers of Primary MCL Exceedances in Samples from Public Water Systems and Private Wells for the Recent 2-Year Period "/>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p w:rsidR="00485094" w:rsidRPr="0022785D" w:rsidRDefault="00485094" w:rsidP="005D2035">
      <w:pPr>
        <w:pStyle w:val="ListBullet"/>
        <w:numPr>
          <w:ilvl w:val="0"/>
          <w:numId w:val="0"/>
        </w:numPr>
        <w:tabs>
          <w:tab w:val="left" w:pos="2805"/>
        </w:tabs>
        <w:jc w:val="center"/>
        <w:rPr>
          <w:rFonts w:cs="Arial"/>
          <w:b/>
          <w:szCs w:val="20"/>
          <w:u w:val="single"/>
        </w:rPr>
      </w:pPr>
    </w:p>
    <w:p w:rsidR="00485094" w:rsidRPr="00A94430" w:rsidRDefault="00485094" w:rsidP="005D2035">
      <w:pPr>
        <w:rPr>
          <w:rFonts w:ascii="Arial" w:hAnsi="Arial" w:cs="Arial"/>
          <w:b/>
          <w:sz w:val="16"/>
          <w:szCs w:val="16"/>
        </w:rPr>
      </w:pPr>
      <w:r>
        <w:t xml:space="preserve">  </w:t>
      </w:r>
      <w:r>
        <w:rPr>
          <w:u w:val="single"/>
        </w:rPr>
        <w:br w:type="page"/>
      </w:r>
    </w:p>
    <w:p w:rsidR="00485094" w:rsidRPr="006D2864" w:rsidRDefault="00485094" w:rsidP="005D2035">
      <w:pPr>
        <w:pStyle w:val="Tableheading"/>
      </w:pPr>
      <w:bookmarkStart w:id="670" w:name="_Toc271280129"/>
      <w:bookmarkStart w:id="671" w:name="_Toc257365165"/>
      <w:r w:rsidRPr="006D2864">
        <w:t>Table 10.2a.</w:t>
      </w:r>
      <w:r w:rsidRPr="006D2864">
        <w:tab/>
        <w:t xml:space="preserve">Summary of </w:t>
      </w:r>
      <w:r>
        <w:t>Recent Exceedances of Primary Ground Water Standards in Samples from Private Wells and Ground Water–Based Public Water Systems</w:t>
      </w:r>
      <w:bookmarkEnd w:id="670"/>
      <w:r>
        <w:t xml:space="preserve"> </w:t>
      </w:r>
      <w:bookmarkEnd w:id="671"/>
    </w:p>
    <w:p w:rsidR="00485094" w:rsidRDefault="00485094" w:rsidP="005D2035">
      <w:pPr>
        <w:pStyle w:val="TabledescriptionBF"/>
      </w:pPr>
      <w:r>
        <w:t xml:space="preserve">This is a seven-column table.  Column 1 lists the basin/aquifer.  </w:t>
      </w:r>
      <w:r w:rsidRPr="00B74802">
        <w:t xml:space="preserve">Columns 2 and 3 list the number of </w:t>
      </w:r>
      <w:r>
        <w:t xml:space="preserve">public water </w:t>
      </w:r>
      <w:r w:rsidRPr="00B74802">
        <w:t xml:space="preserve">systems </w:t>
      </w:r>
      <w:r>
        <w:t xml:space="preserve">and private wells, respectively, </w:t>
      </w:r>
      <w:r w:rsidRPr="00B74802">
        <w:t xml:space="preserve">exceeding primary standards for </w:t>
      </w:r>
      <w:r>
        <w:t>VOCs</w:t>
      </w:r>
      <w:r w:rsidRPr="00B74802">
        <w:t xml:space="preserve"> since the 2008 report.</w:t>
      </w:r>
      <w:r>
        <w:t xml:space="preserve">  Columns 4 and 5 list the number of public/private exceedances, respectively, for pesticides/SOCs over the same period; and Columns 6 and 7 list the number of public/private exceedances, respectively, for nitrate.</w:t>
      </w:r>
    </w:p>
    <w:p w:rsidR="00485094" w:rsidRDefault="00485094" w:rsidP="005D2035">
      <w:pPr>
        <w:pStyle w:val="Bodytextreduced"/>
      </w:pPr>
    </w:p>
    <w:p w:rsidR="00485094" w:rsidRPr="007043C1" w:rsidRDefault="00485094" w:rsidP="005D2035">
      <w:pPr>
        <w:pStyle w:val="Bodytextreduced"/>
        <w:rPr>
          <w:szCs w:val="15"/>
        </w:rPr>
      </w:pPr>
      <w:r w:rsidRPr="007043C1">
        <w:rPr>
          <w:szCs w:val="15"/>
          <w:vertAlign w:val="superscript"/>
        </w:rPr>
        <w:t>1</w:t>
      </w:r>
      <w:r w:rsidRPr="007043C1">
        <w:rPr>
          <w:szCs w:val="15"/>
        </w:rPr>
        <w:t xml:space="preserve"> </w:t>
      </w:r>
      <w:r>
        <w:rPr>
          <w:szCs w:val="15"/>
        </w:rPr>
        <w:t>Public water s</w:t>
      </w:r>
      <w:r w:rsidRPr="007043C1">
        <w:rPr>
          <w:szCs w:val="15"/>
        </w:rPr>
        <w:t xml:space="preserve">ystems or </w:t>
      </w:r>
      <w:r>
        <w:rPr>
          <w:szCs w:val="15"/>
        </w:rPr>
        <w:t xml:space="preserve">private </w:t>
      </w:r>
      <w:r w:rsidRPr="007043C1">
        <w:rPr>
          <w:szCs w:val="15"/>
        </w:rPr>
        <w:t xml:space="preserve">wells with samples that exceeded </w:t>
      </w:r>
      <w:r>
        <w:rPr>
          <w:szCs w:val="15"/>
        </w:rPr>
        <w:t xml:space="preserve">primary </w:t>
      </w:r>
      <w:r w:rsidRPr="007043C1">
        <w:rPr>
          <w:szCs w:val="15"/>
        </w:rPr>
        <w:t xml:space="preserve">MCLs for </w:t>
      </w:r>
      <w:r>
        <w:rPr>
          <w:szCs w:val="15"/>
        </w:rPr>
        <w:t>VOCs</w:t>
      </w:r>
      <w:r w:rsidRPr="007043C1">
        <w:rPr>
          <w:szCs w:val="15"/>
        </w:rPr>
        <w:t>, excluding trihalomethanes and ethylene dibromide.</w:t>
      </w:r>
    </w:p>
    <w:p w:rsidR="00485094" w:rsidRPr="007043C1" w:rsidRDefault="00485094" w:rsidP="005D2035">
      <w:pPr>
        <w:pStyle w:val="Bodytextreduced"/>
        <w:rPr>
          <w:szCs w:val="15"/>
        </w:rPr>
      </w:pPr>
      <w:r w:rsidRPr="007043C1">
        <w:rPr>
          <w:szCs w:val="15"/>
          <w:vertAlign w:val="superscript"/>
        </w:rPr>
        <w:t>2</w:t>
      </w:r>
      <w:r w:rsidRPr="007043C1">
        <w:rPr>
          <w:szCs w:val="15"/>
        </w:rPr>
        <w:t xml:space="preserve"> </w:t>
      </w:r>
      <w:r>
        <w:rPr>
          <w:szCs w:val="15"/>
        </w:rPr>
        <w:t>Public water s</w:t>
      </w:r>
      <w:r w:rsidRPr="007043C1">
        <w:rPr>
          <w:szCs w:val="15"/>
        </w:rPr>
        <w:t xml:space="preserve">ystems or </w:t>
      </w:r>
      <w:r>
        <w:rPr>
          <w:szCs w:val="15"/>
        </w:rPr>
        <w:t xml:space="preserve">private </w:t>
      </w:r>
      <w:r w:rsidRPr="007043C1">
        <w:rPr>
          <w:szCs w:val="15"/>
        </w:rPr>
        <w:t xml:space="preserve">wells with samples that exceeded </w:t>
      </w:r>
      <w:r>
        <w:rPr>
          <w:szCs w:val="15"/>
        </w:rPr>
        <w:t xml:space="preserve">primary </w:t>
      </w:r>
      <w:r w:rsidRPr="007043C1">
        <w:rPr>
          <w:szCs w:val="15"/>
        </w:rPr>
        <w:t>MCLs for pesticides (also known as SOCs).</w:t>
      </w:r>
    </w:p>
    <w:p w:rsidR="00485094" w:rsidRPr="007043C1" w:rsidRDefault="00485094" w:rsidP="005D2035">
      <w:pPr>
        <w:pStyle w:val="Bodytextreduced"/>
        <w:rPr>
          <w:szCs w:val="15"/>
        </w:rPr>
      </w:pPr>
      <w:r w:rsidRPr="007043C1">
        <w:rPr>
          <w:szCs w:val="15"/>
          <w:vertAlign w:val="superscript"/>
        </w:rPr>
        <w:t>3</w:t>
      </w:r>
      <w:r w:rsidRPr="007043C1">
        <w:rPr>
          <w:szCs w:val="15"/>
        </w:rPr>
        <w:t xml:space="preserve"> </w:t>
      </w:r>
      <w:r>
        <w:rPr>
          <w:szCs w:val="15"/>
        </w:rPr>
        <w:t>Public s</w:t>
      </w:r>
      <w:r w:rsidRPr="007043C1">
        <w:rPr>
          <w:szCs w:val="15"/>
        </w:rPr>
        <w:t xml:space="preserve">ystems or </w:t>
      </w:r>
      <w:r>
        <w:rPr>
          <w:szCs w:val="15"/>
        </w:rPr>
        <w:t xml:space="preserve">private </w:t>
      </w:r>
      <w:r w:rsidRPr="007043C1">
        <w:rPr>
          <w:szCs w:val="15"/>
        </w:rPr>
        <w:t>wells with samples that exceeded MCLs for nitrate or nitrate</w:t>
      </w:r>
      <w:r>
        <w:rPr>
          <w:szCs w:val="15"/>
        </w:rPr>
        <w:t xml:space="preserve"> </w:t>
      </w:r>
      <w:r w:rsidRPr="007043C1">
        <w:rPr>
          <w:szCs w:val="15"/>
        </w:rPr>
        <w:t>+</w:t>
      </w:r>
      <w:r>
        <w:rPr>
          <w:szCs w:val="15"/>
        </w:rPr>
        <w:t xml:space="preserve"> </w:t>
      </w:r>
      <w:r w:rsidRPr="007043C1">
        <w:rPr>
          <w:szCs w:val="15"/>
        </w:rPr>
        <w:t>nitrite.</w:t>
      </w:r>
    </w:p>
    <w:p w:rsidR="00485094" w:rsidRPr="007043C1" w:rsidRDefault="00485094" w:rsidP="005D2035">
      <w:pPr>
        <w:pStyle w:val="Bodytextreduced"/>
        <w:rPr>
          <w:szCs w:val="15"/>
        </w:rPr>
      </w:pPr>
      <w:r>
        <w:rPr>
          <w:szCs w:val="15"/>
          <w:vertAlign w:val="superscript"/>
        </w:rPr>
        <w:t>4</w:t>
      </w:r>
      <w:r w:rsidRPr="007043C1">
        <w:rPr>
          <w:szCs w:val="15"/>
        </w:rPr>
        <w:t xml:space="preserve"> PWS data not restricted to wells only.  Some parameter results </w:t>
      </w:r>
      <w:r>
        <w:rPr>
          <w:szCs w:val="15"/>
        </w:rPr>
        <w:t>are</w:t>
      </w:r>
      <w:r w:rsidRPr="007043C1">
        <w:rPr>
          <w:szCs w:val="15"/>
        </w:rPr>
        <w:t xml:space="preserve"> for other entry points into a system</w:t>
      </w:r>
      <w:r>
        <w:rPr>
          <w:szCs w:val="15"/>
        </w:rPr>
        <w:t xml:space="preserve"> or</w:t>
      </w:r>
      <w:r w:rsidRPr="007043C1">
        <w:rPr>
          <w:szCs w:val="15"/>
        </w:rPr>
        <w:t xml:space="preserve"> composite samples.  Data are from systems that operate their own wells.  While individual sample results collected for this report may exceed an action level or MCL, that exceedance does not necessarily translate directly into a violation of water delivered to the consumer (1) because of the compositing or blending of water mentioned above, or (2) because averaging with subsequent samples was below the action level or MCL.</w:t>
      </w:r>
    </w:p>
    <w:p w:rsidR="00485094" w:rsidRDefault="00485094" w:rsidP="005D2035">
      <w:pPr>
        <w:pStyle w:val="Bodytextreduced"/>
        <w:rPr>
          <w:szCs w:val="16"/>
        </w:rPr>
      </w:pPr>
      <w:r>
        <w:rPr>
          <w:szCs w:val="15"/>
          <w:vertAlign w:val="superscript"/>
        </w:rPr>
        <w:t>5</w:t>
      </w:r>
      <w:r w:rsidRPr="007043C1">
        <w:rPr>
          <w:szCs w:val="15"/>
        </w:rPr>
        <w:t xml:space="preserve"> Private well sampling under the WSRP is targeted sampling conducted in areas of suspected contamination, and the parameters analyzed are specific to contaminants of concern</w:t>
      </w:r>
      <w:r w:rsidRPr="007043C1">
        <w:rPr>
          <w:szCs w:val="16"/>
        </w:rPr>
        <w:t>.</w:t>
      </w:r>
    </w:p>
    <w:p w:rsidR="00485094" w:rsidRDefault="00485094" w:rsidP="005D2035">
      <w:pPr>
        <w:pStyle w:val="Bodytextreduced"/>
        <w:rPr>
          <w:rFonts w:cs="Arial"/>
          <w:szCs w:val="16"/>
        </w:rPr>
      </w:pPr>
      <w:r w:rsidRPr="007043C1">
        <w:t>- = Empty cell/no data</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74"/>
        <w:gridCol w:w="810"/>
        <w:gridCol w:w="1080"/>
        <w:gridCol w:w="810"/>
        <w:gridCol w:w="900"/>
        <w:gridCol w:w="720"/>
        <w:gridCol w:w="954"/>
      </w:tblGrid>
      <w:tr w:rsidR="00485094" w:rsidRPr="003A02D8" w:rsidTr="000F2909">
        <w:trPr>
          <w:trHeight w:val="450"/>
          <w:tblHeader/>
          <w:jc w:val="center"/>
        </w:trPr>
        <w:tc>
          <w:tcPr>
            <w:tcW w:w="4374" w:type="dxa"/>
            <w:shd w:val="clear" w:color="auto" w:fill="BDFFFF"/>
            <w:vAlign w:val="center"/>
          </w:tcPr>
          <w:p w:rsidR="00485094" w:rsidRPr="00053F7A" w:rsidRDefault="00485094" w:rsidP="005D2035">
            <w:pPr>
              <w:pStyle w:val="TableText"/>
              <w:jc w:val="center"/>
              <w:rPr>
                <w:b/>
                <w:i/>
                <w:sz w:val="15"/>
                <w:szCs w:val="15"/>
              </w:rPr>
            </w:pPr>
            <w:r>
              <w:rPr>
                <w:b/>
                <w:i/>
                <w:sz w:val="15"/>
                <w:szCs w:val="15"/>
              </w:rPr>
              <w:t>-</w:t>
            </w:r>
          </w:p>
        </w:tc>
        <w:tc>
          <w:tcPr>
            <w:tcW w:w="5274" w:type="dxa"/>
            <w:gridSpan w:val="6"/>
            <w:shd w:val="clear" w:color="auto" w:fill="BDFFFF"/>
            <w:vAlign w:val="center"/>
          </w:tcPr>
          <w:p w:rsidR="00485094" w:rsidRDefault="00485094" w:rsidP="005D2035">
            <w:pPr>
              <w:pStyle w:val="TableText"/>
              <w:jc w:val="center"/>
              <w:rPr>
                <w:b/>
                <w:i/>
                <w:sz w:val="15"/>
                <w:szCs w:val="15"/>
              </w:rPr>
            </w:pPr>
            <w:r w:rsidRPr="00053F7A">
              <w:rPr>
                <w:b/>
                <w:i/>
                <w:sz w:val="15"/>
                <w:szCs w:val="15"/>
              </w:rPr>
              <w:t>Contaminant Categories and Number of Wells or Water Systems with Samples that Have Exceeded Primary Standards</w:t>
            </w:r>
            <w:r>
              <w:rPr>
                <w:b/>
                <w:i/>
                <w:sz w:val="15"/>
                <w:szCs w:val="15"/>
              </w:rPr>
              <w:t xml:space="preserve"> </w:t>
            </w:r>
          </w:p>
          <w:p w:rsidR="00485094" w:rsidRPr="00053F7A" w:rsidRDefault="00485094" w:rsidP="00943060">
            <w:pPr>
              <w:pStyle w:val="TableText"/>
              <w:jc w:val="center"/>
              <w:rPr>
                <w:b/>
                <w:i/>
                <w:sz w:val="15"/>
                <w:szCs w:val="15"/>
              </w:rPr>
            </w:pPr>
            <w:r>
              <w:rPr>
                <w:b/>
                <w:i/>
                <w:color w:val="000000"/>
                <w:sz w:val="15"/>
                <w:szCs w:val="15"/>
              </w:rPr>
              <w:t>(period of record November 2007–November 2009)</w:t>
            </w:r>
          </w:p>
        </w:tc>
      </w:tr>
      <w:tr w:rsidR="00485094" w:rsidRPr="003A02D8" w:rsidTr="000F2909">
        <w:trPr>
          <w:cantSplit/>
          <w:trHeight w:val="1286"/>
          <w:tblHeader/>
          <w:jc w:val="center"/>
        </w:trPr>
        <w:tc>
          <w:tcPr>
            <w:tcW w:w="4374" w:type="dxa"/>
            <w:tcBorders>
              <w:bottom w:val="double" w:sz="4" w:space="0" w:color="auto"/>
            </w:tcBorders>
            <w:shd w:val="clear" w:color="auto" w:fill="BDFFFF"/>
            <w:vAlign w:val="bottom"/>
          </w:tcPr>
          <w:p w:rsidR="00485094" w:rsidRPr="00053F7A" w:rsidRDefault="00485094" w:rsidP="005D2035">
            <w:pPr>
              <w:pStyle w:val="TableText"/>
              <w:jc w:val="center"/>
              <w:rPr>
                <w:b/>
                <w:i/>
                <w:sz w:val="15"/>
                <w:szCs w:val="15"/>
              </w:rPr>
            </w:pPr>
            <w:r w:rsidRPr="00053F7A">
              <w:rPr>
                <w:b/>
                <w:i/>
                <w:sz w:val="15"/>
                <w:szCs w:val="15"/>
              </w:rPr>
              <w:t>Basin—Aquifer</w:t>
            </w:r>
          </w:p>
        </w:tc>
        <w:tc>
          <w:tcPr>
            <w:tcW w:w="810" w:type="dxa"/>
            <w:tcBorders>
              <w:bottom w:val="double" w:sz="4" w:space="0" w:color="auto"/>
            </w:tcBorders>
            <w:shd w:val="clear" w:color="auto" w:fill="BDFFFF"/>
            <w:textDirection w:val="btLr"/>
            <w:vAlign w:val="center"/>
          </w:tcPr>
          <w:p w:rsidR="00485094" w:rsidRPr="00053F7A" w:rsidRDefault="00485094" w:rsidP="005D2035">
            <w:pPr>
              <w:pStyle w:val="TableText"/>
              <w:rPr>
                <w:b/>
                <w:i/>
                <w:sz w:val="15"/>
                <w:szCs w:val="15"/>
              </w:rPr>
            </w:pPr>
            <w:r>
              <w:rPr>
                <w:b/>
                <w:i/>
                <w:sz w:val="15"/>
                <w:szCs w:val="15"/>
              </w:rPr>
              <w:t>VOCs</w:t>
            </w:r>
            <w:r w:rsidRPr="00EF44DF">
              <w:rPr>
                <w:b/>
                <w:i/>
                <w:sz w:val="15"/>
                <w:szCs w:val="15"/>
                <w:vertAlign w:val="superscript"/>
              </w:rPr>
              <w:t>1</w:t>
            </w:r>
            <w:r>
              <w:rPr>
                <w:b/>
                <w:i/>
                <w:sz w:val="15"/>
                <w:szCs w:val="15"/>
              </w:rPr>
              <w:t xml:space="preserve"> in </w:t>
            </w:r>
            <w:r w:rsidRPr="00053F7A">
              <w:rPr>
                <w:b/>
                <w:i/>
                <w:sz w:val="15"/>
                <w:szCs w:val="15"/>
              </w:rPr>
              <w:t>Public Water Systems</w:t>
            </w:r>
            <w:r>
              <w:rPr>
                <w:b/>
                <w:i/>
                <w:sz w:val="15"/>
                <w:szCs w:val="15"/>
                <w:vertAlign w:val="superscript"/>
              </w:rPr>
              <w:t>4</w:t>
            </w:r>
          </w:p>
        </w:tc>
        <w:tc>
          <w:tcPr>
            <w:tcW w:w="1080" w:type="dxa"/>
            <w:tcBorders>
              <w:bottom w:val="double" w:sz="4" w:space="0" w:color="auto"/>
              <w:right w:val="double" w:sz="4" w:space="0" w:color="auto"/>
            </w:tcBorders>
            <w:shd w:val="clear" w:color="auto" w:fill="BDFFFF"/>
            <w:textDirection w:val="btLr"/>
            <w:vAlign w:val="center"/>
          </w:tcPr>
          <w:p w:rsidR="00485094" w:rsidRPr="00053F7A" w:rsidRDefault="00485094" w:rsidP="005D2035">
            <w:pPr>
              <w:pStyle w:val="TableText"/>
              <w:rPr>
                <w:b/>
                <w:i/>
                <w:sz w:val="15"/>
                <w:szCs w:val="15"/>
              </w:rPr>
            </w:pPr>
            <w:r>
              <w:rPr>
                <w:b/>
                <w:i/>
                <w:sz w:val="15"/>
                <w:szCs w:val="15"/>
              </w:rPr>
              <w:t>VOCs</w:t>
            </w:r>
            <w:r w:rsidRPr="00EF44DF">
              <w:rPr>
                <w:b/>
                <w:i/>
                <w:sz w:val="15"/>
                <w:szCs w:val="15"/>
                <w:vertAlign w:val="superscript"/>
              </w:rPr>
              <w:t>1</w:t>
            </w:r>
            <w:r>
              <w:rPr>
                <w:b/>
                <w:i/>
                <w:sz w:val="15"/>
                <w:szCs w:val="15"/>
              </w:rPr>
              <w:t xml:space="preserve"> in </w:t>
            </w:r>
            <w:r w:rsidRPr="00053F7A">
              <w:rPr>
                <w:b/>
                <w:i/>
                <w:sz w:val="15"/>
                <w:szCs w:val="15"/>
              </w:rPr>
              <w:t>Private Wells (WSRP)</w:t>
            </w:r>
            <w:r>
              <w:rPr>
                <w:b/>
                <w:i/>
                <w:sz w:val="15"/>
                <w:szCs w:val="15"/>
                <w:vertAlign w:val="superscript"/>
              </w:rPr>
              <w:t>5</w:t>
            </w:r>
          </w:p>
        </w:tc>
        <w:tc>
          <w:tcPr>
            <w:tcW w:w="810" w:type="dxa"/>
            <w:tcBorders>
              <w:left w:val="double" w:sz="4" w:space="0" w:color="auto"/>
              <w:bottom w:val="double" w:sz="4" w:space="0" w:color="auto"/>
            </w:tcBorders>
            <w:shd w:val="clear" w:color="auto" w:fill="BDFFFF"/>
            <w:textDirection w:val="btLr"/>
            <w:vAlign w:val="center"/>
          </w:tcPr>
          <w:p w:rsidR="00485094" w:rsidRDefault="00485094" w:rsidP="005D2035">
            <w:pPr>
              <w:pStyle w:val="TableText"/>
              <w:rPr>
                <w:b/>
                <w:i/>
                <w:sz w:val="15"/>
                <w:szCs w:val="15"/>
              </w:rPr>
            </w:pPr>
            <w:r>
              <w:rPr>
                <w:b/>
                <w:i/>
                <w:sz w:val="15"/>
                <w:szCs w:val="15"/>
              </w:rPr>
              <w:t>Pesticides/</w:t>
            </w:r>
          </w:p>
          <w:p w:rsidR="00485094" w:rsidRPr="00053F7A" w:rsidRDefault="00485094" w:rsidP="005D2035">
            <w:pPr>
              <w:pStyle w:val="TableText"/>
              <w:rPr>
                <w:b/>
                <w:i/>
                <w:sz w:val="15"/>
                <w:szCs w:val="15"/>
              </w:rPr>
            </w:pPr>
            <w:r>
              <w:rPr>
                <w:b/>
                <w:i/>
                <w:sz w:val="15"/>
                <w:szCs w:val="15"/>
              </w:rPr>
              <w:t>SOCs</w:t>
            </w:r>
            <w:r w:rsidRPr="00EF44DF">
              <w:rPr>
                <w:b/>
                <w:i/>
                <w:sz w:val="15"/>
                <w:szCs w:val="15"/>
                <w:vertAlign w:val="superscript"/>
              </w:rPr>
              <w:t>2</w:t>
            </w:r>
            <w:r>
              <w:rPr>
                <w:b/>
                <w:i/>
                <w:sz w:val="15"/>
                <w:szCs w:val="15"/>
              </w:rPr>
              <w:t xml:space="preserve"> in </w:t>
            </w:r>
            <w:r w:rsidRPr="00053F7A">
              <w:rPr>
                <w:b/>
                <w:i/>
                <w:sz w:val="15"/>
                <w:szCs w:val="15"/>
              </w:rPr>
              <w:t>Public Water Systems</w:t>
            </w:r>
            <w:r>
              <w:rPr>
                <w:b/>
                <w:i/>
                <w:sz w:val="15"/>
                <w:szCs w:val="15"/>
                <w:vertAlign w:val="superscript"/>
              </w:rPr>
              <w:t>4</w:t>
            </w:r>
          </w:p>
        </w:tc>
        <w:tc>
          <w:tcPr>
            <w:tcW w:w="900" w:type="dxa"/>
            <w:tcBorders>
              <w:bottom w:val="double" w:sz="4" w:space="0" w:color="auto"/>
              <w:right w:val="double" w:sz="4" w:space="0" w:color="auto"/>
            </w:tcBorders>
            <w:shd w:val="clear" w:color="auto" w:fill="BDFFFF"/>
            <w:textDirection w:val="btLr"/>
            <w:vAlign w:val="center"/>
          </w:tcPr>
          <w:p w:rsidR="00485094" w:rsidRDefault="00485094" w:rsidP="005D2035">
            <w:pPr>
              <w:pStyle w:val="TableText"/>
              <w:rPr>
                <w:b/>
                <w:i/>
                <w:sz w:val="15"/>
                <w:szCs w:val="15"/>
              </w:rPr>
            </w:pPr>
            <w:r>
              <w:rPr>
                <w:b/>
                <w:i/>
                <w:sz w:val="15"/>
                <w:szCs w:val="15"/>
              </w:rPr>
              <w:t>Pesticides/</w:t>
            </w:r>
          </w:p>
          <w:p w:rsidR="00485094" w:rsidRPr="00053F7A" w:rsidRDefault="00485094" w:rsidP="005D2035">
            <w:pPr>
              <w:pStyle w:val="TableText"/>
              <w:rPr>
                <w:b/>
                <w:i/>
                <w:sz w:val="15"/>
                <w:szCs w:val="15"/>
              </w:rPr>
            </w:pPr>
            <w:r>
              <w:rPr>
                <w:b/>
                <w:i/>
                <w:sz w:val="15"/>
                <w:szCs w:val="15"/>
              </w:rPr>
              <w:t>SOCs</w:t>
            </w:r>
            <w:r w:rsidRPr="00EF44DF">
              <w:rPr>
                <w:b/>
                <w:i/>
                <w:sz w:val="15"/>
                <w:szCs w:val="15"/>
                <w:vertAlign w:val="superscript"/>
              </w:rPr>
              <w:t>2</w:t>
            </w:r>
            <w:r>
              <w:rPr>
                <w:b/>
                <w:i/>
                <w:sz w:val="15"/>
                <w:szCs w:val="15"/>
              </w:rPr>
              <w:t xml:space="preserve"> in </w:t>
            </w:r>
            <w:r w:rsidRPr="00053F7A">
              <w:rPr>
                <w:b/>
                <w:i/>
                <w:sz w:val="15"/>
                <w:szCs w:val="15"/>
              </w:rPr>
              <w:t>Private Wells (WSRP)</w:t>
            </w:r>
            <w:r>
              <w:rPr>
                <w:b/>
                <w:i/>
                <w:sz w:val="15"/>
                <w:szCs w:val="15"/>
                <w:vertAlign w:val="superscript"/>
              </w:rPr>
              <w:t>5</w:t>
            </w:r>
          </w:p>
        </w:tc>
        <w:tc>
          <w:tcPr>
            <w:tcW w:w="720" w:type="dxa"/>
            <w:tcBorders>
              <w:left w:val="double" w:sz="4" w:space="0" w:color="auto"/>
              <w:bottom w:val="double" w:sz="4" w:space="0" w:color="auto"/>
            </w:tcBorders>
            <w:shd w:val="clear" w:color="auto" w:fill="BDFFFF"/>
            <w:textDirection w:val="btLr"/>
            <w:vAlign w:val="center"/>
          </w:tcPr>
          <w:p w:rsidR="00485094" w:rsidRPr="00053F7A" w:rsidRDefault="00485094" w:rsidP="005D2035">
            <w:pPr>
              <w:pStyle w:val="TableText"/>
              <w:rPr>
                <w:b/>
                <w:i/>
                <w:sz w:val="15"/>
                <w:szCs w:val="15"/>
              </w:rPr>
            </w:pPr>
            <w:r w:rsidRPr="00053F7A">
              <w:rPr>
                <w:b/>
                <w:i/>
                <w:sz w:val="15"/>
                <w:szCs w:val="15"/>
              </w:rPr>
              <w:t>Nitrate</w:t>
            </w:r>
            <w:r w:rsidRPr="00053F7A">
              <w:rPr>
                <w:b/>
                <w:i/>
                <w:sz w:val="15"/>
                <w:szCs w:val="15"/>
                <w:vertAlign w:val="superscript"/>
              </w:rPr>
              <w:t>3</w:t>
            </w:r>
            <w:r>
              <w:rPr>
                <w:b/>
                <w:i/>
                <w:sz w:val="15"/>
                <w:szCs w:val="15"/>
                <w:vertAlign w:val="superscript"/>
              </w:rPr>
              <w:t xml:space="preserve"> </w:t>
            </w:r>
            <w:r w:rsidRPr="00EF44DF">
              <w:rPr>
                <w:b/>
                <w:i/>
                <w:sz w:val="15"/>
                <w:szCs w:val="15"/>
              </w:rPr>
              <w:t>in</w:t>
            </w:r>
            <w:r>
              <w:rPr>
                <w:b/>
                <w:i/>
                <w:sz w:val="15"/>
                <w:szCs w:val="15"/>
              </w:rPr>
              <w:t xml:space="preserve"> </w:t>
            </w:r>
            <w:r w:rsidRPr="00053F7A">
              <w:rPr>
                <w:b/>
                <w:i/>
                <w:sz w:val="15"/>
                <w:szCs w:val="15"/>
              </w:rPr>
              <w:t>Public Water Systems</w:t>
            </w:r>
            <w:r>
              <w:rPr>
                <w:b/>
                <w:i/>
                <w:sz w:val="15"/>
                <w:szCs w:val="15"/>
                <w:vertAlign w:val="superscript"/>
              </w:rPr>
              <w:t>4</w:t>
            </w:r>
          </w:p>
        </w:tc>
        <w:tc>
          <w:tcPr>
            <w:tcW w:w="954" w:type="dxa"/>
            <w:tcBorders>
              <w:bottom w:val="double" w:sz="4" w:space="0" w:color="auto"/>
            </w:tcBorders>
            <w:shd w:val="clear" w:color="auto" w:fill="BDFFFF"/>
            <w:textDirection w:val="btLr"/>
            <w:vAlign w:val="center"/>
          </w:tcPr>
          <w:p w:rsidR="00485094" w:rsidRPr="00053F7A" w:rsidRDefault="00485094" w:rsidP="005D2035">
            <w:pPr>
              <w:pStyle w:val="TableText"/>
              <w:rPr>
                <w:b/>
                <w:i/>
                <w:sz w:val="15"/>
                <w:szCs w:val="15"/>
              </w:rPr>
            </w:pPr>
            <w:r w:rsidRPr="00053F7A">
              <w:rPr>
                <w:b/>
                <w:i/>
                <w:sz w:val="15"/>
                <w:szCs w:val="15"/>
              </w:rPr>
              <w:t>Nitrate</w:t>
            </w:r>
            <w:r w:rsidRPr="00053F7A">
              <w:rPr>
                <w:b/>
                <w:i/>
                <w:sz w:val="15"/>
                <w:szCs w:val="15"/>
                <w:vertAlign w:val="superscript"/>
              </w:rPr>
              <w:t>3</w:t>
            </w:r>
            <w:r>
              <w:rPr>
                <w:b/>
                <w:i/>
                <w:sz w:val="15"/>
                <w:szCs w:val="15"/>
                <w:vertAlign w:val="superscript"/>
              </w:rPr>
              <w:t xml:space="preserve"> </w:t>
            </w:r>
            <w:r w:rsidRPr="00EF44DF">
              <w:rPr>
                <w:b/>
                <w:i/>
                <w:sz w:val="15"/>
                <w:szCs w:val="15"/>
              </w:rPr>
              <w:t>in</w:t>
            </w:r>
            <w:r>
              <w:rPr>
                <w:b/>
                <w:i/>
                <w:sz w:val="15"/>
                <w:szCs w:val="15"/>
              </w:rPr>
              <w:t xml:space="preserve"> </w:t>
            </w:r>
            <w:r w:rsidRPr="00053F7A">
              <w:rPr>
                <w:b/>
                <w:i/>
                <w:sz w:val="15"/>
                <w:szCs w:val="15"/>
              </w:rPr>
              <w:t>Private Wells (WSRP)</w:t>
            </w:r>
            <w:r>
              <w:rPr>
                <w:b/>
                <w:i/>
                <w:sz w:val="15"/>
                <w:szCs w:val="15"/>
                <w:vertAlign w:val="superscript"/>
              </w:rPr>
              <w:t>5</w:t>
            </w:r>
          </w:p>
        </w:tc>
      </w:tr>
      <w:tr w:rsidR="00485094" w:rsidRPr="00053F7A" w:rsidTr="000F2909">
        <w:trPr>
          <w:trHeight w:val="220"/>
          <w:jc w:val="center"/>
        </w:trPr>
        <w:tc>
          <w:tcPr>
            <w:tcW w:w="4374" w:type="dxa"/>
            <w:tcBorders>
              <w:top w:val="double" w:sz="4" w:space="0" w:color="auto"/>
            </w:tcBorders>
            <w:shd w:val="clear" w:color="auto" w:fill="FFFFCC"/>
            <w:vAlign w:val="center"/>
          </w:tcPr>
          <w:p w:rsidR="00485094" w:rsidRPr="00053F7A" w:rsidRDefault="00485094" w:rsidP="005D2035">
            <w:pPr>
              <w:pStyle w:val="TableText"/>
              <w:rPr>
                <w:sz w:val="15"/>
                <w:szCs w:val="15"/>
              </w:rPr>
            </w:pPr>
            <w:r w:rsidRPr="00053F7A">
              <w:rPr>
                <w:sz w:val="15"/>
                <w:szCs w:val="15"/>
              </w:rPr>
              <w:t>Apalachicola–Chipola—Floridan Aquifer</w:t>
            </w:r>
          </w:p>
        </w:tc>
        <w:tc>
          <w:tcPr>
            <w:tcW w:w="810" w:type="dxa"/>
            <w:tcBorders>
              <w:top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top w:val="double" w:sz="4" w:space="0" w:color="auto"/>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810" w:type="dxa"/>
            <w:tcBorders>
              <w:top w:val="double" w:sz="4" w:space="0" w:color="auto"/>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900" w:type="dxa"/>
            <w:tcBorders>
              <w:top w:val="double" w:sz="4" w:space="0" w:color="auto"/>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6</w:t>
            </w:r>
          </w:p>
        </w:tc>
        <w:tc>
          <w:tcPr>
            <w:tcW w:w="720" w:type="dxa"/>
            <w:tcBorders>
              <w:top w:val="double" w:sz="4" w:space="0" w:color="auto"/>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54" w:type="dxa"/>
            <w:tcBorders>
              <w:top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r w:rsidRPr="00053F7A">
              <w:rPr>
                <w:sz w:val="15"/>
                <w:szCs w:val="15"/>
              </w:rPr>
              <w:t xml:space="preserve">Caloosahatchee—Surficial Aquifer </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3</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smartTag w:uri="urn:schemas-microsoft-com:office:smarttags" w:element="PlaceName">
              <w:smartTag w:uri="urn:schemas-microsoft-com:office:smarttags" w:element="place">
                <w:r w:rsidRPr="00053F7A">
                  <w:rPr>
                    <w:sz w:val="15"/>
                    <w:szCs w:val="15"/>
                  </w:rPr>
                  <w:t>Charlotte</w:t>
                </w:r>
              </w:smartTag>
              <w:r w:rsidRPr="00053F7A">
                <w:rPr>
                  <w:sz w:val="15"/>
                  <w:szCs w:val="15"/>
                </w:rPr>
                <w:t xml:space="preserve"> </w:t>
              </w:r>
              <w:smartTag w:uri="urn:schemas-microsoft-com:office:smarttags" w:element="PlaceName">
                <w:r w:rsidRPr="00053F7A">
                  <w:rPr>
                    <w:sz w:val="15"/>
                    <w:szCs w:val="15"/>
                  </w:rPr>
                  <w:t>Harbor</w:t>
                </w:r>
              </w:smartTag>
            </w:smartTag>
            <w:r w:rsidRPr="00053F7A">
              <w:rPr>
                <w:sz w:val="15"/>
                <w:szCs w:val="15"/>
              </w:rPr>
              <w:t>—Floridan Aquifer (SW)</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8</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r w:rsidRPr="00053F7A">
              <w:rPr>
                <w:sz w:val="15"/>
                <w:szCs w:val="15"/>
              </w:rPr>
              <w:t>Choctawhatchee–St. Andrew—Floridan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smartTag w:uri="urn:schemas-microsoft-com:office:smarttags" w:element="place">
              <w:r w:rsidRPr="00053F7A">
                <w:rPr>
                  <w:sz w:val="15"/>
                  <w:szCs w:val="15"/>
                </w:rPr>
                <w:t>Everglades</w:t>
              </w:r>
            </w:smartTag>
            <w:r w:rsidRPr="00053F7A">
              <w:rPr>
                <w:sz w:val="15"/>
                <w:szCs w:val="15"/>
              </w:rPr>
              <w:t>—Surficial Aquifer (SW)</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smartTag w:uri="urn:schemas-microsoft-com:office:smarttags" w:element="place">
              <w:r w:rsidRPr="00053F7A">
                <w:rPr>
                  <w:sz w:val="15"/>
                  <w:szCs w:val="15"/>
                </w:rPr>
                <w:t>Everglades</w:t>
              </w:r>
            </w:smartTag>
            <w:r w:rsidRPr="00053F7A">
              <w:rPr>
                <w:sz w:val="15"/>
                <w:szCs w:val="15"/>
              </w:rPr>
              <w:t xml:space="preserve"> West Coast—Surficial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r w:rsidRPr="00053F7A">
              <w:rPr>
                <w:sz w:val="15"/>
                <w:szCs w:val="15"/>
              </w:rPr>
              <w:t>Fisheating Creek—Surficial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4</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smartTag w:uri="urn:schemas-microsoft-com:office:smarttags" w:element="place">
              <w:r w:rsidRPr="00053F7A">
                <w:rPr>
                  <w:sz w:val="15"/>
                  <w:szCs w:val="15"/>
                </w:rPr>
                <w:t>Florida Keys</w:t>
              </w:r>
            </w:smartTag>
            <w:r w:rsidRPr="00053F7A">
              <w:rPr>
                <w:sz w:val="15"/>
                <w:szCs w:val="15"/>
              </w:rPr>
              <w:t>—None</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smartTag w:uri="urn:schemas-microsoft-com:office:smarttags" w:element="place">
              <w:r w:rsidRPr="00053F7A">
                <w:rPr>
                  <w:sz w:val="15"/>
                  <w:szCs w:val="15"/>
                </w:rPr>
                <w:t>Indian River</w:t>
              </w:r>
            </w:smartTag>
            <w:r w:rsidRPr="00053F7A">
              <w:rPr>
                <w:sz w:val="15"/>
                <w:szCs w:val="15"/>
              </w:rPr>
              <w:t xml:space="preserve"> Lagoon—Floridan and Surficial Aquifers</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7</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954" w:type="dxa"/>
            <w:vAlign w:val="center"/>
          </w:tcPr>
          <w:p w:rsidR="00485094" w:rsidRPr="00053F7A" w:rsidRDefault="00485094" w:rsidP="005D2035">
            <w:pPr>
              <w:pStyle w:val="TableText"/>
              <w:jc w:val="center"/>
              <w:rPr>
                <w:rFonts w:cs="Arial"/>
                <w:sz w:val="15"/>
                <w:szCs w:val="15"/>
                <w:highlight w:val="yellow"/>
              </w:rPr>
            </w:pPr>
            <w:r w:rsidRPr="000268B0">
              <w:rPr>
                <w:rFonts w:ascii="Cambria" w:hAnsi="Cambria" w:cs="Cambria"/>
                <w:sz w:val="15"/>
                <w:szCs w:val="15"/>
              </w:rPr>
              <w:t>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smartTag w:uri="urn:schemas-microsoft-com:office:smarttags" w:element="place">
              <w:r w:rsidRPr="00053F7A">
                <w:rPr>
                  <w:sz w:val="15"/>
                  <w:szCs w:val="15"/>
                </w:rPr>
                <w:t>Kissimmee River</w:t>
              </w:r>
            </w:smartTag>
            <w:r w:rsidRPr="00053F7A">
              <w:rPr>
                <w:sz w:val="15"/>
                <w:szCs w:val="15"/>
              </w:rPr>
              <w:t>—Floridan, Intermediate, and Surficial Aquifers</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3</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13</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104</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smartTag w:uri="urn:schemas-microsoft-com:office:smarttags" w:element="place">
              <w:r w:rsidRPr="00053F7A">
                <w:rPr>
                  <w:sz w:val="15"/>
                  <w:szCs w:val="15"/>
                </w:rPr>
                <w:t>Lake Okeechobee</w:t>
              </w:r>
            </w:smartTag>
            <w:r w:rsidRPr="00053F7A">
              <w:rPr>
                <w:sz w:val="15"/>
                <w:szCs w:val="15"/>
              </w:rPr>
              <w:t>—Surficial Aquifer (SW)</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smartTag w:uri="urn:schemas-microsoft-com:office:smarttags" w:element="PlaceName">
              <w:smartTag w:uri="urn:schemas-microsoft-com:office:smarttags" w:element="place">
                <w:r w:rsidRPr="00053F7A">
                  <w:rPr>
                    <w:sz w:val="15"/>
                    <w:szCs w:val="15"/>
                  </w:rPr>
                  <w:t>Lake Worth</w:t>
                </w:r>
              </w:smartTag>
              <w:r w:rsidRPr="00053F7A">
                <w:rPr>
                  <w:sz w:val="15"/>
                  <w:szCs w:val="15"/>
                </w:rPr>
                <w:t xml:space="preserve"> </w:t>
              </w:r>
              <w:smartTag w:uri="urn:schemas-microsoft-com:office:smarttags" w:element="PlaceName">
                <w:r w:rsidRPr="00053F7A">
                  <w:rPr>
                    <w:sz w:val="15"/>
                    <w:szCs w:val="15"/>
                  </w:rPr>
                  <w:t>Lagoon–Palm</w:t>
                </w:r>
              </w:smartTag>
              <w:r w:rsidRPr="00053F7A">
                <w:rPr>
                  <w:sz w:val="15"/>
                  <w:szCs w:val="15"/>
                </w:rPr>
                <w:t xml:space="preserve"> </w:t>
              </w:r>
              <w:smartTag w:uri="urn:schemas-microsoft-com:office:smarttags" w:element="PlaceType">
                <w:r w:rsidRPr="00053F7A">
                  <w:rPr>
                    <w:sz w:val="15"/>
                    <w:szCs w:val="15"/>
                  </w:rPr>
                  <w:t>Beach</w:t>
                </w:r>
              </w:smartTag>
              <w:r w:rsidRPr="00053F7A">
                <w:rPr>
                  <w:sz w:val="15"/>
                  <w:szCs w:val="15"/>
                </w:rPr>
                <w:t xml:space="preserve"> </w:t>
              </w:r>
              <w:smartTag w:uri="urn:schemas-microsoft-com:office:smarttags" w:element="PlaceType">
                <w:r w:rsidRPr="00053F7A">
                  <w:rPr>
                    <w:sz w:val="15"/>
                    <w:szCs w:val="15"/>
                  </w:rPr>
                  <w:t>Coast</w:t>
                </w:r>
              </w:smartTag>
            </w:smartTag>
            <w:r w:rsidRPr="00053F7A">
              <w:rPr>
                <w:sz w:val="15"/>
                <w:szCs w:val="15"/>
              </w:rPr>
              <w:t>—Surficial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2</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smartTag w:uri="urn:schemas-microsoft-com:office:smarttags" w:element="place">
              <w:r w:rsidRPr="00053F7A">
                <w:rPr>
                  <w:sz w:val="15"/>
                  <w:szCs w:val="15"/>
                </w:rPr>
                <w:t>Lower St. Johns</w:t>
              </w:r>
            </w:smartTag>
            <w:r w:rsidRPr="00053F7A">
              <w:rPr>
                <w:sz w:val="15"/>
                <w:szCs w:val="15"/>
              </w:rPr>
              <w:t>—Floridan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10</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7</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r w:rsidRPr="00053F7A">
              <w:rPr>
                <w:sz w:val="15"/>
                <w:szCs w:val="15"/>
              </w:rPr>
              <w:t xml:space="preserve">Middle </w:t>
            </w:r>
            <w:smartTag w:uri="urn:schemas-microsoft-com:office:smarttags" w:element="City">
              <w:smartTag w:uri="urn:schemas-microsoft-com:office:smarttags" w:element="place">
                <w:r w:rsidRPr="00053F7A">
                  <w:rPr>
                    <w:sz w:val="15"/>
                    <w:szCs w:val="15"/>
                  </w:rPr>
                  <w:t>St. Johns</w:t>
                </w:r>
              </w:smartTag>
            </w:smartTag>
            <w:r w:rsidRPr="00053F7A">
              <w:rPr>
                <w:sz w:val="15"/>
                <w:szCs w:val="15"/>
              </w:rPr>
              <w:t>—Floridan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2</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33</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2</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19</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r w:rsidRPr="00053F7A">
              <w:rPr>
                <w:sz w:val="15"/>
                <w:szCs w:val="15"/>
              </w:rPr>
              <w:t>Nassau–St. Marys—Floridan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r w:rsidRPr="00053F7A">
              <w:rPr>
                <w:sz w:val="15"/>
                <w:szCs w:val="15"/>
              </w:rPr>
              <w:t>Ochlockonee–St. Marks—Floridan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r w:rsidRPr="00053F7A">
              <w:rPr>
                <w:sz w:val="15"/>
                <w:szCs w:val="15"/>
              </w:rPr>
              <w:t>Ocklawaha—Floridan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2</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11</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954" w:type="dxa"/>
            <w:vAlign w:val="center"/>
          </w:tcPr>
          <w:p w:rsidR="00485094" w:rsidRDefault="00485094" w:rsidP="005D2035">
            <w:pPr>
              <w:pStyle w:val="TableText"/>
              <w:jc w:val="center"/>
              <w:rPr>
                <w:rFonts w:cs="Arial"/>
                <w:sz w:val="15"/>
                <w:szCs w:val="15"/>
              </w:rPr>
            </w:pPr>
            <w:r w:rsidRPr="000268B0">
              <w:rPr>
                <w:rFonts w:ascii="Cambria" w:hAnsi="Cambria" w:cs="Cambria"/>
                <w:sz w:val="15"/>
                <w:szCs w:val="15"/>
              </w:rPr>
              <w:t>50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lang w:val="pt-BR"/>
              </w:rPr>
            </w:pPr>
            <w:r w:rsidRPr="00053F7A">
              <w:rPr>
                <w:sz w:val="15"/>
                <w:szCs w:val="15"/>
                <w:lang w:val="pt-BR"/>
              </w:rPr>
              <w:t>Pensacola—Sand-and-Gravel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2</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3</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lang w:val="pt-BR"/>
              </w:rPr>
            </w:pPr>
            <w:r w:rsidRPr="00053F7A">
              <w:rPr>
                <w:sz w:val="15"/>
                <w:szCs w:val="15"/>
                <w:lang w:val="pt-BR"/>
              </w:rPr>
              <w:t>Perdido—Sand-and-Gravel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r w:rsidRPr="00053F7A">
              <w:rPr>
                <w:sz w:val="15"/>
                <w:szCs w:val="15"/>
              </w:rPr>
              <w:t>Sarasota Bay–Peace–Myakka—Floridan and Surficial Aquifers</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3</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73</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smartTag w:uri="urn:schemas-microsoft-com:office:smarttags" w:element="PlaceName">
              <w:smartTag w:uri="urn:schemas-microsoft-com:office:smarttags" w:element="place">
                <w:r w:rsidRPr="00053F7A">
                  <w:rPr>
                    <w:sz w:val="15"/>
                    <w:szCs w:val="15"/>
                  </w:rPr>
                  <w:t>Southeast</w:t>
                </w:r>
              </w:smartTag>
              <w:r w:rsidRPr="00053F7A">
                <w:rPr>
                  <w:sz w:val="15"/>
                  <w:szCs w:val="15"/>
                </w:rPr>
                <w:t xml:space="preserve"> </w:t>
              </w:r>
              <w:smartTag w:uri="urn:schemas-microsoft-com:office:smarttags" w:element="PlaceName">
                <w:r w:rsidRPr="00053F7A">
                  <w:rPr>
                    <w:sz w:val="15"/>
                    <w:szCs w:val="15"/>
                  </w:rPr>
                  <w:t>Coast–Biscayne</w:t>
                </w:r>
              </w:smartTag>
              <w:r w:rsidRPr="00053F7A">
                <w:rPr>
                  <w:sz w:val="15"/>
                  <w:szCs w:val="15"/>
                </w:rPr>
                <w:t xml:space="preserve"> </w:t>
              </w:r>
              <w:smartTag w:uri="urn:schemas-microsoft-com:office:smarttags" w:element="PlaceType">
                <w:r w:rsidRPr="00053F7A">
                  <w:rPr>
                    <w:sz w:val="15"/>
                    <w:szCs w:val="15"/>
                  </w:rPr>
                  <w:t>Bay</w:t>
                </w:r>
              </w:smartTag>
            </w:smartTag>
            <w:r w:rsidRPr="00053F7A">
              <w:rPr>
                <w:sz w:val="15"/>
                <w:szCs w:val="15"/>
              </w:rPr>
              <w:t>---Biscayne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10</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5</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4</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smartTag w:uri="urn:schemas-microsoft-com:office:smarttags" w:element="PlaceType">
              <w:smartTag w:uri="urn:schemas-microsoft-com:office:smarttags" w:element="place">
                <w:r w:rsidRPr="00053F7A">
                  <w:rPr>
                    <w:sz w:val="15"/>
                    <w:szCs w:val="15"/>
                  </w:rPr>
                  <w:t>Springs</w:t>
                </w:r>
              </w:smartTag>
              <w:r w:rsidRPr="00053F7A">
                <w:rPr>
                  <w:sz w:val="15"/>
                  <w:szCs w:val="15"/>
                </w:rPr>
                <w:t xml:space="preserve"> </w:t>
              </w:r>
              <w:smartTag w:uri="urn:schemas-microsoft-com:office:smarttags" w:element="PlaceType">
                <w:r w:rsidRPr="00053F7A">
                  <w:rPr>
                    <w:sz w:val="15"/>
                    <w:szCs w:val="15"/>
                  </w:rPr>
                  <w:t>Coast</w:t>
                </w:r>
              </w:smartTag>
            </w:smartTag>
            <w:r w:rsidRPr="00053F7A">
              <w:rPr>
                <w:sz w:val="15"/>
                <w:szCs w:val="15"/>
              </w:rPr>
              <w:t>—Floridan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2</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4</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r w:rsidRPr="00053F7A">
              <w:rPr>
                <w:sz w:val="15"/>
                <w:szCs w:val="15"/>
              </w:rPr>
              <w:t>St. Lucie–Loxahatchee—Surficial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2</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7</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smartTag w:uri="urn:schemas-microsoft-com:office:smarttags" w:element="place">
              <w:r w:rsidRPr="00053F7A">
                <w:rPr>
                  <w:sz w:val="15"/>
                  <w:szCs w:val="15"/>
                </w:rPr>
                <w:t>Suwannee</w:t>
              </w:r>
            </w:smartTag>
            <w:r w:rsidRPr="00053F7A">
              <w:rPr>
                <w:sz w:val="15"/>
                <w:szCs w:val="15"/>
              </w:rPr>
              <w:t>—Floridan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2</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2</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15</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smartTag w:uri="urn:schemas-microsoft-com:office:smarttags" w:element="PlaceName">
              <w:smartTag w:uri="urn:schemas-microsoft-com:office:smarttags" w:element="place">
                <w:r w:rsidRPr="00053F7A">
                  <w:rPr>
                    <w:sz w:val="15"/>
                    <w:szCs w:val="15"/>
                  </w:rPr>
                  <w:t>Tampa</w:t>
                </w:r>
              </w:smartTag>
              <w:r w:rsidRPr="00053F7A">
                <w:rPr>
                  <w:sz w:val="15"/>
                  <w:szCs w:val="15"/>
                </w:rPr>
                <w:t xml:space="preserve"> </w:t>
              </w:r>
              <w:smartTag w:uri="urn:schemas-microsoft-com:office:smarttags" w:element="PlaceType">
                <w:r w:rsidRPr="00053F7A">
                  <w:rPr>
                    <w:sz w:val="15"/>
                    <w:szCs w:val="15"/>
                  </w:rPr>
                  <w:t>Bay</w:t>
                </w:r>
              </w:smartTag>
            </w:smartTag>
            <w:r w:rsidRPr="00053F7A">
              <w:rPr>
                <w:sz w:val="15"/>
                <w:szCs w:val="15"/>
              </w:rPr>
              <w:t>—Floridan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8</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5</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lang w:val="pt-BR"/>
              </w:rPr>
            </w:pPr>
            <w:r w:rsidRPr="00053F7A">
              <w:rPr>
                <w:sz w:val="15"/>
                <w:szCs w:val="15"/>
                <w:lang w:val="pt-BR"/>
              </w:rPr>
              <w:t>Tampa Bay Tributaries—Floridan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2</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9</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16</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smartTag w:uri="urn:schemas-microsoft-com:office:smarttags" w:element="place">
              <w:r w:rsidRPr="00053F7A">
                <w:rPr>
                  <w:sz w:val="15"/>
                  <w:szCs w:val="15"/>
                </w:rPr>
                <w:t>Upper East Coast</w:t>
              </w:r>
            </w:smartTag>
            <w:r w:rsidRPr="00053F7A">
              <w:rPr>
                <w:sz w:val="15"/>
                <w:szCs w:val="15"/>
              </w:rPr>
              <w:t>—Floridan Aquifer and Surficial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smartTag w:uri="urn:schemas-microsoft-com:office:smarttags" w:element="place">
              <w:r w:rsidRPr="00053F7A">
                <w:rPr>
                  <w:sz w:val="15"/>
                  <w:szCs w:val="15"/>
                </w:rPr>
                <w:t>Upper St. Johns</w:t>
              </w:r>
            </w:smartTag>
            <w:r w:rsidRPr="00053F7A">
              <w:rPr>
                <w:sz w:val="15"/>
                <w:szCs w:val="15"/>
              </w:rPr>
              <w:t>—Floridan Aquifer and Surficial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smartTag w:uri="urn:schemas-microsoft-com:office:smarttags" w:element="place">
              <w:r w:rsidRPr="00053F7A">
                <w:rPr>
                  <w:sz w:val="15"/>
                  <w:szCs w:val="15"/>
                </w:rPr>
                <w:t>Withlacoochee</w:t>
              </w:r>
            </w:smartTag>
            <w:r w:rsidRPr="00053F7A">
              <w:rPr>
                <w:sz w:val="15"/>
                <w:szCs w:val="15"/>
              </w:rPr>
              <w:t>—Floridan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11</w:t>
            </w:r>
          </w:p>
        </w:tc>
      </w:tr>
      <w:tr w:rsidR="00485094" w:rsidRPr="00053F7A" w:rsidTr="000F2909">
        <w:trPr>
          <w:trHeight w:val="220"/>
          <w:jc w:val="center"/>
        </w:trPr>
        <w:tc>
          <w:tcPr>
            <w:tcW w:w="4374" w:type="dxa"/>
            <w:shd w:val="clear" w:color="auto" w:fill="FFD9FF"/>
            <w:vAlign w:val="center"/>
          </w:tcPr>
          <w:p w:rsidR="00485094" w:rsidRPr="00053F7A" w:rsidRDefault="00485094" w:rsidP="0092719C">
            <w:pPr>
              <w:pStyle w:val="TableText"/>
              <w:rPr>
                <w:b/>
                <w:sz w:val="15"/>
                <w:szCs w:val="15"/>
              </w:rPr>
            </w:pPr>
            <w:r w:rsidRPr="00053F7A">
              <w:rPr>
                <w:b/>
                <w:sz w:val="15"/>
                <w:szCs w:val="15"/>
              </w:rPr>
              <w:t xml:space="preserve">STATEWIDE SUMMARY—All </w:t>
            </w:r>
            <w:r>
              <w:rPr>
                <w:b/>
                <w:sz w:val="15"/>
                <w:szCs w:val="15"/>
              </w:rPr>
              <w:t>R</w:t>
            </w:r>
            <w:r w:rsidRPr="00053F7A">
              <w:rPr>
                <w:b/>
                <w:sz w:val="15"/>
                <w:szCs w:val="15"/>
              </w:rPr>
              <w:t>esults</w:t>
            </w:r>
          </w:p>
        </w:tc>
        <w:tc>
          <w:tcPr>
            <w:tcW w:w="810" w:type="dxa"/>
            <w:shd w:val="clear" w:color="auto" w:fill="FFD9FF"/>
            <w:vAlign w:val="center"/>
          </w:tcPr>
          <w:p w:rsidR="00485094" w:rsidRPr="00053F7A" w:rsidRDefault="00485094" w:rsidP="005D2035">
            <w:pPr>
              <w:pStyle w:val="TableText"/>
              <w:jc w:val="center"/>
              <w:rPr>
                <w:rFonts w:cs="Arial"/>
                <w:b/>
                <w:bCs/>
                <w:sz w:val="15"/>
                <w:szCs w:val="15"/>
              </w:rPr>
            </w:pPr>
            <w:r w:rsidRPr="00053F7A">
              <w:rPr>
                <w:rFonts w:cs="Arial"/>
                <w:b/>
                <w:bCs/>
                <w:sz w:val="15"/>
                <w:szCs w:val="15"/>
              </w:rPr>
              <w:t>1</w:t>
            </w:r>
            <w:r>
              <w:rPr>
                <w:rFonts w:cs="Arial"/>
                <w:b/>
                <w:bCs/>
                <w:sz w:val="15"/>
                <w:szCs w:val="15"/>
              </w:rPr>
              <w:t>3</w:t>
            </w:r>
          </w:p>
        </w:tc>
        <w:tc>
          <w:tcPr>
            <w:tcW w:w="1080" w:type="dxa"/>
            <w:tcBorders>
              <w:right w:val="double" w:sz="4" w:space="0" w:color="auto"/>
            </w:tcBorders>
            <w:shd w:val="clear" w:color="auto" w:fill="FFD9FF"/>
            <w:vAlign w:val="center"/>
          </w:tcPr>
          <w:p w:rsidR="00485094" w:rsidRPr="00053F7A" w:rsidRDefault="00485094" w:rsidP="005D2035">
            <w:pPr>
              <w:pStyle w:val="TableText"/>
              <w:jc w:val="center"/>
              <w:rPr>
                <w:rFonts w:cs="Arial"/>
                <w:b/>
                <w:sz w:val="15"/>
                <w:szCs w:val="15"/>
              </w:rPr>
            </w:pPr>
            <w:r>
              <w:rPr>
                <w:rFonts w:cs="Arial"/>
                <w:b/>
                <w:sz w:val="15"/>
                <w:szCs w:val="15"/>
              </w:rPr>
              <w:t>89</w:t>
            </w:r>
          </w:p>
        </w:tc>
        <w:tc>
          <w:tcPr>
            <w:tcW w:w="810" w:type="dxa"/>
            <w:tcBorders>
              <w:left w:val="double" w:sz="4" w:space="0" w:color="auto"/>
            </w:tcBorders>
            <w:shd w:val="clear" w:color="auto" w:fill="FFD9FF"/>
            <w:vAlign w:val="center"/>
          </w:tcPr>
          <w:p w:rsidR="00485094" w:rsidRPr="00053F7A" w:rsidRDefault="00485094" w:rsidP="005D2035">
            <w:pPr>
              <w:pStyle w:val="TableText"/>
              <w:jc w:val="center"/>
              <w:rPr>
                <w:rFonts w:cs="Arial"/>
                <w:b/>
                <w:bCs/>
                <w:sz w:val="15"/>
                <w:szCs w:val="15"/>
              </w:rPr>
            </w:pPr>
            <w:r>
              <w:rPr>
                <w:rFonts w:cs="Arial"/>
                <w:b/>
                <w:bCs/>
                <w:sz w:val="15"/>
                <w:szCs w:val="15"/>
              </w:rPr>
              <w:t>13</w:t>
            </w:r>
          </w:p>
        </w:tc>
        <w:tc>
          <w:tcPr>
            <w:tcW w:w="900" w:type="dxa"/>
            <w:tcBorders>
              <w:right w:val="double" w:sz="4" w:space="0" w:color="auto"/>
            </w:tcBorders>
            <w:shd w:val="clear" w:color="auto" w:fill="FFD9FF"/>
            <w:vAlign w:val="center"/>
          </w:tcPr>
          <w:p w:rsidR="00485094" w:rsidRPr="00053F7A" w:rsidRDefault="00485094" w:rsidP="005D2035">
            <w:pPr>
              <w:pStyle w:val="TableText"/>
              <w:jc w:val="center"/>
              <w:rPr>
                <w:rFonts w:cs="Arial"/>
                <w:b/>
                <w:sz w:val="15"/>
                <w:szCs w:val="15"/>
              </w:rPr>
            </w:pPr>
            <w:r w:rsidRPr="00053F7A">
              <w:rPr>
                <w:rFonts w:cs="Arial"/>
                <w:b/>
                <w:sz w:val="15"/>
                <w:szCs w:val="15"/>
              </w:rPr>
              <w:t>40</w:t>
            </w:r>
          </w:p>
        </w:tc>
        <w:tc>
          <w:tcPr>
            <w:tcW w:w="720" w:type="dxa"/>
            <w:tcBorders>
              <w:left w:val="double" w:sz="4" w:space="0" w:color="auto"/>
            </w:tcBorders>
            <w:shd w:val="clear" w:color="auto" w:fill="FFD9FF"/>
            <w:vAlign w:val="center"/>
          </w:tcPr>
          <w:p w:rsidR="00485094" w:rsidRPr="00053F7A" w:rsidRDefault="00485094" w:rsidP="005D2035">
            <w:pPr>
              <w:pStyle w:val="TableText"/>
              <w:jc w:val="center"/>
              <w:rPr>
                <w:rFonts w:cs="Arial"/>
                <w:b/>
                <w:bCs/>
                <w:sz w:val="15"/>
                <w:szCs w:val="15"/>
              </w:rPr>
            </w:pPr>
            <w:r>
              <w:rPr>
                <w:rFonts w:cs="Arial"/>
                <w:b/>
                <w:bCs/>
                <w:sz w:val="15"/>
                <w:szCs w:val="15"/>
              </w:rPr>
              <w:t>29</w:t>
            </w:r>
          </w:p>
        </w:tc>
        <w:tc>
          <w:tcPr>
            <w:tcW w:w="954" w:type="dxa"/>
            <w:shd w:val="clear" w:color="auto" w:fill="FFD9FF"/>
            <w:vAlign w:val="center"/>
          </w:tcPr>
          <w:p w:rsidR="00485094" w:rsidRPr="00053F7A" w:rsidRDefault="00485094" w:rsidP="005D2035">
            <w:pPr>
              <w:pStyle w:val="TableText"/>
              <w:jc w:val="center"/>
              <w:rPr>
                <w:rFonts w:cs="Arial"/>
                <w:b/>
                <w:sz w:val="15"/>
                <w:szCs w:val="15"/>
              </w:rPr>
            </w:pPr>
            <w:r w:rsidRPr="00053F7A">
              <w:rPr>
                <w:rFonts w:cs="Arial"/>
                <w:b/>
                <w:sz w:val="15"/>
                <w:szCs w:val="15"/>
              </w:rPr>
              <w:t>322</w:t>
            </w:r>
          </w:p>
        </w:tc>
      </w:tr>
    </w:tbl>
    <w:p w:rsidR="00485094" w:rsidRPr="00A94430" w:rsidRDefault="00485094" w:rsidP="005D2035">
      <w:pPr>
        <w:pStyle w:val="Bodytextreduced"/>
      </w:pPr>
      <w:r>
        <w:br w:type="page"/>
      </w:r>
    </w:p>
    <w:p w:rsidR="00485094" w:rsidRDefault="00485094" w:rsidP="005D2035">
      <w:pPr>
        <w:pStyle w:val="Tableheading"/>
      </w:pPr>
      <w:bookmarkStart w:id="672" w:name="_Toc271280130"/>
      <w:bookmarkStart w:id="673" w:name="_Toc257365166"/>
      <w:r w:rsidRPr="00521A40">
        <w:t xml:space="preserve">Table </w:t>
      </w:r>
      <w:r>
        <w:t>10.2b</w:t>
      </w:r>
      <w:r w:rsidRPr="00521A40">
        <w:t>.</w:t>
      </w:r>
      <w:r>
        <w:tab/>
      </w:r>
      <w:r w:rsidRPr="006D2864">
        <w:t xml:space="preserve">Summary of </w:t>
      </w:r>
      <w:r>
        <w:t>Recent Exceedances of Primary Ground Water Standards in Samples from Private Wells and Ground Water–Based Public Water Systems</w:t>
      </w:r>
      <w:bookmarkEnd w:id="672"/>
      <w:r>
        <w:t xml:space="preserve"> </w:t>
      </w:r>
      <w:bookmarkEnd w:id="673"/>
    </w:p>
    <w:p w:rsidR="00485094" w:rsidRPr="00B74802" w:rsidRDefault="00485094" w:rsidP="005D2035">
      <w:pPr>
        <w:pStyle w:val="TabledescriptionBF"/>
      </w:pPr>
      <w:r w:rsidRPr="00B74802">
        <w:t xml:space="preserve">This is a seven-column table.  Column 1 lists the basin/aquifer.  Columns 2 and 3 list the number of </w:t>
      </w:r>
      <w:r>
        <w:t xml:space="preserve">public water </w:t>
      </w:r>
      <w:r w:rsidRPr="00B74802">
        <w:t xml:space="preserve">systems </w:t>
      </w:r>
      <w:r>
        <w:t xml:space="preserve">and private wells, respectively, </w:t>
      </w:r>
      <w:r w:rsidRPr="00B74802">
        <w:t xml:space="preserve">exceeding primary standards for </w:t>
      </w:r>
      <w:r>
        <w:t>primary metals</w:t>
      </w:r>
      <w:r w:rsidRPr="00B74802">
        <w:t xml:space="preserve"> since the 2008 report.  Columns 4 and 5 list the number of public/private exceedances, respectively, for </w:t>
      </w:r>
      <w:r>
        <w:t>saline water</w:t>
      </w:r>
      <w:r w:rsidRPr="00B74802">
        <w:t xml:space="preserve"> over the same period; and Columns 6 and 7 list the number of public/private exceedances, respectively, for </w:t>
      </w:r>
      <w:r>
        <w:t>radionuclides</w:t>
      </w:r>
      <w:r w:rsidRPr="00B74802">
        <w:t>.</w:t>
      </w:r>
    </w:p>
    <w:p w:rsidR="00485094" w:rsidRDefault="00485094" w:rsidP="005D2035">
      <w:pPr>
        <w:pStyle w:val="Bodytextreduced"/>
      </w:pPr>
    </w:p>
    <w:p w:rsidR="00485094" w:rsidRPr="00B74802" w:rsidRDefault="00485094" w:rsidP="005D2035">
      <w:pPr>
        <w:pStyle w:val="Bodytextreduced"/>
        <w:rPr>
          <w:szCs w:val="15"/>
        </w:rPr>
      </w:pPr>
      <w:r>
        <w:rPr>
          <w:szCs w:val="15"/>
          <w:vertAlign w:val="superscript"/>
        </w:rPr>
        <w:t>1</w:t>
      </w:r>
      <w:r w:rsidRPr="00B74802">
        <w:rPr>
          <w:szCs w:val="15"/>
        </w:rPr>
        <w:t xml:space="preserve"> </w:t>
      </w:r>
      <w:r>
        <w:rPr>
          <w:szCs w:val="15"/>
        </w:rPr>
        <w:t>Public water s</w:t>
      </w:r>
      <w:r w:rsidRPr="00B74802">
        <w:rPr>
          <w:szCs w:val="15"/>
        </w:rPr>
        <w:t xml:space="preserve">ystems or </w:t>
      </w:r>
      <w:r>
        <w:rPr>
          <w:szCs w:val="15"/>
        </w:rPr>
        <w:t xml:space="preserve">private </w:t>
      </w:r>
      <w:r w:rsidRPr="00B74802">
        <w:rPr>
          <w:szCs w:val="15"/>
        </w:rPr>
        <w:t>wells with samples that exceeded MCLs for primary metals.</w:t>
      </w:r>
    </w:p>
    <w:p w:rsidR="00485094" w:rsidRPr="00B74802" w:rsidRDefault="00485094" w:rsidP="005D2035">
      <w:pPr>
        <w:pStyle w:val="Bodytextreduced"/>
        <w:rPr>
          <w:szCs w:val="15"/>
        </w:rPr>
      </w:pPr>
      <w:r>
        <w:rPr>
          <w:szCs w:val="15"/>
          <w:vertAlign w:val="superscript"/>
        </w:rPr>
        <w:t>2</w:t>
      </w:r>
      <w:r w:rsidRPr="00B74802">
        <w:rPr>
          <w:szCs w:val="15"/>
        </w:rPr>
        <w:t xml:space="preserve"> </w:t>
      </w:r>
      <w:r>
        <w:rPr>
          <w:szCs w:val="15"/>
        </w:rPr>
        <w:t>Public water s</w:t>
      </w:r>
      <w:r w:rsidRPr="00B74802">
        <w:rPr>
          <w:szCs w:val="15"/>
        </w:rPr>
        <w:t xml:space="preserve">ystems or </w:t>
      </w:r>
      <w:r>
        <w:rPr>
          <w:szCs w:val="15"/>
        </w:rPr>
        <w:t xml:space="preserve">private </w:t>
      </w:r>
      <w:r w:rsidRPr="00B74802">
        <w:rPr>
          <w:szCs w:val="15"/>
        </w:rPr>
        <w:t>wells with samples that exceeded MCL for sodium, an indicator of salinity.</w:t>
      </w:r>
    </w:p>
    <w:p w:rsidR="00485094" w:rsidRPr="00B74802" w:rsidRDefault="00485094" w:rsidP="005D2035">
      <w:pPr>
        <w:pStyle w:val="Bodytextreduced"/>
        <w:rPr>
          <w:szCs w:val="15"/>
        </w:rPr>
      </w:pPr>
      <w:r>
        <w:rPr>
          <w:szCs w:val="15"/>
          <w:vertAlign w:val="superscript"/>
        </w:rPr>
        <w:t>3</w:t>
      </w:r>
      <w:r w:rsidRPr="00B74802">
        <w:rPr>
          <w:szCs w:val="15"/>
        </w:rPr>
        <w:t xml:space="preserve"> </w:t>
      </w:r>
      <w:r>
        <w:rPr>
          <w:szCs w:val="15"/>
        </w:rPr>
        <w:t>Public water s</w:t>
      </w:r>
      <w:r w:rsidRPr="00B74802">
        <w:rPr>
          <w:szCs w:val="15"/>
        </w:rPr>
        <w:t xml:space="preserve">ystems or </w:t>
      </w:r>
      <w:r>
        <w:rPr>
          <w:szCs w:val="15"/>
        </w:rPr>
        <w:t xml:space="preserve">private </w:t>
      </w:r>
      <w:r w:rsidRPr="00B74802">
        <w:rPr>
          <w:szCs w:val="15"/>
        </w:rPr>
        <w:t xml:space="preserve">wells with samples that exceeded MCL for radionuclides, measured as </w:t>
      </w:r>
      <w:r>
        <w:rPr>
          <w:szCs w:val="15"/>
        </w:rPr>
        <w:t>Radium-</w:t>
      </w:r>
      <w:r w:rsidRPr="00B74802">
        <w:rPr>
          <w:szCs w:val="15"/>
        </w:rPr>
        <w:t xml:space="preserve">226, </w:t>
      </w:r>
      <w:r>
        <w:rPr>
          <w:szCs w:val="15"/>
        </w:rPr>
        <w:t>Radium-</w:t>
      </w:r>
      <w:r w:rsidRPr="00B74802">
        <w:rPr>
          <w:szCs w:val="15"/>
        </w:rPr>
        <w:t>228, gross Alpha, and/or gross Beta.</w:t>
      </w:r>
    </w:p>
    <w:p w:rsidR="00485094" w:rsidRPr="00B74802" w:rsidRDefault="00485094" w:rsidP="005D2035">
      <w:pPr>
        <w:pStyle w:val="Bodytextreduced"/>
        <w:rPr>
          <w:szCs w:val="15"/>
        </w:rPr>
      </w:pPr>
      <w:r>
        <w:rPr>
          <w:szCs w:val="15"/>
          <w:vertAlign w:val="superscript"/>
        </w:rPr>
        <w:t>4</w:t>
      </w:r>
      <w:r w:rsidRPr="00B74802">
        <w:rPr>
          <w:szCs w:val="15"/>
        </w:rPr>
        <w:t xml:space="preserve"> PWS data not restricted to wells only.  Some parameter results </w:t>
      </w:r>
      <w:r>
        <w:rPr>
          <w:szCs w:val="15"/>
        </w:rPr>
        <w:t>are</w:t>
      </w:r>
      <w:r w:rsidRPr="00B74802">
        <w:rPr>
          <w:szCs w:val="15"/>
        </w:rPr>
        <w:t xml:space="preserve"> for other entry points into a system</w:t>
      </w:r>
      <w:r>
        <w:rPr>
          <w:szCs w:val="15"/>
        </w:rPr>
        <w:t xml:space="preserve"> or</w:t>
      </w:r>
      <w:r w:rsidRPr="00B74802">
        <w:rPr>
          <w:szCs w:val="15"/>
        </w:rPr>
        <w:t xml:space="preserve"> composite samples.  Data are from systems that operate their own wells.  While individual sample results collected for this report may exceed an action level or MCL, that exceedance does not necessarily translate directly into a violation of water delivered to the consumer (1) because of the compositing or blending of water mentioned above, or (2) because averaging with subsequent samples was below the action level or MCL.</w:t>
      </w:r>
    </w:p>
    <w:p w:rsidR="00485094" w:rsidRDefault="00485094" w:rsidP="005D2035">
      <w:pPr>
        <w:pStyle w:val="Bodytextreduced"/>
        <w:rPr>
          <w:szCs w:val="15"/>
        </w:rPr>
      </w:pPr>
      <w:r>
        <w:rPr>
          <w:szCs w:val="15"/>
          <w:vertAlign w:val="superscript"/>
        </w:rPr>
        <w:t>5</w:t>
      </w:r>
      <w:r w:rsidRPr="00B74802">
        <w:rPr>
          <w:szCs w:val="15"/>
        </w:rPr>
        <w:t xml:space="preserve"> Private well sampling under the WSRP is targeted sampling conducted in areas of suspected contamination, and the parameters analyzed are specific to contaminants of concern.</w:t>
      </w:r>
    </w:p>
    <w:p w:rsidR="00485094" w:rsidRPr="00B74802" w:rsidRDefault="00485094" w:rsidP="005D2035">
      <w:pPr>
        <w:pStyle w:val="Bodytextreduced"/>
      </w:pPr>
      <w:r w:rsidRPr="00B74802">
        <w:t>- = Empty cell/no data</w:t>
      </w: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93"/>
        <w:gridCol w:w="990"/>
        <w:gridCol w:w="990"/>
        <w:gridCol w:w="720"/>
        <w:gridCol w:w="877"/>
        <w:gridCol w:w="720"/>
        <w:gridCol w:w="676"/>
      </w:tblGrid>
      <w:tr w:rsidR="00485094" w:rsidRPr="00FB0820" w:rsidTr="000F2909">
        <w:trPr>
          <w:trHeight w:val="450"/>
          <w:jc w:val="center"/>
        </w:trPr>
        <w:tc>
          <w:tcPr>
            <w:tcW w:w="4793" w:type="dxa"/>
            <w:shd w:val="clear" w:color="auto" w:fill="BDFFFF"/>
            <w:vAlign w:val="center"/>
          </w:tcPr>
          <w:p w:rsidR="00485094" w:rsidRPr="00FB0820" w:rsidRDefault="00485094" w:rsidP="005D2035">
            <w:pPr>
              <w:autoSpaceDE w:val="0"/>
              <w:autoSpaceDN w:val="0"/>
              <w:adjustRightInd w:val="0"/>
              <w:jc w:val="center"/>
              <w:rPr>
                <w:rFonts w:ascii="Arial" w:hAnsi="Arial"/>
                <w:i/>
                <w:color w:val="000000"/>
                <w:sz w:val="15"/>
                <w:szCs w:val="15"/>
              </w:rPr>
            </w:pPr>
            <w:r>
              <w:rPr>
                <w:rFonts w:ascii="Arial" w:hAnsi="Arial"/>
                <w:b/>
                <w:i/>
                <w:color w:val="000000"/>
                <w:sz w:val="15"/>
                <w:szCs w:val="15"/>
              </w:rPr>
              <w:t>-</w:t>
            </w:r>
          </w:p>
        </w:tc>
        <w:tc>
          <w:tcPr>
            <w:tcW w:w="4973" w:type="dxa"/>
            <w:gridSpan w:val="6"/>
            <w:shd w:val="clear" w:color="auto" w:fill="BDFFFF"/>
            <w:vAlign w:val="center"/>
          </w:tcPr>
          <w:p w:rsidR="00485094" w:rsidRDefault="00485094" w:rsidP="005D2035">
            <w:pPr>
              <w:autoSpaceDE w:val="0"/>
              <w:autoSpaceDN w:val="0"/>
              <w:adjustRightInd w:val="0"/>
              <w:jc w:val="center"/>
              <w:rPr>
                <w:rFonts w:ascii="Arial" w:hAnsi="Arial"/>
                <w:b/>
                <w:i/>
                <w:color w:val="000000"/>
                <w:sz w:val="15"/>
                <w:szCs w:val="15"/>
              </w:rPr>
            </w:pPr>
            <w:r w:rsidRPr="00FB0820">
              <w:rPr>
                <w:rFonts w:ascii="Arial" w:hAnsi="Arial"/>
                <w:b/>
                <w:i/>
                <w:color w:val="000000"/>
                <w:sz w:val="15"/>
                <w:szCs w:val="15"/>
              </w:rPr>
              <w:t>Contaminant Categories and Number of Wells or Water Systems with Samples that Have Exceeded Primary Standards</w:t>
            </w:r>
          </w:p>
          <w:p w:rsidR="00485094" w:rsidRPr="00FB0820" w:rsidRDefault="00485094" w:rsidP="0092719C">
            <w:pPr>
              <w:autoSpaceDE w:val="0"/>
              <w:autoSpaceDN w:val="0"/>
              <w:adjustRightInd w:val="0"/>
              <w:jc w:val="center"/>
              <w:rPr>
                <w:rFonts w:ascii="Arial" w:hAnsi="Arial"/>
                <w:i/>
                <w:color w:val="000000"/>
                <w:sz w:val="15"/>
                <w:szCs w:val="15"/>
              </w:rPr>
            </w:pPr>
            <w:r>
              <w:rPr>
                <w:rFonts w:ascii="Arial" w:hAnsi="Arial"/>
                <w:b/>
                <w:i/>
                <w:color w:val="000000"/>
                <w:sz w:val="15"/>
                <w:szCs w:val="15"/>
              </w:rPr>
              <w:t>(period of record November 2007–November 2009)</w:t>
            </w:r>
          </w:p>
        </w:tc>
      </w:tr>
      <w:tr w:rsidR="00485094" w:rsidRPr="00FB0820" w:rsidTr="000F2909">
        <w:trPr>
          <w:cantSplit/>
          <w:trHeight w:val="1367"/>
          <w:jc w:val="center"/>
        </w:trPr>
        <w:tc>
          <w:tcPr>
            <w:tcW w:w="4793" w:type="dxa"/>
            <w:tcBorders>
              <w:bottom w:val="double" w:sz="4" w:space="0" w:color="auto"/>
            </w:tcBorders>
            <w:shd w:val="clear" w:color="auto" w:fill="BDFFFF"/>
            <w:vAlign w:val="bottom"/>
          </w:tcPr>
          <w:p w:rsidR="00485094" w:rsidRPr="00FB0820" w:rsidRDefault="00485094" w:rsidP="005D2035">
            <w:pPr>
              <w:autoSpaceDE w:val="0"/>
              <w:autoSpaceDN w:val="0"/>
              <w:adjustRightInd w:val="0"/>
              <w:jc w:val="center"/>
              <w:rPr>
                <w:rFonts w:ascii="Arial" w:hAnsi="Arial"/>
                <w:i/>
                <w:color w:val="000000"/>
                <w:sz w:val="15"/>
                <w:szCs w:val="15"/>
              </w:rPr>
            </w:pPr>
            <w:r w:rsidRPr="00FB0820">
              <w:rPr>
                <w:rFonts w:ascii="Arial" w:hAnsi="Arial"/>
                <w:b/>
                <w:i/>
                <w:color w:val="000000"/>
                <w:sz w:val="15"/>
                <w:szCs w:val="15"/>
              </w:rPr>
              <w:t>Basin—Aquifer</w:t>
            </w:r>
          </w:p>
        </w:tc>
        <w:tc>
          <w:tcPr>
            <w:tcW w:w="990" w:type="dxa"/>
            <w:tcBorders>
              <w:bottom w:val="double" w:sz="4" w:space="0" w:color="auto"/>
            </w:tcBorders>
            <w:shd w:val="clear" w:color="auto" w:fill="BDFFFF"/>
            <w:textDirection w:val="btLr"/>
            <w:vAlign w:val="center"/>
          </w:tcPr>
          <w:p w:rsidR="00485094" w:rsidRPr="00FB0820" w:rsidRDefault="00485094" w:rsidP="005D2035">
            <w:pPr>
              <w:autoSpaceDE w:val="0"/>
              <w:autoSpaceDN w:val="0"/>
              <w:adjustRightInd w:val="0"/>
              <w:ind w:left="113" w:right="113"/>
              <w:rPr>
                <w:rFonts w:ascii="Arial" w:hAnsi="Arial"/>
                <w:b/>
                <w:i/>
                <w:color w:val="000000"/>
                <w:sz w:val="15"/>
                <w:szCs w:val="15"/>
              </w:rPr>
            </w:pPr>
            <w:r>
              <w:rPr>
                <w:rFonts w:ascii="Arial" w:hAnsi="Arial"/>
                <w:b/>
                <w:i/>
                <w:color w:val="000000"/>
                <w:sz w:val="15"/>
                <w:szCs w:val="15"/>
              </w:rPr>
              <w:t>Primary Metals</w:t>
            </w:r>
            <w:r w:rsidRPr="006D74A8">
              <w:rPr>
                <w:rFonts w:ascii="Arial" w:hAnsi="Arial"/>
                <w:b/>
                <w:i/>
                <w:color w:val="000000"/>
                <w:sz w:val="15"/>
                <w:szCs w:val="15"/>
                <w:vertAlign w:val="superscript"/>
              </w:rPr>
              <w:t>1</w:t>
            </w:r>
            <w:r>
              <w:rPr>
                <w:rFonts w:ascii="Arial" w:hAnsi="Arial"/>
                <w:b/>
                <w:i/>
                <w:color w:val="000000"/>
                <w:sz w:val="15"/>
                <w:szCs w:val="15"/>
              </w:rPr>
              <w:t xml:space="preserve"> in </w:t>
            </w:r>
            <w:r w:rsidRPr="00FB0820">
              <w:rPr>
                <w:rFonts w:ascii="Arial" w:hAnsi="Arial"/>
                <w:b/>
                <w:i/>
                <w:color w:val="000000"/>
                <w:sz w:val="15"/>
                <w:szCs w:val="15"/>
              </w:rPr>
              <w:t>Public Water Systems</w:t>
            </w:r>
            <w:r>
              <w:rPr>
                <w:rFonts w:ascii="Arial" w:hAnsi="Arial"/>
                <w:b/>
                <w:i/>
                <w:color w:val="000000"/>
                <w:sz w:val="15"/>
                <w:szCs w:val="15"/>
                <w:vertAlign w:val="superscript"/>
              </w:rPr>
              <w:t>4</w:t>
            </w:r>
          </w:p>
        </w:tc>
        <w:tc>
          <w:tcPr>
            <w:tcW w:w="990" w:type="dxa"/>
            <w:tcBorders>
              <w:bottom w:val="double" w:sz="4" w:space="0" w:color="auto"/>
              <w:right w:val="double" w:sz="4" w:space="0" w:color="auto"/>
            </w:tcBorders>
            <w:shd w:val="clear" w:color="auto" w:fill="BDFFFF"/>
            <w:textDirection w:val="btLr"/>
            <w:vAlign w:val="center"/>
          </w:tcPr>
          <w:p w:rsidR="00485094" w:rsidRPr="00FB0820" w:rsidRDefault="00485094" w:rsidP="005D2035">
            <w:pPr>
              <w:autoSpaceDE w:val="0"/>
              <w:autoSpaceDN w:val="0"/>
              <w:adjustRightInd w:val="0"/>
              <w:ind w:left="113" w:right="113"/>
              <w:rPr>
                <w:rFonts w:ascii="Arial" w:hAnsi="Arial"/>
                <w:b/>
                <w:i/>
                <w:color w:val="000000"/>
                <w:sz w:val="15"/>
                <w:szCs w:val="15"/>
              </w:rPr>
            </w:pPr>
            <w:r>
              <w:rPr>
                <w:rFonts w:ascii="Arial" w:hAnsi="Arial"/>
                <w:b/>
                <w:i/>
                <w:color w:val="000000"/>
                <w:sz w:val="15"/>
                <w:szCs w:val="15"/>
              </w:rPr>
              <w:t>Primary Metals</w:t>
            </w:r>
            <w:r w:rsidRPr="006D74A8">
              <w:rPr>
                <w:rFonts w:ascii="Arial" w:hAnsi="Arial"/>
                <w:b/>
                <w:i/>
                <w:color w:val="000000"/>
                <w:sz w:val="15"/>
                <w:szCs w:val="15"/>
                <w:vertAlign w:val="superscript"/>
              </w:rPr>
              <w:t>1</w:t>
            </w:r>
            <w:r>
              <w:rPr>
                <w:rFonts w:ascii="Arial" w:hAnsi="Arial"/>
                <w:b/>
                <w:i/>
                <w:color w:val="000000"/>
                <w:sz w:val="15"/>
                <w:szCs w:val="15"/>
              </w:rPr>
              <w:t xml:space="preserve"> in </w:t>
            </w:r>
            <w:r w:rsidRPr="00FB0820">
              <w:rPr>
                <w:rFonts w:ascii="Arial" w:hAnsi="Arial"/>
                <w:b/>
                <w:i/>
                <w:color w:val="000000"/>
                <w:sz w:val="15"/>
                <w:szCs w:val="15"/>
              </w:rPr>
              <w:t>Private Wells (WSRP)</w:t>
            </w:r>
            <w:r w:rsidRPr="00FB0820">
              <w:rPr>
                <w:rFonts w:ascii="Arial" w:hAnsi="Arial"/>
                <w:b/>
                <w:i/>
                <w:color w:val="000000"/>
                <w:sz w:val="15"/>
                <w:szCs w:val="15"/>
                <w:vertAlign w:val="superscript"/>
              </w:rPr>
              <w:t xml:space="preserve"> </w:t>
            </w:r>
            <w:r>
              <w:rPr>
                <w:rFonts w:ascii="Arial" w:hAnsi="Arial"/>
                <w:b/>
                <w:i/>
                <w:color w:val="000000"/>
                <w:sz w:val="15"/>
                <w:szCs w:val="15"/>
                <w:vertAlign w:val="superscript"/>
              </w:rPr>
              <w:t>5</w:t>
            </w:r>
          </w:p>
        </w:tc>
        <w:tc>
          <w:tcPr>
            <w:tcW w:w="720" w:type="dxa"/>
            <w:tcBorders>
              <w:left w:val="double" w:sz="4" w:space="0" w:color="auto"/>
              <w:bottom w:val="double" w:sz="4" w:space="0" w:color="auto"/>
            </w:tcBorders>
            <w:shd w:val="clear" w:color="auto" w:fill="BDFFFF"/>
            <w:textDirection w:val="btLr"/>
            <w:vAlign w:val="center"/>
          </w:tcPr>
          <w:p w:rsidR="00485094" w:rsidRPr="00FB0820" w:rsidRDefault="00485094" w:rsidP="005D2035">
            <w:pPr>
              <w:autoSpaceDE w:val="0"/>
              <w:autoSpaceDN w:val="0"/>
              <w:adjustRightInd w:val="0"/>
              <w:ind w:left="113" w:right="113"/>
              <w:rPr>
                <w:rFonts w:ascii="Arial" w:hAnsi="Arial"/>
                <w:b/>
                <w:i/>
                <w:color w:val="000000"/>
                <w:sz w:val="15"/>
                <w:szCs w:val="15"/>
              </w:rPr>
            </w:pPr>
            <w:r>
              <w:rPr>
                <w:rFonts w:ascii="Arial" w:hAnsi="Arial"/>
                <w:b/>
                <w:i/>
                <w:color w:val="000000"/>
                <w:sz w:val="15"/>
                <w:szCs w:val="15"/>
              </w:rPr>
              <w:t>Saline Water</w:t>
            </w:r>
            <w:r w:rsidRPr="006D74A8">
              <w:rPr>
                <w:rFonts w:ascii="Arial" w:hAnsi="Arial"/>
                <w:b/>
                <w:i/>
                <w:color w:val="000000"/>
                <w:sz w:val="15"/>
                <w:szCs w:val="15"/>
                <w:vertAlign w:val="superscript"/>
              </w:rPr>
              <w:t>2</w:t>
            </w:r>
            <w:r>
              <w:rPr>
                <w:rFonts w:ascii="Arial" w:hAnsi="Arial"/>
                <w:b/>
                <w:i/>
                <w:color w:val="000000"/>
                <w:sz w:val="15"/>
                <w:szCs w:val="15"/>
              </w:rPr>
              <w:t xml:space="preserve"> in </w:t>
            </w:r>
            <w:r w:rsidRPr="00FB0820">
              <w:rPr>
                <w:rFonts w:ascii="Arial" w:hAnsi="Arial"/>
                <w:b/>
                <w:i/>
                <w:color w:val="000000"/>
                <w:sz w:val="15"/>
                <w:szCs w:val="15"/>
              </w:rPr>
              <w:t>Public Water Systems</w:t>
            </w:r>
            <w:r>
              <w:rPr>
                <w:rFonts w:ascii="Arial" w:hAnsi="Arial"/>
                <w:b/>
                <w:i/>
                <w:color w:val="000000"/>
                <w:sz w:val="15"/>
                <w:szCs w:val="15"/>
                <w:vertAlign w:val="superscript"/>
              </w:rPr>
              <w:t>4</w:t>
            </w:r>
          </w:p>
        </w:tc>
        <w:tc>
          <w:tcPr>
            <w:tcW w:w="877" w:type="dxa"/>
            <w:tcBorders>
              <w:bottom w:val="double" w:sz="4" w:space="0" w:color="auto"/>
              <w:right w:val="double" w:sz="4" w:space="0" w:color="auto"/>
            </w:tcBorders>
            <w:shd w:val="clear" w:color="auto" w:fill="BDFFFF"/>
            <w:textDirection w:val="btLr"/>
            <w:vAlign w:val="center"/>
          </w:tcPr>
          <w:p w:rsidR="00485094" w:rsidRPr="00FB0820" w:rsidRDefault="00485094" w:rsidP="005D2035">
            <w:pPr>
              <w:autoSpaceDE w:val="0"/>
              <w:autoSpaceDN w:val="0"/>
              <w:adjustRightInd w:val="0"/>
              <w:ind w:left="113" w:right="113"/>
              <w:rPr>
                <w:rFonts w:ascii="Arial" w:hAnsi="Arial"/>
                <w:b/>
                <w:i/>
                <w:color w:val="000000"/>
                <w:sz w:val="15"/>
                <w:szCs w:val="15"/>
              </w:rPr>
            </w:pPr>
            <w:r>
              <w:rPr>
                <w:rFonts w:ascii="Arial" w:hAnsi="Arial"/>
                <w:b/>
                <w:i/>
                <w:color w:val="000000"/>
                <w:sz w:val="15"/>
                <w:szCs w:val="15"/>
              </w:rPr>
              <w:t>Saline Water</w:t>
            </w:r>
            <w:r w:rsidRPr="006D74A8">
              <w:rPr>
                <w:rFonts w:ascii="Arial" w:hAnsi="Arial"/>
                <w:b/>
                <w:i/>
                <w:color w:val="000000"/>
                <w:sz w:val="15"/>
                <w:szCs w:val="15"/>
                <w:vertAlign w:val="superscript"/>
              </w:rPr>
              <w:t>2</w:t>
            </w:r>
            <w:r>
              <w:rPr>
                <w:rFonts w:ascii="Arial" w:hAnsi="Arial"/>
                <w:b/>
                <w:i/>
                <w:color w:val="000000"/>
                <w:sz w:val="15"/>
                <w:szCs w:val="15"/>
              </w:rPr>
              <w:t xml:space="preserve"> in </w:t>
            </w:r>
            <w:r w:rsidRPr="00FB0820">
              <w:rPr>
                <w:rFonts w:ascii="Arial" w:hAnsi="Arial"/>
                <w:b/>
                <w:i/>
                <w:color w:val="000000"/>
                <w:sz w:val="15"/>
                <w:szCs w:val="15"/>
              </w:rPr>
              <w:t>Private Wells (WSRP)</w:t>
            </w:r>
            <w:r w:rsidRPr="00FB0820">
              <w:rPr>
                <w:rFonts w:ascii="Arial" w:hAnsi="Arial"/>
                <w:b/>
                <w:i/>
                <w:color w:val="000000"/>
                <w:sz w:val="15"/>
                <w:szCs w:val="15"/>
                <w:vertAlign w:val="superscript"/>
              </w:rPr>
              <w:t xml:space="preserve"> </w:t>
            </w:r>
            <w:r>
              <w:rPr>
                <w:rFonts w:ascii="Arial" w:hAnsi="Arial"/>
                <w:b/>
                <w:i/>
                <w:color w:val="000000"/>
                <w:sz w:val="15"/>
                <w:szCs w:val="15"/>
                <w:vertAlign w:val="superscript"/>
              </w:rPr>
              <w:t>5</w:t>
            </w:r>
          </w:p>
        </w:tc>
        <w:tc>
          <w:tcPr>
            <w:tcW w:w="720" w:type="dxa"/>
            <w:tcBorders>
              <w:left w:val="double" w:sz="4" w:space="0" w:color="auto"/>
              <w:bottom w:val="double" w:sz="4" w:space="0" w:color="auto"/>
            </w:tcBorders>
            <w:shd w:val="clear" w:color="auto" w:fill="BDFFFF"/>
            <w:textDirection w:val="btLr"/>
            <w:vAlign w:val="center"/>
          </w:tcPr>
          <w:p w:rsidR="00485094" w:rsidRPr="00FB0820" w:rsidRDefault="00485094" w:rsidP="005D2035">
            <w:pPr>
              <w:autoSpaceDE w:val="0"/>
              <w:autoSpaceDN w:val="0"/>
              <w:adjustRightInd w:val="0"/>
              <w:ind w:left="113" w:right="113"/>
              <w:rPr>
                <w:rFonts w:ascii="Arial" w:hAnsi="Arial"/>
                <w:b/>
                <w:i/>
                <w:color w:val="000000"/>
                <w:sz w:val="15"/>
                <w:szCs w:val="15"/>
              </w:rPr>
            </w:pPr>
            <w:r>
              <w:rPr>
                <w:rFonts w:ascii="Arial" w:hAnsi="Arial"/>
                <w:b/>
                <w:i/>
                <w:color w:val="000000"/>
                <w:sz w:val="15"/>
                <w:szCs w:val="15"/>
              </w:rPr>
              <w:t>Radionuclides</w:t>
            </w:r>
            <w:r w:rsidRPr="006D74A8">
              <w:rPr>
                <w:rFonts w:ascii="Arial" w:hAnsi="Arial"/>
                <w:b/>
                <w:i/>
                <w:color w:val="000000"/>
                <w:sz w:val="15"/>
                <w:szCs w:val="15"/>
                <w:vertAlign w:val="superscript"/>
              </w:rPr>
              <w:t>3</w:t>
            </w:r>
            <w:r>
              <w:rPr>
                <w:rFonts w:ascii="Arial" w:hAnsi="Arial"/>
                <w:b/>
                <w:i/>
                <w:color w:val="000000"/>
                <w:sz w:val="15"/>
                <w:szCs w:val="15"/>
              </w:rPr>
              <w:t xml:space="preserve"> in </w:t>
            </w:r>
            <w:r w:rsidRPr="00FB0820">
              <w:rPr>
                <w:rFonts w:ascii="Arial" w:hAnsi="Arial"/>
                <w:b/>
                <w:i/>
                <w:color w:val="000000"/>
                <w:sz w:val="15"/>
                <w:szCs w:val="15"/>
              </w:rPr>
              <w:t>Public Water Systems</w:t>
            </w:r>
            <w:r>
              <w:rPr>
                <w:rFonts w:ascii="Arial" w:hAnsi="Arial"/>
                <w:b/>
                <w:i/>
                <w:color w:val="000000"/>
                <w:sz w:val="15"/>
                <w:szCs w:val="15"/>
                <w:vertAlign w:val="superscript"/>
              </w:rPr>
              <w:t xml:space="preserve"> 4</w:t>
            </w:r>
          </w:p>
        </w:tc>
        <w:tc>
          <w:tcPr>
            <w:tcW w:w="676" w:type="dxa"/>
            <w:tcBorders>
              <w:bottom w:val="double" w:sz="4" w:space="0" w:color="auto"/>
            </w:tcBorders>
            <w:shd w:val="clear" w:color="auto" w:fill="BDFFFF"/>
            <w:textDirection w:val="btLr"/>
            <w:vAlign w:val="center"/>
          </w:tcPr>
          <w:p w:rsidR="00485094" w:rsidRPr="00FB0820" w:rsidRDefault="00485094" w:rsidP="005D2035">
            <w:pPr>
              <w:autoSpaceDE w:val="0"/>
              <w:autoSpaceDN w:val="0"/>
              <w:adjustRightInd w:val="0"/>
              <w:ind w:left="113" w:right="113"/>
              <w:rPr>
                <w:rFonts w:ascii="Arial" w:hAnsi="Arial"/>
                <w:b/>
                <w:i/>
                <w:color w:val="000000"/>
                <w:sz w:val="15"/>
                <w:szCs w:val="15"/>
              </w:rPr>
            </w:pPr>
            <w:r>
              <w:rPr>
                <w:rFonts w:ascii="Arial" w:hAnsi="Arial"/>
                <w:b/>
                <w:i/>
                <w:color w:val="000000"/>
                <w:sz w:val="15"/>
                <w:szCs w:val="15"/>
              </w:rPr>
              <w:t>Radionuclides</w:t>
            </w:r>
            <w:r w:rsidRPr="006D74A8">
              <w:rPr>
                <w:rFonts w:ascii="Arial" w:hAnsi="Arial"/>
                <w:b/>
                <w:i/>
                <w:color w:val="000000"/>
                <w:sz w:val="15"/>
                <w:szCs w:val="15"/>
                <w:vertAlign w:val="superscript"/>
              </w:rPr>
              <w:t>3</w:t>
            </w:r>
            <w:r>
              <w:rPr>
                <w:rFonts w:ascii="Arial" w:hAnsi="Arial"/>
                <w:b/>
                <w:i/>
                <w:color w:val="000000"/>
                <w:sz w:val="15"/>
                <w:szCs w:val="15"/>
              </w:rPr>
              <w:t xml:space="preserve"> in </w:t>
            </w:r>
            <w:r w:rsidRPr="00FB0820">
              <w:rPr>
                <w:rFonts w:ascii="Arial" w:hAnsi="Arial"/>
                <w:b/>
                <w:i/>
                <w:color w:val="000000"/>
                <w:sz w:val="15"/>
                <w:szCs w:val="15"/>
              </w:rPr>
              <w:t>Private Wells (WSRP)</w:t>
            </w:r>
            <w:r w:rsidRPr="00FB0820">
              <w:rPr>
                <w:rFonts w:ascii="Arial" w:hAnsi="Arial"/>
                <w:b/>
                <w:i/>
                <w:color w:val="000000"/>
                <w:sz w:val="15"/>
                <w:szCs w:val="15"/>
                <w:vertAlign w:val="superscript"/>
              </w:rPr>
              <w:t xml:space="preserve"> </w:t>
            </w:r>
            <w:r>
              <w:rPr>
                <w:rFonts w:ascii="Arial" w:hAnsi="Arial"/>
                <w:b/>
                <w:i/>
                <w:color w:val="000000"/>
                <w:sz w:val="15"/>
                <w:szCs w:val="15"/>
                <w:vertAlign w:val="superscript"/>
              </w:rPr>
              <w:t>5</w:t>
            </w:r>
          </w:p>
        </w:tc>
      </w:tr>
      <w:tr w:rsidR="00485094" w:rsidRPr="00FB0820" w:rsidTr="000F2909">
        <w:trPr>
          <w:trHeight w:val="220"/>
          <w:jc w:val="center"/>
        </w:trPr>
        <w:tc>
          <w:tcPr>
            <w:tcW w:w="4793" w:type="dxa"/>
            <w:tcBorders>
              <w:top w:val="double" w:sz="4" w:space="0" w:color="auto"/>
            </w:tcBorders>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r w:rsidRPr="00FB0820">
              <w:rPr>
                <w:rFonts w:ascii="Arial" w:hAnsi="Arial"/>
                <w:color w:val="000000"/>
                <w:sz w:val="15"/>
                <w:szCs w:val="15"/>
              </w:rPr>
              <w:t>Apalachicola–Chipola—Floridan Aquifer</w:t>
            </w:r>
          </w:p>
        </w:tc>
        <w:tc>
          <w:tcPr>
            <w:tcW w:w="990" w:type="dxa"/>
            <w:tcBorders>
              <w:top w:val="double" w:sz="4" w:space="0" w:color="auto"/>
            </w:tcBorders>
            <w:vAlign w:val="center"/>
          </w:tcPr>
          <w:p w:rsidR="00485094" w:rsidRPr="00FB0820" w:rsidRDefault="00485094" w:rsidP="005D2035">
            <w:pPr>
              <w:jc w:val="center"/>
              <w:rPr>
                <w:rFonts w:ascii="Arial" w:hAnsi="Arial" w:cs="Arial"/>
                <w:sz w:val="15"/>
                <w:szCs w:val="15"/>
              </w:rPr>
            </w:pPr>
            <w:r>
              <w:rPr>
                <w:rFonts w:ascii="Arial" w:hAnsi="Arial" w:cs="Arial"/>
                <w:sz w:val="15"/>
                <w:szCs w:val="15"/>
              </w:rPr>
              <w:t>0</w:t>
            </w:r>
          </w:p>
        </w:tc>
        <w:tc>
          <w:tcPr>
            <w:tcW w:w="990" w:type="dxa"/>
            <w:tcBorders>
              <w:top w:val="double" w:sz="4" w:space="0" w:color="auto"/>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3</w:t>
            </w:r>
          </w:p>
        </w:tc>
        <w:tc>
          <w:tcPr>
            <w:tcW w:w="720" w:type="dxa"/>
            <w:tcBorders>
              <w:top w:val="double" w:sz="4" w:space="0" w:color="auto"/>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877" w:type="dxa"/>
            <w:tcBorders>
              <w:top w:val="double" w:sz="4" w:space="0" w:color="auto"/>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top w:val="double" w:sz="4" w:space="0" w:color="auto"/>
              <w:lef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676" w:type="dxa"/>
            <w:tcBorders>
              <w:top w:val="double" w:sz="4" w:space="0" w:color="auto"/>
            </w:tcBorders>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r w:rsidRPr="00FB0820">
              <w:rPr>
                <w:rFonts w:ascii="Arial" w:hAnsi="Arial"/>
                <w:color w:val="000000"/>
                <w:sz w:val="15"/>
                <w:szCs w:val="15"/>
              </w:rPr>
              <w:t xml:space="preserve">Caloosahatchee—Surficial Aquifer </w:t>
            </w:r>
          </w:p>
        </w:tc>
        <w:tc>
          <w:tcPr>
            <w:tcW w:w="990"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smartTag w:uri="urn:schemas-microsoft-com:office:smarttags" w:element="PlaceName">
              <w:smartTag w:uri="urn:schemas-microsoft-com:office:smarttags" w:element="place">
                <w:r w:rsidRPr="00FB0820">
                  <w:rPr>
                    <w:rFonts w:ascii="Arial" w:hAnsi="Arial"/>
                    <w:color w:val="000000"/>
                    <w:sz w:val="15"/>
                    <w:szCs w:val="15"/>
                  </w:rPr>
                  <w:t>Charlotte</w:t>
                </w:r>
              </w:smartTag>
              <w:r w:rsidRPr="00FB0820">
                <w:rPr>
                  <w:rFonts w:ascii="Arial" w:hAnsi="Arial"/>
                  <w:color w:val="000000"/>
                  <w:sz w:val="15"/>
                  <w:szCs w:val="15"/>
                </w:rPr>
                <w:t xml:space="preserve"> </w:t>
              </w:r>
              <w:smartTag w:uri="urn:schemas-microsoft-com:office:smarttags" w:element="PlaceName">
                <w:r w:rsidRPr="00FB0820">
                  <w:rPr>
                    <w:rFonts w:ascii="Arial" w:hAnsi="Arial"/>
                    <w:color w:val="000000"/>
                    <w:sz w:val="15"/>
                    <w:szCs w:val="15"/>
                  </w:rPr>
                  <w:t>Harbor</w:t>
                </w:r>
              </w:smartTag>
            </w:smartTag>
            <w:r w:rsidRPr="00FB0820">
              <w:rPr>
                <w:rFonts w:ascii="Arial" w:hAnsi="Arial"/>
                <w:color w:val="000000"/>
                <w:sz w:val="15"/>
                <w:szCs w:val="15"/>
              </w:rPr>
              <w:t xml:space="preserve">—Floridan Aquifer </w:t>
            </w:r>
          </w:p>
        </w:tc>
        <w:tc>
          <w:tcPr>
            <w:tcW w:w="990"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0</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6</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2</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r w:rsidRPr="00FB0820">
              <w:rPr>
                <w:rFonts w:ascii="Arial" w:hAnsi="Arial"/>
                <w:color w:val="000000"/>
                <w:sz w:val="15"/>
                <w:szCs w:val="15"/>
              </w:rPr>
              <w:t>Choctawhatchee–St. Andrew—Floridan Aquifer</w:t>
            </w:r>
          </w:p>
        </w:tc>
        <w:tc>
          <w:tcPr>
            <w:tcW w:w="990"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2</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smartTag w:uri="urn:schemas-microsoft-com:office:smarttags" w:element="place">
              <w:r w:rsidRPr="00FB0820">
                <w:rPr>
                  <w:rFonts w:ascii="Arial" w:hAnsi="Arial"/>
                  <w:color w:val="000000"/>
                  <w:sz w:val="15"/>
                  <w:szCs w:val="15"/>
                </w:rPr>
                <w:t>Everglades</w:t>
              </w:r>
            </w:smartTag>
            <w:r w:rsidRPr="00FB0820">
              <w:rPr>
                <w:rFonts w:ascii="Arial" w:hAnsi="Arial"/>
                <w:color w:val="000000"/>
                <w:sz w:val="15"/>
                <w:szCs w:val="15"/>
              </w:rPr>
              <w:t xml:space="preserve">—Surficial Aquifer  </w:t>
            </w:r>
          </w:p>
        </w:tc>
        <w:tc>
          <w:tcPr>
            <w:tcW w:w="990"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0</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3</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smartTag w:uri="urn:schemas-microsoft-com:office:smarttags" w:element="place">
              <w:r w:rsidRPr="00FB0820">
                <w:rPr>
                  <w:rFonts w:ascii="Arial" w:hAnsi="Arial"/>
                  <w:color w:val="000000"/>
                  <w:sz w:val="15"/>
                  <w:szCs w:val="15"/>
                </w:rPr>
                <w:t>Everglades</w:t>
              </w:r>
            </w:smartTag>
            <w:r w:rsidRPr="00FB0820">
              <w:rPr>
                <w:rFonts w:ascii="Arial" w:hAnsi="Arial"/>
                <w:color w:val="000000"/>
                <w:sz w:val="15"/>
                <w:szCs w:val="15"/>
              </w:rPr>
              <w:t xml:space="preserve"> West Coast—Surficial Aquifer</w:t>
            </w:r>
          </w:p>
        </w:tc>
        <w:tc>
          <w:tcPr>
            <w:tcW w:w="990"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2</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3</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highlight w:val="yellow"/>
              </w:rPr>
            </w:pPr>
            <w:r w:rsidRPr="00FB0820">
              <w:rPr>
                <w:rFonts w:ascii="Arial" w:hAnsi="Arial" w:cs="Arial"/>
                <w:sz w:val="15"/>
                <w:szCs w:val="15"/>
              </w:rPr>
              <w:t>0</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r w:rsidRPr="00FB0820">
              <w:rPr>
                <w:rFonts w:ascii="Arial" w:hAnsi="Arial"/>
                <w:color w:val="000000"/>
                <w:sz w:val="15"/>
                <w:szCs w:val="15"/>
              </w:rPr>
              <w:t>Fisheating Creek—Surficial Aquifer</w:t>
            </w:r>
          </w:p>
        </w:tc>
        <w:tc>
          <w:tcPr>
            <w:tcW w:w="990" w:type="dxa"/>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smartTag w:uri="urn:schemas-microsoft-com:office:smarttags" w:element="place">
              <w:r w:rsidRPr="00FB0820">
                <w:rPr>
                  <w:rFonts w:ascii="Arial" w:hAnsi="Arial"/>
                  <w:color w:val="000000"/>
                  <w:sz w:val="15"/>
                  <w:szCs w:val="15"/>
                </w:rPr>
                <w:t>Florida Keys</w:t>
              </w:r>
            </w:smartTag>
            <w:r w:rsidRPr="00FB0820">
              <w:rPr>
                <w:rFonts w:ascii="Arial" w:hAnsi="Arial"/>
                <w:color w:val="000000"/>
                <w:sz w:val="15"/>
                <w:szCs w:val="15"/>
              </w:rPr>
              <w:t>—None</w:t>
            </w:r>
          </w:p>
        </w:tc>
        <w:tc>
          <w:tcPr>
            <w:tcW w:w="990" w:type="dxa"/>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smartTag w:uri="urn:schemas-microsoft-com:office:smarttags" w:element="place">
              <w:r w:rsidRPr="00FB0820">
                <w:rPr>
                  <w:rFonts w:ascii="Arial" w:hAnsi="Arial"/>
                  <w:color w:val="000000"/>
                  <w:sz w:val="15"/>
                  <w:szCs w:val="15"/>
                </w:rPr>
                <w:t>Indian River</w:t>
              </w:r>
            </w:smartTag>
            <w:r w:rsidRPr="00FB0820">
              <w:rPr>
                <w:rFonts w:ascii="Arial" w:hAnsi="Arial"/>
                <w:color w:val="000000"/>
                <w:sz w:val="15"/>
                <w:szCs w:val="15"/>
              </w:rPr>
              <w:t xml:space="preserve"> Lagoon—Floridan and Surficial Aquifers</w:t>
            </w:r>
          </w:p>
        </w:tc>
        <w:tc>
          <w:tcPr>
            <w:tcW w:w="990" w:type="dxa"/>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3</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2</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smartTag w:uri="urn:schemas-microsoft-com:office:smarttags" w:element="place">
              <w:r w:rsidRPr="00FB0820">
                <w:rPr>
                  <w:rFonts w:ascii="Arial" w:hAnsi="Arial"/>
                  <w:color w:val="000000"/>
                  <w:sz w:val="15"/>
                  <w:szCs w:val="15"/>
                </w:rPr>
                <w:t>Kissimmee River</w:t>
              </w:r>
            </w:smartTag>
            <w:r w:rsidRPr="00FB0820">
              <w:rPr>
                <w:rFonts w:ascii="Arial" w:hAnsi="Arial"/>
                <w:color w:val="000000"/>
                <w:sz w:val="15"/>
                <w:szCs w:val="15"/>
              </w:rPr>
              <w:t>—Floridan, Intermediate, and Surficial Aquifers</w:t>
            </w:r>
          </w:p>
        </w:tc>
        <w:tc>
          <w:tcPr>
            <w:tcW w:w="990"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Pr>
                <w:rFonts w:ascii="Arial" w:hAnsi="Arial" w:cs="Arial"/>
                <w:sz w:val="15"/>
                <w:szCs w:val="15"/>
              </w:rPr>
              <w:t>4</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smartTag w:uri="urn:schemas-microsoft-com:office:smarttags" w:element="place">
              <w:r w:rsidRPr="00FB0820">
                <w:rPr>
                  <w:rFonts w:ascii="Arial" w:hAnsi="Arial"/>
                  <w:color w:val="000000"/>
                  <w:sz w:val="15"/>
                  <w:szCs w:val="15"/>
                </w:rPr>
                <w:t>Lake Okeechobee</w:t>
              </w:r>
            </w:smartTag>
            <w:r w:rsidRPr="00FB0820">
              <w:rPr>
                <w:rFonts w:ascii="Arial" w:hAnsi="Arial"/>
                <w:color w:val="000000"/>
                <w:sz w:val="15"/>
                <w:szCs w:val="15"/>
              </w:rPr>
              <w:t xml:space="preserve">—Surficial Aquifer  </w:t>
            </w:r>
          </w:p>
        </w:tc>
        <w:tc>
          <w:tcPr>
            <w:tcW w:w="990" w:type="dxa"/>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smartTag w:uri="urn:schemas-microsoft-com:office:smarttags" w:element="PlaceName">
              <w:smartTag w:uri="urn:schemas-microsoft-com:office:smarttags" w:element="place">
                <w:r w:rsidRPr="00FB0820">
                  <w:rPr>
                    <w:rFonts w:ascii="Arial" w:hAnsi="Arial"/>
                    <w:color w:val="000000"/>
                    <w:sz w:val="15"/>
                    <w:szCs w:val="15"/>
                  </w:rPr>
                  <w:t>Lake Worth</w:t>
                </w:r>
              </w:smartTag>
              <w:r w:rsidRPr="00FB0820">
                <w:rPr>
                  <w:rFonts w:ascii="Arial" w:hAnsi="Arial"/>
                  <w:color w:val="000000"/>
                  <w:sz w:val="15"/>
                  <w:szCs w:val="15"/>
                </w:rPr>
                <w:t xml:space="preserve"> </w:t>
              </w:r>
              <w:smartTag w:uri="urn:schemas-microsoft-com:office:smarttags" w:element="PlaceName">
                <w:r w:rsidRPr="00FB0820">
                  <w:rPr>
                    <w:rFonts w:ascii="Arial" w:hAnsi="Arial"/>
                    <w:color w:val="000000"/>
                    <w:sz w:val="15"/>
                    <w:szCs w:val="15"/>
                  </w:rPr>
                  <w:t>Lagoon–Palm</w:t>
                </w:r>
              </w:smartTag>
              <w:r w:rsidRPr="00FB0820">
                <w:rPr>
                  <w:rFonts w:ascii="Arial" w:hAnsi="Arial"/>
                  <w:color w:val="000000"/>
                  <w:sz w:val="15"/>
                  <w:szCs w:val="15"/>
                </w:rPr>
                <w:t xml:space="preserve"> </w:t>
              </w:r>
              <w:smartTag w:uri="urn:schemas-microsoft-com:office:smarttags" w:element="PlaceType">
                <w:r w:rsidRPr="00FB0820">
                  <w:rPr>
                    <w:rFonts w:ascii="Arial" w:hAnsi="Arial"/>
                    <w:color w:val="000000"/>
                    <w:sz w:val="15"/>
                    <w:szCs w:val="15"/>
                  </w:rPr>
                  <w:t>Beach</w:t>
                </w:r>
              </w:smartTag>
              <w:r w:rsidRPr="00FB0820">
                <w:rPr>
                  <w:rFonts w:ascii="Arial" w:hAnsi="Arial"/>
                  <w:color w:val="000000"/>
                  <w:sz w:val="15"/>
                  <w:szCs w:val="15"/>
                </w:rPr>
                <w:t xml:space="preserve"> </w:t>
              </w:r>
              <w:smartTag w:uri="urn:schemas-microsoft-com:office:smarttags" w:element="PlaceType">
                <w:r w:rsidRPr="00FB0820">
                  <w:rPr>
                    <w:rFonts w:ascii="Arial" w:hAnsi="Arial"/>
                    <w:color w:val="000000"/>
                    <w:sz w:val="15"/>
                    <w:szCs w:val="15"/>
                  </w:rPr>
                  <w:t>Coast</w:t>
                </w:r>
              </w:smartTag>
            </w:smartTag>
            <w:r w:rsidRPr="00FB0820">
              <w:rPr>
                <w:rFonts w:ascii="Arial" w:hAnsi="Arial"/>
                <w:color w:val="000000"/>
                <w:sz w:val="15"/>
                <w:szCs w:val="15"/>
              </w:rPr>
              <w:t>—Surficial Aquifer</w:t>
            </w:r>
          </w:p>
        </w:tc>
        <w:tc>
          <w:tcPr>
            <w:tcW w:w="990"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Pr>
                <w:rFonts w:ascii="Arial" w:hAnsi="Arial" w:cs="Arial"/>
                <w:sz w:val="15"/>
                <w:szCs w:val="15"/>
              </w:rPr>
              <w:t>3</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smartTag w:uri="urn:schemas-microsoft-com:office:smarttags" w:element="place">
              <w:r w:rsidRPr="00FB0820">
                <w:rPr>
                  <w:rFonts w:ascii="Arial" w:hAnsi="Arial"/>
                  <w:color w:val="000000"/>
                  <w:sz w:val="15"/>
                  <w:szCs w:val="15"/>
                </w:rPr>
                <w:t>Lower St. Johns</w:t>
              </w:r>
            </w:smartTag>
            <w:r w:rsidRPr="00FB0820">
              <w:rPr>
                <w:rFonts w:ascii="Arial" w:hAnsi="Arial"/>
                <w:color w:val="000000"/>
                <w:sz w:val="15"/>
                <w:szCs w:val="15"/>
              </w:rPr>
              <w:t>—Floridan Aquifer</w:t>
            </w:r>
          </w:p>
        </w:tc>
        <w:tc>
          <w:tcPr>
            <w:tcW w:w="990" w:type="dxa"/>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12</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2</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r w:rsidRPr="00FB0820">
              <w:rPr>
                <w:rFonts w:ascii="Arial" w:hAnsi="Arial"/>
                <w:color w:val="000000"/>
                <w:sz w:val="15"/>
                <w:szCs w:val="15"/>
              </w:rPr>
              <w:t xml:space="preserve">Middle </w:t>
            </w:r>
            <w:smartTag w:uri="urn:schemas-microsoft-com:office:smarttags" w:element="City">
              <w:smartTag w:uri="urn:schemas-microsoft-com:office:smarttags" w:element="place">
                <w:r w:rsidRPr="00FB0820">
                  <w:rPr>
                    <w:rFonts w:ascii="Arial" w:hAnsi="Arial"/>
                    <w:color w:val="000000"/>
                    <w:sz w:val="15"/>
                    <w:szCs w:val="15"/>
                  </w:rPr>
                  <w:t>St. Johns</w:t>
                </w:r>
              </w:smartTag>
            </w:smartTag>
            <w:r w:rsidRPr="00FB0820">
              <w:rPr>
                <w:rFonts w:ascii="Arial" w:hAnsi="Arial"/>
                <w:color w:val="000000"/>
                <w:sz w:val="15"/>
                <w:szCs w:val="15"/>
              </w:rPr>
              <w:t>—Floridan Aquifer</w:t>
            </w:r>
          </w:p>
        </w:tc>
        <w:tc>
          <w:tcPr>
            <w:tcW w:w="990" w:type="dxa"/>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2</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6</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r w:rsidRPr="00FB0820">
              <w:rPr>
                <w:rFonts w:ascii="Arial" w:hAnsi="Arial"/>
                <w:color w:val="000000"/>
                <w:sz w:val="15"/>
                <w:szCs w:val="15"/>
              </w:rPr>
              <w:t>Nassau–St. Marys—Floridan Aquifer</w:t>
            </w:r>
          </w:p>
        </w:tc>
        <w:tc>
          <w:tcPr>
            <w:tcW w:w="990"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r w:rsidRPr="00FB0820">
              <w:rPr>
                <w:rFonts w:ascii="Arial" w:hAnsi="Arial"/>
                <w:color w:val="000000"/>
                <w:sz w:val="15"/>
                <w:szCs w:val="15"/>
              </w:rPr>
              <w:t>Ochlockonee–St. Marks—Floridan Aquifer</w:t>
            </w:r>
          </w:p>
        </w:tc>
        <w:tc>
          <w:tcPr>
            <w:tcW w:w="990"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3</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r w:rsidRPr="00FB0820">
              <w:rPr>
                <w:rFonts w:ascii="Arial" w:hAnsi="Arial"/>
                <w:color w:val="000000"/>
                <w:sz w:val="15"/>
                <w:szCs w:val="15"/>
              </w:rPr>
              <w:t>Ocklawaha—Floridan Aquifer</w:t>
            </w:r>
          </w:p>
        </w:tc>
        <w:tc>
          <w:tcPr>
            <w:tcW w:w="990" w:type="dxa"/>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4</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27</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2</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lang w:val="pt-BR"/>
              </w:rPr>
            </w:pPr>
            <w:r w:rsidRPr="00FB0820">
              <w:rPr>
                <w:rFonts w:ascii="Arial" w:hAnsi="Arial"/>
                <w:color w:val="000000"/>
                <w:sz w:val="15"/>
                <w:szCs w:val="15"/>
                <w:lang w:val="pt-BR"/>
              </w:rPr>
              <w:t>Pensacola—Sand-and-Gravel Aquifer</w:t>
            </w:r>
          </w:p>
        </w:tc>
        <w:tc>
          <w:tcPr>
            <w:tcW w:w="990" w:type="dxa"/>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3</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2</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5</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lang w:val="pt-BR"/>
              </w:rPr>
            </w:pPr>
            <w:r w:rsidRPr="00FB0820">
              <w:rPr>
                <w:rFonts w:ascii="Arial" w:hAnsi="Arial"/>
                <w:color w:val="000000"/>
                <w:sz w:val="15"/>
                <w:szCs w:val="15"/>
                <w:lang w:val="pt-BR"/>
              </w:rPr>
              <w:t>Perdido—Sand-and-Gravel Aquifer</w:t>
            </w:r>
          </w:p>
        </w:tc>
        <w:tc>
          <w:tcPr>
            <w:tcW w:w="990" w:type="dxa"/>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r w:rsidRPr="00FB0820">
              <w:rPr>
                <w:rFonts w:ascii="Arial" w:hAnsi="Arial"/>
                <w:color w:val="000000"/>
                <w:sz w:val="15"/>
                <w:szCs w:val="15"/>
              </w:rPr>
              <w:t>Sarasota Bay–Peace–Myakka—Floridan and Surficial Aquifers</w:t>
            </w:r>
          </w:p>
        </w:tc>
        <w:tc>
          <w:tcPr>
            <w:tcW w:w="990" w:type="dxa"/>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7</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3</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Pr>
                <w:rFonts w:ascii="Arial" w:hAnsi="Arial" w:cs="Arial"/>
                <w:sz w:val="15"/>
                <w:szCs w:val="15"/>
              </w:rPr>
              <w:t>8</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r w:rsidRPr="00FB0820">
              <w:rPr>
                <w:rFonts w:ascii="Arial" w:hAnsi="Arial"/>
                <w:color w:val="000000"/>
                <w:sz w:val="15"/>
                <w:szCs w:val="15"/>
              </w:rPr>
              <w:t>Southeast Coast–Biscayne Bay–Biscayne Aquifer</w:t>
            </w:r>
          </w:p>
        </w:tc>
        <w:tc>
          <w:tcPr>
            <w:tcW w:w="990"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3</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4</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5</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3</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smartTag w:uri="urn:schemas-microsoft-com:office:smarttags" w:element="PlaceType">
              <w:smartTag w:uri="urn:schemas-microsoft-com:office:smarttags" w:element="place">
                <w:r w:rsidRPr="00FB0820">
                  <w:rPr>
                    <w:rFonts w:ascii="Arial" w:hAnsi="Arial"/>
                    <w:color w:val="000000"/>
                    <w:sz w:val="15"/>
                    <w:szCs w:val="15"/>
                  </w:rPr>
                  <w:t>Springs</w:t>
                </w:r>
              </w:smartTag>
              <w:r w:rsidRPr="00FB0820">
                <w:rPr>
                  <w:rFonts w:ascii="Arial" w:hAnsi="Arial"/>
                  <w:color w:val="000000"/>
                  <w:sz w:val="15"/>
                  <w:szCs w:val="15"/>
                </w:rPr>
                <w:t xml:space="preserve"> </w:t>
              </w:r>
              <w:smartTag w:uri="urn:schemas-microsoft-com:office:smarttags" w:element="PlaceType">
                <w:r w:rsidRPr="00FB0820">
                  <w:rPr>
                    <w:rFonts w:ascii="Arial" w:hAnsi="Arial"/>
                    <w:color w:val="000000"/>
                    <w:sz w:val="15"/>
                    <w:szCs w:val="15"/>
                  </w:rPr>
                  <w:t>Coast</w:t>
                </w:r>
              </w:smartTag>
            </w:smartTag>
            <w:r w:rsidRPr="00FB0820">
              <w:rPr>
                <w:rFonts w:ascii="Arial" w:hAnsi="Arial"/>
                <w:color w:val="000000"/>
                <w:sz w:val="15"/>
                <w:szCs w:val="15"/>
              </w:rPr>
              <w:t>—Floridan Aquifer</w:t>
            </w:r>
          </w:p>
        </w:tc>
        <w:tc>
          <w:tcPr>
            <w:tcW w:w="990"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5</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125</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r w:rsidRPr="00FB0820">
              <w:rPr>
                <w:rFonts w:ascii="Arial" w:hAnsi="Arial"/>
                <w:color w:val="000000"/>
                <w:sz w:val="15"/>
                <w:szCs w:val="15"/>
              </w:rPr>
              <w:t>St. Lucie–Loxahatchee—Surficial Aquifer</w:t>
            </w:r>
          </w:p>
        </w:tc>
        <w:tc>
          <w:tcPr>
            <w:tcW w:w="990" w:type="dxa"/>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3</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smartTag w:uri="urn:schemas-microsoft-com:office:smarttags" w:element="place">
              <w:r w:rsidRPr="00FB0820">
                <w:rPr>
                  <w:rFonts w:ascii="Arial" w:hAnsi="Arial"/>
                  <w:color w:val="000000"/>
                  <w:sz w:val="15"/>
                  <w:szCs w:val="15"/>
                </w:rPr>
                <w:t>Suwannee</w:t>
              </w:r>
            </w:smartTag>
            <w:r w:rsidRPr="00FB0820">
              <w:rPr>
                <w:rFonts w:ascii="Arial" w:hAnsi="Arial"/>
                <w:color w:val="000000"/>
                <w:sz w:val="15"/>
                <w:szCs w:val="15"/>
              </w:rPr>
              <w:t>—Floridan Aquifer</w:t>
            </w:r>
          </w:p>
        </w:tc>
        <w:tc>
          <w:tcPr>
            <w:tcW w:w="990" w:type="dxa"/>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3</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153</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smartTag w:uri="urn:schemas-microsoft-com:office:smarttags" w:element="PlaceName">
              <w:smartTag w:uri="urn:schemas-microsoft-com:office:smarttags" w:element="place">
                <w:r w:rsidRPr="00FB0820">
                  <w:rPr>
                    <w:rFonts w:ascii="Arial" w:hAnsi="Arial"/>
                    <w:color w:val="000000"/>
                    <w:sz w:val="15"/>
                    <w:szCs w:val="15"/>
                  </w:rPr>
                  <w:t>Tampa</w:t>
                </w:r>
              </w:smartTag>
              <w:r w:rsidRPr="00FB0820">
                <w:rPr>
                  <w:rFonts w:ascii="Arial" w:hAnsi="Arial"/>
                  <w:color w:val="000000"/>
                  <w:sz w:val="15"/>
                  <w:szCs w:val="15"/>
                </w:rPr>
                <w:t xml:space="preserve"> </w:t>
              </w:r>
              <w:smartTag w:uri="urn:schemas-microsoft-com:office:smarttags" w:element="PlaceType">
                <w:r w:rsidRPr="00FB0820">
                  <w:rPr>
                    <w:rFonts w:ascii="Arial" w:hAnsi="Arial"/>
                    <w:color w:val="000000"/>
                    <w:sz w:val="15"/>
                    <w:szCs w:val="15"/>
                  </w:rPr>
                  <w:t>Bay</w:t>
                </w:r>
              </w:smartTag>
            </w:smartTag>
            <w:r w:rsidRPr="00FB0820">
              <w:rPr>
                <w:rFonts w:ascii="Arial" w:hAnsi="Arial"/>
                <w:color w:val="000000"/>
                <w:sz w:val="15"/>
                <w:szCs w:val="15"/>
              </w:rPr>
              <w:t>—Floridan Aquifer</w:t>
            </w:r>
          </w:p>
        </w:tc>
        <w:tc>
          <w:tcPr>
            <w:tcW w:w="990" w:type="dxa"/>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5</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Pr>
                <w:rFonts w:ascii="Arial" w:hAnsi="Arial" w:cs="Arial"/>
                <w:sz w:val="15"/>
                <w:szCs w:val="15"/>
              </w:rPr>
              <w:t>4</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lang w:val="pt-BR"/>
              </w:rPr>
            </w:pPr>
            <w:r w:rsidRPr="00FB0820">
              <w:rPr>
                <w:rFonts w:ascii="Arial" w:hAnsi="Arial"/>
                <w:color w:val="000000"/>
                <w:sz w:val="15"/>
                <w:szCs w:val="15"/>
                <w:lang w:val="pt-BR"/>
              </w:rPr>
              <w:t>Tampa Bay Tributaries—Floridan Aquifer</w:t>
            </w:r>
          </w:p>
        </w:tc>
        <w:tc>
          <w:tcPr>
            <w:tcW w:w="990"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13</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101</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2</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Pr>
                <w:rFonts w:ascii="Arial" w:hAnsi="Arial" w:cs="Arial"/>
                <w:sz w:val="15"/>
                <w:szCs w:val="15"/>
              </w:rPr>
              <w:t>9</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smartTag w:uri="urn:schemas-microsoft-com:office:smarttags" w:element="place">
              <w:r w:rsidRPr="00FB0820">
                <w:rPr>
                  <w:rFonts w:ascii="Arial" w:hAnsi="Arial"/>
                  <w:color w:val="000000"/>
                  <w:sz w:val="15"/>
                  <w:szCs w:val="15"/>
                </w:rPr>
                <w:t>Upper East Coast</w:t>
              </w:r>
            </w:smartTag>
            <w:r w:rsidRPr="00FB0820">
              <w:rPr>
                <w:rFonts w:ascii="Arial" w:hAnsi="Arial"/>
                <w:color w:val="000000"/>
                <w:sz w:val="15"/>
                <w:szCs w:val="15"/>
              </w:rPr>
              <w:t>—Floridan Aquifer and Surficial Aquifer</w:t>
            </w:r>
          </w:p>
        </w:tc>
        <w:tc>
          <w:tcPr>
            <w:tcW w:w="990" w:type="dxa"/>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smartTag w:uri="urn:schemas-microsoft-com:office:smarttags" w:element="place">
              <w:r w:rsidRPr="00FB0820">
                <w:rPr>
                  <w:rFonts w:ascii="Arial" w:hAnsi="Arial"/>
                  <w:color w:val="000000"/>
                  <w:sz w:val="15"/>
                  <w:szCs w:val="15"/>
                </w:rPr>
                <w:t>Upper St. Johns</w:t>
              </w:r>
            </w:smartTag>
            <w:r w:rsidRPr="00FB0820">
              <w:rPr>
                <w:rFonts w:ascii="Arial" w:hAnsi="Arial"/>
                <w:color w:val="000000"/>
                <w:sz w:val="15"/>
                <w:szCs w:val="15"/>
              </w:rPr>
              <w:t>—Floridan Aquifer and Surficial Aquifer</w:t>
            </w:r>
          </w:p>
        </w:tc>
        <w:tc>
          <w:tcPr>
            <w:tcW w:w="990" w:type="dxa"/>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4</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3</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smartTag w:uri="urn:schemas-microsoft-com:office:smarttags" w:element="place">
              <w:r w:rsidRPr="00FB0820">
                <w:rPr>
                  <w:rFonts w:ascii="Arial" w:hAnsi="Arial"/>
                  <w:color w:val="000000"/>
                  <w:sz w:val="15"/>
                  <w:szCs w:val="15"/>
                </w:rPr>
                <w:t>Withlacoochee</w:t>
              </w:r>
            </w:smartTag>
            <w:r w:rsidRPr="00FB0820">
              <w:rPr>
                <w:rFonts w:ascii="Arial" w:hAnsi="Arial"/>
                <w:color w:val="000000"/>
                <w:sz w:val="15"/>
                <w:szCs w:val="15"/>
              </w:rPr>
              <w:t>—Floridan Aquifer</w:t>
            </w:r>
          </w:p>
        </w:tc>
        <w:tc>
          <w:tcPr>
            <w:tcW w:w="990" w:type="dxa"/>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253</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D9FF"/>
            <w:vAlign w:val="center"/>
          </w:tcPr>
          <w:p w:rsidR="00485094" w:rsidRPr="00FB0820" w:rsidRDefault="00485094" w:rsidP="0092719C">
            <w:pPr>
              <w:autoSpaceDE w:val="0"/>
              <w:autoSpaceDN w:val="0"/>
              <w:adjustRightInd w:val="0"/>
              <w:rPr>
                <w:rFonts w:ascii="Arial" w:hAnsi="Arial"/>
                <w:b/>
                <w:color w:val="000000"/>
                <w:sz w:val="15"/>
                <w:szCs w:val="15"/>
              </w:rPr>
            </w:pPr>
            <w:r w:rsidRPr="00FB0820">
              <w:rPr>
                <w:rFonts w:ascii="Arial" w:hAnsi="Arial"/>
                <w:b/>
                <w:color w:val="000000"/>
                <w:sz w:val="15"/>
                <w:szCs w:val="15"/>
              </w:rPr>
              <w:t xml:space="preserve">STATEWIDE SUMMARY—All </w:t>
            </w:r>
            <w:r>
              <w:rPr>
                <w:rFonts w:ascii="Arial" w:hAnsi="Arial"/>
                <w:b/>
                <w:color w:val="000000"/>
                <w:sz w:val="15"/>
                <w:szCs w:val="15"/>
              </w:rPr>
              <w:t>R</w:t>
            </w:r>
            <w:r w:rsidRPr="00FB0820">
              <w:rPr>
                <w:rFonts w:ascii="Arial" w:hAnsi="Arial"/>
                <w:b/>
                <w:color w:val="000000"/>
                <w:sz w:val="15"/>
                <w:szCs w:val="15"/>
              </w:rPr>
              <w:t>esults</w:t>
            </w:r>
          </w:p>
        </w:tc>
        <w:tc>
          <w:tcPr>
            <w:tcW w:w="990" w:type="dxa"/>
            <w:shd w:val="clear" w:color="auto" w:fill="FFD9FF"/>
            <w:vAlign w:val="center"/>
          </w:tcPr>
          <w:p w:rsidR="00485094" w:rsidRPr="00FB0820" w:rsidRDefault="00485094" w:rsidP="005D2035">
            <w:pPr>
              <w:jc w:val="center"/>
              <w:rPr>
                <w:rFonts w:ascii="Arial" w:hAnsi="Arial" w:cs="Arial"/>
                <w:b/>
                <w:bCs/>
                <w:sz w:val="15"/>
                <w:szCs w:val="15"/>
              </w:rPr>
            </w:pPr>
            <w:r>
              <w:rPr>
                <w:rFonts w:ascii="Arial" w:hAnsi="Arial" w:cs="Arial"/>
                <w:b/>
                <w:bCs/>
                <w:sz w:val="15"/>
                <w:szCs w:val="15"/>
              </w:rPr>
              <w:t>42</w:t>
            </w:r>
          </w:p>
        </w:tc>
        <w:tc>
          <w:tcPr>
            <w:tcW w:w="990" w:type="dxa"/>
            <w:tcBorders>
              <w:right w:val="double" w:sz="4" w:space="0" w:color="auto"/>
            </w:tcBorders>
            <w:shd w:val="clear" w:color="auto" w:fill="FFD9FF"/>
            <w:vAlign w:val="center"/>
          </w:tcPr>
          <w:p w:rsidR="00485094" w:rsidRPr="00FB0820" w:rsidRDefault="00485094" w:rsidP="005D2035">
            <w:pPr>
              <w:jc w:val="center"/>
              <w:rPr>
                <w:rFonts w:ascii="Arial" w:hAnsi="Arial" w:cs="Arial"/>
                <w:b/>
                <w:sz w:val="15"/>
                <w:szCs w:val="15"/>
              </w:rPr>
            </w:pPr>
            <w:r>
              <w:rPr>
                <w:rFonts w:ascii="Arial" w:hAnsi="Arial" w:cs="Arial"/>
                <w:b/>
                <w:sz w:val="15"/>
                <w:szCs w:val="15"/>
              </w:rPr>
              <w:t>7</w:t>
            </w:r>
            <w:r w:rsidRPr="00FB0820">
              <w:rPr>
                <w:rFonts w:ascii="Arial" w:hAnsi="Arial" w:cs="Arial"/>
                <w:b/>
                <w:sz w:val="15"/>
                <w:szCs w:val="15"/>
              </w:rPr>
              <w:t>92</w:t>
            </w:r>
          </w:p>
        </w:tc>
        <w:tc>
          <w:tcPr>
            <w:tcW w:w="720" w:type="dxa"/>
            <w:tcBorders>
              <w:left w:val="double" w:sz="4" w:space="0" w:color="auto"/>
            </w:tcBorders>
            <w:shd w:val="clear" w:color="auto" w:fill="FFD9FF"/>
            <w:vAlign w:val="center"/>
          </w:tcPr>
          <w:p w:rsidR="00485094" w:rsidRPr="00FB0820" w:rsidRDefault="00485094" w:rsidP="005D2035">
            <w:pPr>
              <w:jc w:val="center"/>
              <w:rPr>
                <w:rFonts w:ascii="Arial" w:hAnsi="Arial" w:cs="Arial"/>
                <w:b/>
                <w:bCs/>
                <w:sz w:val="15"/>
                <w:szCs w:val="15"/>
              </w:rPr>
            </w:pPr>
            <w:r>
              <w:rPr>
                <w:rFonts w:ascii="Arial" w:hAnsi="Arial" w:cs="Arial"/>
                <w:b/>
                <w:bCs/>
                <w:sz w:val="15"/>
                <w:szCs w:val="15"/>
              </w:rPr>
              <w:t>38</w:t>
            </w:r>
          </w:p>
        </w:tc>
        <w:tc>
          <w:tcPr>
            <w:tcW w:w="877" w:type="dxa"/>
            <w:tcBorders>
              <w:right w:val="double" w:sz="4" w:space="0" w:color="auto"/>
            </w:tcBorders>
            <w:shd w:val="clear" w:color="auto" w:fill="FFD9FF"/>
            <w:vAlign w:val="center"/>
          </w:tcPr>
          <w:p w:rsidR="00485094" w:rsidRPr="00FB0820" w:rsidRDefault="00485094" w:rsidP="005D2035">
            <w:pPr>
              <w:jc w:val="center"/>
              <w:rPr>
                <w:rFonts w:ascii="Arial" w:hAnsi="Arial" w:cs="Arial"/>
                <w:b/>
                <w:sz w:val="15"/>
                <w:szCs w:val="15"/>
              </w:rPr>
            </w:pPr>
            <w:r w:rsidRPr="00FB0820">
              <w:rPr>
                <w:rFonts w:ascii="Arial" w:hAnsi="Arial" w:cs="Arial"/>
                <w:b/>
                <w:sz w:val="15"/>
                <w:szCs w:val="15"/>
              </w:rPr>
              <w:t>4</w:t>
            </w:r>
          </w:p>
        </w:tc>
        <w:tc>
          <w:tcPr>
            <w:tcW w:w="720" w:type="dxa"/>
            <w:tcBorders>
              <w:left w:val="double" w:sz="4" w:space="0" w:color="auto"/>
            </w:tcBorders>
            <w:shd w:val="clear" w:color="auto" w:fill="FFD9FF"/>
            <w:vAlign w:val="center"/>
          </w:tcPr>
          <w:p w:rsidR="00485094" w:rsidRPr="00FB0820" w:rsidRDefault="00485094" w:rsidP="005D2035">
            <w:pPr>
              <w:jc w:val="center"/>
              <w:rPr>
                <w:rFonts w:ascii="Arial" w:hAnsi="Arial" w:cs="Arial"/>
                <w:b/>
                <w:bCs/>
                <w:sz w:val="15"/>
                <w:szCs w:val="15"/>
              </w:rPr>
            </w:pPr>
            <w:r>
              <w:rPr>
                <w:rFonts w:ascii="Arial" w:hAnsi="Arial" w:cs="Arial"/>
                <w:b/>
                <w:bCs/>
                <w:sz w:val="15"/>
                <w:szCs w:val="15"/>
              </w:rPr>
              <w:t>49</w:t>
            </w:r>
          </w:p>
        </w:tc>
        <w:tc>
          <w:tcPr>
            <w:tcW w:w="676" w:type="dxa"/>
            <w:shd w:val="clear" w:color="auto" w:fill="FFD9FF"/>
            <w:vAlign w:val="center"/>
          </w:tcPr>
          <w:p w:rsidR="00485094" w:rsidRPr="00FB0820" w:rsidRDefault="00485094" w:rsidP="005D2035">
            <w:pPr>
              <w:jc w:val="center"/>
              <w:rPr>
                <w:rFonts w:ascii="Arial" w:hAnsi="Arial" w:cs="Arial"/>
                <w:b/>
                <w:sz w:val="15"/>
                <w:szCs w:val="15"/>
              </w:rPr>
            </w:pPr>
            <w:r>
              <w:rPr>
                <w:rFonts w:ascii="Arial" w:hAnsi="Arial" w:cs="Arial"/>
                <w:b/>
                <w:sz w:val="15"/>
                <w:szCs w:val="15"/>
              </w:rPr>
              <w:t>-</w:t>
            </w:r>
          </w:p>
        </w:tc>
      </w:tr>
    </w:tbl>
    <w:p w:rsidR="00485094" w:rsidRPr="00FB0820" w:rsidRDefault="00485094" w:rsidP="005D2035">
      <w:pPr>
        <w:ind w:left="-374"/>
        <w:rPr>
          <w:rFonts w:ascii="Arial" w:hAnsi="Arial" w:cs="Arial"/>
          <w:b/>
          <w:sz w:val="15"/>
          <w:szCs w:val="15"/>
        </w:rPr>
      </w:pPr>
    </w:p>
    <w:p w:rsidR="00485094" w:rsidRPr="007B6A0A" w:rsidRDefault="00485094" w:rsidP="005D2035">
      <w:pPr>
        <w:pStyle w:val="Bodytextreduced"/>
      </w:pPr>
      <w:r>
        <w:br w:type="page"/>
      </w:r>
    </w:p>
    <w:p w:rsidR="00485094" w:rsidRPr="009D0424" w:rsidRDefault="00485094" w:rsidP="005D2035">
      <w:pPr>
        <w:pStyle w:val="Heading3"/>
      </w:pPr>
      <w:bookmarkStart w:id="674" w:name="_Toc257365072"/>
      <w:bookmarkStart w:id="675" w:name="_Toc271280015"/>
      <w:r w:rsidRPr="009D0424">
        <w:t>Synthetic Organic Chemicals/Pesticides</w:t>
      </w:r>
      <w:bookmarkEnd w:id="674"/>
      <w:bookmarkEnd w:id="675"/>
    </w:p>
    <w:p w:rsidR="00485094" w:rsidRPr="0092719C" w:rsidRDefault="00485094" w:rsidP="0092719C">
      <w:pPr>
        <w:pStyle w:val="Bodytext"/>
      </w:pPr>
      <w:r w:rsidRPr="0092719C">
        <w:t xml:space="preserve">For SOCs used as pesticides, the highest number of historical MCL exceedances in samples from public water systems occurred in the Ocklawaha, Sarasota Bay–Peace–Myakka, and Withlacoochee Basins.  However, over the past 2 years, there were very few exceedances of pesticide MCLs in public water systems, with the highest number (3) occurring in the Kissimmee Basin.  In private wells, the highest number historically occurred in the Kissimmee, Apalachicola, and Ocklawaha Basins, with the highest numbers over the past 2 years occurring in the Kissimmee (13) and Ocklawaha (11) Basins.  </w:t>
      </w:r>
    </w:p>
    <w:p w:rsidR="00485094" w:rsidRPr="0092719C" w:rsidRDefault="00485094" w:rsidP="0092719C">
      <w:pPr>
        <w:pStyle w:val="Bodytext"/>
      </w:pPr>
    </w:p>
    <w:p w:rsidR="00485094" w:rsidRPr="0092719C" w:rsidRDefault="00485094" w:rsidP="0092719C">
      <w:pPr>
        <w:pStyle w:val="Bodytext"/>
      </w:pPr>
      <w:r w:rsidRPr="0092719C">
        <w:t xml:space="preserve">The detections of agrichemicals in private wells can provide meaningful information on the presence/absence of these substances and give an indication of an aquifer’s vulnerability to pesticide use.  The number of private well exceedances can sometimes be related to the density of homesteads (unregulated rural growth versus dense rural residential developments) and their proximity to agricultural land uses or lawn/turf care practices.  </w:t>
      </w:r>
      <w:r w:rsidRPr="0092719C">
        <w:rPr>
          <w:b/>
          <w:i/>
        </w:rPr>
        <w:t>Table 10.2a</w:t>
      </w:r>
      <w:r w:rsidRPr="0092719C">
        <w:t xml:space="preserve"> shows the distribution of MCL exceedances in samples reported for the recent </w:t>
      </w:r>
      <w:r>
        <w:t>two</w:t>
      </w:r>
      <w:r w:rsidRPr="0092719C">
        <w:t>-year period.</w:t>
      </w:r>
    </w:p>
    <w:p w:rsidR="00485094" w:rsidRPr="0092719C" w:rsidRDefault="00485094" w:rsidP="0092719C">
      <w:pPr>
        <w:pStyle w:val="Bodytext"/>
      </w:pPr>
    </w:p>
    <w:p w:rsidR="00485094" w:rsidRPr="009D0424" w:rsidRDefault="00485094" w:rsidP="005D2035">
      <w:pPr>
        <w:pStyle w:val="Bodytext"/>
      </w:pPr>
      <w:r>
        <w:t xml:space="preserve">The pesticides that historically occurred in public water systems at above-MCL concentrations were mainly found in the mid- to late-1980s and have since been banned from use.  </w:t>
      </w:r>
      <w:r w:rsidRPr="009D0424">
        <w:t>Lindane, toxaphene</w:t>
      </w:r>
      <w:r>
        <w:t>,</w:t>
      </w:r>
      <w:r w:rsidRPr="009D0424">
        <w:t xml:space="preserve"> and methoxychlor were the pesticides most commonly </w:t>
      </w:r>
      <w:r>
        <w:t>found</w:t>
      </w:r>
      <w:r w:rsidRPr="009D0424">
        <w:t xml:space="preserve"> at above-MCL concentrations in the 1980s but </w:t>
      </w:r>
      <w:r>
        <w:t>have</w:t>
      </w:r>
      <w:r w:rsidRPr="009D0424">
        <w:t xml:space="preserve"> not appear</w:t>
      </w:r>
      <w:r>
        <w:t>ed</w:t>
      </w:r>
      <w:r w:rsidRPr="009D0424">
        <w:t xml:space="preserve"> in the PWS database at above-MCL levels since the early 1990s.</w:t>
      </w:r>
      <w:r>
        <w:t xml:space="preserve">  </w:t>
      </w:r>
      <w:r w:rsidRPr="009D0424">
        <w:t>These</w:t>
      </w:r>
      <w:r>
        <w:t xml:space="preserve"> compounds</w:t>
      </w:r>
      <w:r w:rsidRPr="009D0424">
        <w:t>, plus heptachlor, endothal</w:t>
      </w:r>
      <w:r>
        <w:t>l,</w:t>
      </w:r>
      <w:r w:rsidRPr="009D0424">
        <w:t xml:space="preserve"> and mal</w:t>
      </w:r>
      <w:r>
        <w:t>a</w:t>
      </w:r>
      <w:r w:rsidRPr="009D0424">
        <w:t xml:space="preserve">thion, were mainly </w:t>
      </w:r>
      <w:r>
        <w:t>found</w:t>
      </w:r>
      <w:r w:rsidRPr="009D0424">
        <w:t xml:space="preserve"> in the basins </w:t>
      </w:r>
      <w:r>
        <w:t>where agricultural land uses are or were prevalent</w:t>
      </w:r>
      <w:r w:rsidRPr="009D0424">
        <w:t xml:space="preserve">. </w:t>
      </w:r>
      <w:r>
        <w:t xml:space="preserve"> Dieldrin, another older compound, was also found in private drinking water wells.  Dieldrin and metolachlor were the pesticides responsible for the few recent  exceedances of pesticide MCLs in public water systems. </w:t>
      </w:r>
    </w:p>
    <w:p w:rsidR="00485094" w:rsidRDefault="00485094" w:rsidP="005D2035">
      <w:pPr>
        <w:pStyle w:val="Bodytext"/>
      </w:pPr>
    </w:p>
    <w:p w:rsidR="00485094" w:rsidRDefault="00485094" w:rsidP="005D2035">
      <w:pPr>
        <w:pStyle w:val="Bodytext"/>
      </w:pPr>
      <w:r>
        <w:t>Ethylene dibromide (</w:t>
      </w:r>
      <w:r w:rsidRPr="009D0424">
        <w:t>EDB</w:t>
      </w:r>
      <w:r>
        <w:t>), a nematocide used heavily in the 1980s on citrus and other croplands,</w:t>
      </w:r>
      <w:r w:rsidRPr="009D0424">
        <w:t xml:space="preserve"> was</w:t>
      </w:r>
      <w:r>
        <w:t xml:space="preserve"> found to be highly mobile and a threat to potable ground water supplies.  In response to FDEP’s identification of this as an issue, FDOH conducted a comprehensive EDB sampling program in areas where it was suspected to have been applied.  In 16 basins, this revealed numerous private drinking water wells that were contaminated by the compound, prompting the formal delineation of ground water contamination areas.  EDB was also found in public water systems throughout the state.  </w:t>
      </w:r>
    </w:p>
    <w:p w:rsidR="00485094" w:rsidRDefault="00485094" w:rsidP="005D2035">
      <w:pPr>
        <w:pStyle w:val="Bodytext"/>
      </w:pPr>
    </w:p>
    <w:p w:rsidR="00485094" w:rsidRDefault="00485094" w:rsidP="005D2035">
      <w:pPr>
        <w:pStyle w:val="Bodytext"/>
      </w:pPr>
      <w:r>
        <w:t xml:space="preserve">In the late 1980s, the use of EDB was banned.  </w:t>
      </w:r>
      <w:r w:rsidRPr="00F1284D">
        <w:t xml:space="preserve">New </w:t>
      </w:r>
      <w:r>
        <w:t>MCL exceedances</w:t>
      </w:r>
      <w:r w:rsidRPr="00F1284D">
        <w:t xml:space="preserve"> </w:t>
      </w:r>
      <w:r>
        <w:t>for</w:t>
      </w:r>
      <w:r w:rsidRPr="00F1284D">
        <w:t xml:space="preserve"> EDB seldom occur</w:t>
      </w:r>
      <w:r>
        <w:t>; however,</w:t>
      </w:r>
      <w:r w:rsidRPr="00F1284D">
        <w:t xml:space="preserve"> some private drinking water wells </w:t>
      </w:r>
      <w:r>
        <w:t xml:space="preserve">have </w:t>
      </w:r>
      <w:r w:rsidRPr="00F1284D">
        <w:t>continue</w:t>
      </w:r>
      <w:r>
        <w:t>d</w:t>
      </w:r>
      <w:r w:rsidRPr="00F1284D">
        <w:t xml:space="preserve"> to yield samples with d</w:t>
      </w:r>
      <w:r>
        <w:t>etectable concentrations of EDB</w:t>
      </w:r>
      <w:r w:rsidRPr="00F1284D">
        <w:t xml:space="preserve"> decades after </w:t>
      </w:r>
      <w:r>
        <w:t xml:space="preserve">its </w:t>
      </w:r>
      <w:r w:rsidRPr="00F1284D">
        <w:t>use was discontinued.</w:t>
      </w:r>
      <w:r>
        <w:t xml:space="preserve">  </w:t>
      </w:r>
      <w:r w:rsidRPr="009D0424">
        <w:t>The most recent PWS system</w:t>
      </w:r>
      <w:r>
        <w:t>s</w:t>
      </w:r>
      <w:r w:rsidRPr="009D0424">
        <w:t xml:space="preserve"> </w:t>
      </w:r>
      <w:r>
        <w:t xml:space="preserve">with levels of </w:t>
      </w:r>
      <w:r w:rsidRPr="009D0424">
        <w:t xml:space="preserve">EDB above its MCL (in the late 1990s) were reported in </w:t>
      </w:r>
      <w:r>
        <w:t xml:space="preserve">the Tampa Bay Tributaries Basin of </w:t>
      </w:r>
      <w:r w:rsidRPr="009D0424">
        <w:t xml:space="preserve">southwest Florida, </w:t>
      </w:r>
      <w:r>
        <w:t>which includes a significant</w:t>
      </w:r>
      <w:r w:rsidRPr="009D0424">
        <w:t xml:space="preserve"> </w:t>
      </w:r>
      <w:r>
        <w:t>agricultural area</w:t>
      </w:r>
      <w:r w:rsidRPr="009D0424">
        <w:t>.</w:t>
      </w:r>
      <w:r>
        <w:t xml:space="preserve">  Over the past 2 years, EDB has remained the most common pesticide with above-MCL concentrations in private wells. </w:t>
      </w:r>
    </w:p>
    <w:p w:rsidR="00485094" w:rsidRDefault="00485094" w:rsidP="005D2035">
      <w:pPr>
        <w:pStyle w:val="Bodytext"/>
      </w:pPr>
    </w:p>
    <w:p w:rsidR="00485094" w:rsidRDefault="00485094" w:rsidP="005D2035">
      <w:pPr>
        <w:pStyle w:val="Bodytext"/>
      </w:pPr>
      <w:r>
        <w:t xml:space="preserve">More recently, applied pesticides such as bromacil and alachlor were detected at levels exceeding their health advisory limits in private drinking water wells.  Bromacil has a ground water guidance concentration, and alachlor has a primary MCL.  Elevated detections of bromacil were found (mainly in the 1990s) in the citrus-growing area of central </w:t>
      </w:r>
      <w:smartTag w:uri="urn:schemas-microsoft-com:office:smarttags" w:element="State">
        <w:r>
          <w:t>Florida</w:t>
        </w:r>
      </w:smartTag>
      <w:r>
        <w:t xml:space="preserve">, which includes parts of the </w:t>
      </w:r>
      <w:smartTag w:uri="urn:schemas-microsoft-com:office:smarttags" w:element="City">
        <w:r>
          <w:t>Kissimmee</w:t>
        </w:r>
      </w:smartTag>
      <w:r>
        <w:t xml:space="preserve">, Tampa Bay Tributaries, Middle St. Johns, and </w:t>
      </w:r>
      <w:smartTag w:uri="urn:schemas-microsoft-com:office:smarttags" w:element="PlaceName">
        <w:smartTag w:uri="urn:schemas-microsoft-com:office:smarttags" w:element="place">
          <w:r>
            <w:t>Ocklawaha</w:t>
          </w:r>
        </w:smartTag>
        <w:r>
          <w:t xml:space="preserve"> </w:t>
        </w:r>
        <w:smartTag w:uri="urn:schemas-microsoft-com:office:smarttags" w:element="PlaceType">
          <w:r>
            <w:t>Basins</w:t>
          </w:r>
        </w:smartTag>
      </w:smartTag>
      <w:r>
        <w:t xml:space="preserve">.  In the 1990s, both compounds were found (along with dieldrin) at elevated levels in numerous wells in an agricultural area of </w:t>
      </w:r>
      <w:smartTag w:uri="urn:schemas-microsoft-com:office:smarttags" w:element="PlaceName">
        <w:r>
          <w:t>Jackson</w:t>
        </w:r>
      </w:smartTag>
      <w:r>
        <w:t xml:space="preserve"> </w:t>
      </w:r>
      <w:smartTag w:uri="urn:schemas-microsoft-com:office:smarttags" w:element="PlaceName">
        <w:r>
          <w:t>County</w:t>
        </w:r>
      </w:smartTag>
      <w:r>
        <w:t xml:space="preserve"> in the </w:t>
      </w:r>
      <w:smartTag w:uri="urn:schemas-microsoft-com:office:smarttags" w:element="PlaceName">
        <w:smartTag w:uri="urn:schemas-microsoft-com:office:smarttags" w:element="place">
          <w:r>
            <w:t>Apalachicola–Chipola</w:t>
          </w:r>
        </w:smartTag>
        <w:r>
          <w:t xml:space="preserve"> </w:t>
        </w:r>
        <w:smartTag w:uri="urn:schemas-microsoft-com:office:smarttags" w:element="PlaceType">
          <w:r>
            <w:t>Basin</w:t>
          </w:r>
        </w:smartTag>
      </w:smartTag>
      <w:r>
        <w:t>.  FDACS has since required modifications to the application of bromacil to prohibit its application from citrus areas with vulnerable soils and high leaching potential.  Alachlor is now listed as a restricted use pesticide.</w:t>
      </w:r>
    </w:p>
    <w:p w:rsidR="00485094" w:rsidRPr="00C33E69" w:rsidRDefault="00485094" w:rsidP="005D2035">
      <w:pPr>
        <w:pStyle w:val="Bodytext"/>
        <w:rPr>
          <w:b/>
        </w:rPr>
      </w:pPr>
    </w:p>
    <w:p w:rsidR="00485094" w:rsidRPr="001302A3" w:rsidRDefault="00485094" w:rsidP="005D2035">
      <w:pPr>
        <w:pStyle w:val="Heading3"/>
      </w:pPr>
      <w:bookmarkStart w:id="676" w:name="_Toc257365073"/>
      <w:bookmarkStart w:id="677" w:name="_Toc271280016"/>
      <w:r w:rsidRPr="001302A3">
        <w:t>Nitrate</w:t>
      </w:r>
      <w:bookmarkEnd w:id="676"/>
      <w:bookmarkEnd w:id="677"/>
    </w:p>
    <w:p w:rsidR="00485094" w:rsidRDefault="00485094" w:rsidP="005D2035">
      <w:pPr>
        <w:pStyle w:val="Bodytext"/>
      </w:pPr>
      <w:r>
        <w:t xml:space="preserve">Elevated nitrate concentrations in ground water have been associated with inorganic fertilizers, animal waste and domestic wastewater and residuals.  Nitrate (also reported as nitrate + nitrite) above the MCL of 10 mg/L has historically been found at concentrations above the MCL in over 150 public water systems, with the Tampa Bay Tributaries Basin having by far the highest number.  Over the past 2 years, samples from 29 systems using ground water have had MCL exceedances for nitrate.  Historically, most of the private wells with nitrate above the MCL were found in the </w:t>
      </w:r>
      <w:smartTag w:uri="urn:schemas-microsoft-com:office:smarttags" w:element="PlaceName">
        <w:r>
          <w:t>Kissimmee</w:t>
        </w:r>
      </w:smartTag>
      <w:r>
        <w:t xml:space="preserve"> Basin, followed by the Ocklawaha and Sarasota Bay–Peace–Myakka Basins.  Elevated concentrations of nitrate remain a problem with private wells, with 322 wells having exceedances over the recent 2-year period.  These are all summarized in </w:t>
      </w:r>
      <w:r w:rsidRPr="00252669">
        <w:rPr>
          <w:b/>
          <w:i/>
        </w:rPr>
        <w:t xml:space="preserve">Table </w:t>
      </w:r>
      <w:r>
        <w:rPr>
          <w:b/>
          <w:i/>
        </w:rPr>
        <w:t>10.2a</w:t>
      </w:r>
      <w:r w:rsidRPr="00252669">
        <w:rPr>
          <w:i/>
        </w:rPr>
        <w:t>.</w:t>
      </w:r>
    </w:p>
    <w:p w:rsidR="00485094" w:rsidRDefault="00485094" w:rsidP="005D2035">
      <w:pPr>
        <w:pStyle w:val="Bodytext"/>
      </w:pPr>
    </w:p>
    <w:p w:rsidR="00485094" w:rsidRPr="001302A3" w:rsidRDefault="00485094" w:rsidP="005D2035">
      <w:pPr>
        <w:pStyle w:val="Bodytext"/>
      </w:pPr>
      <w:r>
        <w:t xml:space="preserve">Nitrate contamination of potable ground water remains a significant issue in some areas of </w:t>
      </w:r>
      <w:smartTag w:uri="urn:schemas-microsoft-com:office:smarttags" w:element="State">
        <w:smartTag w:uri="urn:schemas-microsoft-com:office:smarttags" w:element="place">
          <w:r>
            <w:t>Florida</w:t>
          </w:r>
        </w:smartTag>
      </w:smartTag>
      <w:r>
        <w:t xml:space="preserve">.  The basins with the highest number of MCL exceedances in water systems and wells include large citrus-growing areas or areas where citrus was previously grown on top of vulnerable aquifers.  The area of the Kissimmee Basin with the highest number of above-MCL concentrations of nitrate in private wells is the Ridge Citrus Area, located along the basin’s western edge.  In the early </w:t>
      </w:r>
      <w:r w:rsidRPr="00D55A88">
        <w:t>1990s, FDACS</w:t>
      </w:r>
      <w:r>
        <w:t xml:space="preserve"> began implementing a BMP program for growers in the Ridge Citrus Area to use fertilizers more efficiently and reduce nitrate concentrations in ground water.  It is hoped that this program will eventually help to reduce the number of nitrate exceedances in wells in this area.</w:t>
      </w:r>
    </w:p>
    <w:p w:rsidR="00485094" w:rsidRPr="00C33E69" w:rsidRDefault="00485094" w:rsidP="005D2035">
      <w:pPr>
        <w:pStyle w:val="Bodytext"/>
        <w:rPr>
          <w:b/>
        </w:rPr>
      </w:pPr>
    </w:p>
    <w:p w:rsidR="00485094" w:rsidRPr="001302A3" w:rsidRDefault="00485094" w:rsidP="005D2035">
      <w:pPr>
        <w:pStyle w:val="Heading3"/>
      </w:pPr>
      <w:bookmarkStart w:id="678" w:name="_Toc257365074"/>
      <w:bookmarkStart w:id="679" w:name="_Toc271280017"/>
      <w:r w:rsidRPr="001302A3">
        <w:t>Primary Metals</w:t>
      </w:r>
      <w:bookmarkEnd w:id="678"/>
      <w:bookmarkEnd w:id="679"/>
    </w:p>
    <w:p w:rsidR="00485094" w:rsidRDefault="00485094" w:rsidP="005D2035">
      <w:pPr>
        <w:pStyle w:val="Bodytext"/>
      </w:pPr>
      <w:r>
        <w:t xml:space="preserve">Metals with primary drinking water MCLs include arsenic, barium, beryllium, cadmium, chromium, lead, mercury, nickel, and selenium.  </w:t>
      </w:r>
      <w:r w:rsidRPr="001568C8">
        <w:rPr>
          <w:b/>
          <w:i/>
        </w:rPr>
        <w:t xml:space="preserve">Table </w:t>
      </w:r>
      <w:r>
        <w:rPr>
          <w:b/>
          <w:i/>
        </w:rPr>
        <w:t>10.2b</w:t>
      </w:r>
      <w:r>
        <w:t xml:space="preserve"> summarizes the exceedances of MCLs for primary metals during the recent 2-year period.</w:t>
      </w:r>
    </w:p>
    <w:p w:rsidR="00485094" w:rsidRDefault="00485094" w:rsidP="005D2035">
      <w:pPr>
        <w:pStyle w:val="Bodytext"/>
      </w:pPr>
    </w:p>
    <w:p w:rsidR="00485094" w:rsidRDefault="00485094" w:rsidP="005D2035">
      <w:pPr>
        <w:pStyle w:val="Bodytext"/>
      </w:pPr>
      <w:r>
        <w:t xml:space="preserve">Approximately 1,000 of the 5,600 currently active public water systems have reported samples containing one or more primary metals exceeding an MCL, which may be misleading since elevated metals in public water systems are often due to the materials containing and conveying the water, rather than actual concentrations in ground water.  Metal well casings, piping, storage tanks, and plumbing fixtures, in addition to sampling techniques, often cause bias in the analysis of ground water samples for metals.  Lead and cadmium have historically been found most frequently at above-MCL concentrations in samples from public water systems, and both metals are very frequently associated with impurities in water distribution and storage systems.  Galvanized coatings on metal surfaces, paint, and lead solder are documented sources of metals contamination in water systems.  </w:t>
      </w:r>
    </w:p>
    <w:p w:rsidR="00485094" w:rsidRDefault="00485094" w:rsidP="005D2035">
      <w:pPr>
        <w:pStyle w:val="Bodytext"/>
      </w:pPr>
    </w:p>
    <w:p w:rsidR="00485094" w:rsidRDefault="00485094" w:rsidP="005D2035">
      <w:pPr>
        <w:pStyle w:val="Bodytext"/>
      </w:pPr>
      <w:r>
        <w:t xml:space="preserve">However, arsenic has more recently arisen as an issue.  The Tampa Bay Tributaries and </w:t>
      </w:r>
      <w:smartTag w:uri="urn:schemas-microsoft-com:office:smarttags" w:element="PlaceName">
        <w:smartTag w:uri="urn:schemas-microsoft-com:office:smarttags" w:element="place">
          <w:r>
            <w:t>Ocklawaha</w:t>
          </w:r>
        </w:smartTag>
        <w:r>
          <w:t xml:space="preserve"> </w:t>
        </w:r>
        <w:smartTag w:uri="urn:schemas-microsoft-com:office:smarttags" w:element="PlaceType">
          <w:r>
            <w:t>Basins</w:t>
          </w:r>
        </w:smartTag>
      </w:smartTag>
      <w:r>
        <w:t xml:space="preserve"> have historically had the highest number of water systems reporting samples with above-MCL levels, primarily for lead and cadmium.  In the past 2 years, there have been 42 exceedances for metals in samples from public water systems that withdraw ground water, mainly for lead and arsenic.</w:t>
      </w:r>
    </w:p>
    <w:p w:rsidR="00485094" w:rsidRDefault="00485094" w:rsidP="005D2035">
      <w:pPr>
        <w:pStyle w:val="Bodytext"/>
      </w:pPr>
    </w:p>
    <w:p w:rsidR="00485094" w:rsidRDefault="00485094" w:rsidP="005D2035">
      <w:pPr>
        <w:pStyle w:val="Bodytext"/>
      </w:pPr>
      <w:r>
        <w:t xml:space="preserve">In samples from private drinking water wells, the metals most frequently exceeding MCLs are arsenic and lead, and there has been a significant increase in the number of samples with arsenic exceedances over the past 2 years.  The basins with the highest total number of exceedances for the recent 2-year period are Withlacoochee (385 wells), Suwannee (229), Tampa Bay Tributaries (203), and Springs Coast (179).  Lead, again, may be an artifact of well materials, piping, or plumbing fixtures, but arsenic is not typically associated with any of these.  The resampling of private water wells usually reveals that there is no actual ground water problem with lead.  </w:t>
      </w:r>
    </w:p>
    <w:p w:rsidR="00485094" w:rsidRDefault="00485094" w:rsidP="005D2035">
      <w:pPr>
        <w:pStyle w:val="Bodytext"/>
      </w:pPr>
    </w:p>
    <w:p w:rsidR="00485094" w:rsidRDefault="00485094" w:rsidP="005D2035">
      <w:pPr>
        <w:pStyle w:val="Bodytext"/>
      </w:pPr>
      <w:r>
        <w:t xml:space="preserve">However, arsenic concentrations are more frequently reflective of the actual ground water concentration.  The high number of recent arsenic exceedances can be explained by a greater focus on sampling for arsenic as a contaminant since the MCL was lowered from 50 to 10 </w:t>
      </w:r>
      <w:r>
        <w:rPr>
          <w:rFonts w:ascii="Symbol" w:hAnsi="Symbol"/>
        </w:rPr>
        <w:t></w:t>
      </w:r>
      <w:r>
        <w:t xml:space="preserve">g/L in 2004.  The results suggest that there may be a regional pattern of elevated arsenic in private wells in the southwestern part of the state and in the </w:t>
      </w:r>
      <w:smartTag w:uri="urn:schemas-microsoft-com:office:smarttags" w:element="PlaceName">
        <w:smartTag w:uri="urn:schemas-microsoft-com:office:smarttags" w:element="place">
          <w:r>
            <w:t>Suwannee</w:t>
          </w:r>
        </w:smartTag>
        <w:r>
          <w:t xml:space="preserve"> </w:t>
        </w:r>
        <w:smartTag w:uri="urn:schemas-microsoft-com:office:smarttags" w:element="PlaceType">
          <w:r>
            <w:t>Basin</w:t>
          </w:r>
        </w:smartTag>
      </w:smartTag>
      <w:r>
        <w:t xml:space="preserve"> that may be related to a natural abundance of arsenic in the geologic material in those regions.  </w:t>
      </w:r>
    </w:p>
    <w:p w:rsidR="00485094" w:rsidRDefault="00485094" w:rsidP="005D2035">
      <w:pPr>
        <w:pStyle w:val="Bodytext"/>
      </w:pPr>
    </w:p>
    <w:p w:rsidR="00485094" w:rsidRDefault="00485094" w:rsidP="005D2035">
      <w:pPr>
        <w:pStyle w:val="Bodytext"/>
      </w:pPr>
      <w:r w:rsidRPr="005D66EB">
        <w:t>The arsenic in ground</w:t>
      </w:r>
      <w:r>
        <w:t xml:space="preserve"> </w:t>
      </w:r>
      <w:r w:rsidRPr="005D66EB">
        <w:t>water may be naturally</w:t>
      </w:r>
      <w:r>
        <w:t xml:space="preserve"> </w:t>
      </w:r>
      <w:r w:rsidRPr="005D66EB">
        <w:t xml:space="preserve">occurring, </w:t>
      </w:r>
      <w:r>
        <w:t xml:space="preserve">of </w:t>
      </w:r>
      <w:r w:rsidRPr="005D66EB">
        <w:t>anthropogenic</w:t>
      </w:r>
      <w:r>
        <w:t xml:space="preserve"> origin</w:t>
      </w:r>
      <w:r w:rsidRPr="005D66EB">
        <w:t>, or released in</w:t>
      </w:r>
      <w:r>
        <w:t>to</w:t>
      </w:r>
      <w:r w:rsidRPr="005D66EB">
        <w:t xml:space="preserve"> ground water</w:t>
      </w:r>
      <w:r>
        <w:t xml:space="preserve"> because of human activities</w:t>
      </w:r>
      <w:r w:rsidRPr="005D66EB">
        <w:t xml:space="preserve">.  Throughout </w:t>
      </w:r>
      <w:smartTag w:uri="urn:schemas-microsoft-com:office:smarttags" w:element="State">
        <w:smartTag w:uri="urn:schemas-microsoft-com:office:smarttags" w:element="place">
          <w:r w:rsidRPr="005D66EB">
            <w:t>Florida</w:t>
          </w:r>
        </w:smartTag>
      </w:smartTag>
      <w:r w:rsidRPr="005D66EB">
        <w:t>, arsenic is a naturally</w:t>
      </w:r>
      <w:r>
        <w:t xml:space="preserve"> </w:t>
      </w:r>
      <w:r w:rsidRPr="005D66EB">
        <w:t xml:space="preserve">occurring, stable element associated with pyrite compounds, as well as with powellite compounds in </w:t>
      </w:r>
      <w:r>
        <w:t>some limestone formations in which ground water occurs</w:t>
      </w:r>
      <w:r w:rsidRPr="005D66EB">
        <w:t xml:space="preserve">. </w:t>
      </w:r>
      <w:r>
        <w:t xml:space="preserve"> </w:t>
      </w:r>
      <w:r w:rsidRPr="005D66EB">
        <w:t xml:space="preserve">Potential anthropogenic sources include arsenic-based pesticides applied to </w:t>
      </w:r>
      <w:r>
        <w:t xml:space="preserve">cotton fields, </w:t>
      </w:r>
      <w:r w:rsidRPr="005D66EB">
        <w:t>citrus groves</w:t>
      </w:r>
      <w:r>
        <w:t>,</w:t>
      </w:r>
      <w:r w:rsidRPr="005D66EB">
        <w:t xml:space="preserve"> golf courses, and cattle-dipping vats </w:t>
      </w:r>
      <w:r>
        <w:t xml:space="preserve">(which were </w:t>
      </w:r>
      <w:r w:rsidRPr="005D66EB">
        <w:t>use</w:t>
      </w:r>
      <w:r>
        <w:t>d</w:t>
      </w:r>
      <w:r w:rsidRPr="005D66EB">
        <w:t xml:space="preserve"> until the 1960s</w:t>
      </w:r>
      <w:r>
        <w:t>)</w:t>
      </w:r>
      <w:r w:rsidRPr="005D66EB">
        <w:t xml:space="preserve">. </w:t>
      </w:r>
      <w:r>
        <w:t xml:space="preserve"> </w:t>
      </w:r>
    </w:p>
    <w:p w:rsidR="00485094" w:rsidRDefault="00485094" w:rsidP="005D2035">
      <w:pPr>
        <w:pStyle w:val="Bodytext"/>
      </w:pPr>
    </w:p>
    <w:p w:rsidR="00485094" w:rsidRDefault="00485094" w:rsidP="005D2035">
      <w:pPr>
        <w:pStyle w:val="Bodytext"/>
      </w:pPr>
      <w:r w:rsidRPr="005D66EB">
        <w:t xml:space="preserve">Recent studies indicate that human disturbance that introduces water or oxygen into arsenic-bearing </w:t>
      </w:r>
      <w:r>
        <w:t>limestone</w:t>
      </w:r>
      <w:r w:rsidRPr="005D66EB">
        <w:t xml:space="preserve"> can lead </w:t>
      </w:r>
      <w:r>
        <w:t>to the release of soluble arsenic from the rock matrix</w:t>
      </w:r>
      <w:r w:rsidRPr="005D66EB">
        <w:t xml:space="preserve">.  Activities such as mining, well drilling, </w:t>
      </w:r>
      <w:r>
        <w:t xml:space="preserve">Aquifer Storage and Recovery (ASR), </w:t>
      </w:r>
      <w:r w:rsidRPr="005D66EB">
        <w:t>or overpumping have all been shown to release previously</w:t>
      </w:r>
      <w:r>
        <w:t xml:space="preserve"> </w:t>
      </w:r>
      <w:r w:rsidRPr="005D66EB">
        <w:t>stable arsenic into ground</w:t>
      </w:r>
      <w:r>
        <w:t xml:space="preserve"> </w:t>
      </w:r>
      <w:r w:rsidRPr="005D66EB">
        <w:t>water.</w:t>
      </w:r>
      <w:r>
        <w:t xml:space="preserve"> </w:t>
      </w:r>
      <w:r w:rsidRPr="005D66EB">
        <w:t xml:space="preserve"> In addition, drought can lower the water table, allowing oxygen to permeate and leach arsenic compounds from sediments.</w:t>
      </w:r>
      <w:r>
        <w:t xml:space="preserve">  </w:t>
      </w:r>
    </w:p>
    <w:p w:rsidR="00485094" w:rsidRPr="005D66EB" w:rsidRDefault="00485094" w:rsidP="005D2035">
      <w:pPr>
        <w:pStyle w:val="Bodytext"/>
      </w:pPr>
    </w:p>
    <w:p w:rsidR="00485094" w:rsidRPr="005D66EB" w:rsidRDefault="00485094" w:rsidP="005D2035">
      <w:pPr>
        <w:pStyle w:val="Bodytext"/>
      </w:pPr>
      <w:r w:rsidRPr="005D66EB">
        <w:t xml:space="preserve">To address this critical issue, </w:t>
      </w:r>
      <w:r>
        <w:t>F</w:t>
      </w:r>
      <w:r w:rsidRPr="005D66EB">
        <w:t xml:space="preserve">DEP’s </w:t>
      </w:r>
      <w:hyperlink r:id="rId156" w:history="1">
        <w:r w:rsidRPr="0069149E">
          <w:rPr>
            <w:rStyle w:val="Hyperlink"/>
          </w:rPr>
          <w:t>Watershed Monitorin</w:t>
        </w:r>
        <w:r>
          <w:rPr>
            <w:rStyle w:val="Hyperlink"/>
          </w:rPr>
          <w:t>g Section</w:t>
        </w:r>
      </w:hyperlink>
      <w:r w:rsidRPr="005D66EB">
        <w:t xml:space="preserve">, the </w:t>
      </w:r>
      <w:hyperlink r:id="rId157" w:history="1">
        <w:r w:rsidRPr="0069149E">
          <w:rPr>
            <w:rStyle w:val="Hyperlink"/>
          </w:rPr>
          <w:t>Florida Geological Survey</w:t>
        </w:r>
      </w:hyperlink>
      <w:r w:rsidRPr="005D66EB">
        <w:t xml:space="preserve">, and the </w:t>
      </w:r>
      <w:hyperlink r:id="rId158" w:history="1">
        <w:r w:rsidRPr="0069149E">
          <w:rPr>
            <w:rStyle w:val="Hyperlink"/>
          </w:rPr>
          <w:t>Southwest Florida Water Management District</w:t>
        </w:r>
      </w:hyperlink>
      <w:r w:rsidRPr="005D66EB">
        <w:t xml:space="preserve"> </w:t>
      </w:r>
      <w:r>
        <w:t xml:space="preserve">began </w:t>
      </w:r>
      <w:r w:rsidRPr="005D66EB">
        <w:t>a focused fiv</w:t>
      </w:r>
      <w:r>
        <w:t>e-year arsenic study in 2008 in a four-</w:t>
      </w:r>
      <w:r w:rsidRPr="005D66EB">
        <w:t>county area of southwest Florida</w:t>
      </w:r>
      <w:r>
        <w:t xml:space="preserve"> when funding becomes available</w:t>
      </w:r>
      <w:r w:rsidRPr="005D66EB">
        <w:t xml:space="preserve">. </w:t>
      </w:r>
      <w:r>
        <w:t xml:space="preserve"> </w:t>
      </w:r>
      <w:r w:rsidRPr="005D66EB">
        <w:t>This initiative</w:t>
      </w:r>
      <w:r>
        <w:t xml:space="preserve">, designed to </w:t>
      </w:r>
      <w:r w:rsidRPr="005D66EB">
        <w:t xml:space="preserve"> evaluate the effect of land use, aquifer lithology</w:t>
      </w:r>
      <w:r>
        <w:t>,</w:t>
      </w:r>
      <w:r w:rsidRPr="005D66EB">
        <w:t xml:space="preserve"> and water levels, or the interaction of all three on arsenic levels in ground</w:t>
      </w:r>
      <w:r>
        <w:t xml:space="preserve"> </w:t>
      </w:r>
      <w:r w:rsidRPr="005D66EB">
        <w:t xml:space="preserve">water, </w:t>
      </w:r>
      <w:r>
        <w:t xml:space="preserve">has been partially completed, and is seeking funding for study completion.  The primary goal of this study is to </w:t>
      </w:r>
      <w:r w:rsidRPr="005D66EB">
        <w:t xml:space="preserve">develop a predictive model to preclude placing potable water wells in areas </w:t>
      </w:r>
      <w:r>
        <w:t>with</w:t>
      </w:r>
      <w:r w:rsidRPr="005D66EB">
        <w:t xml:space="preserve"> high arsenic-leaching potential.</w:t>
      </w:r>
    </w:p>
    <w:p w:rsidR="00485094" w:rsidRPr="006142CD" w:rsidRDefault="00485094" w:rsidP="00C33E69">
      <w:pPr>
        <w:pStyle w:val="Bodytextreduced"/>
      </w:pPr>
    </w:p>
    <w:p w:rsidR="00485094" w:rsidRDefault="00485094" w:rsidP="005D2035">
      <w:pPr>
        <w:pStyle w:val="Heading3"/>
      </w:pPr>
      <w:bookmarkStart w:id="680" w:name="_Toc257365075"/>
      <w:bookmarkStart w:id="681" w:name="_Toc271280018"/>
      <w:r>
        <w:t>Saline Water</w:t>
      </w:r>
      <w:bookmarkEnd w:id="680"/>
      <w:bookmarkEnd w:id="681"/>
      <w:r>
        <w:t xml:space="preserve"> </w:t>
      </w:r>
    </w:p>
    <w:p w:rsidR="00485094" w:rsidRDefault="00485094" w:rsidP="005D2035">
      <w:pPr>
        <w:pStyle w:val="Bodytext"/>
      </w:pPr>
      <w:r>
        <w:t xml:space="preserve">The intrusion of saline water has been a well-documented concern in some coastal areas of the state where a wedge of salt water migrates laterally inshore as pumping from supply wells increases.  However, recent data indicate that these are not currently the areas with the most issues for wells used for potable supply.  In other areas that lie farther inland, the upconing of brackish water from deeper zones seems to be more of an issue.  In this assessment, an exceedance of the MCL for sodium was used as an indicator of possible saline water intrusion or upconing.  </w:t>
      </w:r>
      <w:r w:rsidRPr="005B73FB">
        <w:rPr>
          <w:b/>
          <w:i/>
        </w:rPr>
        <w:t xml:space="preserve">Table </w:t>
      </w:r>
      <w:r>
        <w:rPr>
          <w:b/>
          <w:i/>
        </w:rPr>
        <w:t>10.2b</w:t>
      </w:r>
      <w:r>
        <w:t xml:space="preserve"> summarizes these results.</w:t>
      </w:r>
    </w:p>
    <w:p w:rsidR="00485094" w:rsidRDefault="00485094" w:rsidP="005D2035">
      <w:pPr>
        <w:pStyle w:val="Bodytext"/>
      </w:pPr>
    </w:p>
    <w:p w:rsidR="00485094" w:rsidRDefault="00485094" w:rsidP="005D2035">
      <w:pPr>
        <w:pStyle w:val="Bodytext"/>
      </w:pPr>
      <w:r>
        <w:t xml:space="preserve">Historically, elevated sodium concentrations were found in samples from public water systems in the Tampa Bay Tributaries, Middle St. Johns, and </w:t>
      </w:r>
      <w:smartTag w:uri="urn:schemas-microsoft-com:office:smarttags" w:element="PlaceName">
        <w:smartTag w:uri="urn:schemas-microsoft-com:office:smarttags" w:element="place">
          <w:r>
            <w:t>Ocklawaha</w:t>
          </w:r>
        </w:smartTag>
        <w:r>
          <w:t xml:space="preserve"> </w:t>
        </w:r>
        <w:smartTag w:uri="urn:schemas-microsoft-com:office:smarttags" w:element="PlaceType">
          <w:r>
            <w:t>Basins</w:t>
          </w:r>
        </w:smartTag>
      </w:smartTag>
      <w:r>
        <w:t xml:space="preserve">.  Public drinking water supplies in the three basins with the highest number of sodium exceedances are in high-growth areas of the state where consumptive use is beginning to exceed aquifer capacity.  In these basins, overpumping has resulted in upconing from deeper zones in the Floridan aquifer that are saline.  The increase in population in many of these areas is creating stress on potable ground water supplies, and water resource managers and public water utilities have begun to look for alternative supplies to continue providing potable water to their customers.  </w:t>
      </w:r>
    </w:p>
    <w:p w:rsidR="00485094" w:rsidRDefault="00485094" w:rsidP="005D2035">
      <w:pPr>
        <w:pStyle w:val="Bodytext"/>
      </w:pPr>
    </w:p>
    <w:p w:rsidR="00485094" w:rsidRDefault="00485094" w:rsidP="005D2035">
      <w:pPr>
        <w:pStyle w:val="Bodytext"/>
      </w:pPr>
      <w:r>
        <w:t>Although private wells are not frequently sampled for sodium, historical data show that private well samples in the Lower St. Johns, Middle St. Johns, and Sarasota Bay–Peace–Myakka (11 wells) Basins have exceeded the MCL for sodium.  Data from the recent 2-year period do not indicate any sharp increase in numbers of sodium MCL exceedances for either public water systems or private wells (although, with limited data).  Over the past 2 years, there have been 38 systems with samples from public water systems and 4 private wells with exceedances for sodium.</w:t>
      </w:r>
    </w:p>
    <w:p w:rsidR="00485094" w:rsidRDefault="00485094" w:rsidP="00C33E69">
      <w:pPr>
        <w:pStyle w:val="Bodytextreduced"/>
      </w:pPr>
    </w:p>
    <w:p w:rsidR="00485094" w:rsidRDefault="00485094" w:rsidP="005D2035">
      <w:pPr>
        <w:pStyle w:val="Heading3"/>
      </w:pPr>
      <w:bookmarkStart w:id="682" w:name="_Toc257365076"/>
      <w:bookmarkStart w:id="683" w:name="_Toc271280019"/>
      <w:r>
        <w:t>Radionuclides</w:t>
      </w:r>
      <w:bookmarkEnd w:id="682"/>
      <w:bookmarkEnd w:id="683"/>
    </w:p>
    <w:p w:rsidR="00485094" w:rsidRPr="00E635DD" w:rsidRDefault="00485094" w:rsidP="005D2035">
      <w:pPr>
        <w:pStyle w:val="Bodytext"/>
      </w:pPr>
      <w:r w:rsidRPr="00E635DD">
        <w:t xml:space="preserve">In </w:t>
      </w:r>
      <w:smartTag w:uri="urn:schemas-microsoft-com:office:smarttags" w:element="State">
        <w:smartTag w:uri="urn:schemas-microsoft-com:office:smarttags" w:element="place">
          <w:r w:rsidRPr="00E635DD">
            <w:t>Florida</w:t>
          </w:r>
        </w:smartTag>
      </w:smartTag>
      <w:r w:rsidRPr="00E635DD">
        <w:t xml:space="preserve">, </w:t>
      </w:r>
      <w:r>
        <w:t xml:space="preserve">most </w:t>
      </w:r>
      <w:r w:rsidRPr="00E635DD">
        <w:t xml:space="preserve">elevated radionuclide levels are </w:t>
      </w:r>
      <w:r>
        <w:t>due to natural conditions, but these conditions may</w:t>
      </w:r>
      <w:r w:rsidRPr="00E635DD">
        <w:t xml:space="preserve"> still </w:t>
      </w:r>
      <w:r>
        <w:t>result in MCL exceedances and a potential</w:t>
      </w:r>
      <w:r w:rsidRPr="00E635DD">
        <w:t xml:space="preserve"> health concern.  Radionuclides occur naturally as trace elements in rocks and soils as a consequence of the radioactive decay</w:t>
      </w:r>
      <w:r>
        <w:t xml:space="preserve"> </w:t>
      </w:r>
      <w:r w:rsidRPr="00E635DD">
        <w:t>of uranium-238 (U-238) and</w:t>
      </w:r>
      <w:r>
        <w:t xml:space="preserve"> </w:t>
      </w:r>
      <w:r w:rsidRPr="00E635DD">
        <w:t xml:space="preserve">thorium-232 (Th-232).  </w:t>
      </w:r>
      <w:r>
        <w:t>Elevated radionuclide levels</w:t>
      </w:r>
      <w:r w:rsidRPr="00E635DD">
        <w:t xml:space="preserve"> occur most commonly </w:t>
      </w:r>
      <w:r>
        <w:t>from</w:t>
      </w:r>
      <w:r w:rsidRPr="00E635DD">
        <w:t xml:space="preserve"> phosphate that </w:t>
      </w:r>
      <w:r>
        <w:t>is</w:t>
      </w:r>
      <w:r w:rsidRPr="00E635DD">
        <w:t xml:space="preserve"> prevalent in Miocene-age clay deposits </w:t>
      </w:r>
      <w:r>
        <w:t xml:space="preserve">present </w:t>
      </w:r>
      <w:r w:rsidRPr="00E635DD">
        <w:t>throughout much of the state.  Radionuclides measured in ground water include gross Alpha, gross Beta, radium 226, and radium 228.  Gross Alpha is the most commonly measured parameter.</w:t>
      </w:r>
      <w:r>
        <w:t xml:space="preserve">  </w:t>
      </w:r>
      <w:r w:rsidRPr="005B73FB">
        <w:rPr>
          <w:b/>
          <w:i/>
        </w:rPr>
        <w:t xml:space="preserve">Table </w:t>
      </w:r>
      <w:r>
        <w:rPr>
          <w:b/>
          <w:i/>
        </w:rPr>
        <w:t>10.2b</w:t>
      </w:r>
      <w:r>
        <w:t xml:space="preserve"> summarizes radionuclide MCL exceedances in water from public water systems.  There have been no samples collected from private wells for radionuclides in the past 2 years.</w:t>
      </w:r>
    </w:p>
    <w:p w:rsidR="00485094" w:rsidRDefault="00485094" w:rsidP="005D2035">
      <w:pPr>
        <w:pStyle w:val="Bodytext"/>
      </w:pPr>
    </w:p>
    <w:p w:rsidR="00485094" w:rsidRDefault="00485094" w:rsidP="005D2035">
      <w:pPr>
        <w:pStyle w:val="Bodytext"/>
      </w:pPr>
      <w:r>
        <w:t xml:space="preserve">Historically, public water systems in the west-central area of the state have most frequently had MCL exceedances for radionuclides.  The Sarasota Bay–Peace–Myakka, Tampa Bay Tributaries, and </w:t>
      </w:r>
      <w:smartTag w:uri="urn:schemas-microsoft-com:office:smarttags" w:element="PlaceName">
        <w:r>
          <w:t>Kissimmee</w:t>
        </w:r>
      </w:smartTag>
      <w:r>
        <w:t xml:space="preserve"> Basins have historically had the most radionuclide issues.  These basins include one of the three largest phosphate-mining areas in the world which encompasses large areas of Manatee, Sarasota, Polk, and Hillsborough Counties.  FDOH infrequently samples private wells for radionuclides, and there are no private well data from the recent two-year period.  Historically, based on limited data, the highest number of MCL exceedances in private wells was in the Tampa Bay Tributaries Basin.</w:t>
      </w:r>
    </w:p>
    <w:p w:rsidR="00485094" w:rsidRDefault="00485094" w:rsidP="00C33E69">
      <w:pPr>
        <w:pStyle w:val="Bodytextreduced"/>
      </w:pPr>
    </w:p>
    <w:p w:rsidR="00485094" w:rsidRDefault="00485094" w:rsidP="005D2035">
      <w:pPr>
        <w:pStyle w:val="Heading3"/>
      </w:pPr>
      <w:bookmarkStart w:id="684" w:name="_Toc257365077"/>
      <w:bookmarkStart w:id="685" w:name="_Toc271280020"/>
      <w:r>
        <w:t>Trihalomethanes</w:t>
      </w:r>
      <w:bookmarkEnd w:id="684"/>
      <w:bookmarkEnd w:id="685"/>
    </w:p>
    <w:p w:rsidR="00485094" w:rsidRPr="00644870" w:rsidRDefault="00485094" w:rsidP="005D2035">
      <w:pPr>
        <w:pStyle w:val="Bodytext"/>
      </w:pPr>
      <w:r>
        <w:t xml:space="preserve">Chlorination is a disinfection treatment practiced by public water systems to kill potentially harmful bacteria.  Unlike a number of states, Florida requires public water systems to provide disinfection.  Trihalomethanes (THMs) are an unfortunate byproduct of chlorinating source water that contains organic matter.  </w:t>
      </w:r>
      <w:r w:rsidRPr="00644870">
        <w:t>Chloroform, dibromochloromethane, bromodichloromethane, and bromoform</w:t>
      </w:r>
      <w:r>
        <w:t xml:space="preserve"> are the most common THMs found in treated water.  Basins with public water systems experiencing the most issues with THMs over the recent 2-year period (based on primary MCL exceedances for “total THMs”) include Middle St. Johns, Kissimmee River, Lower St. Johns and Sarasota–Peace–Myakka.  Some public water systems are using alternative disinfection methods (such as the use of chloramine) to reduce or eliminate the creation of THMs.</w:t>
      </w:r>
    </w:p>
    <w:p w:rsidR="00485094" w:rsidRPr="008A3478" w:rsidRDefault="00485094" w:rsidP="00C33E69">
      <w:pPr>
        <w:pStyle w:val="Bodytextreduced"/>
      </w:pPr>
    </w:p>
    <w:p w:rsidR="00485094" w:rsidRDefault="00485094" w:rsidP="005D2035">
      <w:pPr>
        <w:pStyle w:val="Heading3"/>
      </w:pPr>
      <w:bookmarkStart w:id="686" w:name="_Toc257365078"/>
      <w:bookmarkStart w:id="687" w:name="_Toc271280021"/>
      <w:r>
        <w:t>Bacteria (Coliform)</w:t>
      </w:r>
      <w:bookmarkEnd w:id="686"/>
      <w:bookmarkEnd w:id="687"/>
    </w:p>
    <w:p w:rsidR="00485094" w:rsidRDefault="00485094" w:rsidP="005D2035">
      <w:pPr>
        <w:pStyle w:val="Bodytext"/>
      </w:pPr>
      <w:r>
        <w:t>Bacteria are not typically a concern to public water systems, because the water is disinfected before distribution.  However, the bacterial contamination of private wells is an ongoing issue that is being addressed by FDOH.  Unfortunately, the number of bacterial exceedances in private drinking water wells is poorly documented and not maintained in a central database.  Of all water quality issues evaluated, bacterial contamination, as indicated by elevated total coliform counts, is one of the most prevalent issues in ground water samples collected from monitoring wells (</w:t>
      </w:r>
      <w:r w:rsidRPr="00D55A88">
        <w:rPr>
          <w:b/>
          <w:i/>
        </w:rPr>
        <w:t xml:space="preserve">Table </w:t>
      </w:r>
      <w:r>
        <w:rPr>
          <w:b/>
          <w:i/>
        </w:rPr>
        <w:t>10.1</w:t>
      </w:r>
      <w:r>
        <w:t xml:space="preserve">).  </w:t>
      </w:r>
    </w:p>
    <w:p w:rsidR="00485094" w:rsidRDefault="00485094" w:rsidP="005D2035">
      <w:pPr>
        <w:pStyle w:val="Bodytext"/>
      </w:pPr>
    </w:p>
    <w:p w:rsidR="00485094" w:rsidRDefault="00485094" w:rsidP="005D2035">
      <w:pPr>
        <w:pStyle w:val="Bodytext"/>
      </w:pPr>
      <w:r>
        <w:t xml:space="preserve">However, the significance of these findings must still be determined.  High </w:t>
      </w:r>
      <w:proofErr w:type="spellStart"/>
      <w:r>
        <w:t>bacterial</w:t>
      </w:r>
      <w:proofErr w:type="spellEnd"/>
      <w:r>
        <w:t xml:space="preserve"> counts may be caused by improper well construction, poor hygiene at the wellhead, animal waste or septic tank issues and/or flooding, and the surface water infiltration of a water system.  These considerations highlight the fact that individual well assessments are necessary, and that in many cases, bacterial contamination is localized and may not be an issue outside of the individual wells themselves.</w:t>
      </w:r>
    </w:p>
    <w:p w:rsidR="00485094" w:rsidRDefault="00485094" w:rsidP="00C33E69">
      <w:pPr>
        <w:pStyle w:val="Bodytextreduced"/>
      </w:pPr>
    </w:p>
    <w:p w:rsidR="00485094" w:rsidRPr="00635B59" w:rsidRDefault="00485094" w:rsidP="00EE77CC">
      <w:pPr>
        <w:pStyle w:val="Heading2"/>
      </w:pPr>
      <w:bookmarkStart w:id="688" w:name="_Toc209241288"/>
      <w:bookmarkStart w:id="689" w:name="_Toc255822577"/>
      <w:bookmarkStart w:id="690" w:name="_Toc262484193"/>
      <w:bookmarkStart w:id="691" w:name="_Toc271280022"/>
      <w:r w:rsidRPr="00635B59">
        <w:t>Summary of Ground Water Contaminant Sources</w:t>
      </w:r>
      <w:bookmarkEnd w:id="688"/>
      <w:bookmarkEnd w:id="689"/>
      <w:bookmarkEnd w:id="690"/>
      <w:bookmarkEnd w:id="691"/>
      <w:r w:rsidRPr="00635B59">
        <w:t xml:space="preserve"> </w:t>
      </w:r>
    </w:p>
    <w:p w:rsidR="00485094" w:rsidRDefault="00485094" w:rsidP="00EE77CC">
      <w:pPr>
        <w:pStyle w:val="Bodytext"/>
      </w:pPr>
      <w:r w:rsidRPr="00D11D8A">
        <w:t>The</w:t>
      </w:r>
      <w:r>
        <w:t xml:space="preserve"> EPA’s </w:t>
      </w:r>
      <w:r w:rsidRPr="009240A1">
        <w:rPr>
          <w:i/>
        </w:rPr>
        <w:t>2004</w:t>
      </w:r>
      <w:r>
        <w:t xml:space="preserve"> </w:t>
      </w:r>
      <w:r w:rsidRPr="009240A1">
        <w:rPr>
          <w:i/>
        </w:rPr>
        <w:t>Florida Source Water Assessment</w:t>
      </w:r>
      <w:r w:rsidRPr="00D11D8A">
        <w:t xml:space="preserve"> identified the top five potential sources of contami</w:t>
      </w:r>
      <w:r>
        <w:t>nation in Florida</w:t>
      </w:r>
      <w:r w:rsidRPr="00D11D8A">
        <w:t>.</w:t>
      </w:r>
      <w:r>
        <w:t xml:space="preserve"> </w:t>
      </w:r>
      <w:r w:rsidRPr="00D11D8A">
        <w:t xml:space="preserve"> These </w:t>
      </w:r>
      <w:r>
        <w:t>are</w:t>
      </w:r>
      <w:r w:rsidRPr="00D11D8A">
        <w:t xml:space="preserve"> </w:t>
      </w:r>
      <w:r>
        <w:t>(</w:t>
      </w:r>
      <w:r w:rsidRPr="00D11D8A">
        <w:t>1) underground storage tanks (not leaking)</w:t>
      </w:r>
      <w:r>
        <w:t>,</w:t>
      </w:r>
      <w:r w:rsidRPr="00D11D8A">
        <w:t xml:space="preserve"> </w:t>
      </w:r>
      <w:r>
        <w:t>(</w:t>
      </w:r>
      <w:r w:rsidRPr="00D11D8A">
        <w:t>2) gasoline service stations (includ</w:t>
      </w:r>
      <w:r>
        <w:t>ing</w:t>
      </w:r>
      <w:r w:rsidRPr="00D11D8A">
        <w:t xml:space="preserve"> historic</w:t>
      </w:r>
      <w:r>
        <w:t>al</w:t>
      </w:r>
      <w:r w:rsidRPr="00D11D8A">
        <w:t xml:space="preserve"> gas stations)</w:t>
      </w:r>
      <w:r>
        <w:t>,</w:t>
      </w:r>
      <w:r w:rsidRPr="00D11D8A">
        <w:t xml:space="preserve"> </w:t>
      </w:r>
      <w:r>
        <w:t>(</w:t>
      </w:r>
      <w:r w:rsidRPr="00D11D8A">
        <w:t>3) municipal sanitary waste treatment and disposal (commercial, domestic</w:t>
      </w:r>
      <w:r>
        <w:t>,</w:t>
      </w:r>
      <w:r w:rsidRPr="00D11D8A">
        <w:t xml:space="preserve"> and industrial waste)</w:t>
      </w:r>
      <w:r>
        <w:t>,</w:t>
      </w:r>
      <w:r w:rsidRPr="00D11D8A">
        <w:t xml:space="preserve"> </w:t>
      </w:r>
      <w:r>
        <w:t>(</w:t>
      </w:r>
      <w:r w:rsidRPr="00D11D8A">
        <w:t xml:space="preserve">4) known contamination sites/plumes (equivalent to </w:t>
      </w:r>
      <w:r>
        <w:t>FDEP’s</w:t>
      </w:r>
      <w:r w:rsidRPr="00D11D8A">
        <w:t xml:space="preserve"> delineated areas)</w:t>
      </w:r>
      <w:r>
        <w:t>,</w:t>
      </w:r>
      <w:r w:rsidRPr="00D11D8A">
        <w:t xml:space="preserve"> and </w:t>
      </w:r>
      <w:r>
        <w:t>(</w:t>
      </w:r>
      <w:r w:rsidRPr="00D11D8A">
        <w:t xml:space="preserve">5) </w:t>
      </w:r>
      <w:proofErr w:type="spellStart"/>
      <w:r w:rsidRPr="00D11D8A">
        <w:t>drycleaning</w:t>
      </w:r>
      <w:proofErr w:type="spellEnd"/>
      <w:r w:rsidRPr="00D11D8A">
        <w:t xml:space="preserve"> facilities.  Several of these have commonly been the focus of waste cleanup and monitoring activities in Florida.  </w:t>
      </w:r>
    </w:p>
    <w:p w:rsidR="00485094" w:rsidRDefault="00485094" w:rsidP="00EE77CC">
      <w:pPr>
        <w:pStyle w:val="Bodytext"/>
      </w:pPr>
    </w:p>
    <w:p w:rsidR="00485094" w:rsidRDefault="00485094" w:rsidP="00EE77CC">
      <w:pPr>
        <w:pStyle w:val="Bodytext"/>
      </w:pPr>
      <w:r w:rsidRPr="00D11D8A">
        <w:t xml:space="preserve">However, there are also instances where ground water has </w:t>
      </w:r>
      <w:r>
        <w:t>been degraded</w:t>
      </w:r>
      <w:r w:rsidRPr="00D11D8A">
        <w:t xml:space="preserve"> as the result of nonpoint activities.  </w:t>
      </w:r>
      <w:r>
        <w:t>This section discusses</w:t>
      </w:r>
      <w:r w:rsidRPr="00D11D8A">
        <w:t xml:space="preserve"> the most significant ground water degradation sources</w:t>
      </w:r>
      <w:r>
        <w:t>,</w:t>
      </w:r>
      <w:r w:rsidRPr="00D11D8A">
        <w:t xml:space="preserve"> based on waste cleanup, monitoring, and restoration actions taken by </w:t>
      </w:r>
      <w:r>
        <w:rPr>
          <w:color w:val="333333"/>
        </w:rPr>
        <w:t>FDEP</w:t>
      </w:r>
      <w:r w:rsidRPr="00D11D8A">
        <w:t xml:space="preserve"> and other agencies conce</w:t>
      </w:r>
      <w:r>
        <w:t>rned with ground water quality.</w:t>
      </w:r>
    </w:p>
    <w:p w:rsidR="00485094" w:rsidRPr="003A4461" w:rsidRDefault="00485094" w:rsidP="00C33E69">
      <w:pPr>
        <w:pStyle w:val="Bodytextreduced"/>
      </w:pPr>
    </w:p>
    <w:p w:rsidR="00485094" w:rsidRDefault="00485094" w:rsidP="00EE77CC">
      <w:pPr>
        <w:pStyle w:val="Heading3"/>
      </w:pPr>
      <w:bookmarkStart w:id="692" w:name="_Toc209241289"/>
      <w:bookmarkStart w:id="693" w:name="_Toc255822578"/>
      <w:bookmarkStart w:id="694" w:name="_Toc262484194"/>
      <w:bookmarkStart w:id="695" w:name="_Toc271280023"/>
      <w:r>
        <w:t>Petroleum Facilities</w:t>
      </w:r>
      <w:bookmarkEnd w:id="692"/>
      <w:bookmarkEnd w:id="693"/>
      <w:bookmarkEnd w:id="694"/>
      <w:bookmarkEnd w:id="695"/>
    </w:p>
    <w:p w:rsidR="00485094" w:rsidRDefault="00485094" w:rsidP="00EE77CC">
      <w:pPr>
        <w:pStyle w:val="Bodytext"/>
      </w:pPr>
      <w:r>
        <w:t>FDEP</w:t>
      </w:r>
      <w:r w:rsidRPr="00EF31B5">
        <w:t xml:space="preserve">’s </w:t>
      </w:r>
      <w:hyperlink r:id="rId159" w:history="1">
        <w:r w:rsidRPr="0069149E">
          <w:rPr>
            <w:rStyle w:val="Hyperlink"/>
          </w:rPr>
          <w:t>Storage Tank Contamination Monitoring (STCM) database</w:t>
        </w:r>
      </w:hyperlink>
      <w:r w:rsidRPr="00EF31B5">
        <w:t xml:space="preserve"> contains information on all storage tank facilities registered with </w:t>
      </w:r>
      <w:r>
        <w:t xml:space="preserve">FDEP </w:t>
      </w:r>
      <w:r w:rsidRPr="00EF31B5">
        <w:t xml:space="preserve">and tracked for active storage tanks, storage tank history, or petroleum cleanup activity.  </w:t>
      </w:r>
      <w:r>
        <w:t xml:space="preserve">Currently, the STCM database lists </w:t>
      </w:r>
      <w:r w:rsidRPr="00EF31B5">
        <w:t>approximately 6</w:t>
      </w:r>
      <w:r>
        <w:t>3,5</w:t>
      </w:r>
      <w:r w:rsidRPr="00EF31B5">
        <w:t xml:space="preserve">00 </w:t>
      </w:r>
      <w:r>
        <w:t xml:space="preserve">registered </w:t>
      </w:r>
      <w:r w:rsidRPr="00EF31B5">
        <w:t xml:space="preserve">petroleum storage </w:t>
      </w:r>
      <w:r>
        <w:t>tanks, and it shows that approximately 14,8</w:t>
      </w:r>
      <w:r w:rsidRPr="00EF31B5">
        <w:t xml:space="preserve">00 </w:t>
      </w:r>
      <w:r>
        <w:t xml:space="preserve">storage tank facilities </w:t>
      </w:r>
      <w:r w:rsidRPr="00EF31B5">
        <w:t>have documented ground water contamination</w:t>
      </w:r>
      <w:r>
        <w:t xml:space="preserve"> by petroleum constituents.  Petroleum sites and petroleum problems are concentrated in the most populated areas of the state, as well as along major transportation corridors.  The main petroleum constituents found in ground water are benzene, toluene, </w:t>
      </w:r>
      <w:proofErr w:type="spellStart"/>
      <w:r>
        <w:t>ethylbenzene</w:t>
      </w:r>
      <w:proofErr w:type="spellEnd"/>
      <w:r>
        <w:t xml:space="preserve">, </w:t>
      </w:r>
      <w:proofErr w:type="spellStart"/>
      <w:r>
        <w:t>xylenes</w:t>
      </w:r>
      <w:proofErr w:type="spellEnd"/>
      <w:r>
        <w:t xml:space="preserve">, and methyl </w:t>
      </w:r>
      <w:proofErr w:type="spellStart"/>
      <w:r>
        <w:t>tert</w:t>
      </w:r>
      <w:proofErr w:type="spellEnd"/>
      <w:r>
        <w:t>-butyl ether.  Contaminants at older petroleum sites may also contain lead and EDB.</w:t>
      </w:r>
    </w:p>
    <w:p w:rsidR="00485094" w:rsidRDefault="00485094" w:rsidP="00EE77CC">
      <w:pPr>
        <w:pStyle w:val="Bodytext"/>
      </w:pPr>
    </w:p>
    <w:p w:rsidR="00485094" w:rsidRDefault="00485094" w:rsidP="00EE77CC">
      <w:pPr>
        <w:pStyle w:val="Bodytext"/>
      </w:pPr>
      <w:r w:rsidRPr="00E56C5D">
        <w:t>Florida</w:t>
      </w:r>
      <w:r>
        <w:t>’s</w:t>
      </w:r>
      <w:r w:rsidRPr="00E56C5D">
        <w:t xml:space="preserve"> </w:t>
      </w:r>
      <w:hyperlink r:id="rId160" w:history="1">
        <w:r w:rsidRPr="0069149E">
          <w:rPr>
            <w:rStyle w:val="Hyperlink"/>
          </w:rPr>
          <w:t>Petroleum Cleanup Program</w:t>
        </w:r>
      </w:hyperlink>
      <w:r w:rsidRPr="00E56C5D">
        <w:t xml:space="preserve"> encompasses the technical oversight, management, and administrative activities necessary to prioritize, assess, and </w:t>
      </w:r>
      <w:proofErr w:type="spellStart"/>
      <w:r w:rsidRPr="00E56C5D">
        <w:t>clean</w:t>
      </w:r>
      <w:r>
        <w:t xml:space="preserve"> </w:t>
      </w:r>
      <w:r w:rsidRPr="00E56C5D">
        <w:t>up</w:t>
      </w:r>
      <w:proofErr w:type="spellEnd"/>
      <w:r w:rsidRPr="00E56C5D">
        <w:t xml:space="preserve"> sites contaminated by </w:t>
      </w:r>
      <w:r>
        <w:t xml:space="preserve">the </w:t>
      </w:r>
      <w:r w:rsidRPr="00E56C5D">
        <w:t xml:space="preserve">discharges of petroleum and petroleum products from stationary petroleum storage systems. </w:t>
      </w:r>
      <w:r>
        <w:t xml:space="preserve"> </w:t>
      </w:r>
      <w:r w:rsidRPr="00E56C5D">
        <w:t xml:space="preserve">These include sites determined </w:t>
      </w:r>
      <w:r>
        <w:t xml:space="preserve">to be </w:t>
      </w:r>
      <w:r w:rsidRPr="00E56C5D">
        <w:t>eligible for state</w:t>
      </w:r>
      <w:r>
        <w:t>-</w:t>
      </w:r>
      <w:r w:rsidRPr="00E56C5D">
        <w:t>funded cleanup using preapprov</w:t>
      </w:r>
      <w:r>
        <w:t>ed</w:t>
      </w:r>
      <w:r w:rsidRPr="00E56C5D">
        <w:t xml:space="preserve"> contractors designated by the property owner or responsible party and state lead contractors under direct contract with </w:t>
      </w:r>
      <w:r>
        <w:t>FDEP</w:t>
      </w:r>
      <w:r w:rsidRPr="00E56C5D">
        <w:t xml:space="preserve">, as well as </w:t>
      </w:r>
      <w:proofErr w:type="spellStart"/>
      <w:r w:rsidRPr="00E56C5D">
        <w:t>nonprogram</w:t>
      </w:r>
      <w:proofErr w:type="spellEnd"/>
      <w:r w:rsidRPr="00E56C5D">
        <w:t xml:space="preserve"> or voluntary cleanup sites funded by responsible parties.</w:t>
      </w:r>
    </w:p>
    <w:p w:rsidR="00485094" w:rsidRPr="00E56C5D" w:rsidRDefault="00485094" w:rsidP="00C33E69">
      <w:pPr>
        <w:pStyle w:val="Bodytextreduced"/>
      </w:pPr>
    </w:p>
    <w:p w:rsidR="00485094" w:rsidRDefault="00485094" w:rsidP="00EE77CC">
      <w:pPr>
        <w:pStyle w:val="Heading3"/>
      </w:pPr>
      <w:bookmarkStart w:id="696" w:name="_Toc209241290"/>
      <w:bookmarkStart w:id="697" w:name="_Toc255822579"/>
      <w:bookmarkStart w:id="698" w:name="_Toc262484195"/>
      <w:bookmarkStart w:id="699" w:name="_Toc271280024"/>
      <w:proofErr w:type="spellStart"/>
      <w:r>
        <w:t>Drycleaning</w:t>
      </w:r>
      <w:proofErr w:type="spellEnd"/>
      <w:r>
        <w:t xml:space="preserve"> Solvent Facilities</w:t>
      </w:r>
      <w:bookmarkEnd w:id="696"/>
      <w:bookmarkEnd w:id="697"/>
      <w:bookmarkEnd w:id="698"/>
      <w:bookmarkEnd w:id="699"/>
    </w:p>
    <w:p w:rsidR="00485094" w:rsidRPr="00C76C94" w:rsidRDefault="00485094" w:rsidP="00EE77CC">
      <w:pPr>
        <w:pStyle w:val="Bodytext"/>
      </w:pPr>
      <w:r w:rsidRPr="00C76C94">
        <w:t xml:space="preserve">Approximately 1,400 </w:t>
      </w:r>
      <w:proofErr w:type="spellStart"/>
      <w:r w:rsidRPr="00C76C94">
        <w:t>drycleanin</w:t>
      </w:r>
      <w:r>
        <w:t>g</w:t>
      </w:r>
      <w:proofErr w:type="spellEnd"/>
      <w:r>
        <w:t xml:space="preserve"> facilities (mainly retail) have</w:t>
      </w:r>
      <w:r w:rsidRPr="00C76C94">
        <w:t xml:space="preserve"> signed up for eligibility for contaminant cleanup under </w:t>
      </w:r>
      <w:r>
        <w:t>FDEP</w:t>
      </w:r>
      <w:r w:rsidRPr="00C76C94">
        <w:t xml:space="preserve">’s </w:t>
      </w:r>
      <w:hyperlink r:id="rId161" w:history="1">
        <w:proofErr w:type="spellStart"/>
        <w:r w:rsidRPr="0069149E">
          <w:rPr>
            <w:rStyle w:val="Hyperlink"/>
          </w:rPr>
          <w:t>Drycleaning</w:t>
        </w:r>
        <w:proofErr w:type="spellEnd"/>
        <w:r w:rsidRPr="0069149E">
          <w:rPr>
            <w:rStyle w:val="Hyperlink"/>
          </w:rPr>
          <w:t xml:space="preserve"> Solvent Cleanup Program (DSCP)</w:t>
        </w:r>
      </w:hyperlink>
      <w:r w:rsidRPr="00C76C94">
        <w:t xml:space="preserve"> due to evidence of contamination.  Of those, </w:t>
      </w:r>
      <w:r>
        <w:t>approximately 190</w:t>
      </w:r>
      <w:r w:rsidRPr="00C76C94">
        <w:t xml:space="preserve"> are actively being assessed and may be under remedial action.  </w:t>
      </w:r>
      <w:proofErr w:type="spellStart"/>
      <w:r w:rsidRPr="00C76C94">
        <w:t>Drycleaning</w:t>
      </w:r>
      <w:proofErr w:type="spellEnd"/>
      <w:r w:rsidRPr="00C76C94">
        <w:t xml:space="preserve"> solvent constituents (PCE, TCE, </w:t>
      </w:r>
      <w:proofErr w:type="spellStart"/>
      <w:r w:rsidRPr="00C76C94">
        <w:t>dichloroethenes</w:t>
      </w:r>
      <w:proofErr w:type="spellEnd"/>
      <w:r w:rsidRPr="00C76C94">
        <w:t>, and vinyl chloride) are among the most mobile and persistent contaminants in the environment.</w:t>
      </w:r>
    </w:p>
    <w:p w:rsidR="00485094" w:rsidRDefault="00485094" w:rsidP="00EE77CC">
      <w:pPr>
        <w:pStyle w:val="Bodytext"/>
      </w:pPr>
    </w:p>
    <w:p w:rsidR="00485094" w:rsidRDefault="00485094" w:rsidP="00EE77CC">
      <w:pPr>
        <w:pStyle w:val="Bodytext"/>
      </w:pPr>
      <w:r w:rsidRPr="00D01748">
        <w:t xml:space="preserve">The Florida </w:t>
      </w:r>
      <w:r>
        <w:t>L</w:t>
      </w:r>
      <w:r w:rsidRPr="00D01748">
        <w:t>egislature established a state-funded program</w:t>
      </w:r>
      <w:r>
        <w:t>, administered by FDEP,</w:t>
      </w:r>
      <w:r w:rsidRPr="00D01748">
        <w:t xml:space="preserve"> to clean</w:t>
      </w:r>
      <w:r>
        <w:t xml:space="preserve"> </w:t>
      </w:r>
      <w:r w:rsidRPr="00D01748">
        <w:t xml:space="preserve">up properties that are contaminated as a result of the operations of a </w:t>
      </w:r>
      <w:proofErr w:type="spellStart"/>
      <w:r w:rsidRPr="00D01748">
        <w:t>drycleaning</w:t>
      </w:r>
      <w:proofErr w:type="spellEnd"/>
      <w:r w:rsidRPr="00D01748">
        <w:t xml:space="preserve"> facility or wholesale supply facility (</w:t>
      </w:r>
      <w:r w:rsidRPr="00C76C94">
        <w:t>Chapter 376, F</w:t>
      </w:r>
      <w:r>
        <w:t>.S.</w:t>
      </w:r>
      <w:r w:rsidRPr="00D01748">
        <w:t xml:space="preserve">). </w:t>
      </w:r>
      <w:r>
        <w:t xml:space="preserve"> </w:t>
      </w:r>
      <w:r w:rsidRPr="00D01748">
        <w:t xml:space="preserve">The </w:t>
      </w:r>
      <w:proofErr w:type="spellStart"/>
      <w:r>
        <w:t>drycleaning</w:t>
      </w:r>
      <w:proofErr w:type="spellEnd"/>
      <w:r>
        <w:t xml:space="preserve"> industry sponsored the </w:t>
      </w:r>
      <w:r w:rsidRPr="00D01748">
        <w:t xml:space="preserve">statute to address environmental, economic, and liability issues resulting from </w:t>
      </w:r>
      <w:proofErr w:type="spellStart"/>
      <w:r w:rsidRPr="00D01748">
        <w:t>drycleaning</w:t>
      </w:r>
      <w:proofErr w:type="spellEnd"/>
      <w:r w:rsidRPr="00D01748">
        <w:t xml:space="preserve"> solvent contamination. </w:t>
      </w:r>
      <w:r>
        <w:t xml:space="preserve"> </w:t>
      </w:r>
      <w:r w:rsidRPr="00D01748">
        <w:t xml:space="preserve">The program </w:t>
      </w:r>
      <w:r>
        <w:t>limits the</w:t>
      </w:r>
      <w:r w:rsidRPr="00D01748">
        <w:t xml:space="preserve"> liability of the owner, operator</w:t>
      </w:r>
      <w:r>
        <w:t>,</w:t>
      </w:r>
      <w:r w:rsidRPr="00D01748">
        <w:t xml:space="preserve"> and real property owner of </w:t>
      </w:r>
      <w:proofErr w:type="spellStart"/>
      <w:r w:rsidRPr="00D01748">
        <w:t>drycleaning</w:t>
      </w:r>
      <w:proofErr w:type="spellEnd"/>
      <w:r w:rsidRPr="00D01748">
        <w:t xml:space="preserve"> or wholesale supply facilities for </w:t>
      </w:r>
      <w:r>
        <w:t>cleaning up</w:t>
      </w:r>
      <w:r w:rsidRPr="00D01748">
        <w:t xml:space="preserve"> </w:t>
      </w:r>
      <w:proofErr w:type="spellStart"/>
      <w:r w:rsidRPr="00D01748">
        <w:t>drycleaning</w:t>
      </w:r>
      <w:proofErr w:type="spellEnd"/>
      <w:r w:rsidRPr="00D01748">
        <w:t xml:space="preserve"> solvent contamination</w:t>
      </w:r>
      <w:r>
        <w:t>,</w:t>
      </w:r>
      <w:r w:rsidRPr="00D01748">
        <w:t xml:space="preserve"> if the parties meet the eligibility conditions stated in the law.</w:t>
      </w:r>
    </w:p>
    <w:p w:rsidR="00485094" w:rsidRPr="00D01748" w:rsidRDefault="00485094" w:rsidP="00C33E69">
      <w:pPr>
        <w:pStyle w:val="Bodytextreduced"/>
      </w:pPr>
    </w:p>
    <w:p w:rsidR="00485094" w:rsidRPr="00691ECF" w:rsidRDefault="00485094" w:rsidP="00EE77CC">
      <w:pPr>
        <w:pStyle w:val="Heading3"/>
      </w:pPr>
      <w:bookmarkStart w:id="700" w:name="_Toc209241291"/>
      <w:bookmarkStart w:id="701" w:name="_Toc255822580"/>
      <w:bookmarkStart w:id="702" w:name="_Toc262484196"/>
      <w:bookmarkStart w:id="703" w:name="_Toc271280025"/>
      <w:r>
        <w:t>Federal and State Waste Cleanup and Monitoring Sites</w:t>
      </w:r>
      <w:bookmarkEnd w:id="700"/>
      <w:bookmarkEnd w:id="701"/>
      <w:bookmarkEnd w:id="702"/>
      <w:bookmarkEnd w:id="703"/>
    </w:p>
    <w:p w:rsidR="00485094" w:rsidRDefault="00485094" w:rsidP="00EE77CC">
      <w:pPr>
        <w:pStyle w:val="Bodytext"/>
      </w:pPr>
      <w:r w:rsidRPr="001F11CC">
        <w:t xml:space="preserve">The Federal Superfund </w:t>
      </w:r>
      <w:r>
        <w:t>P</w:t>
      </w:r>
      <w:r w:rsidRPr="001F11CC">
        <w:t>rogram (authorized under the Comprehensive Environmental Response Compensation and Liability Act</w:t>
      </w:r>
      <w:r>
        <w:t xml:space="preserve"> [CERCLA]</w:t>
      </w:r>
      <w:r w:rsidRPr="001F11CC">
        <w:t xml:space="preserve">) and Florida’s Hazardous Waste Site Cleanup </w:t>
      </w:r>
      <w:r>
        <w:t>P</w:t>
      </w:r>
      <w:r w:rsidRPr="001F11CC">
        <w:t xml:space="preserve">rogram were developed to provide mechanisms for addressing contamination on uncontrolled or abandoned hazardous waste sites.  In the state, there are </w:t>
      </w:r>
      <w:r>
        <w:t>currently</w:t>
      </w:r>
      <w:r w:rsidRPr="001F11CC">
        <w:t xml:space="preserve"> </w:t>
      </w:r>
      <w:r>
        <w:t>50</w:t>
      </w:r>
      <w:r w:rsidRPr="001F11CC">
        <w:t xml:space="preserve"> Superfund sites on the </w:t>
      </w:r>
      <w:hyperlink r:id="rId162" w:history="1">
        <w:r w:rsidRPr="0069149E">
          <w:rPr>
            <w:rStyle w:val="Hyperlink"/>
          </w:rPr>
          <w:t>National Priorities List (NPL)</w:t>
        </w:r>
      </w:hyperlink>
      <w:r w:rsidRPr="001F11CC">
        <w:t xml:space="preserve"> and </w:t>
      </w:r>
      <w:r>
        <w:t>72</w:t>
      </w:r>
      <w:r w:rsidRPr="001F11CC">
        <w:t xml:space="preserve"> sites on Florida’s </w:t>
      </w:r>
      <w:hyperlink r:id="rId163" w:history="1">
        <w:r w:rsidRPr="0069149E">
          <w:rPr>
            <w:rStyle w:val="Hyperlink"/>
          </w:rPr>
          <w:t>Hazardous Waste Cleanup Program</w:t>
        </w:r>
      </w:hyperlink>
      <w:r w:rsidRPr="001F11CC">
        <w:t xml:space="preserve"> list. </w:t>
      </w:r>
      <w:r>
        <w:t xml:space="preserve"> Many of these sites have documented ground water contamination.</w:t>
      </w:r>
    </w:p>
    <w:p w:rsidR="00485094" w:rsidRPr="001F11CC" w:rsidRDefault="00485094" w:rsidP="00C33E69">
      <w:pPr>
        <w:pStyle w:val="Bodytextreduced"/>
      </w:pPr>
    </w:p>
    <w:p w:rsidR="00485094" w:rsidRDefault="00485094" w:rsidP="00EE77CC">
      <w:pPr>
        <w:pStyle w:val="Heading3"/>
      </w:pPr>
      <w:bookmarkStart w:id="704" w:name="_Toc209241292"/>
      <w:bookmarkStart w:id="705" w:name="_Toc255822581"/>
      <w:bookmarkStart w:id="706" w:name="_Toc262484197"/>
      <w:bookmarkStart w:id="707" w:name="_Toc271280026"/>
      <w:r>
        <w:t>Nonpoint Sources</w:t>
      </w:r>
      <w:bookmarkEnd w:id="704"/>
      <w:bookmarkEnd w:id="705"/>
      <w:bookmarkEnd w:id="706"/>
      <w:bookmarkEnd w:id="707"/>
    </w:p>
    <w:p w:rsidR="00485094" w:rsidRPr="006E473F" w:rsidRDefault="00485094" w:rsidP="00EE77CC">
      <w:pPr>
        <w:pStyle w:val="Bodytext"/>
      </w:pPr>
      <w:r w:rsidRPr="006E473F">
        <w:t xml:space="preserve">Degraded ground water quality is sometimes not associated with a single contaminant source but instead may be related to multiple sources or land use practices in an area.  In many cases, the cumulative effect of human activities through leaching from nonpoint sources of pollution, such as septic tanks or fertilizer applications, creates ground water quality problems.  In many urban areas of the state, ground water (including sinkholes and permitted injection wells) receives untreated stormwater runoff from urban areas and roadways.  Ground water is particularly vulnerable in </w:t>
      </w:r>
      <w:r>
        <w:t xml:space="preserve">karst (limestone) </w:t>
      </w:r>
      <w:r w:rsidRPr="006E473F">
        <w:t xml:space="preserve">areas, where these discharges have a direct, unfiltered pathway to the drinking water resource.  In other areas, wastewater applications, septic tank </w:t>
      </w:r>
      <w:proofErr w:type="spellStart"/>
      <w:r w:rsidRPr="006E473F">
        <w:t>leachate</w:t>
      </w:r>
      <w:proofErr w:type="spellEnd"/>
      <w:r w:rsidRPr="006E473F">
        <w:t xml:space="preserve">, right-of-way maintenance, and residential landscaping fertilization can degrade ground water quality and cause potential problems in karst areas where springs discharge.  Additionally, the leaching of fertilizers and pesticides from agricultural lands has had a significant impact on ground water quality.  </w:t>
      </w:r>
    </w:p>
    <w:p w:rsidR="00485094" w:rsidRPr="006E473F" w:rsidRDefault="00485094" w:rsidP="00EE77CC">
      <w:pPr>
        <w:pStyle w:val="Bodytext"/>
      </w:pPr>
    </w:p>
    <w:p w:rsidR="00485094" w:rsidRPr="006E473F" w:rsidRDefault="00485094" w:rsidP="00EE77CC">
      <w:pPr>
        <w:pStyle w:val="Bodytext"/>
      </w:pPr>
      <w:r w:rsidRPr="006E473F">
        <w:t xml:space="preserve">Unfortunately, the potable ground water resource in some areas dominated by agricultural activities is often susceptible to direct impacts by fertilizer and agrichemical use.  The </w:t>
      </w:r>
      <w:r>
        <w:t>R</w:t>
      </w:r>
      <w:r w:rsidRPr="006E473F">
        <w:t xml:space="preserve">idge citrus area in central Florida provides an example of an area with known nitrate impacts to ground water.  </w:t>
      </w:r>
      <w:r>
        <w:t>Ridge</w:t>
      </w:r>
      <w:r w:rsidRPr="006E473F">
        <w:t xml:space="preserve"> citrus growers are now addressing nonpoint impacts through the </w:t>
      </w:r>
      <w:hyperlink r:id="rId164" w:history="1">
        <w:r w:rsidRPr="0069149E">
          <w:rPr>
            <w:rStyle w:val="Hyperlink"/>
          </w:rPr>
          <w:t>Agricultural Nonpoint Source Program</w:t>
        </w:r>
      </w:hyperlink>
      <w:r w:rsidRPr="006E473F">
        <w:t>, using voluntary fertilizer management practices as a primary BMP</w:t>
      </w:r>
      <w:r>
        <w:t>.</w:t>
      </w:r>
      <w:r w:rsidRPr="006E473F">
        <w:t xml:space="preserve">  This work is serving as a model for the implementation of BMPs to protect ground water from contamination caused by the use of fertilizers and pesticides on urban lands.  These more-refined BMP programs should reduce the nutrient contamination of ground water.</w:t>
      </w:r>
    </w:p>
    <w:p w:rsidR="00485094" w:rsidRDefault="00485094" w:rsidP="00C33E69">
      <w:pPr>
        <w:pStyle w:val="Bodytextreduced"/>
      </w:pPr>
    </w:p>
    <w:p w:rsidR="00485094" w:rsidRPr="00635B59" w:rsidRDefault="00485094" w:rsidP="00EE77CC">
      <w:pPr>
        <w:pStyle w:val="Heading2"/>
      </w:pPr>
      <w:bookmarkStart w:id="708" w:name="_Toc209241293"/>
      <w:bookmarkStart w:id="709" w:name="_Toc255822582"/>
      <w:bookmarkStart w:id="710" w:name="_Toc262484198"/>
      <w:bookmarkStart w:id="711" w:name="_Toc271280027"/>
      <w:r w:rsidRPr="00635B59">
        <w:t>Ground Water–Surface Water Interaction</w:t>
      </w:r>
      <w:bookmarkEnd w:id="708"/>
      <w:bookmarkEnd w:id="709"/>
      <w:bookmarkEnd w:id="710"/>
      <w:bookmarkEnd w:id="711"/>
    </w:p>
    <w:p w:rsidR="00485094" w:rsidRDefault="00485094" w:rsidP="00EE77CC">
      <w:pPr>
        <w:pStyle w:val="Heading3"/>
      </w:pPr>
      <w:bookmarkStart w:id="712" w:name="_Toc209241294"/>
      <w:bookmarkStart w:id="713" w:name="_Toc255822583"/>
      <w:bookmarkStart w:id="714" w:name="_Toc262484199"/>
      <w:bookmarkStart w:id="715" w:name="_Toc271280028"/>
      <w:r w:rsidRPr="00635B59">
        <w:t>Setting and Pathways</w:t>
      </w:r>
      <w:bookmarkEnd w:id="712"/>
      <w:bookmarkEnd w:id="713"/>
      <w:bookmarkEnd w:id="714"/>
      <w:bookmarkEnd w:id="715"/>
      <w:r w:rsidRPr="003A4461">
        <w:t xml:space="preserve"> </w:t>
      </w:r>
    </w:p>
    <w:p w:rsidR="00485094" w:rsidRDefault="00485094" w:rsidP="00EE77CC">
      <w:pPr>
        <w:pStyle w:val="Bodytext"/>
      </w:pPr>
      <w:r>
        <w:t>The free exchange between ground water and surface water in Florida cannot be overemphasized.  As mentioned previously, spring-fed stream systems can depend almost entirely on ground water discharge.  Canals can also contain mostly ground water.  Other streams and lakes may receive over half of their total inflows via ground water seepage, and natural estuaries rely on ground water seepage as a significant source of fresh water.  In areas where the Floridan aquifer system is near the surface, and in southern parts of the state where porous limestone is present near the surface, conduit systems in the limestone material efficiently deliver ground water to streams and canals at high rates.  In other areas of the state, ground water discharge occurs as seepage from the surficial aquifer system.</w:t>
      </w:r>
    </w:p>
    <w:p w:rsidR="00485094" w:rsidRPr="003A4461" w:rsidRDefault="00485094" w:rsidP="00EE77CC">
      <w:pPr>
        <w:pStyle w:val="Bodytext"/>
      </w:pPr>
    </w:p>
    <w:p w:rsidR="00485094" w:rsidRDefault="00485094" w:rsidP="00EE77CC">
      <w:pPr>
        <w:pStyle w:val="Heading3"/>
      </w:pPr>
      <w:bookmarkStart w:id="716" w:name="_Toc209241295"/>
      <w:bookmarkStart w:id="717" w:name="_Toc255822584"/>
      <w:bookmarkStart w:id="718" w:name="_Toc262484200"/>
      <w:bookmarkStart w:id="719" w:name="_Toc271280029"/>
      <w:r w:rsidRPr="002B4820">
        <w:t xml:space="preserve">Ground Water </w:t>
      </w:r>
      <w:r>
        <w:t>Influence on</w:t>
      </w:r>
      <w:r w:rsidRPr="002B4820">
        <w:t xml:space="preserve"> Impaired Surface Waters</w:t>
      </w:r>
      <w:bookmarkEnd w:id="716"/>
      <w:bookmarkEnd w:id="717"/>
      <w:bookmarkEnd w:id="718"/>
      <w:bookmarkEnd w:id="719"/>
      <w:r w:rsidRPr="003A4461">
        <w:t xml:space="preserve"> </w:t>
      </w:r>
    </w:p>
    <w:p w:rsidR="00485094" w:rsidRPr="00D6531E" w:rsidRDefault="00485094" w:rsidP="00EE77CC">
      <w:pPr>
        <w:pStyle w:val="Bodytext"/>
      </w:pPr>
      <w:r w:rsidRPr="00D6531E">
        <w:t xml:space="preserve">Nutrients, DO, and iron are the parameters of greatest concern identified in basin-scale evaluations of ground water influence on impaired or potentially impaired surface waters.  </w:t>
      </w:r>
      <w:r w:rsidRPr="00D6531E">
        <w:rPr>
          <w:b/>
          <w:i/>
        </w:rPr>
        <w:t xml:space="preserve">Table </w:t>
      </w:r>
      <w:r>
        <w:rPr>
          <w:b/>
          <w:i/>
        </w:rPr>
        <w:t>10.3</w:t>
      </w:r>
      <w:r w:rsidRPr="00D6531E">
        <w:t xml:space="preserve"> summarizes the median concentrations of these parameters in unconfined aquifers of the state’s 29 major basins.  The table also compares these ground water medians with the statewide medians for surface water types.</w:t>
      </w:r>
    </w:p>
    <w:p w:rsidR="00485094" w:rsidRPr="00D6531E" w:rsidRDefault="00485094" w:rsidP="00EE77CC">
      <w:pPr>
        <w:pStyle w:val="Bodytext"/>
      </w:pPr>
    </w:p>
    <w:p w:rsidR="00485094" w:rsidRPr="00DC470A" w:rsidRDefault="00485094" w:rsidP="00EE77CC">
      <w:pPr>
        <w:pStyle w:val="Bodytext"/>
      </w:pPr>
      <w:r w:rsidRPr="00DC470A">
        <w:t>Relatively low concentrations of nitrate and phosphorus can create nutrient imbalances in surface water and contribute to impairments.  Nitrate in ground water is associated with anthropogenic sources such as atmospheric deposition, fertilizers, animal waste, and human wastewater.  Elevated nitrogen concentrations are of particular concern to fragile surface water systems such as spring runs.  As discussed previously, phosphorus occurs naturally throughout</w:t>
      </w:r>
      <w:r w:rsidRPr="00A94FE1">
        <w:t xml:space="preserve"> </w:t>
      </w:r>
      <w:r w:rsidRPr="00DC470A">
        <w:t xml:space="preserve">the state, and its natural occurrence in ground water is attributed to ground water contact with mineral phosphate in the aquifer material.  It can also be derived from organic material such as peat or from </w:t>
      </w:r>
      <w:proofErr w:type="spellStart"/>
      <w:r w:rsidRPr="00DC470A">
        <w:t>phosphatic</w:t>
      </w:r>
      <w:proofErr w:type="spellEnd"/>
      <w:r w:rsidRPr="00DC470A">
        <w:t xml:space="preserve"> shell beds.  The more common anthropogenic sources of phosphorus include fertilizers, animal waste, and domestic wastewater/residuals.</w:t>
      </w:r>
    </w:p>
    <w:p w:rsidR="00485094" w:rsidRPr="00DC470A" w:rsidRDefault="00485094" w:rsidP="00EE77CC">
      <w:pPr>
        <w:pStyle w:val="Bodytext"/>
      </w:pPr>
    </w:p>
    <w:p w:rsidR="00485094" w:rsidRPr="00DC470A" w:rsidRDefault="00485094" w:rsidP="00EE77CC">
      <w:pPr>
        <w:pStyle w:val="Bodytext"/>
      </w:pPr>
      <w:r w:rsidRPr="00DC470A">
        <w:t>Low DO is a normal characteristic of ground water.  Depressed DO in springs, spring runs, spring-fed rivers, and many drainage canals is often primarily or entirely attributable to ground water inflows.  In instances where ground water contributions to surface waterbodies are high, low DO is a typical consequence.</w:t>
      </w:r>
    </w:p>
    <w:p w:rsidR="00485094" w:rsidRPr="00DC470A" w:rsidRDefault="00485094" w:rsidP="00EE77CC">
      <w:pPr>
        <w:pStyle w:val="Bodytext"/>
      </w:pPr>
    </w:p>
    <w:p w:rsidR="00485094" w:rsidRPr="00DC470A" w:rsidRDefault="00485094" w:rsidP="00EE77CC">
      <w:pPr>
        <w:pStyle w:val="Bodytext"/>
      </w:pPr>
      <w:r w:rsidRPr="00DC470A">
        <w:t xml:space="preserve">Iron is another ground water constituent that occurs naturally due to the leaching of ferric iron from iron-rich clay soils and sediment.  Iron in the environment also has an affinity for organic materials.  Streams that are high in iron concentration typically have a high to moderate ground water component, low DO, and high dissolved organic carbon content. </w:t>
      </w:r>
    </w:p>
    <w:p w:rsidR="00485094" w:rsidRPr="00DC470A" w:rsidRDefault="00485094" w:rsidP="00EE77CC">
      <w:pPr>
        <w:pStyle w:val="Bodytext"/>
      </w:pPr>
    </w:p>
    <w:p w:rsidR="00485094" w:rsidRPr="00DC470A" w:rsidRDefault="00485094" w:rsidP="00EE77CC">
      <w:pPr>
        <w:pStyle w:val="Bodytext"/>
      </w:pPr>
      <w:r w:rsidRPr="00DC470A">
        <w:t xml:space="preserve">Specific conductance is also sometimes an indicator of ground water discharge to surface waters.  In some basins, the specific conductance of ground water discharging to surface water (quite often springs) is higher than 1,275 </w:t>
      </w:r>
      <w:proofErr w:type="spellStart"/>
      <w:r>
        <w:t>microSiemens</w:t>
      </w:r>
      <w:proofErr w:type="spellEnd"/>
      <w:r>
        <w:t xml:space="preserve"> per centimeter (</w:t>
      </w:r>
      <w:r w:rsidR="00FC23B4" w:rsidRPr="00647972">
        <w:rPr>
          <w:rFonts w:ascii="Symbol" w:hAnsi="Symbol" w:cs="Arial"/>
          <w:szCs w:val="22"/>
        </w:rPr>
        <w:t></w:t>
      </w:r>
      <w:r w:rsidRPr="00DC470A">
        <w:t>S/cm</w:t>
      </w:r>
      <w:r>
        <w:t>), which may reflect an exceedance of the specific conductance criterion</w:t>
      </w:r>
      <w:r w:rsidRPr="00DC470A">
        <w:t xml:space="preserve"> for fresh surface waters</w:t>
      </w:r>
      <w:r>
        <w:t xml:space="preserve"> (the criterion is stated as 50% above background or 1,275 </w:t>
      </w:r>
      <w:r w:rsidR="00FC23B4" w:rsidRPr="00647972">
        <w:rPr>
          <w:rFonts w:ascii="Symbol" w:hAnsi="Symbol" w:cs="Arial"/>
          <w:szCs w:val="22"/>
        </w:rPr>
        <w:t></w:t>
      </w:r>
      <w:r>
        <w:t>S/cm, whichever is higher)</w:t>
      </w:r>
      <w:r w:rsidRPr="00DC470A">
        <w:t>.</w:t>
      </w:r>
    </w:p>
    <w:p w:rsidR="00485094" w:rsidRPr="00DC470A" w:rsidRDefault="00485094" w:rsidP="00EE77CC">
      <w:pPr>
        <w:pStyle w:val="Bodytext"/>
        <w:rPr>
          <w:szCs w:val="22"/>
        </w:rPr>
      </w:pPr>
      <w:r w:rsidRPr="00DC470A">
        <w:rPr>
          <w:szCs w:val="22"/>
        </w:rPr>
        <w:t xml:space="preserve"> </w:t>
      </w:r>
    </w:p>
    <w:p w:rsidR="00485094" w:rsidRDefault="00485094" w:rsidP="00EE77CC">
      <w:pPr>
        <w:pStyle w:val="Heading3"/>
      </w:pPr>
      <w:bookmarkStart w:id="720" w:name="_Toc209241296"/>
      <w:bookmarkStart w:id="721" w:name="_Toc255822585"/>
      <w:bookmarkStart w:id="722" w:name="_Toc262484201"/>
      <w:bookmarkStart w:id="723" w:name="_Toc271280030"/>
      <w:r w:rsidRPr="00810E70">
        <w:t>Springs and Spring-related Issues</w:t>
      </w:r>
      <w:bookmarkEnd w:id="720"/>
      <w:bookmarkEnd w:id="721"/>
      <w:bookmarkEnd w:id="722"/>
      <w:bookmarkEnd w:id="723"/>
      <w:r w:rsidRPr="00810E70">
        <w:t xml:space="preserve"> </w:t>
      </w:r>
    </w:p>
    <w:p w:rsidR="00485094" w:rsidRPr="00DC470A" w:rsidRDefault="00485094" w:rsidP="00EE77CC">
      <w:pPr>
        <w:pStyle w:val="Bodytext"/>
      </w:pPr>
      <w:r w:rsidRPr="00DC470A">
        <w:t xml:space="preserve">Nutrient </w:t>
      </w:r>
      <w:r w:rsidR="0096042F" w:rsidRPr="00DC470A">
        <w:t>over enrichment</w:t>
      </w:r>
      <w:r w:rsidRPr="00DC470A">
        <w:t xml:space="preserve"> causes the impairment of many surface waters, including springs.  The two major nutrient</w:t>
      </w:r>
      <w:r>
        <w:t>s</w:t>
      </w:r>
      <w:r w:rsidRPr="00DC470A">
        <w:t xml:space="preserve"> that are monitored </w:t>
      </w:r>
      <w:r>
        <w:t>are</w:t>
      </w:r>
      <w:r w:rsidRPr="00DC470A">
        <w:t xml:space="preserve"> nitrogen and phosphorus</w:t>
      </w:r>
      <w:r>
        <w:t>, which</w:t>
      </w:r>
      <w:r w:rsidRPr="00DC470A">
        <w:t xml:space="preserve"> are essential nutrients to plant life, including algae.  For aquatic vegetation and algae to grow, both nutrients have to be present.  In fact, one can be present in excess but if the other is not present, </w:t>
      </w:r>
      <w:r>
        <w:t xml:space="preserve">the </w:t>
      </w:r>
      <w:r w:rsidRPr="00DC470A">
        <w:t>overgrowth of vegetation or algae is not likely to occur.  Historically, many spring systems have had sufficient phosphorus to cause an overabundance of plant growth</w:t>
      </w:r>
      <w:r>
        <w:t>,</w:t>
      </w:r>
      <w:r w:rsidRPr="00DC470A">
        <w:t xml:space="preserve"> but this was limited by very low concentrations of nitrogen. </w:t>
      </w:r>
    </w:p>
    <w:p w:rsidR="00485094" w:rsidRPr="00D6531E" w:rsidRDefault="00485094" w:rsidP="00EE77CC">
      <w:pPr>
        <w:pStyle w:val="Bodytext"/>
      </w:pPr>
    </w:p>
    <w:p w:rsidR="00485094" w:rsidRDefault="00485094" w:rsidP="00EE77CC">
      <w:pPr>
        <w:pStyle w:val="Bodytext"/>
        <w:rPr>
          <w:szCs w:val="22"/>
        </w:rPr>
        <w:sectPr w:rsidR="00485094" w:rsidSect="003B37D3">
          <w:pgSz w:w="12240" w:h="15840"/>
          <w:pgMar w:top="1440" w:right="1440" w:bottom="1440" w:left="1440" w:header="720" w:footer="720" w:gutter="0"/>
          <w:cols w:space="720"/>
          <w:docGrid w:linePitch="360"/>
        </w:sectPr>
      </w:pPr>
    </w:p>
    <w:p w:rsidR="00485094" w:rsidRDefault="00485094" w:rsidP="00EE77CC">
      <w:pPr>
        <w:pStyle w:val="Tableheading"/>
      </w:pPr>
      <w:bookmarkStart w:id="724" w:name="_Toc209240671"/>
      <w:bookmarkStart w:id="725" w:name="_Toc255482865"/>
      <w:bookmarkStart w:id="726" w:name="_Toc255807524"/>
      <w:bookmarkStart w:id="727" w:name="_Toc262484276"/>
      <w:bookmarkStart w:id="728" w:name="_Toc271280131"/>
      <w:r w:rsidRPr="00C01CA3">
        <w:t xml:space="preserve">Table </w:t>
      </w:r>
      <w:r>
        <w:t xml:space="preserve">10.3.  </w:t>
      </w:r>
      <w:r w:rsidRPr="00C01CA3">
        <w:t>Media</w:t>
      </w:r>
      <w:r>
        <w:t>n Concentrations of Ground Water–Surface Water Constituents in Unconfined A</w:t>
      </w:r>
      <w:r w:rsidRPr="00C01CA3">
        <w:t>quifers</w:t>
      </w:r>
      <w:r>
        <w:t xml:space="preserve"> (2000–07/2008-09)</w:t>
      </w:r>
      <w:bookmarkEnd w:id="724"/>
      <w:bookmarkEnd w:id="725"/>
      <w:bookmarkEnd w:id="726"/>
      <w:bookmarkEnd w:id="727"/>
      <w:bookmarkEnd w:id="728"/>
    </w:p>
    <w:p w:rsidR="00485094" w:rsidRDefault="00485094" w:rsidP="00EE77CC">
      <w:pPr>
        <w:pStyle w:val="TabledescriptionBF"/>
      </w:pPr>
      <w:r>
        <w:t xml:space="preserve">This is a six-column table. </w:t>
      </w:r>
      <w:r w:rsidRPr="00B74802">
        <w:t xml:space="preserve"> Column 1 lists the </w:t>
      </w:r>
      <w:r>
        <w:t xml:space="preserve">individual </w:t>
      </w:r>
      <w:r w:rsidRPr="00B74802">
        <w:t>basin</w:t>
      </w:r>
      <w:r>
        <w:t xml:space="preserve">s.  </w:t>
      </w:r>
      <w:r w:rsidRPr="00B74802">
        <w:t>Column 2 list</w:t>
      </w:r>
      <w:r>
        <w:t>s</w:t>
      </w:r>
      <w:r w:rsidRPr="00B74802">
        <w:t xml:space="preserve"> the </w:t>
      </w:r>
      <w:r>
        <w:t>median concentration for nitrate + nitrite (as N), Column 3 for phosphorus, Column 4 for DO, Column 5 for iron, and Column 6 for specific conductance.</w:t>
      </w:r>
    </w:p>
    <w:p w:rsidR="00485094" w:rsidRPr="00B74802" w:rsidRDefault="00485094" w:rsidP="00EE77CC">
      <w:pPr>
        <w:pStyle w:val="TabledescriptionBF"/>
      </w:pPr>
    </w:p>
    <w:p w:rsidR="00485094" w:rsidRDefault="00485094" w:rsidP="00EE77CC">
      <w:pPr>
        <w:pStyle w:val="Bodytextreduced"/>
      </w:pPr>
      <w:r>
        <w:t>V</w:t>
      </w:r>
      <w:r w:rsidRPr="00336540">
        <w:t xml:space="preserve">alues for basins with 5 or fewer samples are </w:t>
      </w:r>
      <w:r>
        <w:t xml:space="preserve">indicated by </w:t>
      </w:r>
      <w:r w:rsidRPr="00336540">
        <w:rPr>
          <w:highlight w:val="lightGray"/>
        </w:rPr>
        <w:t>shad</w:t>
      </w:r>
      <w:r>
        <w:rPr>
          <w:highlight w:val="lightGray"/>
        </w:rPr>
        <w:t>ing</w:t>
      </w:r>
      <w:r>
        <w:t xml:space="preserve"> and an asterisk</w:t>
      </w:r>
      <w:r w:rsidRPr="00336540">
        <w:t>.</w:t>
      </w:r>
    </w:p>
    <w:p w:rsidR="00485094" w:rsidRDefault="00485094" w:rsidP="00EE77CC">
      <w:pPr>
        <w:rPr>
          <w:rFonts w:ascii="Arial" w:hAnsi="Arial" w:cs="Arial"/>
          <w:sz w:val="16"/>
          <w:szCs w:val="16"/>
        </w:rPr>
      </w:pPr>
      <w:r w:rsidRPr="003B3CC3">
        <w:rPr>
          <w:rFonts w:ascii="Arial" w:hAnsi="Arial" w:cs="Arial"/>
          <w:b/>
          <w:sz w:val="16"/>
          <w:szCs w:val="16"/>
        </w:rPr>
        <w:t>Notes:</w:t>
      </w:r>
      <w:r w:rsidRPr="00FB72EA">
        <w:rPr>
          <w:rFonts w:ascii="Arial" w:hAnsi="Arial" w:cs="Arial"/>
          <w:sz w:val="16"/>
          <w:szCs w:val="16"/>
        </w:rPr>
        <w:t xml:space="preserve">  Ground water data provided from multiple sources, all representing unconfined aquifers that have the potential to interact with surface water.  </w:t>
      </w:r>
    </w:p>
    <w:p w:rsidR="00485094" w:rsidRDefault="00485094" w:rsidP="00EE77CC">
      <w:pPr>
        <w:pStyle w:val="Bodytextreduced"/>
      </w:pPr>
      <w:r w:rsidRPr="00A94FE1">
        <w:rPr>
          <w:vertAlign w:val="superscript"/>
        </w:rPr>
        <w:t xml:space="preserve">1 </w:t>
      </w:r>
      <w:r>
        <w:t>V</w:t>
      </w:r>
      <w:r w:rsidRPr="00FB72EA">
        <w:t xml:space="preserve">alues </w:t>
      </w:r>
      <w:r>
        <w:t xml:space="preserve">that </w:t>
      </w:r>
      <w:r w:rsidRPr="00FB72EA">
        <w:t xml:space="preserve">are concentrations higher (or in the case of </w:t>
      </w:r>
      <w:r>
        <w:t>DO</w:t>
      </w:r>
      <w:r w:rsidRPr="00FB72EA">
        <w:t>, lower) than median values for streams, lakes</w:t>
      </w:r>
      <w:r>
        <w:t>,</w:t>
      </w:r>
      <w:r w:rsidRPr="00FB72EA">
        <w:t xml:space="preserve"> or estuaries in Florida </w:t>
      </w:r>
      <w:r>
        <w:t>(</w:t>
      </w:r>
      <w:r w:rsidRPr="00965FF0">
        <w:t>per Hand, 2004)</w:t>
      </w:r>
      <w:r>
        <w:t xml:space="preserve"> </w:t>
      </w:r>
      <w:r w:rsidRPr="00336540">
        <w:t xml:space="preserve">are </w:t>
      </w:r>
      <w:r>
        <w:t xml:space="preserve">indicated by </w:t>
      </w:r>
      <w:r w:rsidRPr="00336540">
        <w:rPr>
          <w:highlight w:val="lightGray"/>
        </w:rPr>
        <w:t>shad</w:t>
      </w:r>
      <w:r>
        <w:rPr>
          <w:highlight w:val="lightGray"/>
        </w:rPr>
        <w:t>ing</w:t>
      </w:r>
      <w:r>
        <w:t xml:space="preserve"> and an asterisk</w:t>
      </w:r>
      <w:r w:rsidRPr="00FB72EA">
        <w:t xml:space="preserve">.  </w:t>
      </w:r>
    </w:p>
    <w:p w:rsidR="00485094" w:rsidRPr="00FB72EA" w:rsidRDefault="00485094" w:rsidP="00EE77CC">
      <w:pPr>
        <w:rPr>
          <w:rFonts w:ascii="Arial" w:hAnsi="Arial" w:cs="Arial"/>
          <w:sz w:val="16"/>
          <w:szCs w:val="16"/>
        </w:rPr>
      </w:pPr>
      <w:r w:rsidRPr="00A94FE1">
        <w:rPr>
          <w:rFonts w:ascii="Arial" w:hAnsi="Arial" w:cs="Arial"/>
          <w:sz w:val="16"/>
          <w:szCs w:val="16"/>
          <w:vertAlign w:val="superscript"/>
        </w:rPr>
        <w:t>2</w:t>
      </w:r>
      <w:r>
        <w:rPr>
          <w:rFonts w:ascii="Arial" w:hAnsi="Arial" w:cs="Arial"/>
          <w:sz w:val="16"/>
          <w:szCs w:val="16"/>
        </w:rPr>
        <w:t xml:space="preserve"> </w:t>
      </w:r>
      <w:r w:rsidRPr="00FB72EA">
        <w:rPr>
          <w:rFonts w:ascii="Arial" w:hAnsi="Arial" w:cs="Arial"/>
          <w:sz w:val="16"/>
          <w:szCs w:val="16"/>
        </w:rPr>
        <w:t xml:space="preserve">Values </w:t>
      </w:r>
      <w:r>
        <w:rPr>
          <w:rFonts w:ascii="Arial" w:hAnsi="Arial" w:cs="Arial"/>
          <w:sz w:val="16"/>
          <w:szCs w:val="16"/>
        </w:rPr>
        <w:t xml:space="preserve">that </w:t>
      </w:r>
      <w:r w:rsidRPr="00FB72EA">
        <w:rPr>
          <w:rFonts w:ascii="Arial" w:hAnsi="Arial" w:cs="Arial"/>
          <w:sz w:val="16"/>
          <w:szCs w:val="16"/>
        </w:rPr>
        <w:t xml:space="preserve">are higher (or in the case of </w:t>
      </w:r>
      <w:r>
        <w:rPr>
          <w:rFonts w:ascii="Arial" w:hAnsi="Arial" w:cs="Arial"/>
          <w:sz w:val="16"/>
          <w:szCs w:val="16"/>
        </w:rPr>
        <w:t>DO</w:t>
      </w:r>
      <w:r w:rsidRPr="00FB72EA">
        <w:rPr>
          <w:rFonts w:ascii="Arial" w:hAnsi="Arial" w:cs="Arial"/>
          <w:sz w:val="16"/>
          <w:szCs w:val="16"/>
        </w:rPr>
        <w:t xml:space="preserve">, lower) than one or more surface water quality standard per </w:t>
      </w:r>
      <w:r>
        <w:rPr>
          <w:rFonts w:ascii="Arial" w:hAnsi="Arial" w:cs="Arial"/>
          <w:sz w:val="16"/>
          <w:szCs w:val="16"/>
        </w:rPr>
        <w:t>Rule</w:t>
      </w:r>
      <w:r w:rsidRPr="00FB72EA">
        <w:rPr>
          <w:rFonts w:ascii="Arial" w:hAnsi="Arial" w:cs="Arial"/>
          <w:sz w:val="16"/>
          <w:szCs w:val="16"/>
        </w:rPr>
        <w:t xml:space="preserve"> 62-</w:t>
      </w:r>
      <w:r>
        <w:rPr>
          <w:rFonts w:ascii="Arial" w:hAnsi="Arial" w:cs="Arial"/>
          <w:sz w:val="16"/>
          <w:szCs w:val="16"/>
        </w:rPr>
        <w:t>302</w:t>
      </w:r>
      <w:r w:rsidRPr="00FB72EA">
        <w:rPr>
          <w:rFonts w:ascii="Arial" w:hAnsi="Arial" w:cs="Arial"/>
          <w:sz w:val="16"/>
          <w:szCs w:val="16"/>
        </w:rPr>
        <w:t>, F</w:t>
      </w:r>
      <w:r w:rsidR="00A03A97">
        <w:rPr>
          <w:rFonts w:ascii="Arial" w:hAnsi="Arial" w:cs="Arial"/>
          <w:sz w:val="16"/>
          <w:szCs w:val="16"/>
        </w:rPr>
        <w:t>.</w:t>
      </w:r>
      <w:r w:rsidRPr="00FB72EA">
        <w:rPr>
          <w:rFonts w:ascii="Arial" w:hAnsi="Arial" w:cs="Arial"/>
          <w:sz w:val="16"/>
          <w:szCs w:val="16"/>
        </w:rPr>
        <w:t>A.C.</w:t>
      </w:r>
      <w:r>
        <w:rPr>
          <w:rFonts w:ascii="Arial" w:hAnsi="Arial" w:cs="Arial"/>
          <w:sz w:val="16"/>
          <w:szCs w:val="16"/>
        </w:rPr>
        <w:t xml:space="preserve">, are indicated by </w:t>
      </w:r>
      <w:r w:rsidRPr="002812CB">
        <w:rPr>
          <w:rFonts w:ascii="Arial" w:hAnsi="Arial" w:cs="Arial"/>
          <w:b/>
          <w:sz w:val="16"/>
          <w:szCs w:val="16"/>
        </w:rPr>
        <w:t>bold</w:t>
      </w:r>
      <w:r>
        <w:rPr>
          <w:rFonts w:ascii="Arial" w:hAnsi="Arial" w:cs="Arial"/>
          <w:b/>
          <w:sz w:val="16"/>
          <w:szCs w:val="16"/>
        </w:rPr>
        <w:t>face type</w:t>
      </w:r>
      <w:r>
        <w:rPr>
          <w:rFonts w:ascii="Arial" w:hAnsi="Arial" w:cs="Arial"/>
          <w:sz w:val="16"/>
          <w:szCs w:val="16"/>
        </w:rPr>
        <w:t xml:space="preserve"> and a double asterisk.</w:t>
      </w:r>
    </w:p>
    <w:p w:rsidR="00485094" w:rsidRDefault="00485094" w:rsidP="00EE77CC">
      <w:r>
        <w:rPr>
          <w:rFonts w:ascii="Arial" w:hAnsi="Arial" w:cs="Arial"/>
          <w:sz w:val="16"/>
          <w:szCs w:val="16"/>
        </w:rPr>
        <w:t>N/A =</w:t>
      </w:r>
      <w:r w:rsidRPr="00FB72EA">
        <w:rPr>
          <w:rFonts w:ascii="Arial" w:hAnsi="Arial" w:cs="Arial"/>
          <w:sz w:val="16"/>
          <w:szCs w:val="16"/>
        </w:rPr>
        <w:t xml:space="preserve"> </w:t>
      </w:r>
      <w:r>
        <w:rPr>
          <w:rFonts w:ascii="Arial" w:hAnsi="Arial" w:cs="Arial"/>
          <w:sz w:val="16"/>
          <w:szCs w:val="16"/>
        </w:rPr>
        <w:t>D</w:t>
      </w:r>
      <w:r w:rsidRPr="00FB72EA">
        <w:rPr>
          <w:rFonts w:ascii="Arial" w:hAnsi="Arial" w:cs="Arial"/>
          <w:sz w:val="16"/>
          <w:szCs w:val="16"/>
        </w:rPr>
        <w:t>ata not available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8"/>
        <w:gridCol w:w="1890"/>
        <w:gridCol w:w="1980"/>
        <w:gridCol w:w="1800"/>
        <w:gridCol w:w="1890"/>
        <w:gridCol w:w="1980"/>
      </w:tblGrid>
      <w:tr w:rsidR="00485094" w:rsidRPr="00AE2921" w:rsidTr="00774BC4">
        <w:tc>
          <w:tcPr>
            <w:tcW w:w="3258" w:type="dxa"/>
            <w:tcBorders>
              <w:bottom w:val="double" w:sz="4" w:space="0" w:color="auto"/>
            </w:tcBorders>
            <w:shd w:val="clear" w:color="auto" w:fill="C9FFFF"/>
            <w:vAlign w:val="bottom"/>
          </w:tcPr>
          <w:p w:rsidR="00485094" w:rsidRPr="00AE2921" w:rsidRDefault="00485094" w:rsidP="00774BC4">
            <w:pPr>
              <w:pStyle w:val="Tabletextreduced"/>
              <w:jc w:val="center"/>
              <w:rPr>
                <w:rFonts w:ascii="Arial" w:hAnsi="Arial"/>
                <w:b/>
              </w:rPr>
            </w:pPr>
            <w:bookmarkStart w:id="729" w:name="_Toc255482866"/>
            <w:r w:rsidRPr="00AE2921">
              <w:rPr>
                <w:rFonts w:ascii="Arial" w:hAnsi="Arial"/>
                <w:b/>
              </w:rPr>
              <w:t>Basin</w:t>
            </w:r>
            <w:bookmarkEnd w:id="729"/>
          </w:p>
        </w:tc>
        <w:tc>
          <w:tcPr>
            <w:tcW w:w="1890" w:type="dxa"/>
            <w:tcBorders>
              <w:bottom w:val="double" w:sz="4" w:space="0" w:color="auto"/>
            </w:tcBorders>
            <w:shd w:val="clear" w:color="auto" w:fill="C9FFFF"/>
            <w:vAlign w:val="bottom"/>
          </w:tcPr>
          <w:p w:rsidR="00485094" w:rsidRPr="00AE2921" w:rsidRDefault="00485094" w:rsidP="00774BC4">
            <w:pPr>
              <w:pStyle w:val="Tabletextreduced"/>
              <w:jc w:val="center"/>
              <w:rPr>
                <w:rFonts w:ascii="Arial" w:hAnsi="Arial"/>
                <w:b/>
              </w:rPr>
            </w:pPr>
            <w:bookmarkStart w:id="730" w:name="_Toc255482867"/>
            <w:r w:rsidRPr="00AE2921">
              <w:rPr>
                <w:rFonts w:ascii="Arial" w:hAnsi="Arial"/>
                <w:b/>
              </w:rPr>
              <w:t>Nitrate + Nitrite (as N</w:t>
            </w:r>
            <w:r>
              <w:rPr>
                <w:rFonts w:ascii="Arial" w:hAnsi="Arial"/>
                <w:b/>
              </w:rPr>
              <w:t>)</w:t>
            </w:r>
            <w:r w:rsidRPr="00AE2921">
              <w:rPr>
                <w:rFonts w:ascii="Arial" w:hAnsi="Arial"/>
                <w:b/>
              </w:rPr>
              <w:t xml:space="preserve"> </w:t>
            </w:r>
            <w:r>
              <w:rPr>
                <w:rFonts w:ascii="Arial" w:hAnsi="Arial"/>
                <w:b/>
              </w:rPr>
              <w:t>(</w:t>
            </w:r>
            <w:r w:rsidRPr="00AE2921">
              <w:rPr>
                <w:rFonts w:ascii="Arial" w:hAnsi="Arial"/>
                <w:b/>
              </w:rPr>
              <w:t>mg/L)</w:t>
            </w:r>
            <w:bookmarkEnd w:id="730"/>
          </w:p>
        </w:tc>
        <w:tc>
          <w:tcPr>
            <w:tcW w:w="1980" w:type="dxa"/>
            <w:tcBorders>
              <w:bottom w:val="double" w:sz="4" w:space="0" w:color="auto"/>
            </w:tcBorders>
            <w:shd w:val="clear" w:color="auto" w:fill="C9FFFF"/>
            <w:vAlign w:val="bottom"/>
          </w:tcPr>
          <w:p w:rsidR="00485094" w:rsidRDefault="00485094" w:rsidP="00774BC4">
            <w:pPr>
              <w:pStyle w:val="Tabletextreduced"/>
              <w:jc w:val="center"/>
              <w:rPr>
                <w:rFonts w:ascii="Arial" w:hAnsi="Arial"/>
                <w:b/>
              </w:rPr>
            </w:pPr>
            <w:bookmarkStart w:id="731" w:name="_Toc255482868"/>
            <w:r w:rsidRPr="00AE2921">
              <w:rPr>
                <w:rFonts w:ascii="Arial" w:hAnsi="Arial"/>
                <w:b/>
              </w:rPr>
              <w:t xml:space="preserve">Phosphorus </w:t>
            </w:r>
          </w:p>
          <w:p w:rsidR="00485094" w:rsidRPr="00AE2921" w:rsidRDefault="00485094" w:rsidP="00774BC4">
            <w:pPr>
              <w:pStyle w:val="Tabletextreduced"/>
              <w:jc w:val="center"/>
              <w:rPr>
                <w:rFonts w:ascii="Arial" w:hAnsi="Arial"/>
                <w:b/>
              </w:rPr>
            </w:pPr>
            <w:r w:rsidRPr="00AE2921">
              <w:rPr>
                <w:rFonts w:ascii="Arial" w:hAnsi="Arial"/>
                <w:b/>
              </w:rPr>
              <w:t>(mg/L)</w:t>
            </w:r>
            <w:bookmarkEnd w:id="731"/>
          </w:p>
        </w:tc>
        <w:tc>
          <w:tcPr>
            <w:tcW w:w="1800" w:type="dxa"/>
            <w:tcBorders>
              <w:bottom w:val="double" w:sz="4" w:space="0" w:color="auto"/>
            </w:tcBorders>
            <w:shd w:val="clear" w:color="auto" w:fill="C9FFFF"/>
            <w:vAlign w:val="bottom"/>
          </w:tcPr>
          <w:p w:rsidR="00485094" w:rsidRDefault="00485094" w:rsidP="00774BC4">
            <w:pPr>
              <w:pStyle w:val="Tabletextreduced"/>
              <w:jc w:val="center"/>
              <w:rPr>
                <w:rFonts w:ascii="Arial" w:hAnsi="Arial"/>
                <w:b/>
              </w:rPr>
            </w:pPr>
            <w:bookmarkStart w:id="732" w:name="_Toc255482869"/>
            <w:r w:rsidRPr="00AE2921">
              <w:rPr>
                <w:rFonts w:ascii="Arial" w:hAnsi="Arial"/>
                <w:b/>
              </w:rPr>
              <w:t xml:space="preserve">DO </w:t>
            </w:r>
          </w:p>
          <w:p w:rsidR="00485094" w:rsidRPr="00AE2921" w:rsidRDefault="00485094" w:rsidP="00774BC4">
            <w:pPr>
              <w:pStyle w:val="Tabletextreduced"/>
              <w:jc w:val="center"/>
              <w:rPr>
                <w:rFonts w:ascii="Arial" w:hAnsi="Arial"/>
                <w:b/>
              </w:rPr>
            </w:pPr>
            <w:r w:rsidRPr="00AE2921">
              <w:rPr>
                <w:rFonts w:ascii="Arial" w:hAnsi="Arial"/>
                <w:b/>
              </w:rPr>
              <w:t>(mg/L)</w:t>
            </w:r>
            <w:bookmarkEnd w:id="732"/>
          </w:p>
        </w:tc>
        <w:tc>
          <w:tcPr>
            <w:tcW w:w="1890" w:type="dxa"/>
            <w:tcBorders>
              <w:bottom w:val="double" w:sz="4" w:space="0" w:color="auto"/>
            </w:tcBorders>
            <w:shd w:val="clear" w:color="auto" w:fill="C9FFFF"/>
            <w:vAlign w:val="bottom"/>
          </w:tcPr>
          <w:p w:rsidR="00485094" w:rsidRDefault="00485094" w:rsidP="00774BC4">
            <w:pPr>
              <w:pStyle w:val="Tabletextreduced"/>
              <w:jc w:val="center"/>
              <w:rPr>
                <w:rFonts w:ascii="Arial" w:hAnsi="Arial"/>
                <w:b/>
              </w:rPr>
            </w:pPr>
            <w:bookmarkStart w:id="733" w:name="_Toc255482870"/>
            <w:r w:rsidRPr="00AE2921">
              <w:rPr>
                <w:rFonts w:ascii="Arial" w:hAnsi="Arial"/>
                <w:b/>
              </w:rPr>
              <w:t xml:space="preserve">Iron </w:t>
            </w:r>
          </w:p>
          <w:p w:rsidR="00485094" w:rsidRPr="00AE2921" w:rsidRDefault="00485094" w:rsidP="00774BC4">
            <w:pPr>
              <w:pStyle w:val="Tabletextreduced"/>
              <w:jc w:val="center"/>
              <w:rPr>
                <w:rFonts w:ascii="Arial" w:hAnsi="Arial"/>
                <w:b/>
              </w:rPr>
            </w:pPr>
            <w:r w:rsidRPr="00AE2921">
              <w:rPr>
                <w:rFonts w:ascii="Arial" w:hAnsi="Arial"/>
                <w:b/>
              </w:rPr>
              <w:t>(</w:t>
            </w:r>
            <w:r>
              <w:rPr>
                <w:rFonts w:ascii="Symbol" w:hAnsi="Symbol"/>
                <w:b/>
              </w:rPr>
              <w:t></w:t>
            </w:r>
            <w:r w:rsidRPr="00AE2921">
              <w:rPr>
                <w:rFonts w:ascii="Arial" w:hAnsi="Arial"/>
                <w:b/>
              </w:rPr>
              <w:t>g/L)</w:t>
            </w:r>
            <w:bookmarkEnd w:id="733"/>
          </w:p>
        </w:tc>
        <w:tc>
          <w:tcPr>
            <w:tcW w:w="1980" w:type="dxa"/>
            <w:tcBorders>
              <w:bottom w:val="double" w:sz="4" w:space="0" w:color="auto"/>
            </w:tcBorders>
            <w:shd w:val="clear" w:color="auto" w:fill="C9FFFF"/>
            <w:vAlign w:val="bottom"/>
          </w:tcPr>
          <w:p w:rsidR="00485094" w:rsidRPr="00AE2921" w:rsidRDefault="00485094" w:rsidP="00774BC4">
            <w:pPr>
              <w:pStyle w:val="Tabletextreduced"/>
              <w:jc w:val="center"/>
              <w:rPr>
                <w:rFonts w:ascii="Arial" w:hAnsi="Arial"/>
                <w:b/>
              </w:rPr>
            </w:pPr>
            <w:bookmarkStart w:id="734" w:name="_Toc255482871"/>
            <w:r w:rsidRPr="00AE2921">
              <w:rPr>
                <w:rFonts w:ascii="Arial" w:hAnsi="Arial"/>
                <w:b/>
              </w:rPr>
              <w:t xml:space="preserve">Specific Conductance </w:t>
            </w:r>
            <w:r w:rsidRPr="00FC23B4">
              <w:rPr>
                <w:rFonts w:ascii="Arial" w:hAnsi="Arial"/>
                <w:b/>
              </w:rPr>
              <w:t>(</w:t>
            </w:r>
            <w:r w:rsidR="00FC23B4" w:rsidRPr="00FC23B4">
              <w:rPr>
                <w:rFonts w:ascii="Symbol" w:hAnsi="Symbol"/>
                <w:b/>
              </w:rPr>
              <w:t></w:t>
            </w:r>
            <w:r w:rsidRPr="002812CB">
              <w:rPr>
                <w:rFonts w:ascii="Arial" w:hAnsi="Arial"/>
                <w:b/>
              </w:rPr>
              <w:t>S/cm</w:t>
            </w:r>
            <w:r w:rsidRPr="00AE2921">
              <w:rPr>
                <w:rFonts w:ascii="Arial" w:hAnsi="Arial"/>
                <w:b/>
              </w:rPr>
              <w:t>)</w:t>
            </w:r>
            <w:bookmarkEnd w:id="734"/>
          </w:p>
        </w:tc>
      </w:tr>
      <w:tr w:rsidR="00485094" w:rsidTr="00774BC4">
        <w:tc>
          <w:tcPr>
            <w:tcW w:w="3258" w:type="dxa"/>
            <w:tcBorders>
              <w:top w:val="double" w:sz="4" w:space="0" w:color="auto"/>
            </w:tcBorders>
            <w:shd w:val="clear" w:color="auto" w:fill="FFFFCC"/>
            <w:vAlign w:val="center"/>
          </w:tcPr>
          <w:p w:rsidR="00485094" w:rsidRPr="003B37D3" w:rsidRDefault="00485094" w:rsidP="00774BC4">
            <w:pPr>
              <w:pStyle w:val="Tabletextreduced"/>
              <w:jc w:val="center"/>
              <w:rPr>
                <w:rFonts w:ascii="Arial" w:hAnsi="Arial"/>
              </w:rPr>
            </w:pPr>
            <w:r w:rsidRPr="003B37D3">
              <w:rPr>
                <w:rFonts w:ascii="Arial" w:hAnsi="Arial"/>
              </w:rPr>
              <w:t>Apalachicola–Chipola</w:t>
            </w:r>
          </w:p>
        </w:tc>
        <w:tc>
          <w:tcPr>
            <w:tcW w:w="1890" w:type="dxa"/>
            <w:tcBorders>
              <w:top w:val="double" w:sz="4" w:space="0" w:color="auto"/>
            </w:tcBorders>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1.6</w:t>
            </w:r>
            <w:r>
              <w:rPr>
                <w:rFonts w:ascii="Arial" w:hAnsi="Arial"/>
                <w:bCs/>
                <w:shd w:val="clear" w:color="auto" w:fill="BFBFBF"/>
              </w:rPr>
              <w:t>*</w:t>
            </w:r>
            <w:r w:rsidRPr="003B37D3">
              <w:rPr>
                <w:rFonts w:ascii="Arial" w:hAnsi="Arial"/>
                <w:bCs/>
              </w:rPr>
              <w:t xml:space="preserve"> - </w:t>
            </w:r>
            <w:r w:rsidRPr="003B37D3">
              <w:rPr>
                <w:rFonts w:ascii="Arial" w:hAnsi="Arial"/>
                <w:bCs/>
                <w:shd w:val="clear" w:color="auto" w:fill="BFBFBF"/>
              </w:rPr>
              <w:t>1.1</w:t>
            </w:r>
            <w:r>
              <w:rPr>
                <w:rFonts w:ascii="Arial" w:hAnsi="Arial"/>
                <w:bCs/>
                <w:shd w:val="clear" w:color="auto" w:fill="BFBFBF"/>
              </w:rPr>
              <w:t>*</w:t>
            </w:r>
          </w:p>
        </w:tc>
        <w:tc>
          <w:tcPr>
            <w:tcW w:w="1980" w:type="dxa"/>
            <w:tcBorders>
              <w:top w:val="double" w:sz="4" w:space="0" w:color="auto"/>
            </w:tcBorders>
            <w:vAlign w:val="center"/>
          </w:tcPr>
          <w:p w:rsidR="00485094" w:rsidRPr="003B37D3" w:rsidRDefault="00485094" w:rsidP="00774BC4">
            <w:pPr>
              <w:pStyle w:val="Tabletextreduced"/>
              <w:jc w:val="center"/>
              <w:rPr>
                <w:rFonts w:ascii="Arial" w:hAnsi="Arial"/>
                <w:bCs/>
              </w:rPr>
            </w:pPr>
            <w:r w:rsidRPr="003B37D3">
              <w:rPr>
                <w:rFonts w:ascii="Arial" w:hAnsi="Arial"/>
                <w:bCs/>
              </w:rPr>
              <w:t>0.015 - 0.011</w:t>
            </w:r>
          </w:p>
        </w:tc>
        <w:tc>
          <w:tcPr>
            <w:tcW w:w="1800" w:type="dxa"/>
            <w:tcBorders>
              <w:top w:val="double" w:sz="4" w:space="0" w:color="auto"/>
            </w:tcBorders>
            <w:vAlign w:val="center"/>
          </w:tcPr>
          <w:p w:rsidR="00485094" w:rsidRPr="003B37D3" w:rsidRDefault="00485094" w:rsidP="00774BC4">
            <w:pPr>
              <w:pStyle w:val="Tabletextreduced"/>
              <w:jc w:val="center"/>
              <w:rPr>
                <w:rFonts w:ascii="Arial" w:hAnsi="Arial"/>
                <w:bCs/>
              </w:rPr>
            </w:pPr>
            <w:r w:rsidRPr="003B37D3">
              <w:rPr>
                <w:rFonts w:ascii="Arial" w:hAnsi="Arial"/>
                <w:bCs/>
              </w:rPr>
              <w:t>6.2 - 6.5</w:t>
            </w:r>
          </w:p>
        </w:tc>
        <w:tc>
          <w:tcPr>
            <w:tcW w:w="1890" w:type="dxa"/>
            <w:tcBorders>
              <w:top w:val="double" w:sz="4" w:space="0" w:color="auto"/>
            </w:tcBorders>
            <w:vAlign w:val="center"/>
          </w:tcPr>
          <w:p w:rsidR="00485094" w:rsidRPr="003B37D3" w:rsidRDefault="00485094" w:rsidP="00774BC4">
            <w:pPr>
              <w:pStyle w:val="Tabletextreduced"/>
              <w:jc w:val="center"/>
              <w:rPr>
                <w:rFonts w:ascii="Arial" w:hAnsi="Arial"/>
                <w:bCs/>
              </w:rPr>
            </w:pPr>
            <w:r w:rsidRPr="003B37D3">
              <w:rPr>
                <w:rFonts w:ascii="Arial" w:hAnsi="Arial"/>
                <w:bCs/>
              </w:rPr>
              <w:t>16 - 30</w:t>
            </w:r>
          </w:p>
        </w:tc>
        <w:tc>
          <w:tcPr>
            <w:tcW w:w="1980" w:type="dxa"/>
            <w:tcBorders>
              <w:top w:val="double" w:sz="4" w:space="0" w:color="auto"/>
            </w:tcBorders>
            <w:vAlign w:val="center"/>
          </w:tcPr>
          <w:p w:rsidR="00485094" w:rsidRPr="003B37D3" w:rsidRDefault="00485094" w:rsidP="00774BC4">
            <w:pPr>
              <w:pStyle w:val="Tabletextreduced"/>
              <w:jc w:val="center"/>
              <w:rPr>
                <w:rFonts w:ascii="Arial" w:hAnsi="Arial"/>
                <w:bCs/>
              </w:rPr>
            </w:pPr>
            <w:r w:rsidRPr="003B37D3">
              <w:rPr>
                <w:rFonts w:ascii="Arial" w:hAnsi="Arial"/>
                <w:bCs/>
              </w:rPr>
              <w:t>200 – 200</w:t>
            </w:r>
          </w:p>
        </w:tc>
      </w:tr>
      <w:tr w:rsidR="00485094" w:rsidTr="00774BC4">
        <w:tc>
          <w:tcPr>
            <w:tcW w:w="3258" w:type="dxa"/>
            <w:shd w:val="clear" w:color="auto" w:fill="FFFFCC"/>
            <w:vAlign w:val="center"/>
          </w:tcPr>
          <w:p w:rsidR="00485094" w:rsidRPr="003B37D3" w:rsidRDefault="00485094" w:rsidP="00774BC4">
            <w:pPr>
              <w:pStyle w:val="Tabletextreduced"/>
              <w:jc w:val="center"/>
              <w:rPr>
                <w:rFonts w:ascii="Arial" w:hAnsi="Arial"/>
              </w:rPr>
            </w:pPr>
            <w:r w:rsidRPr="003B37D3">
              <w:rPr>
                <w:rFonts w:ascii="Arial" w:hAnsi="Arial"/>
              </w:rPr>
              <w:t>Caloosahatchee</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rPr>
              <w:t>0.004 - 0.008</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0.043</w:t>
            </w:r>
            <w:r>
              <w:rPr>
                <w:rFonts w:ascii="Arial" w:hAnsi="Arial"/>
                <w:bCs/>
                <w:shd w:val="clear" w:color="auto" w:fill="BFBFBF"/>
              </w:rPr>
              <w:t>*</w:t>
            </w:r>
            <w:r w:rsidRPr="003B37D3">
              <w:rPr>
                <w:rFonts w:ascii="Arial" w:hAnsi="Arial"/>
                <w:bCs/>
              </w:rPr>
              <w:t xml:space="preserve"> - </w:t>
            </w:r>
            <w:r w:rsidRPr="003B37D3">
              <w:rPr>
                <w:rFonts w:ascii="Arial" w:hAnsi="Arial"/>
                <w:bCs/>
                <w:shd w:val="clear" w:color="auto" w:fill="BFBFBF"/>
              </w:rPr>
              <w:t>0.062</w:t>
            </w:r>
            <w:r>
              <w:rPr>
                <w:rFonts w:ascii="Arial" w:hAnsi="Arial"/>
                <w:bCs/>
                <w:shd w:val="clear" w:color="auto" w:fill="BFBFBF"/>
              </w:rPr>
              <w:t>*</w:t>
            </w:r>
          </w:p>
        </w:tc>
        <w:tc>
          <w:tcPr>
            <w:tcW w:w="180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0.40</w:t>
            </w:r>
            <w:r>
              <w:rPr>
                <w:rFonts w:ascii="Arial" w:hAnsi="Arial"/>
                <w:b/>
                <w:bCs/>
                <w:shd w:val="clear" w:color="auto" w:fill="BFBFBF"/>
              </w:rPr>
              <w:t>**</w:t>
            </w:r>
            <w:r w:rsidRPr="003B37D3">
              <w:rPr>
                <w:rFonts w:ascii="Arial" w:hAnsi="Arial"/>
                <w:bCs/>
              </w:rPr>
              <w:t xml:space="preserve"> - </w:t>
            </w:r>
            <w:r w:rsidRPr="003B37D3">
              <w:rPr>
                <w:rFonts w:ascii="Arial" w:hAnsi="Arial"/>
                <w:b/>
                <w:bCs/>
                <w:shd w:val="clear" w:color="auto" w:fill="BFBFBF"/>
              </w:rPr>
              <w:t>0.76</w:t>
            </w:r>
            <w:r>
              <w:rPr>
                <w:rFonts w:ascii="Arial" w:hAnsi="Arial"/>
                <w:b/>
                <w:bCs/>
                <w:shd w:val="clear" w:color="auto" w:fill="BFBFBF"/>
              </w:rPr>
              <w:t>**</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1</w:t>
            </w:r>
            <w:r>
              <w:rPr>
                <w:rFonts w:ascii="Arial" w:hAnsi="Arial"/>
                <w:b/>
                <w:bCs/>
                <w:shd w:val="clear" w:color="auto" w:fill="BFBFBF"/>
              </w:rPr>
              <w:t>,</w:t>
            </w:r>
            <w:r w:rsidRPr="003B37D3">
              <w:rPr>
                <w:rFonts w:ascii="Arial" w:hAnsi="Arial"/>
                <w:b/>
                <w:bCs/>
                <w:shd w:val="clear" w:color="auto" w:fill="BFBFBF"/>
              </w:rPr>
              <w:t>260</w:t>
            </w:r>
            <w:r>
              <w:rPr>
                <w:rFonts w:ascii="Arial" w:hAnsi="Arial"/>
                <w:b/>
                <w:bCs/>
                <w:shd w:val="clear" w:color="auto" w:fill="BFBFBF"/>
              </w:rPr>
              <w:t>**</w:t>
            </w:r>
            <w:r w:rsidRPr="003B37D3">
              <w:rPr>
                <w:rFonts w:ascii="Arial" w:hAnsi="Arial"/>
                <w:bCs/>
              </w:rPr>
              <w:t xml:space="preserve"> - </w:t>
            </w:r>
            <w:r w:rsidRPr="003B37D3">
              <w:rPr>
                <w:rFonts w:ascii="Arial" w:hAnsi="Arial"/>
                <w:b/>
                <w:bCs/>
                <w:shd w:val="clear" w:color="auto" w:fill="BFBFBF"/>
              </w:rPr>
              <w:t>1</w:t>
            </w:r>
            <w:r>
              <w:rPr>
                <w:rFonts w:ascii="Arial" w:hAnsi="Arial"/>
                <w:b/>
                <w:bCs/>
                <w:shd w:val="clear" w:color="auto" w:fill="BFBFBF"/>
              </w:rPr>
              <w:t>,</w:t>
            </w:r>
            <w:r w:rsidRPr="003B37D3">
              <w:rPr>
                <w:rFonts w:ascii="Arial" w:hAnsi="Arial"/>
                <w:b/>
                <w:bCs/>
                <w:shd w:val="clear" w:color="auto" w:fill="BFBFBF"/>
              </w:rPr>
              <w:t>460</w:t>
            </w:r>
            <w:r>
              <w:rPr>
                <w:rFonts w:ascii="Arial" w:hAnsi="Arial"/>
                <w:b/>
                <w:bCs/>
                <w:shd w:val="clear" w:color="auto" w:fill="BFBFBF"/>
              </w:rPr>
              <w:t>**</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675</w:t>
            </w:r>
            <w:r>
              <w:rPr>
                <w:rFonts w:ascii="Arial" w:hAnsi="Arial"/>
                <w:bCs/>
                <w:shd w:val="clear" w:color="auto" w:fill="BFBFBF"/>
              </w:rPr>
              <w:t>*</w:t>
            </w:r>
            <w:r w:rsidRPr="003B37D3">
              <w:rPr>
                <w:rFonts w:ascii="Arial" w:hAnsi="Arial"/>
                <w:bCs/>
              </w:rPr>
              <w:t xml:space="preserve"> – </w:t>
            </w:r>
            <w:r w:rsidRPr="003B37D3">
              <w:rPr>
                <w:rFonts w:ascii="Arial" w:hAnsi="Arial"/>
                <w:bCs/>
                <w:shd w:val="clear" w:color="auto" w:fill="BFBFBF"/>
              </w:rPr>
              <w:t>835</w:t>
            </w:r>
            <w:r>
              <w:rPr>
                <w:rFonts w:ascii="Arial" w:hAnsi="Arial"/>
                <w:bCs/>
                <w:shd w:val="clear" w:color="auto" w:fill="BFBFBF"/>
              </w:rPr>
              <w:t>*</w:t>
            </w:r>
          </w:p>
        </w:tc>
      </w:tr>
      <w:tr w:rsidR="00485094" w:rsidTr="00774BC4">
        <w:tc>
          <w:tcPr>
            <w:tcW w:w="3258" w:type="dxa"/>
            <w:shd w:val="clear" w:color="auto" w:fill="FFFFCC"/>
            <w:vAlign w:val="center"/>
          </w:tcPr>
          <w:p w:rsidR="00485094" w:rsidRPr="003B37D3" w:rsidRDefault="00485094" w:rsidP="00774BC4">
            <w:pPr>
              <w:pStyle w:val="Tabletextreduced"/>
              <w:jc w:val="center"/>
              <w:rPr>
                <w:rFonts w:ascii="Arial" w:hAnsi="Arial"/>
              </w:rPr>
            </w:pPr>
            <w:r w:rsidRPr="003B37D3">
              <w:rPr>
                <w:rFonts w:ascii="Arial" w:hAnsi="Arial"/>
              </w:rPr>
              <w:t>Charlotte Harbor</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rPr>
              <w:t xml:space="preserve">0.008 - </w:t>
            </w:r>
            <w:r>
              <w:rPr>
                <w:rFonts w:ascii="Arial" w:hAnsi="Arial"/>
                <w:bCs/>
              </w:rPr>
              <w:t>N/A</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0.044</w:t>
            </w:r>
            <w:r>
              <w:rPr>
                <w:rFonts w:ascii="Arial" w:hAnsi="Arial"/>
                <w:bCs/>
                <w:shd w:val="clear" w:color="auto" w:fill="BFBFBF"/>
              </w:rPr>
              <w:t>*</w:t>
            </w:r>
            <w:r w:rsidRPr="003B37D3">
              <w:rPr>
                <w:rFonts w:ascii="Arial" w:hAnsi="Arial"/>
                <w:bCs/>
              </w:rPr>
              <w:t xml:space="preserve"> - </w:t>
            </w:r>
            <w:r>
              <w:rPr>
                <w:rFonts w:ascii="Arial" w:hAnsi="Arial"/>
                <w:bCs/>
              </w:rPr>
              <w:t>N/A</w:t>
            </w:r>
          </w:p>
        </w:tc>
        <w:tc>
          <w:tcPr>
            <w:tcW w:w="180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0.54</w:t>
            </w:r>
            <w:r>
              <w:rPr>
                <w:rFonts w:ascii="Arial" w:hAnsi="Arial"/>
                <w:b/>
                <w:bCs/>
                <w:shd w:val="clear" w:color="auto" w:fill="BFBFBF"/>
              </w:rPr>
              <w:t>**</w:t>
            </w:r>
            <w:r w:rsidRPr="003B37D3">
              <w:rPr>
                <w:rFonts w:ascii="Arial" w:hAnsi="Arial"/>
                <w:bCs/>
              </w:rPr>
              <w:t xml:space="preserve"> - </w:t>
            </w:r>
            <w:r>
              <w:rPr>
                <w:rFonts w:ascii="Arial" w:hAnsi="Arial"/>
                <w:bCs/>
              </w:rPr>
              <w:t>N/A</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rPr>
              <w:t xml:space="preserve">846 - </w:t>
            </w:r>
            <w:r>
              <w:rPr>
                <w:rFonts w:ascii="Arial" w:hAnsi="Arial"/>
                <w:bCs/>
              </w:rPr>
              <w:t>N/A</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874</w:t>
            </w:r>
            <w:r>
              <w:rPr>
                <w:rFonts w:ascii="Arial" w:hAnsi="Arial"/>
                <w:bCs/>
                <w:shd w:val="clear" w:color="auto" w:fill="BFBFBF"/>
              </w:rPr>
              <w:t>*</w:t>
            </w:r>
            <w:r w:rsidRPr="003B37D3">
              <w:rPr>
                <w:rFonts w:ascii="Arial" w:hAnsi="Arial"/>
                <w:bCs/>
              </w:rPr>
              <w:t xml:space="preserve"> - </w:t>
            </w:r>
            <w:r>
              <w:rPr>
                <w:rFonts w:ascii="Arial" w:hAnsi="Arial"/>
                <w:bCs/>
              </w:rPr>
              <w:t>N/A</w:t>
            </w:r>
          </w:p>
        </w:tc>
      </w:tr>
      <w:tr w:rsidR="00485094" w:rsidTr="00774BC4">
        <w:tc>
          <w:tcPr>
            <w:tcW w:w="3258" w:type="dxa"/>
            <w:shd w:val="clear" w:color="auto" w:fill="FFFFCC"/>
            <w:vAlign w:val="center"/>
          </w:tcPr>
          <w:p w:rsidR="00485094" w:rsidRPr="003B37D3" w:rsidRDefault="00485094" w:rsidP="00774BC4">
            <w:pPr>
              <w:pStyle w:val="Tabletextreduced"/>
              <w:jc w:val="center"/>
              <w:rPr>
                <w:rFonts w:ascii="Arial" w:hAnsi="Arial"/>
              </w:rPr>
            </w:pPr>
            <w:r w:rsidRPr="003B37D3">
              <w:rPr>
                <w:rFonts w:ascii="Arial" w:hAnsi="Arial"/>
              </w:rPr>
              <w:t>Choctawhatchee–St. Andrew</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rPr>
              <w:t>0.08 - 0.79</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rPr>
              <w:t>0.008 - 0.02</w:t>
            </w:r>
          </w:p>
        </w:tc>
        <w:tc>
          <w:tcPr>
            <w:tcW w:w="180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4.3</w:t>
            </w:r>
            <w:r>
              <w:rPr>
                <w:rFonts w:ascii="Arial" w:hAnsi="Arial"/>
                <w:b/>
                <w:bCs/>
                <w:shd w:val="clear" w:color="auto" w:fill="BFBFBF"/>
              </w:rPr>
              <w:t>**</w:t>
            </w:r>
            <w:r w:rsidRPr="003B37D3">
              <w:rPr>
                <w:rFonts w:ascii="Arial" w:hAnsi="Arial"/>
                <w:bCs/>
              </w:rPr>
              <w:t xml:space="preserve"> - 6.2</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rPr>
              <w:t>64 - 30</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rPr>
              <w:t>68 – 215</w:t>
            </w:r>
          </w:p>
        </w:tc>
      </w:tr>
      <w:tr w:rsidR="00485094" w:rsidTr="00774BC4">
        <w:tc>
          <w:tcPr>
            <w:tcW w:w="3258" w:type="dxa"/>
            <w:shd w:val="clear" w:color="auto" w:fill="FFFFCC"/>
            <w:vAlign w:val="center"/>
          </w:tcPr>
          <w:p w:rsidR="00485094" w:rsidRPr="003B37D3" w:rsidRDefault="00485094" w:rsidP="00774BC4">
            <w:pPr>
              <w:pStyle w:val="Tabletextreduced"/>
              <w:jc w:val="center"/>
              <w:rPr>
                <w:rFonts w:ascii="Arial" w:hAnsi="Arial"/>
              </w:rPr>
            </w:pPr>
            <w:r w:rsidRPr="003B37D3">
              <w:rPr>
                <w:rFonts w:ascii="Arial" w:hAnsi="Arial"/>
              </w:rPr>
              <w:t>Everglades</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rPr>
              <w:t>0.004 - 0.005</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rPr>
              <w:t>0.025 - 0.024</w:t>
            </w:r>
          </w:p>
        </w:tc>
        <w:tc>
          <w:tcPr>
            <w:tcW w:w="180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0.24</w:t>
            </w:r>
            <w:r>
              <w:rPr>
                <w:rFonts w:ascii="Arial" w:hAnsi="Arial"/>
                <w:b/>
                <w:bCs/>
                <w:shd w:val="clear" w:color="auto" w:fill="BFBFBF"/>
              </w:rPr>
              <w:t>**</w:t>
            </w:r>
            <w:r w:rsidRPr="003B37D3">
              <w:rPr>
                <w:rFonts w:ascii="Arial" w:hAnsi="Arial"/>
                <w:bCs/>
              </w:rPr>
              <w:t xml:space="preserve"> - </w:t>
            </w:r>
            <w:r w:rsidRPr="003B37D3">
              <w:rPr>
                <w:rFonts w:ascii="Arial" w:hAnsi="Arial"/>
                <w:b/>
                <w:bCs/>
                <w:shd w:val="clear" w:color="auto" w:fill="BFBFBF"/>
              </w:rPr>
              <w:t>1.4</w:t>
            </w:r>
            <w:r>
              <w:rPr>
                <w:rFonts w:ascii="Arial" w:hAnsi="Arial"/>
                <w:b/>
                <w:bCs/>
                <w:shd w:val="clear" w:color="auto" w:fill="BFBFBF"/>
              </w:rPr>
              <w:t>**</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2550</w:t>
            </w:r>
            <w:r>
              <w:rPr>
                <w:rFonts w:ascii="Arial" w:hAnsi="Arial"/>
                <w:b/>
                <w:bCs/>
                <w:shd w:val="clear" w:color="auto" w:fill="BFBFBF"/>
              </w:rPr>
              <w:t>**</w:t>
            </w:r>
            <w:r w:rsidRPr="003B37D3">
              <w:rPr>
                <w:rFonts w:ascii="Arial" w:hAnsi="Arial"/>
                <w:bCs/>
              </w:rPr>
              <w:t xml:space="preserve"> - 30</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1</w:t>
            </w:r>
            <w:r>
              <w:rPr>
                <w:rFonts w:ascii="Arial" w:hAnsi="Arial"/>
                <w:bCs/>
                <w:shd w:val="clear" w:color="auto" w:fill="BFBFBF"/>
              </w:rPr>
              <w:t>,</w:t>
            </w:r>
            <w:r w:rsidRPr="003B37D3">
              <w:rPr>
                <w:rFonts w:ascii="Arial" w:hAnsi="Arial"/>
                <w:bCs/>
                <w:shd w:val="clear" w:color="auto" w:fill="BFBFBF"/>
              </w:rPr>
              <w:t>161</w:t>
            </w:r>
            <w:r>
              <w:rPr>
                <w:rFonts w:ascii="Arial" w:hAnsi="Arial"/>
                <w:bCs/>
                <w:shd w:val="clear" w:color="auto" w:fill="BFBFBF"/>
              </w:rPr>
              <w:t>*</w:t>
            </w:r>
            <w:r w:rsidRPr="003B37D3">
              <w:rPr>
                <w:rFonts w:ascii="Arial" w:hAnsi="Arial"/>
                <w:bCs/>
              </w:rPr>
              <w:t xml:space="preserve"> - </w:t>
            </w:r>
            <w:r w:rsidRPr="003B37D3">
              <w:rPr>
                <w:rFonts w:ascii="Arial" w:hAnsi="Arial"/>
                <w:bCs/>
                <w:shd w:val="clear" w:color="auto" w:fill="BFBFBF"/>
              </w:rPr>
              <w:t>1</w:t>
            </w:r>
            <w:r>
              <w:rPr>
                <w:rFonts w:ascii="Arial" w:hAnsi="Arial"/>
                <w:bCs/>
                <w:shd w:val="clear" w:color="auto" w:fill="BFBFBF"/>
              </w:rPr>
              <w:t>,</w:t>
            </w:r>
            <w:r w:rsidRPr="003B37D3">
              <w:rPr>
                <w:rFonts w:ascii="Arial" w:hAnsi="Arial"/>
                <w:bCs/>
                <w:shd w:val="clear" w:color="auto" w:fill="BFBFBF"/>
              </w:rPr>
              <w:t>285</w:t>
            </w:r>
            <w:r>
              <w:rPr>
                <w:rFonts w:ascii="Arial" w:hAnsi="Arial"/>
                <w:bCs/>
                <w:shd w:val="clear" w:color="auto" w:fill="BFBFBF"/>
              </w:rPr>
              <w:t>*</w:t>
            </w:r>
          </w:p>
        </w:tc>
      </w:tr>
      <w:tr w:rsidR="00485094" w:rsidTr="00774BC4">
        <w:tc>
          <w:tcPr>
            <w:tcW w:w="3258" w:type="dxa"/>
            <w:shd w:val="clear" w:color="auto" w:fill="FFFFCC"/>
            <w:vAlign w:val="center"/>
          </w:tcPr>
          <w:p w:rsidR="00485094" w:rsidRPr="003B37D3" w:rsidRDefault="00485094" w:rsidP="00774BC4">
            <w:pPr>
              <w:pStyle w:val="Tabletextreduced"/>
              <w:jc w:val="center"/>
              <w:rPr>
                <w:rFonts w:ascii="Arial" w:hAnsi="Arial"/>
              </w:rPr>
            </w:pPr>
            <w:r w:rsidRPr="003B37D3">
              <w:rPr>
                <w:rFonts w:ascii="Arial" w:hAnsi="Arial"/>
              </w:rPr>
              <w:t>Everglades West Coast</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rPr>
              <w:t>0.004 - 0.035</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0.053</w:t>
            </w:r>
            <w:r>
              <w:rPr>
                <w:rFonts w:ascii="Arial" w:hAnsi="Arial"/>
                <w:bCs/>
                <w:shd w:val="clear" w:color="auto" w:fill="BFBFBF"/>
              </w:rPr>
              <w:t>*</w:t>
            </w:r>
            <w:r w:rsidRPr="003B37D3">
              <w:rPr>
                <w:rFonts w:ascii="Arial" w:hAnsi="Arial"/>
                <w:bCs/>
              </w:rPr>
              <w:t xml:space="preserve"> - 0.036</w:t>
            </w:r>
          </w:p>
        </w:tc>
        <w:tc>
          <w:tcPr>
            <w:tcW w:w="180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0.38</w:t>
            </w:r>
            <w:r>
              <w:rPr>
                <w:rFonts w:ascii="Arial" w:hAnsi="Arial"/>
                <w:b/>
                <w:bCs/>
                <w:shd w:val="clear" w:color="auto" w:fill="BFBFBF"/>
              </w:rPr>
              <w:t>**</w:t>
            </w:r>
            <w:r w:rsidRPr="003B37D3">
              <w:rPr>
                <w:rFonts w:ascii="Arial" w:hAnsi="Arial"/>
                <w:bCs/>
              </w:rPr>
              <w:t xml:space="preserve"> - </w:t>
            </w:r>
            <w:r w:rsidRPr="003B37D3">
              <w:rPr>
                <w:rFonts w:ascii="Arial" w:hAnsi="Arial"/>
                <w:b/>
                <w:bCs/>
                <w:shd w:val="clear" w:color="auto" w:fill="BFBFBF"/>
              </w:rPr>
              <w:t>0.64</w:t>
            </w:r>
            <w:r>
              <w:rPr>
                <w:rFonts w:ascii="Arial" w:hAnsi="Arial"/>
                <w:b/>
                <w:bCs/>
                <w:shd w:val="clear" w:color="auto" w:fill="BFBFBF"/>
              </w:rPr>
              <w:t>**</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
                <w:bCs/>
              </w:rPr>
              <w:t>740</w:t>
            </w:r>
            <w:r w:rsidRPr="003B37D3">
              <w:rPr>
                <w:rFonts w:ascii="Arial" w:hAnsi="Arial"/>
                <w:bCs/>
              </w:rPr>
              <w:t xml:space="preserve"> </w:t>
            </w:r>
            <w:r>
              <w:rPr>
                <w:rFonts w:ascii="Arial" w:hAnsi="Arial"/>
                <w:bCs/>
              </w:rPr>
              <w:t>–</w:t>
            </w:r>
            <w:r w:rsidRPr="003B37D3">
              <w:rPr>
                <w:rFonts w:ascii="Arial" w:hAnsi="Arial"/>
                <w:bCs/>
              </w:rPr>
              <w:t xml:space="preserve"> </w:t>
            </w:r>
            <w:r w:rsidRPr="003B37D3">
              <w:rPr>
                <w:rFonts w:ascii="Arial" w:hAnsi="Arial"/>
                <w:b/>
                <w:bCs/>
                <w:shd w:val="clear" w:color="auto" w:fill="BFBFBF"/>
              </w:rPr>
              <w:t>1</w:t>
            </w:r>
            <w:r>
              <w:rPr>
                <w:rFonts w:ascii="Arial" w:hAnsi="Arial"/>
                <w:b/>
                <w:bCs/>
                <w:shd w:val="clear" w:color="auto" w:fill="BFBFBF"/>
              </w:rPr>
              <w:t>,</w:t>
            </w:r>
            <w:r w:rsidRPr="003B37D3">
              <w:rPr>
                <w:rFonts w:ascii="Arial" w:hAnsi="Arial"/>
                <w:b/>
                <w:bCs/>
                <w:shd w:val="clear" w:color="auto" w:fill="BFBFBF"/>
              </w:rPr>
              <w:t>260</w:t>
            </w:r>
            <w:r>
              <w:rPr>
                <w:rFonts w:ascii="Arial" w:hAnsi="Arial"/>
                <w:b/>
                <w:bCs/>
                <w:shd w:val="clear" w:color="auto" w:fill="BFBFBF"/>
              </w:rPr>
              <w:t>**</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596</w:t>
            </w:r>
            <w:r>
              <w:rPr>
                <w:rFonts w:ascii="Arial" w:hAnsi="Arial"/>
                <w:bCs/>
                <w:shd w:val="clear" w:color="auto" w:fill="BFBFBF"/>
              </w:rPr>
              <w:t>*</w:t>
            </w:r>
            <w:r w:rsidRPr="003B37D3">
              <w:rPr>
                <w:rFonts w:ascii="Arial" w:hAnsi="Arial"/>
                <w:bCs/>
              </w:rPr>
              <w:t xml:space="preserve"> – </w:t>
            </w:r>
            <w:r w:rsidRPr="003B37D3">
              <w:rPr>
                <w:rFonts w:ascii="Arial" w:hAnsi="Arial"/>
                <w:bCs/>
                <w:shd w:val="clear" w:color="auto" w:fill="BFBFBF"/>
              </w:rPr>
              <w:t>574</w:t>
            </w:r>
            <w:r>
              <w:rPr>
                <w:rFonts w:ascii="Arial" w:hAnsi="Arial"/>
                <w:bCs/>
                <w:shd w:val="clear" w:color="auto" w:fill="BFBFBF"/>
              </w:rPr>
              <w:t>*</w:t>
            </w:r>
          </w:p>
        </w:tc>
      </w:tr>
      <w:tr w:rsidR="00485094" w:rsidTr="00774BC4">
        <w:tc>
          <w:tcPr>
            <w:tcW w:w="3258" w:type="dxa"/>
            <w:shd w:val="clear" w:color="auto" w:fill="FFFFCC"/>
            <w:vAlign w:val="center"/>
          </w:tcPr>
          <w:p w:rsidR="00485094" w:rsidRPr="003B37D3" w:rsidRDefault="00485094" w:rsidP="00774BC4">
            <w:pPr>
              <w:pStyle w:val="Tabletextreduced"/>
              <w:jc w:val="center"/>
              <w:rPr>
                <w:rFonts w:ascii="Arial" w:hAnsi="Arial"/>
              </w:rPr>
            </w:pPr>
            <w:r w:rsidRPr="003B37D3">
              <w:rPr>
                <w:rFonts w:ascii="Arial" w:hAnsi="Arial"/>
              </w:rPr>
              <w:t>Fisheating Creek</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10.5</w:t>
            </w:r>
            <w:r>
              <w:rPr>
                <w:rFonts w:ascii="Arial" w:hAnsi="Arial"/>
                <w:bCs/>
                <w:shd w:val="clear" w:color="auto" w:fill="BFBFBF"/>
              </w:rPr>
              <w:t>*</w:t>
            </w:r>
            <w:r w:rsidRPr="003B37D3">
              <w:rPr>
                <w:rFonts w:ascii="Arial" w:hAnsi="Arial"/>
                <w:bCs/>
              </w:rPr>
              <w:t xml:space="preserve"> - </w:t>
            </w:r>
            <w:r w:rsidRPr="003B37D3">
              <w:rPr>
                <w:rFonts w:ascii="Arial" w:hAnsi="Arial"/>
                <w:bCs/>
                <w:shd w:val="clear" w:color="auto" w:fill="BFBFBF"/>
              </w:rPr>
              <w:t>10.2</w:t>
            </w:r>
            <w:r>
              <w:rPr>
                <w:rFonts w:ascii="Arial" w:hAnsi="Arial"/>
                <w:bCs/>
                <w:shd w:val="clear" w:color="auto" w:fill="BFBFBF"/>
              </w:rPr>
              <w:t>*</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rPr>
              <w:t xml:space="preserve">0.021 - </w:t>
            </w:r>
            <w:r>
              <w:rPr>
                <w:rFonts w:ascii="Arial" w:hAnsi="Arial"/>
                <w:bCs/>
              </w:rPr>
              <w:t>N/A</w:t>
            </w:r>
          </w:p>
        </w:tc>
        <w:tc>
          <w:tcPr>
            <w:tcW w:w="180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4.3</w:t>
            </w:r>
            <w:r>
              <w:rPr>
                <w:rFonts w:ascii="Arial" w:hAnsi="Arial"/>
                <w:b/>
                <w:bCs/>
                <w:shd w:val="clear" w:color="auto" w:fill="BFBFBF"/>
              </w:rPr>
              <w:t>**</w:t>
            </w:r>
            <w:r w:rsidRPr="003B37D3">
              <w:rPr>
                <w:rFonts w:ascii="Arial" w:hAnsi="Arial"/>
                <w:bCs/>
              </w:rPr>
              <w:t xml:space="preserve"> - 6.1</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rPr>
              <w:t xml:space="preserve">158 - </w:t>
            </w:r>
            <w:r>
              <w:rPr>
                <w:rFonts w:ascii="Arial" w:hAnsi="Arial"/>
                <w:bCs/>
              </w:rPr>
              <w:t>N/A</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rPr>
              <w:t>306 – 375</w:t>
            </w:r>
          </w:p>
        </w:tc>
      </w:tr>
      <w:tr w:rsidR="00485094" w:rsidTr="00774BC4">
        <w:tc>
          <w:tcPr>
            <w:tcW w:w="3258" w:type="dxa"/>
            <w:shd w:val="clear" w:color="auto" w:fill="FFFFCC"/>
            <w:vAlign w:val="center"/>
          </w:tcPr>
          <w:p w:rsidR="00485094" w:rsidRPr="003B37D3" w:rsidRDefault="00485094" w:rsidP="00774BC4">
            <w:pPr>
              <w:pStyle w:val="Tabletextreduced"/>
              <w:jc w:val="center"/>
              <w:rPr>
                <w:rFonts w:ascii="Arial" w:hAnsi="Arial"/>
              </w:rPr>
            </w:pPr>
            <w:r w:rsidRPr="003B37D3">
              <w:rPr>
                <w:rFonts w:ascii="Arial" w:hAnsi="Arial"/>
              </w:rPr>
              <w:t>Florida Keys</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rPr>
              <w:t>0.017 - 0.005</w:t>
            </w:r>
          </w:p>
        </w:tc>
        <w:tc>
          <w:tcPr>
            <w:tcW w:w="1980" w:type="dxa"/>
            <w:vAlign w:val="center"/>
          </w:tcPr>
          <w:p w:rsidR="00485094" w:rsidRPr="003B37D3" w:rsidRDefault="00485094" w:rsidP="00774BC4">
            <w:pPr>
              <w:pStyle w:val="Tabletextreduced"/>
              <w:jc w:val="center"/>
              <w:rPr>
                <w:rFonts w:ascii="Arial" w:hAnsi="Arial"/>
                <w:bCs/>
              </w:rPr>
            </w:pPr>
            <w:r>
              <w:rPr>
                <w:rFonts w:ascii="Arial" w:hAnsi="Arial"/>
                <w:bCs/>
              </w:rPr>
              <w:t>N/A</w:t>
            </w:r>
            <w:r w:rsidRPr="003B37D3">
              <w:rPr>
                <w:rFonts w:ascii="Arial" w:hAnsi="Arial"/>
                <w:bCs/>
              </w:rPr>
              <w:t xml:space="preserve"> - 0.018</w:t>
            </w:r>
          </w:p>
        </w:tc>
        <w:tc>
          <w:tcPr>
            <w:tcW w:w="180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0.19</w:t>
            </w:r>
            <w:r>
              <w:rPr>
                <w:rFonts w:ascii="Arial" w:hAnsi="Arial"/>
                <w:b/>
                <w:bCs/>
                <w:shd w:val="clear" w:color="auto" w:fill="BFBFBF"/>
              </w:rPr>
              <w:t>**</w:t>
            </w:r>
            <w:r w:rsidRPr="003B37D3">
              <w:rPr>
                <w:rFonts w:ascii="Arial" w:hAnsi="Arial"/>
                <w:bCs/>
              </w:rPr>
              <w:t xml:space="preserve"> - </w:t>
            </w:r>
            <w:r w:rsidRPr="003B37D3">
              <w:rPr>
                <w:rFonts w:ascii="Arial" w:hAnsi="Arial"/>
                <w:b/>
                <w:bCs/>
                <w:shd w:val="clear" w:color="auto" w:fill="BFBFBF"/>
              </w:rPr>
              <w:t>2.8</w:t>
            </w:r>
            <w:r>
              <w:rPr>
                <w:rFonts w:ascii="Arial" w:hAnsi="Arial"/>
                <w:b/>
                <w:bCs/>
                <w:shd w:val="clear" w:color="auto" w:fill="BFBFBF"/>
              </w:rPr>
              <w:t>**</w:t>
            </w:r>
          </w:p>
        </w:tc>
        <w:tc>
          <w:tcPr>
            <w:tcW w:w="1890" w:type="dxa"/>
            <w:vAlign w:val="center"/>
          </w:tcPr>
          <w:p w:rsidR="00485094" w:rsidRPr="003B37D3" w:rsidRDefault="00485094" w:rsidP="00774BC4">
            <w:pPr>
              <w:pStyle w:val="Tabletextreduced"/>
              <w:jc w:val="center"/>
              <w:rPr>
                <w:rFonts w:ascii="Arial" w:hAnsi="Arial"/>
                <w:bCs/>
              </w:rPr>
            </w:pPr>
            <w:r>
              <w:rPr>
                <w:rFonts w:ascii="Arial" w:hAnsi="Arial"/>
                <w:bCs/>
              </w:rPr>
              <w:t>N/A</w:t>
            </w:r>
            <w:r w:rsidRPr="003B37D3">
              <w:rPr>
                <w:rFonts w:ascii="Arial" w:hAnsi="Arial"/>
                <w:bCs/>
              </w:rPr>
              <w:t xml:space="preserve"> - 90</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2</w:t>
            </w:r>
            <w:r>
              <w:rPr>
                <w:rFonts w:ascii="Arial" w:hAnsi="Arial"/>
                <w:bCs/>
                <w:shd w:val="clear" w:color="auto" w:fill="BFBFBF"/>
              </w:rPr>
              <w:t>,</w:t>
            </w:r>
            <w:r w:rsidRPr="003B37D3">
              <w:rPr>
                <w:rFonts w:ascii="Arial" w:hAnsi="Arial"/>
                <w:bCs/>
                <w:shd w:val="clear" w:color="auto" w:fill="BFBFBF"/>
              </w:rPr>
              <w:t>314</w:t>
            </w:r>
            <w:r>
              <w:rPr>
                <w:rFonts w:ascii="Arial" w:hAnsi="Arial"/>
                <w:bCs/>
                <w:shd w:val="clear" w:color="auto" w:fill="BFBFBF"/>
              </w:rPr>
              <w:t>*</w:t>
            </w:r>
            <w:r w:rsidRPr="003B37D3">
              <w:rPr>
                <w:rFonts w:ascii="Arial" w:hAnsi="Arial"/>
                <w:bCs/>
              </w:rPr>
              <w:t xml:space="preserve"> - </w:t>
            </w:r>
            <w:r w:rsidRPr="003B37D3">
              <w:rPr>
                <w:rFonts w:ascii="Arial" w:hAnsi="Arial"/>
                <w:bCs/>
                <w:shd w:val="clear" w:color="auto" w:fill="BFBFBF"/>
              </w:rPr>
              <w:t>14</w:t>
            </w:r>
            <w:r>
              <w:rPr>
                <w:rFonts w:ascii="Arial" w:hAnsi="Arial"/>
                <w:bCs/>
                <w:shd w:val="clear" w:color="auto" w:fill="BFBFBF"/>
              </w:rPr>
              <w:t>,</w:t>
            </w:r>
            <w:r w:rsidRPr="003B37D3">
              <w:rPr>
                <w:rFonts w:ascii="Arial" w:hAnsi="Arial"/>
                <w:bCs/>
                <w:shd w:val="clear" w:color="auto" w:fill="BFBFBF"/>
              </w:rPr>
              <w:t>957</w:t>
            </w:r>
            <w:r>
              <w:rPr>
                <w:rFonts w:ascii="Arial" w:hAnsi="Arial"/>
                <w:bCs/>
                <w:shd w:val="clear" w:color="auto" w:fill="BFBFBF"/>
              </w:rPr>
              <w:t>*</w:t>
            </w:r>
          </w:p>
        </w:tc>
      </w:tr>
      <w:tr w:rsidR="00485094" w:rsidTr="00774BC4">
        <w:tc>
          <w:tcPr>
            <w:tcW w:w="3258" w:type="dxa"/>
            <w:shd w:val="clear" w:color="auto" w:fill="FFFFCC"/>
            <w:vAlign w:val="center"/>
          </w:tcPr>
          <w:p w:rsidR="00485094" w:rsidRPr="003B37D3" w:rsidRDefault="00485094" w:rsidP="00774BC4">
            <w:pPr>
              <w:pStyle w:val="Tabletextreduced"/>
              <w:jc w:val="center"/>
              <w:rPr>
                <w:rFonts w:ascii="Arial" w:hAnsi="Arial"/>
              </w:rPr>
            </w:pPr>
            <w:r w:rsidRPr="003B37D3">
              <w:rPr>
                <w:rFonts w:ascii="Arial" w:hAnsi="Arial"/>
              </w:rPr>
              <w:t>Indian River Lagoon</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rPr>
              <w:t>0.008 - 0.014</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0.86</w:t>
            </w:r>
            <w:r>
              <w:rPr>
                <w:rFonts w:ascii="Arial" w:hAnsi="Arial"/>
                <w:bCs/>
                <w:shd w:val="clear" w:color="auto" w:fill="BFBFBF"/>
              </w:rPr>
              <w:t>*</w:t>
            </w:r>
            <w:r w:rsidRPr="003B37D3">
              <w:rPr>
                <w:rFonts w:ascii="Arial" w:hAnsi="Arial"/>
                <w:bCs/>
              </w:rPr>
              <w:t xml:space="preserve"> - </w:t>
            </w:r>
            <w:r w:rsidRPr="003B37D3">
              <w:rPr>
                <w:rFonts w:ascii="Arial" w:hAnsi="Arial"/>
                <w:bCs/>
                <w:shd w:val="clear" w:color="auto" w:fill="BFBFBF"/>
              </w:rPr>
              <w:t>0.19</w:t>
            </w:r>
            <w:r>
              <w:rPr>
                <w:rFonts w:ascii="Arial" w:hAnsi="Arial"/>
                <w:bCs/>
                <w:shd w:val="clear" w:color="auto" w:fill="BFBFBF"/>
              </w:rPr>
              <w:t>*</w:t>
            </w:r>
          </w:p>
        </w:tc>
        <w:tc>
          <w:tcPr>
            <w:tcW w:w="180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0.76</w:t>
            </w:r>
            <w:r>
              <w:rPr>
                <w:rFonts w:ascii="Arial" w:hAnsi="Arial"/>
                <w:b/>
                <w:bCs/>
                <w:shd w:val="clear" w:color="auto" w:fill="BFBFBF"/>
              </w:rPr>
              <w:t>**</w:t>
            </w:r>
            <w:r w:rsidRPr="003B37D3">
              <w:rPr>
                <w:rFonts w:ascii="Arial" w:hAnsi="Arial"/>
                <w:bCs/>
              </w:rPr>
              <w:t xml:space="preserve"> - </w:t>
            </w:r>
            <w:r w:rsidRPr="003B37D3">
              <w:rPr>
                <w:rFonts w:ascii="Arial" w:hAnsi="Arial"/>
                <w:b/>
                <w:bCs/>
                <w:shd w:val="clear" w:color="auto" w:fill="BFBFBF"/>
              </w:rPr>
              <w:t>0.75</w:t>
            </w:r>
            <w:r>
              <w:rPr>
                <w:rFonts w:ascii="Arial" w:hAnsi="Arial"/>
                <w:b/>
                <w:bCs/>
                <w:shd w:val="clear" w:color="auto" w:fill="BFBFBF"/>
              </w:rPr>
              <w:t>**</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1</w:t>
            </w:r>
            <w:r>
              <w:rPr>
                <w:rFonts w:ascii="Arial" w:hAnsi="Arial"/>
                <w:b/>
                <w:bCs/>
                <w:shd w:val="clear" w:color="auto" w:fill="BFBFBF"/>
              </w:rPr>
              <w:t>,</w:t>
            </w:r>
            <w:r w:rsidRPr="003B37D3">
              <w:rPr>
                <w:rFonts w:ascii="Arial" w:hAnsi="Arial"/>
                <w:b/>
                <w:bCs/>
                <w:shd w:val="clear" w:color="auto" w:fill="BFBFBF"/>
              </w:rPr>
              <w:t>100</w:t>
            </w:r>
            <w:r>
              <w:rPr>
                <w:rFonts w:ascii="Arial" w:hAnsi="Arial"/>
                <w:b/>
                <w:bCs/>
                <w:shd w:val="clear" w:color="auto" w:fill="BFBFBF"/>
              </w:rPr>
              <w:t>**</w:t>
            </w:r>
            <w:r w:rsidRPr="003B37D3">
              <w:rPr>
                <w:rFonts w:ascii="Arial" w:hAnsi="Arial"/>
                <w:bCs/>
              </w:rPr>
              <w:t xml:space="preserve"> -</w:t>
            </w:r>
            <w:r w:rsidRPr="003B37D3">
              <w:rPr>
                <w:rFonts w:ascii="Arial" w:hAnsi="Arial"/>
                <w:b/>
                <w:bCs/>
                <w:shd w:val="clear" w:color="auto" w:fill="BFBFBF"/>
              </w:rPr>
              <w:t>430.5</w:t>
            </w:r>
            <w:r>
              <w:rPr>
                <w:rFonts w:ascii="Arial" w:hAnsi="Arial"/>
                <w:b/>
                <w:bCs/>
                <w:shd w:val="clear" w:color="auto" w:fill="BFBFBF"/>
              </w:rPr>
              <w:t>**</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481</w:t>
            </w:r>
            <w:r>
              <w:rPr>
                <w:rFonts w:ascii="Arial" w:hAnsi="Arial"/>
                <w:bCs/>
                <w:shd w:val="clear" w:color="auto" w:fill="BFBFBF"/>
              </w:rPr>
              <w:t>*</w:t>
            </w:r>
            <w:r w:rsidRPr="003B37D3">
              <w:rPr>
                <w:rFonts w:ascii="Arial" w:hAnsi="Arial"/>
                <w:bCs/>
              </w:rPr>
              <w:t xml:space="preserve"> - </w:t>
            </w:r>
            <w:r w:rsidRPr="003B37D3">
              <w:rPr>
                <w:rFonts w:ascii="Arial" w:hAnsi="Arial"/>
                <w:bCs/>
                <w:shd w:val="clear" w:color="auto" w:fill="BFBFBF"/>
              </w:rPr>
              <w:t>1</w:t>
            </w:r>
            <w:r>
              <w:rPr>
                <w:rFonts w:ascii="Arial" w:hAnsi="Arial"/>
                <w:bCs/>
                <w:shd w:val="clear" w:color="auto" w:fill="BFBFBF"/>
              </w:rPr>
              <w:t>,</w:t>
            </w:r>
            <w:r w:rsidRPr="003B37D3">
              <w:rPr>
                <w:rFonts w:ascii="Arial" w:hAnsi="Arial"/>
                <w:bCs/>
                <w:shd w:val="clear" w:color="auto" w:fill="BFBFBF"/>
              </w:rPr>
              <w:t>380</w:t>
            </w:r>
            <w:r>
              <w:rPr>
                <w:rFonts w:ascii="Arial" w:hAnsi="Arial"/>
                <w:bCs/>
                <w:shd w:val="clear" w:color="auto" w:fill="BFBFBF"/>
              </w:rPr>
              <w:t>*</w:t>
            </w:r>
          </w:p>
        </w:tc>
      </w:tr>
      <w:tr w:rsidR="00485094" w:rsidTr="00774BC4">
        <w:tc>
          <w:tcPr>
            <w:tcW w:w="3258" w:type="dxa"/>
            <w:shd w:val="clear" w:color="auto" w:fill="FFFFCC"/>
            <w:vAlign w:val="center"/>
          </w:tcPr>
          <w:p w:rsidR="00485094" w:rsidRPr="003B37D3" w:rsidRDefault="00485094" w:rsidP="00774BC4">
            <w:pPr>
              <w:pStyle w:val="Tabletextreduced"/>
              <w:jc w:val="center"/>
              <w:rPr>
                <w:rFonts w:ascii="Arial" w:hAnsi="Arial"/>
              </w:rPr>
            </w:pPr>
            <w:r w:rsidRPr="003B37D3">
              <w:rPr>
                <w:rFonts w:ascii="Arial" w:hAnsi="Arial"/>
              </w:rPr>
              <w:t>Kissimmee River</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11</w:t>
            </w:r>
            <w:r>
              <w:rPr>
                <w:rFonts w:ascii="Arial" w:hAnsi="Arial"/>
                <w:bCs/>
                <w:shd w:val="clear" w:color="auto" w:fill="BFBFBF"/>
              </w:rPr>
              <w:t>*</w:t>
            </w:r>
            <w:r w:rsidRPr="003B37D3">
              <w:rPr>
                <w:rFonts w:ascii="Arial" w:hAnsi="Arial"/>
                <w:bCs/>
              </w:rPr>
              <w:t xml:space="preserve"> - </w:t>
            </w:r>
            <w:r w:rsidRPr="003B37D3">
              <w:rPr>
                <w:rFonts w:ascii="Arial" w:hAnsi="Arial"/>
                <w:bCs/>
                <w:shd w:val="clear" w:color="auto" w:fill="BFBFBF"/>
              </w:rPr>
              <w:t>12.3</w:t>
            </w:r>
            <w:r>
              <w:rPr>
                <w:rFonts w:ascii="Arial" w:hAnsi="Arial"/>
                <w:bCs/>
                <w:shd w:val="clear" w:color="auto" w:fill="BFBFBF"/>
              </w:rPr>
              <w:t>*</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rPr>
              <w:t xml:space="preserve">0.025 - </w:t>
            </w:r>
            <w:r w:rsidRPr="003B37D3">
              <w:rPr>
                <w:rFonts w:ascii="Arial" w:hAnsi="Arial"/>
                <w:bCs/>
                <w:shd w:val="clear" w:color="auto" w:fill="BFBFBF"/>
              </w:rPr>
              <w:t>0.21</w:t>
            </w:r>
            <w:r>
              <w:rPr>
                <w:rFonts w:ascii="Arial" w:hAnsi="Arial"/>
                <w:bCs/>
                <w:shd w:val="clear" w:color="auto" w:fill="BFBFBF"/>
              </w:rPr>
              <w:t>*</w:t>
            </w:r>
          </w:p>
        </w:tc>
        <w:tc>
          <w:tcPr>
            <w:tcW w:w="1800" w:type="dxa"/>
            <w:vAlign w:val="center"/>
          </w:tcPr>
          <w:p w:rsidR="00485094" w:rsidRPr="003B37D3" w:rsidRDefault="00485094" w:rsidP="00774BC4">
            <w:pPr>
              <w:pStyle w:val="Tabletextreduced"/>
              <w:jc w:val="center"/>
              <w:rPr>
                <w:rFonts w:ascii="Arial" w:hAnsi="Arial"/>
                <w:bCs/>
              </w:rPr>
            </w:pPr>
            <w:r w:rsidRPr="003B37D3">
              <w:rPr>
                <w:rFonts w:ascii="Arial" w:hAnsi="Arial"/>
                <w:bCs/>
              </w:rPr>
              <w:t>6.3 – 7.0</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200.7</w:t>
            </w:r>
            <w:r>
              <w:rPr>
                <w:rFonts w:ascii="Arial" w:hAnsi="Arial"/>
                <w:b/>
                <w:bCs/>
                <w:shd w:val="clear" w:color="auto" w:fill="BFBFBF"/>
              </w:rPr>
              <w:t>**</w:t>
            </w:r>
            <w:r w:rsidRPr="003B37D3">
              <w:rPr>
                <w:rFonts w:ascii="Arial" w:hAnsi="Arial"/>
                <w:bCs/>
              </w:rPr>
              <w:t xml:space="preserve"> - </w:t>
            </w:r>
            <w:r w:rsidRPr="003B37D3">
              <w:rPr>
                <w:rFonts w:ascii="Arial" w:hAnsi="Arial"/>
                <w:b/>
                <w:bCs/>
                <w:shd w:val="clear" w:color="auto" w:fill="BFBFBF"/>
              </w:rPr>
              <w:t>710</w:t>
            </w:r>
            <w:r>
              <w:rPr>
                <w:rFonts w:ascii="Arial" w:hAnsi="Arial"/>
                <w:b/>
                <w:bCs/>
                <w:shd w:val="clear" w:color="auto" w:fill="BFBFBF"/>
              </w:rPr>
              <w:t>**</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rPr>
              <w:t>344 - 310</w:t>
            </w:r>
          </w:p>
        </w:tc>
      </w:tr>
      <w:tr w:rsidR="00485094" w:rsidTr="00774BC4">
        <w:tc>
          <w:tcPr>
            <w:tcW w:w="3258" w:type="dxa"/>
            <w:shd w:val="clear" w:color="auto" w:fill="FFFFCC"/>
            <w:vAlign w:val="center"/>
          </w:tcPr>
          <w:p w:rsidR="00485094" w:rsidRPr="003B37D3" w:rsidRDefault="00485094" w:rsidP="00774BC4">
            <w:pPr>
              <w:pStyle w:val="Tabletextreduced"/>
              <w:jc w:val="center"/>
              <w:rPr>
                <w:rFonts w:ascii="Arial" w:hAnsi="Arial"/>
              </w:rPr>
            </w:pPr>
            <w:r w:rsidRPr="003B37D3">
              <w:rPr>
                <w:rFonts w:ascii="Arial" w:hAnsi="Arial"/>
              </w:rPr>
              <w:t>Lake Okeechobee</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rPr>
              <w:t>0.004 - 0.04</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0.26</w:t>
            </w:r>
            <w:r>
              <w:rPr>
                <w:rFonts w:ascii="Arial" w:hAnsi="Arial"/>
                <w:bCs/>
                <w:shd w:val="clear" w:color="auto" w:fill="BFBFBF"/>
              </w:rPr>
              <w:t>*</w:t>
            </w:r>
            <w:r w:rsidRPr="003B37D3">
              <w:rPr>
                <w:rFonts w:ascii="Arial" w:hAnsi="Arial"/>
                <w:bCs/>
              </w:rPr>
              <w:t xml:space="preserve"> - </w:t>
            </w:r>
            <w:r>
              <w:rPr>
                <w:rFonts w:ascii="Arial" w:hAnsi="Arial"/>
                <w:bCs/>
              </w:rPr>
              <w:t>N/A</w:t>
            </w:r>
          </w:p>
        </w:tc>
        <w:tc>
          <w:tcPr>
            <w:tcW w:w="180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0.3</w:t>
            </w:r>
            <w:r>
              <w:rPr>
                <w:rFonts w:ascii="Arial" w:hAnsi="Arial"/>
                <w:b/>
                <w:bCs/>
                <w:shd w:val="clear" w:color="auto" w:fill="BFBFBF"/>
              </w:rPr>
              <w:t>**</w:t>
            </w:r>
            <w:r w:rsidRPr="003B37D3">
              <w:rPr>
                <w:rFonts w:ascii="Arial" w:hAnsi="Arial"/>
                <w:bCs/>
              </w:rPr>
              <w:t xml:space="preserve"> - </w:t>
            </w:r>
            <w:r w:rsidRPr="003B37D3">
              <w:rPr>
                <w:rFonts w:ascii="Arial" w:hAnsi="Arial"/>
                <w:b/>
                <w:bCs/>
                <w:shd w:val="clear" w:color="auto" w:fill="BFBFBF"/>
              </w:rPr>
              <w:t>0.2</w:t>
            </w:r>
            <w:r>
              <w:rPr>
                <w:rFonts w:ascii="Arial" w:hAnsi="Arial"/>
                <w:b/>
                <w:bCs/>
                <w:shd w:val="clear" w:color="auto" w:fill="BFBFBF"/>
              </w:rPr>
              <w:t>**</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569</w:t>
            </w:r>
            <w:r w:rsidRPr="003B37D3">
              <w:rPr>
                <w:rFonts w:ascii="Arial" w:hAnsi="Arial"/>
                <w:bCs/>
              </w:rPr>
              <w:t xml:space="preserve"> - </w:t>
            </w:r>
            <w:r>
              <w:rPr>
                <w:rFonts w:ascii="Arial" w:hAnsi="Arial"/>
                <w:bCs/>
              </w:rPr>
              <w:t>N/A</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616</w:t>
            </w:r>
            <w:r>
              <w:rPr>
                <w:rFonts w:ascii="Arial" w:hAnsi="Arial"/>
                <w:bCs/>
                <w:shd w:val="clear" w:color="auto" w:fill="BFBFBF"/>
              </w:rPr>
              <w:t>*</w:t>
            </w:r>
            <w:r w:rsidRPr="003B37D3">
              <w:rPr>
                <w:rFonts w:ascii="Arial" w:hAnsi="Arial"/>
                <w:bCs/>
              </w:rPr>
              <w:t xml:space="preserve"> - </w:t>
            </w:r>
            <w:r w:rsidRPr="003B37D3">
              <w:rPr>
                <w:rFonts w:ascii="Arial" w:hAnsi="Arial"/>
                <w:bCs/>
                <w:shd w:val="clear" w:color="auto" w:fill="BFBFBF"/>
              </w:rPr>
              <w:t>704</w:t>
            </w:r>
            <w:r>
              <w:rPr>
                <w:rFonts w:ascii="Arial" w:hAnsi="Arial"/>
                <w:bCs/>
                <w:shd w:val="clear" w:color="auto" w:fill="BFBFBF"/>
              </w:rPr>
              <w:t>*</w:t>
            </w:r>
          </w:p>
        </w:tc>
      </w:tr>
      <w:tr w:rsidR="00485094" w:rsidTr="00774BC4">
        <w:tc>
          <w:tcPr>
            <w:tcW w:w="3258" w:type="dxa"/>
            <w:shd w:val="clear" w:color="auto" w:fill="FFFFCC"/>
            <w:vAlign w:val="center"/>
          </w:tcPr>
          <w:p w:rsidR="00485094" w:rsidRPr="003B37D3" w:rsidRDefault="00485094" w:rsidP="00774BC4">
            <w:pPr>
              <w:pStyle w:val="Tabletextreduced"/>
              <w:jc w:val="center"/>
              <w:rPr>
                <w:rFonts w:ascii="Arial" w:hAnsi="Arial"/>
              </w:rPr>
            </w:pPr>
            <w:r w:rsidRPr="003B37D3">
              <w:rPr>
                <w:rFonts w:ascii="Arial" w:hAnsi="Arial"/>
              </w:rPr>
              <w:t>Lake Worth Lagoon–Palm Beach Coast</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rPr>
              <w:t>0.004 - 0.008</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0.063</w:t>
            </w:r>
            <w:r>
              <w:rPr>
                <w:rFonts w:ascii="Arial" w:hAnsi="Arial"/>
                <w:bCs/>
                <w:shd w:val="clear" w:color="auto" w:fill="BFBFBF"/>
              </w:rPr>
              <w:t>*</w:t>
            </w:r>
            <w:r w:rsidRPr="003B37D3">
              <w:rPr>
                <w:rFonts w:ascii="Arial" w:hAnsi="Arial"/>
                <w:bCs/>
              </w:rPr>
              <w:t xml:space="preserve"> - </w:t>
            </w:r>
            <w:r w:rsidRPr="003B37D3">
              <w:rPr>
                <w:rFonts w:ascii="Arial" w:hAnsi="Arial"/>
                <w:bCs/>
                <w:shd w:val="clear" w:color="auto" w:fill="BFBFBF"/>
              </w:rPr>
              <w:t>0.25</w:t>
            </w:r>
            <w:r>
              <w:rPr>
                <w:rFonts w:ascii="Arial" w:hAnsi="Arial"/>
                <w:bCs/>
                <w:shd w:val="clear" w:color="auto" w:fill="BFBFBF"/>
              </w:rPr>
              <w:t>*</w:t>
            </w:r>
          </w:p>
        </w:tc>
        <w:tc>
          <w:tcPr>
            <w:tcW w:w="180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0.25</w:t>
            </w:r>
            <w:r>
              <w:rPr>
                <w:rFonts w:ascii="Arial" w:hAnsi="Arial"/>
                <w:b/>
                <w:bCs/>
                <w:shd w:val="clear" w:color="auto" w:fill="BFBFBF"/>
              </w:rPr>
              <w:t>**</w:t>
            </w:r>
            <w:r w:rsidRPr="003B37D3">
              <w:rPr>
                <w:rFonts w:ascii="Arial" w:hAnsi="Arial"/>
                <w:bCs/>
              </w:rPr>
              <w:t xml:space="preserve"> - </w:t>
            </w:r>
            <w:r w:rsidRPr="003B37D3">
              <w:rPr>
                <w:rFonts w:ascii="Arial" w:hAnsi="Arial"/>
                <w:b/>
                <w:bCs/>
                <w:shd w:val="clear" w:color="auto" w:fill="BFBFBF"/>
              </w:rPr>
              <w:t>0.32</w:t>
            </w:r>
            <w:r>
              <w:rPr>
                <w:rFonts w:ascii="Arial" w:hAnsi="Arial"/>
                <w:b/>
                <w:bCs/>
                <w:shd w:val="clear" w:color="auto" w:fill="BFBFBF"/>
              </w:rPr>
              <w:t>**</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rPr>
              <w:t>102.5 - 41.5</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493</w:t>
            </w:r>
            <w:r>
              <w:rPr>
                <w:rFonts w:ascii="Arial" w:hAnsi="Arial"/>
                <w:bCs/>
                <w:shd w:val="clear" w:color="auto" w:fill="BFBFBF"/>
              </w:rPr>
              <w:t>*</w:t>
            </w:r>
            <w:r w:rsidRPr="003B37D3">
              <w:rPr>
                <w:rFonts w:ascii="Arial" w:hAnsi="Arial"/>
                <w:bCs/>
              </w:rPr>
              <w:t xml:space="preserve"> - </w:t>
            </w:r>
            <w:r w:rsidRPr="003B37D3">
              <w:rPr>
                <w:rFonts w:ascii="Arial" w:hAnsi="Arial"/>
                <w:bCs/>
                <w:shd w:val="clear" w:color="auto" w:fill="BFBFBF"/>
              </w:rPr>
              <w:t>497</w:t>
            </w:r>
            <w:r>
              <w:rPr>
                <w:rFonts w:ascii="Arial" w:hAnsi="Arial"/>
                <w:bCs/>
                <w:shd w:val="clear" w:color="auto" w:fill="BFBFBF"/>
              </w:rPr>
              <w:t>*</w:t>
            </w:r>
          </w:p>
        </w:tc>
      </w:tr>
      <w:tr w:rsidR="00485094" w:rsidTr="00774BC4">
        <w:tc>
          <w:tcPr>
            <w:tcW w:w="3258" w:type="dxa"/>
            <w:shd w:val="clear" w:color="auto" w:fill="FFFFCC"/>
            <w:vAlign w:val="center"/>
          </w:tcPr>
          <w:p w:rsidR="00485094" w:rsidRPr="003B37D3" w:rsidRDefault="00485094" w:rsidP="00774BC4">
            <w:pPr>
              <w:pStyle w:val="Tabletextreduced"/>
              <w:jc w:val="center"/>
              <w:rPr>
                <w:rFonts w:ascii="Arial" w:hAnsi="Arial"/>
              </w:rPr>
            </w:pPr>
            <w:r w:rsidRPr="003B37D3">
              <w:rPr>
                <w:rFonts w:ascii="Arial" w:hAnsi="Arial"/>
              </w:rPr>
              <w:t>Lower St. Johns</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rPr>
              <w:t>0.06 - 0.04</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0.047</w:t>
            </w:r>
            <w:r>
              <w:rPr>
                <w:rFonts w:ascii="Arial" w:hAnsi="Arial"/>
                <w:bCs/>
                <w:shd w:val="clear" w:color="auto" w:fill="BFBFBF"/>
              </w:rPr>
              <w:t>*</w:t>
            </w:r>
            <w:r w:rsidRPr="003B37D3">
              <w:rPr>
                <w:rFonts w:ascii="Arial" w:hAnsi="Arial"/>
                <w:bCs/>
                <w:shd w:val="clear" w:color="auto" w:fill="BFBFBF"/>
              </w:rPr>
              <w:t xml:space="preserve"> </w:t>
            </w:r>
            <w:r w:rsidRPr="003B37D3">
              <w:rPr>
                <w:rFonts w:ascii="Arial" w:hAnsi="Arial"/>
                <w:bCs/>
              </w:rPr>
              <w:t xml:space="preserve">- </w:t>
            </w:r>
            <w:r w:rsidRPr="003B37D3">
              <w:rPr>
                <w:rFonts w:ascii="Arial" w:hAnsi="Arial"/>
                <w:bCs/>
                <w:shd w:val="clear" w:color="auto" w:fill="BFBFBF"/>
              </w:rPr>
              <w:t>0.035</w:t>
            </w:r>
            <w:r>
              <w:rPr>
                <w:rFonts w:ascii="Arial" w:hAnsi="Arial"/>
                <w:bCs/>
                <w:shd w:val="clear" w:color="auto" w:fill="BFBFBF"/>
              </w:rPr>
              <w:t>*</w:t>
            </w:r>
          </w:p>
        </w:tc>
        <w:tc>
          <w:tcPr>
            <w:tcW w:w="180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0.36</w:t>
            </w:r>
            <w:r>
              <w:rPr>
                <w:rFonts w:ascii="Arial" w:hAnsi="Arial"/>
                <w:b/>
                <w:bCs/>
                <w:shd w:val="clear" w:color="auto" w:fill="BFBFBF"/>
              </w:rPr>
              <w:t>**</w:t>
            </w:r>
            <w:r w:rsidRPr="003B37D3">
              <w:rPr>
                <w:rFonts w:ascii="Arial" w:hAnsi="Arial"/>
                <w:bCs/>
              </w:rPr>
              <w:t xml:space="preserve"> - </w:t>
            </w:r>
            <w:r w:rsidRPr="003B37D3">
              <w:rPr>
                <w:rFonts w:ascii="Arial" w:hAnsi="Arial"/>
                <w:b/>
                <w:bCs/>
                <w:shd w:val="clear" w:color="auto" w:fill="BFBFBF"/>
              </w:rPr>
              <w:t>0.18</w:t>
            </w:r>
            <w:r>
              <w:rPr>
                <w:rFonts w:ascii="Arial" w:hAnsi="Arial"/>
                <w:b/>
                <w:bCs/>
                <w:shd w:val="clear" w:color="auto" w:fill="BFBFBF"/>
              </w:rPr>
              <w:t>**</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458</w:t>
            </w:r>
            <w:r>
              <w:rPr>
                <w:rFonts w:ascii="Arial" w:hAnsi="Arial"/>
                <w:b/>
                <w:bCs/>
                <w:shd w:val="clear" w:color="auto" w:fill="BFBFBF"/>
              </w:rPr>
              <w:t>**</w:t>
            </w:r>
            <w:r w:rsidRPr="003B37D3">
              <w:rPr>
                <w:rFonts w:ascii="Arial" w:hAnsi="Arial"/>
                <w:bCs/>
              </w:rPr>
              <w:t xml:space="preserve"> – </w:t>
            </w:r>
            <w:r w:rsidRPr="003B37D3">
              <w:rPr>
                <w:rFonts w:ascii="Arial" w:hAnsi="Arial"/>
                <w:b/>
                <w:bCs/>
                <w:shd w:val="clear" w:color="auto" w:fill="BFBFBF"/>
              </w:rPr>
              <w:t>1</w:t>
            </w:r>
            <w:r>
              <w:rPr>
                <w:rFonts w:ascii="Arial" w:hAnsi="Arial"/>
                <w:b/>
                <w:bCs/>
                <w:shd w:val="clear" w:color="auto" w:fill="BFBFBF"/>
              </w:rPr>
              <w:t>,</w:t>
            </w:r>
            <w:r w:rsidRPr="003B37D3">
              <w:rPr>
                <w:rFonts w:ascii="Arial" w:hAnsi="Arial"/>
                <w:b/>
                <w:bCs/>
                <w:shd w:val="clear" w:color="auto" w:fill="BFBFBF"/>
              </w:rPr>
              <w:t>441</w:t>
            </w:r>
            <w:r>
              <w:rPr>
                <w:rFonts w:ascii="Arial" w:hAnsi="Arial"/>
                <w:b/>
                <w:bCs/>
                <w:shd w:val="clear" w:color="auto" w:fill="BFBFBF"/>
              </w:rPr>
              <w:t>**</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rPr>
              <w:t>185 - 219</w:t>
            </w:r>
          </w:p>
        </w:tc>
      </w:tr>
      <w:tr w:rsidR="00485094" w:rsidTr="00774BC4">
        <w:tc>
          <w:tcPr>
            <w:tcW w:w="3258" w:type="dxa"/>
            <w:shd w:val="clear" w:color="auto" w:fill="FFFFCC"/>
            <w:vAlign w:val="center"/>
          </w:tcPr>
          <w:p w:rsidR="00485094" w:rsidRPr="003B37D3" w:rsidRDefault="00485094" w:rsidP="00774BC4">
            <w:pPr>
              <w:pStyle w:val="Tabletextreduced"/>
              <w:jc w:val="center"/>
              <w:rPr>
                <w:rFonts w:ascii="Arial" w:hAnsi="Arial"/>
              </w:rPr>
            </w:pPr>
            <w:r w:rsidRPr="003B37D3">
              <w:rPr>
                <w:rFonts w:ascii="Arial" w:hAnsi="Arial"/>
              </w:rPr>
              <w:t>Middle St. Johns</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rPr>
              <w:t>0.016 - 0.02</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0.04</w:t>
            </w:r>
            <w:r>
              <w:rPr>
                <w:rFonts w:ascii="Arial" w:hAnsi="Arial"/>
                <w:bCs/>
                <w:shd w:val="clear" w:color="auto" w:fill="BFBFBF"/>
              </w:rPr>
              <w:t>*</w:t>
            </w:r>
            <w:r w:rsidRPr="003B37D3">
              <w:rPr>
                <w:rFonts w:ascii="Arial" w:hAnsi="Arial"/>
                <w:bCs/>
              </w:rPr>
              <w:t xml:space="preserve"> - </w:t>
            </w:r>
            <w:r w:rsidRPr="003B37D3">
              <w:rPr>
                <w:rFonts w:ascii="Arial" w:hAnsi="Arial"/>
                <w:bCs/>
                <w:shd w:val="clear" w:color="auto" w:fill="BFBFBF"/>
              </w:rPr>
              <w:t>0.38</w:t>
            </w:r>
            <w:r>
              <w:rPr>
                <w:rFonts w:ascii="Arial" w:hAnsi="Arial"/>
                <w:bCs/>
                <w:shd w:val="clear" w:color="auto" w:fill="BFBFBF"/>
              </w:rPr>
              <w:t>*</w:t>
            </w:r>
          </w:p>
        </w:tc>
        <w:tc>
          <w:tcPr>
            <w:tcW w:w="180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0.48</w:t>
            </w:r>
            <w:r>
              <w:rPr>
                <w:rFonts w:ascii="Arial" w:hAnsi="Arial"/>
                <w:b/>
                <w:bCs/>
                <w:shd w:val="clear" w:color="auto" w:fill="BFBFBF"/>
              </w:rPr>
              <w:t>**</w:t>
            </w:r>
            <w:r w:rsidRPr="003B37D3">
              <w:rPr>
                <w:rFonts w:ascii="Arial" w:hAnsi="Arial"/>
                <w:bCs/>
              </w:rPr>
              <w:t xml:space="preserve"> - </w:t>
            </w:r>
            <w:r w:rsidRPr="003B37D3">
              <w:rPr>
                <w:rFonts w:ascii="Arial" w:hAnsi="Arial"/>
                <w:b/>
                <w:bCs/>
                <w:shd w:val="clear" w:color="auto" w:fill="BFBFBF"/>
              </w:rPr>
              <w:t>0.29</w:t>
            </w:r>
            <w:r>
              <w:rPr>
                <w:rFonts w:ascii="Arial" w:hAnsi="Arial"/>
                <w:b/>
                <w:bCs/>
                <w:shd w:val="clear" w:color="auto" w:fill="BFBFBF"/>
              </w:rPr>
              <w:t>**</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1</w:t>
            </w:r>
            <w:r>
              <w:rPr>
                <w:rFonts w:ascii="Arial" w:hAnsi="Arial"/>
                <w:b/>
                <w:bCs/>
                <w:shd w:val="clear" w:color="auto" w:fill="BFBFBF"/>
              </w:rPr>
              <w:t>,</w:t>
            </w:r>
            <w:r w:rsidRPr="003B37D3">
              <w:rPr>
                <w:rFonts w:ascii="Arial" w:hAnsi="Arial"/>
                <w:b/>
                <w:bCs/>
                <w:shd w:val="clear" w:color="auto" w:fill="BFBFBF"/>
              </w:rPr>
              <w:t>100</w:t>
            </w:r>
            <w:r>
              <w:rPr>
                <w:rFonts w:ascii="Arial" w:hAnsi="Arial"/>
                <w:b/>
                <w:bCs/>
                <w:shd w:val="clear" w:color="auto" w:fill="BFBFBF"/>
              </w:rPr>
              <w:t>**</w:t>
            </w:r>
            <w:r w:rsidRPr="003B37D3">
              <w:rPr>
                <w:rFonts w:ascii="Arial" w:hAnsi="Arial"/>
                <w:bCs/>
              </w:rPr>
              <w:t xml:space="preserve"> – </w:t>
            </w:r>
            <w:r w:rsidRPr="003B37D3">
              <w:rPr>
                <w:rFonts w:ascii="Arial" w:hAnsi="Arial"/>
                <w:b/>
                <w:bCs/>
                <w:shd w:val="clear" w:color="auto" w:fill="BFBFBF"/>
              </w:rPr>
              <w:t>934</w:t>
            </w:r>
            <w:r>
              <w:rPr>
                <w:rFonts w:ascii="Arial" w:hAnsi="Arial"/>
                <w:b/>
                <w:bCs/>
                <w:shd w:val="clear" w:color="auto" w:fill="BFBFBF"/>
              </w:rPr>
              <w:t>**</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rPr>
              <w:t>336 - 170</w:t>
            </w:r>
          </w:p>
        </w:tc>
      </w:tr>
      <w:tr w:rsidR="00485094" w:rsidTr="00774BC4">
        <w:tc>
          <w:tcPr>
            <w:tcW w:w="3258" w:type="dxa"/>
            <w:shd w:val="clear" w:color="auto" w:fill="FFFFCC"/>
            <w:vAlign w:val="center"/>
          </w:tcPr>
          <w:p w:rsidR="00485094" w:rsidRPr="003B37D3" w:rsidRDefault="00485094" w:rsidP="00774BC4">
            <w:pPr>
              <w:pStyle w:val="Tabletextreduced"/>
              <w:jc w:val="center"/>
              <w:rPr>
                <w:rFonts w:ascii="Arial" w:hAnsi="Arial"/>
              </w:rPr>
            </w:pPr>
            <w:r w:rsidRPr="003B37D3">
              <w:rPr>
                <w:rFonts w:ascii="Arial" w:hAnsi="Arial"/>
              </w:rPr>
              <w:t>Nassau–St. Marys</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rPr>
              <w:t>0.009 - 0.02</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0.065</w:t>
            </w:r>
            <w:r>
              <w:rPr>
                <w:rFonts w:ascii="Arial" w:hAnsi="Arial"/>
                <w:bCs/>
                <w:shd w:val="clear" w:color="auto" w:fill="BFBFBF"/>
              </w:rPr>
              <w:t>*</w:t>
            </w:r>
            <w:r w:rsidRPr="003B37D3">
              <w:rPr>
                <w:rFonts w:ascii="Arial" w:hAnsi="Arial"/>
                <w:bCs/>
              </w:rPr>
              <w:t xml:space="preserve"> - </w:t>
            </w:r>
            <w:r w:rsidRPr="003B37D3">
              <w:rPr>
                <w:rFonts w:ascii="Arial" w:hAnsi="Arial"/>
                <w:bCs/>
                <w:shd w:val="clear" w:color="auto" w:fill="BFBFBF"/>
              </w:rPr>
              <w:t>0.033</w:t>
            </w:r>
            <w:r>
              <w:rPr>
                <w:rFonts w:ascii="Arial" w:hAnsi="Arial"/>
                <w:bCs/>
                <w:shd w:val="clear" w:color="auto" w:fill="BFBFBF"/>
              </w:rPr>
              <w:t>*</w:t>
            </w:r>
          </w:p>
        </w:tc>
        <w:tc>
          <w:tcPr>
            <w:tcW w:w="180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0.92</w:t>
            </w:r>
            <w:r>
              <w:rPr>
                <w:rFonts w:ascii="Arial" w:hAnsi="Arial"/>
                <w:b/>
                <w:bCs/>
                <w:shd w:val="clear" w:color="auto" w:fill="BFBFBF"/>
              </w:rPr>
              <w:t>**</w:t>
            </w:r>
            <w:r w:rsidRPr="003B37D3">
              <w:rPr>
                <w:rFonts w:ascii="Arial" w:hAnsi="Arial"/>
                <w:bCs/>
              </w:rPr>
              <w:t xml:space="preserve"> - </w:t>
            </w:r>
            <w:r w:rsidRPr="003B37D3">
              <w:rPr>
                <w:rFonts w:ascii="Arial" w:hAnsi="Arial"/>
                <w:b/>
                <w:bCs/>
                <w:shd w:val="clear" w:color="auto" w:fill="BFBFBF"/>
              </w:rPr>
              <w:t>1.3</w:t>
            </w:r>
            <w:r>
              <w:rPr>
                <w:rFonts w:ascii="Arial" w:hAnsi="Arial"/>
                <w:b/>
                <w:bCs/>
                <w:shd w:val="clear" w:color="auto" w:fill="BFBFBF"/>
              </w:rPr>
              <w:t>**</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248</w:t>
            </w:r>
            <w:r>
              <w:rPr>
                <w:rFonts w:ascii="Arial" w:hAnsi="Arial"/>
                <w:bCs/>
                <w:shd w:val="clear" w:color="auto" w:fill="BFBFBF"/>
              </w:rPr>
              <w:t>*</w:t>
            </w:r>
            <w:r w:rsidRPr="003B37D3">
              <w:rPr>
                <w:rFonts w:ascii="Arial" w:hAnsi="Arial"/>
                <w:bCs/>
              </w:rPr>
              <w:t xml:space="preserve"> – 30</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rPr>
              <w:t>106 - 100</w:t>
            </w:r>
          </w:p>
        </w:tc>
      </w:tr>
      <w:tr w:rsidR="00485094" w:rsidTr="00774BC4">
        <w:tc>
          <w:tcPr>
            <w:tcW w:w="3258" w:type="dxa"/>
            <w:shd w:val="clear" w:color="auto" w:fill="FFFFCC"/>
            <w:vAlign w:val="center"/>
          </w:tcPr>
          <w:p w:rsidR="00485094" w:rsidRPr="003B37D3" w:rsidRDefault="00485094" w:rsidP="00774BC4">
            <w:pPr>
              <w:pStyle w:val="Tabletextreduced"/>
              <w:jc w:val="center"/>
              <w:rPr>
                <w:rFonts w:ascii="Arial" w:hAnsi="Arial"/>
              </w:rPr>
            </w:pPr>
            <w:r w:rsidRPr="003B37D3">
              <w:rPr>
                <w:rFonts w:ascii="Arial" w:hAnsi="Arial"/>
              </w:rPr>
              <w:t>Ochlockonee–St. Marks</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rPr>
              <w:t>0.086 - 0.45</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rPr>
              <w:t>0.021 - 0.028</w:t>
            </w:r>
          </w:p>
        </w:tc>
        <w:tc>
          <w:tcPr>
            <w:tcW w:w="180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2.8</w:t>
            </w:r>
            <w:r>
              <w:rPr>
                <w:rFonts w:ascii="Arial" w:hAnsi="Arial"/>
                <w:b/>
                <w:bCs/>
                <w:shd w:val="clear" w:color="auto" w:fill="BFBFBF"/>
              </w:rPr>
              <w:t>**</w:t>
            </w:r>
            <w:r w:rsidRPr="003B37D3">
              <w:rPr>
                <w:rFonts w:ascii="Arial" w:hAnsi="Arial"/>
                <w:bCs/>
              </w:rPr>
              <w:t xml:space="preserve"> - </w:t>
            </w:r>
            <w:r w:rsidRPr="003B37D3">
              <w:rPr>
                <w:rFonts w:ascii="Arial" w:hAnsi="Arial"/>
                <w:b/>
                <w:bCs/>
                <w:shd w:val="clear" w:color="auto" w:fill="BFBFBF"/>
              </w:rPr>
              <w:t>1.3</w:t>
            </w:r>
            <w:r>
              <w:rPr>
                <w:rFonts w:ascii="Arial" w:hAnsi="Arial"/>
                <w:b/>
                <w:bCs/>
                <w:shd w:val="clear" w:color="auto" w:fill="BFBFBF"/>
              </w:rPr>
              <w:t>**</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179</w:t>
            </w:r>
            <w:r>
              <w:rPr>
                <w:rFonts w:ascii="Arial" w:hAnsi="Arial"/>
                <w:bCs/>
                <w:shd w:val="clear" w:color="auto" w:fill="BFBFBF"/>
              </w:rPr>
              <w:t>*</w:t>
            </w:r>
            <w:r w:rsidRPr="003B37D3">
              <w:rPr>
                <w:rFonts w:ascii="Arial" w:hAnsi="Arial"/>
                <w:bCs/>
              </w:rPr>
              <w:t xml:space="preserve"> – 30</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rPr>
              <w:t>183 - 333</w:t>
            </w:r>
          </w:p>
        </w:tc>
      </w:tr>
      <w:tr w:rsidR="00485094" w:rsidTr="00774BC4">
        <w:tc>
          <w:tcPr>
            <w:tcW w:w="3258" w:type="dxa"/>
            <w:shd w:val="clear" w:color="auto" w:fill="FFFFCC"/>
            <w:vAlign w:val="center"/>
          </w:tcPr>
          <w:p w:rsidR="00485094" w:rsidRPr="003B37D3" w:rsidRDefault="00485094" w:rsidP="00774BC4">
            <w:pPr>
              <w:pStyle w:val="Tabletextreduced"/>
              <w:jc w:val="center"/>
              <w:rPr>
                <w:rFonts w:ascii="Arial" w:hAnsi="Arial"/>
              </w:rPr>
            </w:pPr>
            <w:r w:rsidRPr="003B37D3">
              <w:rPr>
                <w:rFonts w:ascii="Arial" w:hAnsi="Arial"/>
              </w:rPr>
              <w:t>Ocklawaha</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rPr>
              <w:t>0.038 - 1.5</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0.077</w:t>
            </w:r>
            <w:r>
              <w:rPr>
                <w:rFonts w:ascii="Arial" w:hAnsi="Arial"/>
                <w:bCs/>
                <w:shd w:val="clear" w:color="auto" w:fill="BFBFBF"/>
              </w:rPr>
              <w:t>*</w:t>
            </w:r>
            <w:r w:rsidRPr="003B37D3">
              <w:rPr>
                <w:rFonts w:ascii="Arial" w:hAnsi="Arial"/>
                <w:bCs/>
              </w:rPr>
              <w:t xml:space="preserve"> - </w:t>
            </w:r>
            <w:r w:rsidRPr="003B37D3">
              <w:rPr>
                <w:rFonts w:ascii="Arial" w:hAnsi="Arial"/>
                <w:bCs/>
                <w:shd w:val="clear" w:color="auto" w:fill="BFBFBF"/>
              </w:rPr>
              <w:t>0.16</w:t>
            </w:r>
            <w:r>
              <w:rPr>
                <w:rFonts w:ascii="Arial" w:hAnsi="Arial"/>
                <w:bCs/>
                <w:shd w:val="clear" w:color="auto" w:fill="BFBFBF"/>
              </w:rPr>
              <w:t>*</w:t>
            </w:r>
          </w:p>
        </w:tc>
        <w:tc>
          <w:tcPr>
            <w:tcW w:w="1800" w:type="dxa"/>
            <w:vAlign w:val="center"/>
          </w:tcPr>
          <w:p w:rsidR="00485094" w:rsidRPr="003B37D3" w:rsidRDefault="00485094" w:rsidP="00774BC4">
            <w:pPr>
              <w:pStyle w:val="Tabletextreduced"/>
              <w:jc w:val="center"/>
              <w:rPr>
                <w:rFonts w:ascii="Arial" w:hAnsi="Arial"/>
                <w:bCs/>
              </w:rPr>
            </w:pPr>
            <w:r w:rsidRPr="003B37D3">
              <w:rPr>
                <w:rFonts w:ascii="Arial" w:hAnsi="Arial"/>
                <w:bCs/>
              </w:rPr>
              <w:t>6.7 - 7.1</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rPr>
              <w:t>127 - 43.5</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rPr>
              <w:t>168 - 168</w:t>
            </w:r>
          </w:p>
        </w:tc>
      </w:tr>
      <w:tr w:rsidR="00485094" w:rsidTr="00774BC4">
        <w:tc>
          <w:tcPr>
            <w:tcW w:w="3258" w:type="dxa"/>
            <w:shd w:val="clear" w:color="auto" w:fill="FFFFCC"/>
            <w:vAlign w:val="center"/>
          </w:tcPr>
          <w:p w:rsidR="00485094" w:rsidRPr="003B37D3" w:rsidRDefault="00485094" w:rsidP="00774BC4">
            <w:pPr>
              <w:pStyle w:val="Tabletextreduced"/>
              <w:jc w:val="center"/>
              <w:rPr>
                <w:rFonts w:ascii="Arial" w:hAnsi="Arial"/>
              </w:rPr>
            </w:pPr>
            <w:r w:rsidRPr="003B37D3">
              <w:rPr>
                <w:rFonts w:ascii="Arial" w:hAnsi="Arial"/>
              </w:rPr>
              <w:t>Pensacola</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rPr>
              <w:t>0.02 - 0.01</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rPr>
              <w:t>0.004 - 0.011</w:t>
            </w:r>
          </w:p>
        </w:tc>
        <w:tc>
          <w:tcPr>
            <w:tcW w:w="180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0.34</w:t>
            </w:r>
            <w:r>
              <w:rPr>
                <w:rFonts w:ascii="Arial" w:hAnsi="Arial"/>
                <w:b/>
                <w:bCs/>
                <w:shd w:val="clear" w:color="auto" w:fill="BFBFBF"/>
              </w:rPr>
              <w:t>**</w:t>
            </w:r>
            <w:r w:rsidRPr="003B37D3">
              <w:rPr>
                <w:rFonts w:ascii="Arial" w:hAnsi="Arial"/>
                <w:bCs/>
              </w:rPr>
              <w:t xml:space="preserve"> - </w:t>
            </w:r>
            <w:r w:rsidRPr="003B37D3">
              <w:rPr>
                <w:rFonts w:ascii="Arial" w:hAnsi="Arial"/>
                <w:b/>
                <w:bCs/>
                <w:shd w:val="clear" w:color="auto" w:fill="BFBFBF"/>
              </w:rPr>
              <w:t>0.19</w:t>
            </w:r>
            <w:r>
              <w:rPr>
                <w:rFonts w:ascii="Arial" w:hAnsi="Arial"/>
                <w:b/>
                <w:bCs/>
                <w:shd w:val="clear" w:color="auto" w:fill="BFBFBF"/>
              </w:rPr>
              <w:t>**</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rPr>
              <w:t xml:space="preserve">87 – </w:t>
            </w:r>
            <w:r w:rsidRPr="003B37D3">
              <w:rPr>
                <w:rFonts w:ascii="Arial" w:hAnsi="Arial"/>
                <w:b/>
                <w:bCs/>
                <w:shd w:val="clear" w:color="auto" w:fill="BFBFBF"/>
              </w:rPr>
              <w:t>860</w:t>
            </w:r>
            <w:r>
              <w:rPr>
                <w:rFonts w:ascii="Arial" w:hAnsi="Arial"/>
                <w:b/>
                <w:bCs/>
                <w:shd w:val="clear" w:color="auto" w:fill="BFBFBF"/>
              </w:rPr>
              <w:t>**</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rPr>
              <w:t>50 - 67.5</w:t>
            </w:r>
          </w:p>
        </w:tc>
      </w:tr>
      <w:tr w:rsidR="00485094" w:rsidTr="00774BC4">
        <w:tc>
          <w:tcPr>
            <w:tcW w:w="3258" w:type="dxa"/>
            <w:shd w:val="clear" w:color="auto" w:fill="FFFFCC"/>
            <w:vAlign w:val="center"/>
          </w:tcPr>
          <w:p w:rsidR="00485094" w:rsidRPr="003B37D3" w:rsidRDefault="00485094" w:rsidP="00774BC4">
            <w:pPr>
              <w:pStyle w:val="Tabletextreduced"/>
              <w:jc w:val="center"/>
              <w:rPr>
                <w:rFonts w:ascii="Arial" w:hAnsi="Arial"/>
              </w:rPr>
            </w:pPr>
            <w:r w:rsidRPr="003B37D3">
              <w:rPr>
                <w:rFonts w:ascii="Arial" w:hAnsi="Arial"/>
              </w:rPr>
              <w:t>Perdido</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0.82</w:t>
            </w:r>
            <w:r>
              <w:rPr>
                <w:rFonts w:ascii="Arial" w:hAnsi="Arial"/>
                <w:bCs/>
                <w:shd w:val="clear" w:color="auto" w:fill="BFBFBF"/>
              </w:rPr>
              <w:t>*</w:t>
            </w:r>
            <w:r w:rsidRPr="003B37D3">
              <w:rPr>
                <w:rFonts w:ascii="Arial" w:hAnsi="Arial"/>
                <w:bCs/>
              </w:rPr>
              <w:t xml:space="preserve"> - </w:t>
            </w:r>
            <w:r w:rsidRPr="003B37D3">
              <w:rPr>
                <w:rFonts w:ascii="Arial" w:hAnsi="Arial"/>
                <w:bCs/>
                <w:shd w:val="clear" w:color="auto" w:fill="BFBFBF"/>
              </w:rPr>
              <w:t>0.35</w:t>
            </w:r>
            <w:r>
              <w:rPr>
                <w:rFonts w:ascii="Arial" w:hAnsi="Arial"/>
                <w:bCs/>
                <w:shd w:val="clear" w:color="auto" w:fill="BFBFBF"/>
              </w:rPr>
              <w:t>*</w:t>
            </w:r>
          </w:p>
        </w:tc>
        <w:tc>
          <w:tcPr>
            <w:tcW w:w="1980" w:type="dxa"/>
            <w:vAlign w:val="center"/>
          </w:tcPr>
          <w:p w:rsidR="00485094" w:rsidRPr="003B37D3" w:rsidRDefault="00485094" w:rsidP="00774BC4">
            <w:pPr>
              <w:pStyle w:val="Tabletextreduced"/>
              <w:jc w:val="center"/>
              <w:rPr>
                <w:rFonts w:ascii="Arial" w:hAnsi="Arial"/>
                <w:bCs/>
              </w:rPr>
            </w:pPr>
            <w:r>
              <w:rPr>
                <w:rFonts w:ascii="Arial" w:hAnsi="Arial"/>
                <w:bCs/>
              </w:rPr>
              <w:t>N/A</w:t>
            </w:r>
            <w:r w:rsidRPr="003B37D3">
              <w:rPr>
                <w:rFonts w:ascii="Arial" w:hAnsi="Arial"/>
                <w:bCs/>
              </w:rPr>
              <w:t xml:space="preserve"> - 0.004</w:t>
            </w:r>
          </w:p>
        </w:tc>
        <w:tc>
          <w:tcPr>
            <w:tcW w:w="1800" w:type="dxa"/>
            <w:vAlign w:val="center"/>
          </w:tcPr>
          <w:p w:rsidR="00485094" w:rsidRPr="003B37D3" w:rsidRDefault="00485094" w:rsidP="00774BC4">
            <w:pPr>
              <w:pStyle w:val="Tabletextreduced"/>
              <w:jc w:val="center"/>
              <w:rPr>
                <w:rFonts w:ascii="Arial" w:hAnsi="Arial"/>
                <w:bCs/>
              </w:rPr>
            </w:pPr>
            <w:r w:rsidRPr="003B37D3">
              <w:rPr>
                <w:rFonts w:ascii="Arial" w:hAnsi="Arial"/>
                <w:bCs/>
              </w:rPr>
              <w:t>6.48 - 6.03</w:t>
            </w:r>
          </w:p>
        </w:tc>
        <w:tc>
          <w:tcPr>
            <w:tcW w:w="1890" w:type="dxa"/>
            <w:vAlign w:val="center"/>
          </w:tcPr>
          <w:p w:rsidR="00485094" w:rsidRPr="003B37D3" w:rsidRDefault="00485094" w:rsidP="00774BC4">
            <w:pPr>
              <w:pStyle w:val="Tabletextreduced"/>
              <w:jc w:val="center"/>
              <w:rPr>
                <w:rFonts w:ascii="Arial" w:hAnsi="Arial"/>
                <w:bCs/>
              </w:rPr>
            </w:pPr>
            <w:r>
              <w:rPr>
                <w:rFonts w:ascii="Arial" w:hAnsi="Arial"/>
                <w:bCs/>
              </w:rPr>
              <w:t>N/A</w:t>
            </w:r>
            <w:r w:rsidRPr="003B37D3">
              <w:rPr>
                <w:rFonts w:ascii="Arial" w:hAnsi="Arial"/>
                <w:bCs/>
              </w:rPr>
              <w:t xml:space="preserve"> – 30</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rPr>
              <w:t>31.5 - 42</w:t>
            </w:r>
          </w:p>
        </w:tc>
      </w:tr>
      <w:tr w:rsidR="00485094" w:rsidTr="00774BC4">
        <w:tc>
          <w:tcPr>
            <w:tcW w:w="3258" w:type="dxa"/>
            <w:shd w:val="clear" w:color="auto" w:fill="FFFFCC"/>
            <w:vAlign w:val="center"/>
          </w:tcPr>
          <w:p w:rsidR="00485094" w:rsidRPr="003B37D3" w:rsidRDefault="00485094" w:rsidP="00774BC4">
            <w:pPr>
              <w:pStyle w:val="Tabletextreduced"/>
              <w:jc w:val="center"/>
              <w:rPr>
                <w:rFonts w:ascii="Arial" w:hAnsi="Arial"/>
              </w:rPr>
            </w:pPr>
            <w:r w:rsidRPr="003B37D3">
              <w:rPr>
                <w:rFonts w:ascii="Arial" w:hAnsi="Arial"/>
              </w:rPr>
              <w:t>Sarasota Bay–Peace–Myakka</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rPr>
              <w:t>0.02 - 0.011</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0.2</w:t>
            </w:r>
            <w:r>
              <w:rPr>
                <w:rFonts w:ascii="Arial" w:hAnsi="Arial"/>
                <w:bCs/>
                <w:shd w:val="clear" w:color="auto" w:fill="BFBFBF"/>
              </w:rPr>
              <w:t>*</w:t>
            </w:r>
            <w:r w:rsidRPr="003B37D3">
              <w:rPr>
                <w:rFonts w:ascii="Arial" w:hAnsi="Arial"/>
                <w:bCs/>
              </w:rPr>
              <w:t xml:space="preserve"> - </w:t>
            </w:r>
            <w:r>
              <w:rPr>
                <w:rFonts w:ascii="Arial" w:hAnsi="Arial"/>
                <w:bCs/>
              </w:rPr>
              <w:t>N/A</w:t>
            </w:r>
          </w:p>
        </w:tc>
        <w:tc>
          <w:tcPr>
            <w:tcW w:w="180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0.50</w:t>
            </w:r>
            <w:r>
              <w:rPr>
                <w:rFonts w:ascii="Arial" w:hAnsi="Arial"/>
                <w:b/>
                <w:bCs/>
                <w:shd w:val="clear" w:color="auto" w:fill="BFBFBF"/>
              </w:rPr>
              <w:t>**</w:t>
            </w:r>
            <w:r w:rsidRPr="003B37D3">
              <w:rPr>
                <w:rFonts w:ascii="Arial" w:hAnsi="Arial"/>
                <w:bCs/>
              </w:rPr>
              <w:t xml:space="preserve"> - </w:t>
            </w:r>
            <w:r w:rsidRPr="003B37D3">
              <w:rPr>
                <w:rFonts w:ascii="Arial" w:hAnsi="Arial"/>
                <w:b/>
                <w:bCs/>
                <w:shd w:val="clear" w:color="auto" w:fill="BFBFBF"/>
              </w:rPr>
              <w:t>0.91</w:t>
            </w:r>
            <w:r>
              <w:rPr>
                <w:rFonts w:ascii="Arial" w:hAnsi="Arial"/>
                <w:b/>
                <w:bCs/>
                <w:shd w:val="clear" w:color="auto" w:fill="BFBFBF"/>
              </w:rPr>
              <w:t>**</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1</w:t>
            </w:r>
            <w:r>
              <w:rPr>
                <w:rFonts w:ascii="Arial" w:hAnsi="Arial"/>
                <w:b/>
                <w:bCs/>
                <w:shd w:val="clear" w:color="auto" w:fill="BFBFBF"/>
              </w:rPr>
              <w:t>,</w:t>
            </w:r>
            <w:r w:rsidRPr="003B37D3">
              <w:rPr>
                <w:rFonts w:ascii="Arial" w:hAnsi="Arial"/>
                <w:b/>
                <w:bCs/>
                <w:shd w:val="clear" w:color="auto" w:fill="BFBFBF"/>
              </w:rPr>
              <w:t>425</w:t>
            </w:r>
            <w:r>
              <w:rPr>
                <w:rFonts w:ascii="Arial" w:hAnsi="Arial"/>
                <w:b/>
                <w:bCs/>
                <w:shd w:val="clear" w:color="auto" w:fill="BFBFBF"/>
              </w:rPr>
              <w:t>**</w:t>
            </w:r>
            <w:r w:rsidRPr="003B37D3">
              <w:rPr>
                <w:rFonts w:ascii="Arial" w:hAnsi="Arial"/>
                <w:bCs/>
              </w:rPr>
              <w:t xml:space="preserve"> - </w:t>
            </w:r>
            <w:r>
              <w:rPr>
                <w:rFonts w:ascii="Arial" w:hAnsi="Arial"/>
                <w:bCs/>
              </w:rPr>
              <w:t>N/A</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rPr>
              <w:t>347 - 305</w:t>
            </w:r>
          </w:p>
        </w:tc>
      </w:tr>
      <w:tr w:rsidR="00485094" w:rsidTr="00774BC4">
        <w:tc>
          <w:tcPr>
            <w:tcW w:w="3258" w:type="dxa"/>
            <w:shd w:val="clear" w:color="auto" w:fill="FFFFCC"/>
            <w:vAlign w:val="center"/>
          </w:tcPr>
          <w:p w:rsidR="00485094" w:rsidRPr="003B37D3" w:rsidRDefault="00485094" w:rsidP="00774BC4">
            <w:pPr>
              <w:pStyle w:val="Tabletextreduced"/>
              <w:jc w:val="center"/>
              <w:rPr>
                <w:rFonts w:ascii="Arial" w:hAnsi="Arial"/>
              </w:rPr>
            </w:pPr>
            <w:r w:rsidRPr="003B37D3">
              <w:rPr>
                <w:rFonts w:ascii="Arial" w:hAnsi="Arial"/>
              </w:rPr>
              <w:t>Southeast Coast–Biscayne Bay</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rPr>
              <w:t>0.015 - 0.05</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rPr>
              <w:t>0.016 - 0.017</w:t>
            </w:r>
          </w:p>
        </w:tc>
        <w:tc>
          <w:tcPr>
            <w:tcW w:w="180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0.46</w:t>
            </w:r>
            <w:r>
              <w:rPr>
                <w:rFonts w:ascii="Arial" w:hAnsi="Arial"/>
                <w:b/>
                <w:bCs/>
                <w:shd w:val="clear" w:color="auto" w:fill="BFBFBF"/>
              </w:rPr>
              <w:t>**</w:t>
            </w:r>
            <w:r w:rsidRPr="003B37D3">
              <w:rPr>
                <w:rFonts w:ascii="Arial" w:hAnsi="Arial"/>
                <w:bCs/>
              </w:rPr>
              <w:t xml:space="preserve"> - </w:t>
            </w:r>
            <w:r w:rsidRPr="003B37D3">
              <w:rPr>
                <w:rFonts w:ascii="Arial" w:hAnsi="Arial"/>
                <w:b/>
                <w:bCs/>
                <w:shd w:val="clear" w:color="auto" w:fill="BFBFBF"/>
              </w:rPr>
              <w:t>0.84</w:t>
            </w:r>
            <w:r>
              <w:rPr>
                <w:rFonts w:ascii="Arial" w:hAnsi="Arial"/>
                <w:b/>
                <w:bCs/>
                <w:shd w:val="clear" w:color="auto" w:fill="BFBFBF"/>
              </w:rPr>
              <w:t>**</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578</w:t>
            </w:r>
            <w:r>
              <w:rPr>
                <w:rFonts w:ascii="Arial" w:hAnsi="Arial"/>
                <w:b/>
                <w:bCs/>
                <w:shd w:val="clear" w:color="auto" w:fill="BFBFBF"/>
              </w:rPr>
              <w:t>**</w:t>
            </w:r>
            <w:r w:rsidRPr="003B37D3">
              <w:rPr>
                <w:rFonts w:ascii="Arial" w:hAnsi="Arial"/>
                <w:bCs/>
              </w:rPr>
              <w:t xml:space="preserve"> – </w:t>
            </w:r>
            <w:r w:rsidRPr="003B37D3">
              <w:rPr>
                <w:rFonts w:ascii="Arial" w:hAnsi="Arial"/>
                <w:b/>
                <w:bCs/>
                <w:shd w:val="clear" w:color="auto" w:fill="BFBFBF"/>
              </w:rPr>
              <w:t>440</w:t>
            </w:r>
            <w:r>
              <w:rPr>
                <w:rFonts w:ascii="Arial" w:hAnsi="Arial"/>
                <w:b/>
                <w:bCs/>
                <w:shd w:val="clear" w:color="auto" w:fill="BFBFBF"/>
              </w:rPr>
              <w:t>**</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1</w:t>
            </w:r>
            <w:r>
              <w:rPr>
                <w:rFonts w:ascii="Arial" w:hAnsi="Arial"/>
                <w:bCs/>
                <w:shd w:val="clear" w:color="auto" w:fill="BFBFBF"/>
              </w:rPr>
              <w:t>,</w:t>
            </w:r>
            <w:r w:rsidRPr="003B37D3">
              <w:rPr>
                <w:rFonts w:ascii="Arial" w:hAnsi="Arial"/>
                <w:bCs/>
                <w:shd w:val="clear" w:color="auto" w:fill="BFBFBF"/>
              </w:rPr>
              <w:t>190</w:t>
            </w:r>
            <w:r>
              <w:rPr>
                <w:rFonts w:ascii="Arial" w:hAnsi="Arial"/>
                <w:bCs/>
                <w:shd w:val="clear" w:color="auto" w:fill="BFBFBF"/>
              </w:rPr>
              <w:t>*</w:t>
            </w:r>
            <w:r w:rsidRPr="003B37D3">
              <w:rPr>
                <w:rFonts w:ascii="Arial" w:hAnsi="Arial"/>
                <w:bCs/>
              </w:rPr>
              <w:t xml:space="preserve"> - </w:t>
            </w:r>
            <w:r w:rsidRPr="003B37D3">
              <w:rPr>
                <w:rFonts w:ascii="Arial" w:hAnsi="Arial"/>
                <w:bCs/>
                <w:shd w:val="clear" w:color="auto" w:fill="BFBFBF"/>
              </w:rPr>
              <w:t>1</w:t>
            </w:r>
            <w:r>
              <w:rPr>
                <w:rFonts w:ascii="Arial" w:hAnsi="Arial"/>
                <w:bCs/>
                <w:shd w:val="clear" w:color="auto" w:fill="BFBFBF"/>
              </w:rPr>
              <w:t>,</w:t>
            </w:r>
            <w:r w:rsidRPr="003B37D3">
              <w:rPr>
                <w:rFonts w:ascii="Arial" w:hAnsi="Arial"/>
                <w:bCs/>
                <w:shd w:val="clear" w:color="auto" w:fill="BFBFBF"/>
              </w:rPr>
              <w:t>070</w:t>
            </w:r>
            <w:r>
              <w:rPr>
                <w:rFonts w:ascii="Arial" w:hAnsi="Arial"/>
                <w:bCs/>
                <w:shd w:val="clear" w:color="auto" w:fill="BFBFBF"/>
              </w:rPr>
              <w:t>*</w:t>
            </w:r>
          </w:p>
        </w:tc>
      </w:tr>
      <w:tr w:rsidR="00485094" w:rsidTr="00774BC4">
        <w:tc>
          <w:tcPr>
            <w:tcW w:w="3258" w:type="dxa"/>
            <w:shd w:val="clear" w:color="auto" w:fill="FFFFCC"/>
            <w:vAlign w:val="center"/>
          </w:tcPr>
          <w:p w:rsidR="00485094" w:rsidRPr="003B37D3" w:rsidRDefault="00485094" w:rsidP="00774BC4">
            <w:pPr>
              <w:pStyle w:val="Tabletextreduced"/>
              <w:jc w:val="center"/>
              <w:rPr>
                <w:rFonts w:ascii="Arial" w:hAnsi="Arial"/>
              </w:rPr>
            </w:pPr>
            <w:r w:rsidRPr="003B37D3">
              <w:rPr>
                <w:rFonts w:ascii="Arial" w:hAnsi="Arial"/>
              </w:rPr>
              <w:t>Springs Coast</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rPr>
              <w:t>0.009 - 0.02</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rPr>
              <w:t xml:space="preserve">0.02 - </w:t>
            </w:r>
            <w:r w:rsidRPr="003B37D3">
              <w:rPr>
                <w:rFonts w:ascii="Arial" w:hAnsi="Arial"/>
                <w:bCs/>
                <w:shd w:val="clear" w:color="auto" w:fill="BFBFBF"/>
              </w:rPr>
              <w:t>0.078</w:t>
            </w:r>
            <w:r>
              <w:rPr>
                <w:rFonts w:ascii="Arial" w:hAnsi="Arial"/>
                <w:bCs/>
                <w:shd w:val="clear" w:color="auto" w:fill="BFBFBF"/>
              </w:rPr>
              <w:t>*</w:t>
            </w:r>
          </w:p>
        </w:tc>
        <w:tc>
          <w:tcPr>
            <w:tcW w:w="180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0.98</w:t>
            </w:r>
            <w:r>
              <w:rPr>
                <w:rFonts w:ascii="Arial" w:hAnsi="Arial"/>
                <w:b/>
                <w:bCs/>
                <w:shd w:val="clear" w:color="auto" w:fill="BFBFBF"/>
              </w:rPr>
              <w:t>**</w:t>
            </w:r>
            <w:r w:rsidRPr="003B37D3">
              <w:rPr>
                <w:rFonts w:ascii="Arial" w:hAnsi="Arial"/>
                <w:bCs/>
              </w:rPr>
              <w:t xml:space="preserve"> - </w:t>
            </w:r>
            <w:r w:rsidRPr="003B37D3">
              <w:rPr>
                <w:rFonts w:ascii="Arial" w:hAnsi="Arial"/>
                <w:b/>
                <w:bCs/>
                <w:shd w:val="clear" w:color="auto" w:fill="BFBFBF"/>
              </w:rPr>
              <w:t>1.02</w:t>
            </w:r>
            <w:r>
              <w:rPr>
                <w:rFonts w:ascii="Arial" w:hAnsi="Arial"/>
                <w:b/>
                <w:bCs/>
                <w:shd w:val="clear" w:color="auto" w:fill="BFBFBF"/>
              </w:rPr>
              <w:t>**</w:t>
            </w:r>
          </w:p>
        </w:tc>
        <w:tc>
          <w:tcPr>
            <w:tcW w:w="1890" w:type="dxa"/>
            <w:vAlign w:val="center"/>
          </w:tcPr>
          <w:p w:rsidR="00485094" w:rsidRPr="003B37D3" w:rsidRDefault="00485094" w:rsidP="00774BC4">
            <w:pPr>
              <w:pStyle w:val="Tabletextreduced"/>
              <w:jc w:val="center"/>
              <w:rPr>
                <w:rFonts w:ascii="Arial" w:hAnsi="Arial"/>
                <w:bCs/>
              </w:rPr>
            </w:pPr>
            <w:r>
              <w:rPr>
                <w:rFonts w:ascii="Arial" w:hAnsi="Arial"/>
                <w:bCs/>
              </w:rPr>
              <w:t>N/A</w:t>
            </w:r>
            <w:r w:rsidRPr="003B37D3">
              <w:rPr>
                <w:rFonts w:ascii="Arial" w:hAnsi="Arial"/>
                <w:bCs/>
              </w:rPr>
              <w:t xml:space="preserve"> – </w:t>
            </w:r>
            <w:r w:rsidRPr="003B37D3">
              <w:rPr>
                <w:rFonts w:ascii="Arial" w:hAnsi="Arial"/>
                <w:b/>
                <w:bCs/>
                <w:shd w:val="clear" w:color="auto" w:fill="BFBFBF"/>
              </w:rPr>
              <w:t>1</w:t>
            </w:r>
            <w:r>
              <w:rPr>
                <w:rFonts w:ascii="Arial" w:hAnsi="Arial"/>
                <w:b/>
                <w:bCs/>
                <w:shd w:val="clear" w:color="auto" w:fill="BFBFBF"/>
              </w:rPr>
              <w:t>,</w:t>
            </w:r>
            <w:r w:rsidRPr="003B37D3">
              <w:rPr>
                <w:rFonts w:ascii="Arial" w:hAnsi="Arial"/>
                <w:b/>
                <w:bCs/>
                <w:shd w:val="clear" w:color="auto" w:fill="BFBFBF"/>
              </w:rPr>
              <w:t>230</w:t>
            </w:r>
            <w:r>
              <w:rPr>
                <w:rFonts w:ascii="Arial" w:hAnsi="Arial"/>
                <w:b/>
                <w:bCs/>
                <w:shd w:val="clear" w:color="auto" w:fill="BFBFBF"/>
              </w:rPr>
              <w:t>**</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655</w:t>
            </w:r>
            <w:r>
              <w:rPr>
                <w:rFonts w:ascii="Arial" w:hAnsi="Arial"/>
                <w:bCs/>
                <w:shd w:val="clear" w:color="auto" w:fill="BFBFBF"/>
              </w:rPr>
              <w:t>*</w:t>
            </w:r>
            <w:r w:rsidRPr="003B37D3">
              <w:rPr>
                <w:rFonts w:ascii="Arial" w:hAnsi="Arial"/>
                <w:bCs/>
              </w:rPr>
              <w:t xml:space="preserve"> – </w:t>
            </w:r>
            <w:r w:rsidRPr="003B37D3">
              <w:rPr>
                <w:rFonts w:ascii="Arial" w:hAnsi="Arial"/>
                <w:bCs/>
                <w:shd w:val="clear" w:color="auto" w:fill="BFBFBF"/>
              </w:rPr>
              <w:t>650</w:t>
            </w:r>
            <w:r>
              <w:rPr>
                <w:rFonts w:ascii="Arial" w:hAnsi="Arial"/>
                <w:bCs/>
                <w:shd w:val="clear" w:color="auto" w:fill="BFBFBF"/>
              </w:rPr>
              <w:t>*</w:t>
            </w:r>
          </w:p>
        </w:tc>
      </w:tr>
      <w:tr w:rsidR="00485094" w:rsidTr="00774BC4">
        <w:tc>
          <w:tcPr>
            <w:tcW w:w="3258" w:type="dxa"/>
            <w:shd w:val="clear" w:color="auto" w:fill="FFFFCC"/>
            <w:vAlign w:val="center"/>
          </w:tcPr>
          <w:p w:rsidR="00485094" w:rsidRPr="003B37D3" w:rsidRDefault="00485094" w:rsidP="00774BC4">
            <w:pPr>
              <w:pStyle w:val="Tabletextreduced"/>
              <w:jc w:val="center"/>
              <w:rPr>
                <w:rFonts w:ascii="Arial" w:hAnsi="Arial"/>
              </w:rPr>
            </w:pPr>
            <w:r w:rsidRPr="003B37D3">
              <w:rPr>
                <w:rFonts w:ascii="Arial" w:hAnsi="Arial"/>
              </w:rPr>
              <w:t>St. Lucie–Loxahatchee</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rPr>
              <w:t>0.02 - 0.04</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0.086</w:t>
            </w:r>
            <w:r>
              <w:rPr>
                <w:rFonts w:ascii="Arial" w:hAnsi="Arial"/>
                <w:bCs/>
                <w:shd w:val="clear" w:color="auto" w:fill="BFBFBF"/>
              </w:rPr>
              <w:t>*</w:t>
            </w:r>
            <w:r w:rsidRPr="003B37D3">
              <w:rPr>
                <w:rFonts w:ascii="Arial" w:hAnsi="Arial"/>
                <w:bCs/>
              </w:rPr>
              <w:t xml:space="preserve"> - </w:t>
            </w:r>
            <w:r>
              <w:rPr>
                <w:rFonts w:ascii="Arial" w:hAnsi="Arial"/>
                <w:bCs/>
              </w:rPr>
              <w:t>N/A</w:t>
            </w:r>
          </w:p>
        </w:tc>
        <w:tc>
          <w:tcPr>
            <w:tcW w:w="180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0.19</w:t>
            </w:r>
            <w:r>
              <w:rPr>
                <w:rFonts w:ascii="Arial" w:hAnsi="Arial"/>
                <w:b/>
                <w:bCs/>
                <w:shd w:val="clear" w:color="auto" w:fill="BFBFBF"/>
              </w:rPr>
              <w:t>**</w:t>
            </w:r>
            <w:r w:rsidRPr="003B37D3">
              <w:rPr>
                <w:rFonts w:ascii="Arial" w:hAnsi="Arial"/>
                <w:bCs/>
              </w:rPr>
              <w:t xml:space="preserve"> - </w:t>
            </w:r>
            <w:r w:rsidRPr="003B37D3">
              <w:rPr>
                <w:rFonts w:ascii="Arial" w:hAnsi="Arial"/>
                <w:b/>
                <w:bCs/>
                <w:shd w:val="clear" w:color="auto" w:fill="BFBFBF"/>
              </w:rPr>
              <w:t>0.20</w:t>
            </w:r>
            <w:r>
              <w:rPr>
                <w:rFonts w:ascii="Arial" w:hAnsi="Arial"/>
                <w:b/>
                <w:bCs/>
                <w:shd w:val="clear" w:color="auto" w:fill="BFBFBF"/>
              </w:rPr>
              <w:t>**</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1</w:t>
            </w:r>
            <w:r>
              <w:rPr>
                <w:rFonts w:ascii="Arial" w:hAnsi="Arial"/>
                <w:b/>
                <w:bCs/>
                <w:shd w:val="clear" w:color="auto" w:fill="BFBFBF"/>
              </w:rPr>
              <w:t>,</w:t>
            </w:r>
            <w:r w:rsidRPr="003B37D3">
              <w:rPr>
                <w:rFonts w:ascii="Arial" w:hAnsi="Arial"/>
                <w:b/>
                <w:bCs/>
                <w:shd w:val="clear" w:color="auto" w:fill="BFBFBF"/>
              </w:rPr>
              <w:t>100</w:t>
            </w:r>
            <w:r>
              <w:rPr>
                <w:rFonts w:ascii="Arial" w:hAnsi="Arial"/>
                <w:b/>
                <w:bCs/>
                <w:shd w:val="clear" w:color="auto" w:fill="BFBFBF"/>
              </w:rPr>
              <w:t>**</w:t>
            </w:r>
            <w:r w:rsidRPr="003B37D3">
              <w:rPr>
                <w:rFonts w:ascii="Arial" w:hAnsi="Arial"/>
                <w:bCs/>
              </w:rPr>
              <w:t xml:space="preserve"> - </w:t>
            </w:r>
            <w:r>
              <w:rPr>
                <w:rFonts w:ascii="Arial" w:hAnsi="Arial"/>
                <w:bCs/>
              </w:rPr>
              <w:t>N/A</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747</w:t>
            </w:r>
            <w:r>
              <w:rPr>
                <w:rFonts w:ascii="Arial" w:hAnsi="Arial"/>
                <w:bCs/>
                <w:shd w:val="clear" w:color="auto" w:fill="BFBFBF"/>
              </w:rPr>
              <w:t>*</w:t>
            </w:r>
            <w:r w:rsidRPr="003B37D3">
              <w:rPr>
                <w:rFonts w:ascii="Arial" w:hAnsi="Arial"/>
                <w:bCs/>
              </w:rPr>
              <w:t xml:space="preserve"> – </w:t>
            </w:r>
            <w:r w:rsidRPr="003B37D3">
              <w:rPr>
                <w:rFonts w:ascii="Arial" w:hAnsi="Arial"/>
                <w:bCs/>
                <w:shd w:val="clear" w:color="auto" w:fill="BFBFBF"/>
              </w:rPr>
              <w:t>745</w:t>
            </w:r>
            <w:r>
              <w:rPr>
                <w:rFonts w:ascii="Arial" w:hAnsi="Arial"/>
                <w:bCs/>
                <w:shd w:val="clear" w:color="auto" w:fill="BFBFBF"/>
              </w:rPr>
              <w:t>*</w:t>
            </w:r>
          </w:p>
        </w:tc>
      </w:tr>
      <w:tr w:rsidR="00485094" w:rsidTr="00774BC4">
        <w:tc>
          <w:tcPr>
            <w:tcW w:w="3258" w:type="dxa"/>
            <w:shd w:val="clear" w:color="auto" w:fill="FFFFCC"/>
            <w:vAlign w:val="center"/>
          </w:tcPr>
          <w:p w:rsidR="00485094" w:rsidRPr="003B37D3" w:rsidRDefault="00485094" w:rsidP="00774BC4">
            <w:pPr>
              <w:pStyle w:val="Tabletextreduced"/>
              <w:jc w:val="center"/>
              <w:rPr>
                <w:rFonts w:ascii="Arial" w:hAnsi="Arial"/>
              </w:rPr>
            </w:pPr>
            <w:r w:rsidRPr="003B37D3">
              <w:rPr>
                <w:rFonts w:ascii="Arial" w:hAnsi="Arial"/>
              </w:rPr>
              <w:t>Suwannee</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rPr>
              <w:t>0.03 - 0.29</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0.082</w:t>
            </w:r>
            <w:r>
              <w:rPr>
                <w:rFonts w:ascii="Arial" w:hAnsi="Arial"/>
                <w:bCs/>
                <w:shd w:val="clear" w:color="auto" w:fill="BFBFBF"/>
              </w:rPr>
              <w:t>*</w:t>
            </w:r>
            <w:r w:rsidRPr="003B37D3">
              <w:rPr>
                <w:rFonts w:ascii="Arial" w:hAnsi="Arial"/>
                <w:bCs/>
              </w:rPr>
              <w:t xml:space="preserve"> - </w:t>
            </w:r>
            <w:r w:rsidRPr="003B37D3">
              <w:rPr>
                <w:rFonts w:ascii="Arial" w:hAnsi="Arial"/>
                <w:bCs/>
                <w:shd w:val="clear" w:color="auto" w:fill="BFBFBF"/>
              </w:rPr>
              <w:t>0.033</w:t>
            </w:r>
            <w:r>
              <w:rPr>
                <w:rFonts w:ascii="Arial" w:hAnsi="Arial"/>
                <w:bCs/>
                <w:shd w:val="clear" w:color="auto" w:fill="BFBFBF"/>
              </w:rPr>
              <w:t>*</w:t>
            </w:r>
          </w:p>
        </w:tc>
        <w:tc>
          <w:tcPr>
            <w:tcW w:w="180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4.09</w:t>
            </w:r>
            <w:r>
              <w:rPr>
                <w:rFonts w:ascii="Arial" w:hAnsi="Arial"/>
                <w:b/>
                <w:bCs/>
                <w:shd w:val="clear" w:color="auto" w:fill="BFBFBF"/>
              </w:rPr>
              <w:t>**</w:t>
            </w:r>
            <w:r w:rsidRPr="003B37D3">
              <w:rPr>
                <w:rFonts w:ascii="Arial" w:hAnsi="Arial"/>
                <w:bCs/>
              </w:rPr>
              <w:t xml:space="preserve"> - </w:t>
            </w:r>
            <w:r w:rsidRPr="003B37D3">
              <w:rPr>
                <w:rFonts w:ascii="Arial" w:hAnsi="Arial"/>
                <w:b/>
                <w:bCs/>
                <w:shd w:val="clear" w:color="auto" w:fill="BFBFBF"/>
              </w:rPr>
              <w:t>4.6</w:t>
            </w:r>
            <w:r>
              <w:rPr>
                <w:rFonts w:ascii="Arial" w:hAnsi="Arial"/>
                <w:b/>
                <w:bCs/>
                <w:shd w:val="clear" w:color="auto" w:fill="BFBFBF"/>
              </w:rPr>
              <w:t>**</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454.5</w:t>
            </w:r>
            <w:r>
              <w:rPr>
                <w:rFonts w:ascii="Arial" w:hAnsi="Arial"/>
                <w:b/>
                <w:bCs/>
                <w:shd w:val="clear" w:color="auto" w:fill="BFBFBF"/>
              </w:rPr>
              <w:t>**</w:t>
            </w:r>
            <w:r w:rsidRPr="003B37D3">
              <w:rPr>
                <w:rFonts w:ascii="Arial" w:hAnsi="Arial"/>
                <w:bCs/>
              </w:rPr>
              <w:t xml:space="preserve"> - 111.5</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rPr>
              <w:t xml:space="preserve">373 – </w:t>
            </w:r>
            <w:r w:rsidRPr="003B37D3">
              <w:rPr>
                <w:rFonts w:ascii="Arial" w:hAnsi="Arial"/>
                <w:bCs/>
                <w:shd w:val="clear" w:color="auto" w:fill="BFBFBF"/>
              </w:rPr>
              <w:t>412</w:t>
            </w:r>
            <w:r>
              <w:rPr>
                <w:rFonts w:ascii="Arial" w:hAnsi="Arial"/>
                <w:bCs/>
                <w:shd w:val="clear" w:color="auto" w:fill="BFBFBF"/>
              </w:rPr>
              <w:t>*</w:t>
            </w:r>
          </w:p>
        </w:tc>
      </w:tr>
      <w:tr w:rsidR="00485094" w:rsidTr="00774BC4">
        <w:tc>
          <w:tcPr>
            <w:tcW w:w="3258" w:type="dxa"/>
            <w:shd w:val="clear" w:color="auto" w:fill="FFFFCC"/>
            <w:vAlign w:val="center"/>
          </w:tcPr>
          <w:p w:rsidR="00485094" w:rsidRPr="003B37D3" w:rsidRDefault="00485094" w:rsidP="00774BC4">
            <w:pPr>
              <w:pStyle w:val="Tabletextreduced"/>
              <w:jc w:val="center"/>
              <w:rPr>
                <w:rFonts w:ascii="Arial" w:hAnsi="Arial"/>
              </w:rPr>
            </w:pPr>
            <w:r w:rsidRPr="003B37D3">
              <w:rPr>
                <w:rFonts w:ascii="Arial" w:hAnsi="Arial"/>
              </w:rPr>
              <w:t>Tampa Bay</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rPr>
              <w:t>0.029 - 0.08</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rPr>
              <w:t>0.025</w:t>
            </w:r>
            <w:r>
              <w:rPr>
                <w:rFonts w:ascii="Arial" w:hAnsi="Arial"/>
                <w:bCs/>
                <w:shd w:val="clear" w:color="auto" w:fill="BFBFBF"/>
              </w:rPr>
              <w:t>*</w:t>
            </w:r>
            <w:r w:rsidRPr="003B37D3">
              <w:rPr>
                <w:rFonts w:ascii="Arial" w:hAnsi="Arial"/>
                <w:bCs/>
              </w:rPr>
              <w:t xml:space="preserve"> - </w:t>
            </w:r>
            <w:r w:rsidRPr="003B37D3">
              <w:rPr>
                <w:rFonts w:ascii="Arial" w:hAnsi="Arial"/>
                <w:bCs/>
                <w:shd w:val="clear" w:color="auto" w:fill="BFBFBF"/>
              </w:rPr>
              <w:t>0.11</w:t>
            </w:r>
            <w:r>
              <w:rPr>
                <w:rFonts w:ascii="Arial" w:hAnsi="Arial"/>
                <w:bCs/>
                <w:shd w:val="clear" w:color="auto" w:fill="BFBFBF"/>
              </w:rPr>
              <w:t>*</w:t>
            </w:r>
          </w:p>
        </w:tc>
        <w:tc>
          <w:tcPr>
            <w:tcW w:w="180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0.52</w:t>
            </w:r>
            <w:r>
              <w:rPr>
                <w:rFonts w:ascii="Arial" w:hAnsi="Arial"/>
                <w:b/>
                <w:bCs/>
                <w:shd w:val="clear" w:color="auto" w:fill="BFBFBF"/>
              </w:rPr>
              <w:t>**</w:t>
            </w:r>
            <w:r w:rsidRPr="003B37D3">
              <w:rPr>
                <w:rFonts w:ascii="Arial" w:hAnsi="Arial"/>
                <w:bCs/>
              </w:rPr>
              <w:t xml:space="preserve"> - </w:t>
            </w:r>
            <w:r w:rsidRPr="003B37D3">
              <w:rPr>
                <w:rFonts w:ascii="Arial" w:hAnsi="Arial"/>
                <w:b/>
                <w:bCs/>
                <w:shd w:val="clear" w:color="auto" w:fill="BFBFBF"/>
              </w:rPr>
              <w:t>1.8</w:t>
            </w:r>
            <w:r>
              <w:rPr>
                <w:rFonts w:ascii="Arial" w:hAnsi="Arial"/>
                <w:b/>
                <w:bCs/>
                <w:shd w:val="clear" w:color="auto" w:fill="BFBFBF"/>
              </w:rPr>
              <w:t>**</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389</w:t>
            </w:r>
            <w:r>
              <w:rPr>
                <w:rFonts w:ascii="Arial" w:hAnsi="Arial"/>
                <w:b/>
                <w:bCs/>
                <w:shd w:val="clear" w:color="auto" w:fill="BFBFBF"/>
              </w:rPr>
              <w:t>**</w:t>
            </w:r>
            <w:r w:rsidRPr="003B37D3">
              <w:rPr>
                <w:rFonts w:ascii="Arial" w:hAnsi="Arial"/>
                <w:bCs/>
              </w:rPr>
              <w:t xml:space="preserve"> - </w:t>
            </w:r>
            <w:r w:rsidRPr="003B37D3">
              <w:rPr>
                <w:rFonts w:ascii="Arial" w:hAnsi="Arial"/>
                <w:bCs/>
                <w:shd w:val="clear" w:color="auto" w:fill="BFBFBF"/>
              </w:rPr>
              <w:t>260</w:t>
            </w:r>
            <w:r>
              <w:rPr>
                <w:rFonts w:ascii="Arial" w:hAnsi="Arial"/>
                <w:bCs/>
                <w:shd w:val="clear" w:color="auto" w:fill="BFBFBF"/>
              </w:rPr>
              <w:t>*</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rPr>
              <w:t>120 – 58</w:t>
            </w:r>
          </w:p>
        </w:tc>
      </w:tr>
      <w:tr w:rsidR="00485094" w:rsidTr="00774BC4">
        <w:tc>
          <w:tcPr>
            <w:tcW w:w="3258" w:type="dxa"/>
            <w:shd w:val="clear" w:color="auto" w:fill="FFFFCC"/>
            <w:vAlign w:val="center"/>
          </w:tcPr>
          <w:p w:rsidR="00485094" w:rsidRPr="003B37D3" w:rsidRDefault="00485094" w:rsidP="00774BC4">
            <w:pPr>
              <w:pStyle w:val="Tabletextreduced"/>
              <w:jc w:val="center"/>
              <w:rPr>
                <w:rFonts w:ascii="Arial" w:hAnsi="Arial"/>
              </w:rPr>
            </w:pPr>
            <w:r w:rsidRPr="003B37D3">
              <w:rPr>
                <w:rFonts w:ascii="Arial" w:hAnsi="Arial"/>
              </w:rPr>
              <w:t>Tampa Bay Tributaries</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rPr>
              <w:t>0.01 - 0.003</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0.05</w:t>
            </w:r>
            <w:r>
              <w:rPr>
                <w:rFonts w:ascii="Arial" w:hAnsi="Arial"/>
                <w:bCs/>
                <w:shd w:val="clear" w:color="auto" w:fill="BFBFBF"/>
              </w:rPr>
              <w:t>*</w:t>
            </w:r>
            <w:r w:rsidRPr="003B37D3">
              <w:rPr>
                <w:rFonts w:ascii="Arial" w:hAnsi="Arial"/>
                <w:bCs/>
              </w:rPr>
              <w:t xml:space="preserve"> - </w:t>
            </w:r>
            <w:r w:rsidRPr="003B37D3">
              <w:rPr>
                <w:rFonts w:ascii="Arial" w:hAnsi="Arial"/>
                <w:bCs/>
                <w:shd w:val="clear" w:color="auto" w:fill="BFBFBF"/>
              </w:rPr>
              <w:t>0.064</w:t>
            </w:r>
            <w:r>
              <w:rPr>
                <w:rFonts w:ascii="Arial" w:hAnsi="Arial"/>
                <w:bCs/>
                <w:shd w:val="clear" w:color="auto" w:fill="BFBFBF"/>
              </w:rPr>
              <w:t>*</w:t>
            </w:r>
          </w:p>
        </w:tc>
        <w:tc>
          <w:tcPr>
            <w:tcW w:w="180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0.5</w:t>
            </w:r>
            <w:r>
              <w:rPr>
                <w:rFonts w:ascii="Arial" w:hAnsi="Arial"/>
                <w:b/>
                <w:bCs/>
                <w:shd w:val="clear" w:color="auto" w:fill="BFBFBF"/>
              </w:rPr>
              <w:t>**</w:t>
            </w:r>
            <w:r w:rsidRPr="003B37D3">
              <w:rPr>
                <w:rFonts w:ascii="Arial" w:hAnsi="Arial"/>
                <w:bCs/>
              </w:rPr>
              <w:t xml:space="preserve"> - </w:t>
            </w:r>
            <w:r w:rsidRPr="003B37D3">
              <w:rPr>
                <w:rFonts w:ascii="Arial" w:hAnsi="Arial"/>
                <w:b/>
                <w:bCs/>
                <w:shd w:val="clear" w:color="auto" w:fill="BFBFBF"/>
              </w:rPr>
              <w:t>1.1</w:t>
            </w:r>
            <w:r>
              <w:rPr>
                <w:rFonts w:ascii="Arial" w:hAnsi="Arial"/>
                <w:b/>
                <w:bCs/>
                <w:shd w:val="clear" w:color="auto" w:fill="BFBFBF"/>
              </w:rPr>
              <w:t>**</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881</w:t>
            </w:r>
            <w:r>
              <w:rPr>
                <w:rFonts w:ascii="Arial" w:hAnsi="Arial"/>
                <w:b/>
                <w:bCs/>
                <w:shd w:val="clear" w:color="auto" w:fill="BFBFBF"/>
              </w:rPr>
              <w:t>**</w:t>
            </w:r>
            <w:r w:rsidRPr="003B37D3">
              <w:rPr>
                <w:rFonts w:ascii="Arial" w:hAnsi="Arial"/>
                <w:bCs/>
              </w:rPr>
              <w:t xml:space="preserve"> - </w:t>
            </w:r>
            <w:r>
              <w:rPr>
                <w:rFonts w:ascii="Arial" w:hAnsi="Arial"/>
                <w:bCs/>
              </w:rPr>
              <w:t>N/A</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416</w:t>
            </w:r>
            <w:r>
              <w:rPr>
                <w:rFonts w:ascii="Arial" w:hAnsi="Arial"/>
                <w:bCs/>
                <w:shd w:val="clear" w:color="auto" w:fill="BFBFBF"/>
              </w:rPr>
              <w:t>*</w:t>
            </w:r>
            <w:r w:rsidRPr="003B37D3">
              <w:rPr>
                <w:rFonts w:ascii="Arial" w:hAnsi="Arial"/>
                <w:bCs/>
              </w:rPr>
              <w:t xml:space="preserve"> - </w:t>
            </w:r>
            <w:r w:rsidRPr="003B37D3">
              <w:rPr>
                <w:rFonts w:ascii="Arial" w:hAnsi="Arial"/>
                <w:bCs/>
                <w:shd w:val="clear" w:color="auto" w:fill="BFBFBF"/>
              </w:rPr>
              <w:t>417</w:t>
            </w:r>
            <w:r>
              <w:rPr>
                <w:rFonts w:ascii="Arial" w:hAnsi="Arial"/>
                <w:bCs/>
                <w:shd w:val="clear" w:color="auto" w:fill="BFBFBF"/>
              </w:rPr>
              <w:t>*</w:t>
            </w:r>
          </w:p>
        </w:tc>
      </w:tr>
      <w:tr w:rsidR="00485094" w:rsidTr="00774BC4">
        <w:tc>
          <w:tcPr>
            <w:tcW w:w="3258" w:type="dxa"/>
            <w:shd w:val="clear" w:color="auto" w:fill="FFFFCC"/>
            <w:vAlign w:val="center"/>
          </w:tcPr>
          <w:p w:rsidR="00485094" w:rsidRPr="003B37D3" w:rsidRDefault="00485094" w:rsidP="00774BC4">
            <w:pPr>
              <w:pStyle w:val="Tabletextreduced"/>
              <w:jc w:val="center"/>
              <w:rPr>
                <w:rFonts w:ascii="Arial" w:hAnsi="Arial"/>
              </w:rPr>
            </w:pPr>
            <w:r w:rsidRPr="003B37D3">
              <w:rPr>
                <w:rFonts w:ascii="Arial" w:hAnsi="Arial"/>
              </w:rPr>
              <w:t>Upper East Coast</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rPr>
              <w:t>0.02 - 0.012</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1.1</w:t>
            </w:r>
            <w:r>
              <w:rPr>
                <w:rFonts w:ascii="Arial" w:hAnsi="Arial"/>
                <w:bCs/>
                <w:shd w:val="clear" w:color="auto" w:fill="BFBFBF"/>
              </w:rPr>
              <w:t>*</w:t>
            </w:r>
            <w:r w:rsidRPr="003B37D3">
              <w:rPr>
                <w:rFonts w:ascii="Arial" w:hAnsi="Arial"/>
                <w:bCs/>
              </w:rPr>
              <w:t xml:space="preserve"> - </w:t>
            </w:r>
            <w:r w:rsidRPr="003B37D3">
              <w:rPr>
                <w:rFonts w:ascii="Arial" w:hAnsi="Arial"/>
                <w:bCs/>
                <w:shd w:val="clear" w:color="auto" w:fill="BFBFBF"/>
              </w:rPr>
              <w:t>0.26</w:t>
            </w:r>
            <w:r>
              <w:rPr>
                <w:rFonts w:ascii="Arial" w:hAnsi="Arial"/>
                <w:bCs/>
                <w:shd w:val="clear" w:color="auto" w:fill="BFBFBF"/>
              </w:rPr>
              <w:t>*</w:t>
            </w:r>
          </w:p>
        </w:tc>
        <w:tc>
          <w:tcPr>
            <w:tcW w:w="180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0.32</w:t>
            </w:r>
            <w:r>
              <w:rPr>
                <w:rFonts w:ascii="Arial" w:hAnsi="Arial"/>
                <w:b/>
                <w:bCs/>
                <w:shd w:val="clear" w:color="auto" w:fill="BFBFBF"/>
              </w:rPr>
              <w:t>**</w:t>
            </w:r>
            <w:r w:rsidRPr="003B37D3">
              <w:rPr>
                <w:rFonts w:ascii="Arial" w:hAnsi="Arial"/>
                <w:bCs/>
              </w:rPr>
              <w:t xml:space="preserve"> - </w:t>
            </w:r>
            <w:r w:rsidRPr="003B37D3">
              <w:rPr>
                <w:rFonts w:ascii="Arial" w:hAnsi="Arial"/>
                <w:b/>
                <w:bCs/>
                <w:shd w:val="clear" w:color="auto" w:fill="BFBFBF"/>
              </w:rPr>
              <w:t>0.54</w:t>
            </w:r>
            <w:r>
              <w:rPr>
                <w:rFonts w:ascii="Arial" w:hAnsi="Arial"/>
                <w:b/>
                <w:bCs/>
                <w:shd w:val="clear" w:color="auto" w:fill="BFBFBF"/>
              </w:rPr>
              <w:t>**</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rPr>
              <w:t xml:space="preserve">55 - </w:t>
            </w:r>
            <w:r w:rsidRPr="003B37D3">
              <w:rPr>
                <w:rFonts w:ascii="Arial" w:hAnsi="Arial"/>
                <w:b/>
                <w:bCs/>
                <w:shd w:val="clear" w:color="auto" w:fill="BFBFBF"/>
              </w:rPr>
              <w:t>820</w:t>
            </w:r>
            <w:r>
              <w:rPr>
                <w:rFonts w:ascii="Arial" w:hAnsi="Arial"/>
                <w:b/>
                <w:bCs/>
                <w:shd w:val="clear" w:color="auto" w:fill="BFBFBF"/>
              </w:rPr>
              <w:t>**</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467</w:t>
            </w:r>
            <w:r>
              <w:rPr>
                <w:rFonts w:ascii="Arial" w:hAnsi="Arial"/>
                <w:bCs/>
                <w:shd w:val="clear" w:color="auto" w:fill="BFBFBF"/>
              </w:rPr>
              <w:t>*</w:t>
            </w:r>
            <w:r w:rsidRPr="003B37D3">
              <w:rPr>
                <w:rFonts w:ascii="Arial" w:hAnsi="Arial"/>
                <w:bCs/>
              </w:rPr>
              <w:t xml:space="preserve"> – 739</w:t>
            </w:r>
          </w:p>
        </w:tc>
      </w:tr>
      <w:tr w:rsidR="00485094" w:rsidTr="00774BC4">
        <w:tc>
          <w:tcPr>
            <w:tcW w:w="3258" w:type="dxa"/>
            <w:shd w:val="clear" w:color="auto" w:fill="FFFFCC"/>
            <w:vAlign w:val="center"/>
          </w:tcPr>
          <w:p w:rsidR="00485094" w:rsidRPr="003B37D3" w:rsidRDefault="00485094" w:rsidP="00774BC4">
            <w:pPr>
              <w:pStyle w:val="Tabletextreduced"/>
              <w:jc w:val="center"/>
              <w:rPr>
                <w:rFonts w:ascii="Arial" w:hAnsi="Arial"/>
              </w:rPr>
            </w:pPr>
            <w:r w:rsidRPr="003B37D3">
              <w:rPr>
                <w:rFonts w:ascii="Arial" w:hAnsi="Arial"/>
              </w:rPr>
              <w:t>Upper St. Johns</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rPr>
              <w:t>0.004 - 0.025</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0.25</w:t>
            </w:r>
            <w:r>
              <w:rPr>
                <w:rFonts w:ascii="Arial" w:hAnsi="Arial"/>
                <w:bCs/>
                <w:shd w:val="clear" w:color="auto" w:fill="BFBFBF"/>
              </w:rPr>
              <w:t>*</w:t>
            </w:r>
            <w:r w:rsidRPr="003B37D3">
              <w:rPr>
                <w:rFonts w:ascii="Arial" w:hAnsi="Arial"/>
                <w:bCs/>
              </w:rPr>
              <w:t xml:space="preserve"> - </w:t>
            </w:r>
            <w:r w:rsidRPr="003B37D3">
              <w:rPr>
                <w:rFonts w:ascii="Arial" w:hAnsi="Arial"/>
                <w:bCs/>
                <w:shd w:val="clear" w:color="auto" w:fill="BFBFBF"/>
              </w:rPr>
              <w:t>0.059</w:t>
            </w:r>
            <w:r>
              <w:rPr>
                <w:rFonts w:ascii="Arial" w:hAnsi="Arial"/>
                <w:bCs/>
                <w:shd w:val="clear" w:color="auto" w:fill="BFBFBF"/>
              </w:rPr>
              <w:t>*</w:t>
            </w:r>
          </w:p>
        </w:tc>
        <w:tc>
          <w:tcPr>
            <w:tcW w:w="180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0.63</w:t>
            </w:r>
            <w:r>
              <w:rPr>
                <w:rFonts w:ascii="Arial" w:hAnsi="Arial"/>
                <w:b/>
                <w:bCs/>
                <w:shd w:val="clear" w:color="auto" w:fill="BFBFBF"/>
              </w:rPr>
              <w:t>**</w:t>
            </w:r>
            <w:r w:rsidRPr="003B37D3">
              <w:rPr>
                <w:rFonts w:ascii="Arial" w:hAnsi="Arial"/>
                <w:bCs/>
              </w:rPr>
              <w:t xml:space="preserve"> - </w:t>
            </w:r>
            <w:r w:rsidRPr="003B37D3">
              <w:rPr>
                <w:rFonts w:ascii="Arial" w:hAnsi="Arial"/>
                <w:b/>
                <w:bCs/>
                <w:shd w:val="clear" w:color="auto" w:fill="BFBFBF"/>
              </w:rPr>
              <w:t>1.0</w:t>
            </w:r>
            <w:r>
              <w:rPr>
                <w:rFonts w:ascii="Arial" w:hAnsi="Arial"/>
                <w:b/>
                <w:bCs/>
                <w:shd w:val="clear" w:color="auto" w:fill="BFBFBF"/>
              </w:rPr>
              <w:t>**</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805.5</w:t>
            </w:r>
            <w:r>
              <w:rPr>
                <w:rFonts w:ascii="Arial" w:hAnsi="Arial"/>
                <w:b/>
                <w:bCs/>
                <w:shd w:val="clear" w:color="auto" w:fill="BFBFBF"/>
              </w:rPr>
              <w:t>**</w:t>
            </w:r>
            <w:r w:rsidRPr="003B37D3">
              <w:rPr>
                <w:rFonts w:ascii="Arial" w:hAnsi="Arial"/>
                <w:bCs/>
              </w:rPr>
              <w:t xml:space="preserve"> - </w:t>
            </w:r>
            <w:r w:rsidRPr="003B37D3">
              <w:rPr>
                <w:rFonts w:ascii="Arial" w:hAnsi="Arial"/>
                <w:b/>
                <w:bCs/>
                <w:shd w:val="clear" w:color="auto" w:fill="BFBFBF"/>
              </w:rPr>
              <w:t>382.5</w:t>
            </w:r>
            <w:r>
              <w:rPr>
                <w:rFonts w:ascii="Arial" w:hAnsi="Arial"/>
                <w:b/>
                <w:bCs/>
                <w:shd w:val="clear" w:color="auto" w:fill="BFBFBF"/>
              </w:rPr>
              <w:t>**</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559</w:t>
            </w:r>
            <w:r>
              <w:rPr>
                <w:rFonts w:ascii="Arial" w:hAnsi="Arial"/>
                <w:bCs/>
                <w:shd w:val="clear" w:color="auto" w:fill="BFBFBF"/>
              </w:rPr>
              <w:t>*</w:t>
            </w:r>
            <w:r w:rsidRPr="003B37D3">
              <w:rPr>
                <w:rFonts w:ascii="Arial" w:hAnsi="Arial"/>
                <w:bCs/>
              </w:rPr>
              <w:t xml:space="preserve"> – </w:t>
            </w:r>
            <w:r w:rsidRPr="003B37D3">
              <w:rPr>
                <w:rFonts w:ascii="Arial" w:hAnsi="Arial"/>
                <w:bCs/>
                <w:shd w:val="clear" w:color="auto" w:fill="BFBFBF"/>
              </w:rPr>
              <w:t>1</w:t>
            </w:r>
            <w:r>
              <w:rPr>
                <w:rFonts w:ascii="Arial" w:hAnsi="Arial"/>
                <w:bCs/>
                <w:shd w:val="clear" w:color="auto" w:fill="BFBFBF"/>
              </w:rPr>
              <w:t>,</w:t>
            </w:r>
            <w:r w:rsidRPr="003B37D3">
              <w:rPr>
                <w:rFonts w:ascii="Arial" w:hAnsi="Arial"/>
                <w:bCs/>
                <w:shd w:val="clear" w:color="auto" w:fill="BFBFBF"/>
              </w:rPr>
              <w:t>830</w:t>
            </w:r>
            <w:r>
              <w:rPr>
                <w:rFonts w:ascii="Arial" w:hAnsi="Arial"/>
                <w:bCs/>
                <w:shd w:val="clear" w:color="auto" w:fill="BFBFBF"/>
              </w:rPr>
              <w:t>*</w:t>
            </w:r>
          </w:p>
        </w:tc>
      </w:tr>
      <w:tr w:rsidR="00485094" w:rsidTr="00774BC4">
        <w:tc>
          <w:tcPr>
            <w:tcW w:w="3258" w:type="dxa"/>
            <w:shd w:val="clear" w:color="auto" w:fill="FFFFCC"/>
            <w:vAlign w:val="center"/>
          </w:tcPr>
          <w:p w:rsidR="00485094" w:rsidRPr="003B37D3" w:rsidRDefault="00485094" w:rsidP="00774BC4">
            <w:pPr>
              <w:pStyle w:val="Tabletextreduced"/>
              <w:jc w:val="center"/>
              <w:rPr>
                <w:rFonts w:ascii="Arial" w:hAnsi="Arial"/>
              </w:rPr>
            </w:pPr>
            <w:r w:rsidRPr="003B37D3">
              <w:rPr>
                <w:rFonts w:ascii="Arial" w:hAnsi="Arial"/>
              </w:rPr>
              <w:t>Withlacoochee</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Cs/>
              </w:rPr>
              <w:t>0.02 - 0.04</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0.12</w:t>
            </w:r>
            <w:r>
              <w:rPr>
                <w:rFonts w:ascii="Arial" w:hAnsi="Arial"/>
                <w:bCs/>
                <w:shd w:val="clear" w:color="auto" w:fill="BFBFBF"/>
              </w:rPr>
              <w:t>*</w:t>
            </w:r>
            <w:r w:rsidRPr="003B37D3">
              <w:rPr>
                <w:rFonts w:ascii="Arial" w:hAnsi="Arial"/>
                <w:bCs/>
              </w:rPr>
              <w:t xml:space="preserve"> - </w:t>
            </w:r>
            <w:r w:rsidRPr="003B37D3">
              <w:rPr>
                <w:rFonts w:ascii="Arial" w:hAnsi="Arial"/>
                <w:bCs/>
                <w:shd w:val="clear" w:color="auto" w:fill="BFBFBF"/>
              </w:rPr>
              <w:t>0.45</w:t>
            </w:r>
            <w:r>
              <w:rPr>
                <w:rFonts w:ascii="Arial" w:hAnsi="Arial"/>
                <w:bCs/>
                <w:shd w:val="clear" w:color="auto" w:fill="BFBFBF"/>
              </w:rPr>
              <w:t>*</w:t>
            </w:r>
          </w:p>
        </w:tc>
        <w:tc>
          <w:tcPr>
            <w:tcW w:w="180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0.85</w:t>
            </w:r>
            <w:r>
              <w:rPr>
                <w:rFonts w:ascii="Arial" w:hAnsi="Arial"/>
                <w:b/>
                <w:bCs/>
                <w:shd w:val="clear" w:color="auto" w:fill="BFBFBF"/>
              </w:rPr>
              <w:t>**</w:t>
            </w:r>
            <w:r w:rsidRPr="003B37D3">
              <w:rPr>
                <w:rFonts w:ascii="Arial" w:hAnsi="Arial"/>
                <w:bCs/>
              </w:rPr>
              <w:t xml:space="preserve"> - </w:t>
            </w:r>
            <w:r w:rsidRPr="003B37D3">
              <w:rPr>
                <w:rFonts w:ascii="Arial" w:hAnsi="Arial"/>
                <w:b/>
                <w:bCs/>
                <w:shd w:val="clear" w:color="auto" w:fill="BFBFBF"/>
              </w:rPr>
              <w:t>1.3</w:t>
            </w:r>
            <w:r>
              <w:rPr>
                <w:rFonts w:ascii="Arial" w:hAnsi="Arial"/>
                <w:b/>
                <w:bCs/>
                <w:shd w:val="clear" w:color="auto" w:fill="BFBFBF"/>
              </w:rPr>
              <w:t>**</w:t>
            </w:r>
          </w:p>
        </w:tc>
        <w:tc>
          <w:tcPr>
            <w:tcW w:w="1890" w:type="dxa"/>
            <w:vAlign w:val="center"/>
          </w:tcPr>
          <w:p w:rsidR="00485094" w:rsidRPr="003B37D3" w:rsidRDefault="00485094" w:rsidP="00774BC4">
            <w:pPr>
              <w:pStyle w:val="Tabletextreduced"/>
              <w:jc w:val="center"/>
              <w:rPr>
                <w:rFonts w:ascii="Arial" w:hAnsi="Arial"/>
                <w:bCs/>
              </w:rPr>
            </w:pPr>
            <w:r w:rsidRPr="003B37D3">
              <w:rPr>
                <w:rFonts w:ascii="Arial" w:hAnsi="Arial"/>
                <w:b/>
                <w:bCs/>
                <w:shd w:val="clear" w:color="auto" w:fill="BFBFBF"/>
              </w:rPr>
              <w:t>756</w:t>
            </w:r>
            <w:r>
              <w:rPr>
                <w:rFonts w:ascii="Arial" w:hAnsi="Arial"/>
                <w:b/>
                <w:bCs/>
                <w:shd w:val="clear" w:color="auto" w:fill="BFBFBF"/>
              </w:rPr>
              <w:t>**</w:t>
            </w:r>
            <w:r w:rsidRPr="003B37D3">
              <w:rPr>
                <w:rFonts w:ascii="Arial" w:hAnsi="Arial"/>
                <w:bCs/>
              </w:rPr>
              <w:t xml:space="preserve"> - </w:t>
            </w:r>
            <w:r w:rsidRPr="003B37D3">
              <w:rPr>
                <w:rFonts w:ascii="Arial" w:hAnsi="Arial"/>
                <w:b/>
                <w:bCs/>
                <w:shd w:val="clear" w:color="auto" w:fill="BFBFBF"/>
              </w:rPr>
              <w:t>1</w:t>
            </w:r>
            <w:r>
              <w:rPr>
                <w:rFonts w:ascii="Arial" w:hAnsi="Arial"/>
                <w:b/>
                <w:bCs/>
                <w:shd w:val="clear" w:color="auto" w:fill="BFBFBF"/>
              </w:rPr>
              <w:t>,</w:t>
            </w:r>
            <w:r w:rsidRPr="003B37D3">
              <w:rPr>
                <w:rFonts w:ascii="Arial" w:hAnsi="Arial"/>
                <w:b/>
                <w:bCs/>
                <w:shd w:val="clear" w:color="auto" w:fill="BFBFBF"/>
              </w:rPr>
              <w:t>582</w:t>
            </w:r>
            <w:r>
              <w:rPr>
                <w:rFonts w:ascii="Arial" w:hAnsi="Arial"/>
                <w:b/>
                <w:bCs/>
                <w:shd w:val="clear" w:color="auto" w:fill="BFBFBF"/>
              </w:rPr>
              <w:t>**</w:t>
            </w:r>
          </w:p>
        </w:tc>
        <w:tc>
          <w:tcPr>
            <w:tcW w:w="1980" w:type="dxa"/>
            <w:vAlign w:val="center"/>
          </w:tcPr>
          <w:p w:rsidR="00485094" w:rsidRPr="003B37D3" w:rsidRDefault="00485094" w:rsidP="00774BC4">
            <w:pPr>
              <w:pStyle w:val="Tabletextreduced"/>
              <w:jc w:val="center"/>
              <w:rPr>
                <w:rFonts w:ascii="Arial" w:hAnsi="Arial"/>
                <w:bCs/>
              </w:rPr>
            </w:pPr>
            <w:r w:rsidRPr="003B37D3">
              <w:rPr>
                <w:rFonts w:ascii="Arial" w:hAnsi="Arial"/>
                <w:bCs/>
                <w:shd w:val="clear" w:color="auto" w:fill="BFBFBF"/>
              </w:rPr>
              <w:t>418</w:t>
            </w:r>
            <w:r>
              <w:rPr>
                <w:rFonts w:ascii="Arial" w:hAnsi="Arial"/>
                <w:bCs/>
                <w:shd w:val="clear" w:color="auto" w:fill="BFBFBF"/>
              </w:rPr>
              <w:t>*</w:t>
            </w:r>
            <w:r w:rsidRPr="003B37D3">
              <w:rPr>
                <w:rFonts w:ascii="Arial" w:hAnsi="Arial"/>
                <w:bCs/>
              </w:rPr>
              <w:t xml:space="preserve"> – </w:t>
            </w:r>
            <w:r w:rsidRPr="003B37D3">
              <w:rPr>
                <w:rFonts w:ascii="Arial" w:hAnsi="Arial"/>
                <w:bCs/>
                <w:shd w:val="clear" w:color="auto" w:fill="BFBFBF"/>
              </w:rPr>
              <w:t>515</w:t>
            </w:r>
            <w:r>
              <w:rPr>
                <w:rFonts w:ascii="Arial" w:hAnsi="Arial"/>
                <w:bCs/>
                <w:shd w:val="clear" w:color="auto" w:fill="BFBFBF"/>
              </w:rPr>
              <w:t>*</w:t>
            </w:r>
          </w:p>
        </w:tc>
      </w:tr>
      <w:tr w:rsidR="00485094" w:rsidRPr="00AE2921" w:rsidTr="00774BC4">
        <w:tc>
          <w:tcPr>
            <w:tcW w:w="3258" w:type="dxa"/>
            <w:shd w:val="clear" w:color="auto" w:fill="FFD9FF"/>
            <w:vAlign w:val="center"/>
          </w:tcPr>
          <w:p w:rsidR="00485094" w:rsidRPr="002812CB" w:rsidRDefault="00485094" w:rsidP="00774BC4">
            <w:pPr>
              <w:pStyle w:val="Tabletextreduced"/>
              <w:jc w:val="center"/>
              <w:rPr>
                <w:rFonts w:ascii="Arial" w:hAnsi="Arial"/>
                <w:b/>
              </w:rPr>
            </w:pPr>
            <w:bookmarkStart w:id="735" w:name="_Toc255482872"/>
            <w:r w:rsidRPr="002812CB">
              <w:rPr>
                <w:rFonts w:ascii="Arial" w:hAnsi="Arial"/>
                <w:b/>
              </w:rPr>
              <w:t>STATEWIDE MEDIAN</w:t>
            </w:r>
            <w:bookmarkEnd w:id="735"/>
          </w:p>
        </w:tc>
        <w:tc>
          <w:tcPr>
            <w:tcW w:w="1890" w:type="dxa"/>
            <w:shd w:val="clear" w:color="auto" w:fill="FFD9FF"/>
            <w:vAlign w:val="center"/>
          </w:tcPr>
          <w:p w:rsidR="00485094" w:rsidRPr="00AE2921" w:rsidRDefault="00485094" w:rsidP="00774BC4">
            <w:pPr>
              <w:pStyle w:val="Tabletextreduced"/>
              <w:jc w:val="center"/>
              <w:rPr>
                <w:rFonts w:ascii="Arial" w:hAnsi="Arial"/>
                <w:bCs/>
              </w:rPr>
            </w:pPr>
            <w:r w:rsidRPr="00AE2921">
              <w:rPr>
                <w:rFonts w:ascii="Arial" w:hAnsi="Arial"/>
                <w:bCs/>
              </w:rPr>
              <w:t>0.032 - 0.04</w:t>
            </w:r>
          </w:p>
        </w:tc>
        <w:tc>
          <w:tcPr>
            <w:tcW w:w="1980" w:type="dxa"/>
            <w:shd w:val="clear" w:color="auto" w:fill="FFD9FF"/>
            <w:vAlign w:val="center"/>
          </w:tcPr>
          <w:p w:rsidR="00485094" w:rsidRPr="00AE2921" w:rsidRDefault="00485094" w:rsidP="00774BC4">
            <w:pPr>
              <w:pStyle w:val="Tabletextreduced"/>
              <w:jc w:val="center"/>
              <w:rPr>
                <w:rFonts w:ascii="Arial" w:hAnsi="Arial"/>
                <w:bCs/>
              </w:rPr>
            </w:pPr>
            <w:r w:rsidRPr="00AE2921">
              <w:rPr>
                <w:rFonts w:ascii="Arial" w:hAnsi="Arial"/>
                <w:bCs/>
                <w:shd w:val="clear" w:color="auto" w:fill="BFBFBF"/>
              </w:rPr>
              <w:t>0.06</w:t>
            </w:r>
            <w:r>
              <w:rPr>
                <w:rFonts w:ascii="Arial" w:hAnsi="Arial"/>
                <w:bCs/>
                <w:shd w:val="clear" w:color="auto" w:fill="BFBFBF"/>
              </w:rPr>
              <w:t>*</w:t>
            </w:r>
            <w:r w:rsidRPr="00AE2921">
              <w:rPr>
                <w:rFonts w:ascii="Arial" w:hAnsi="Arial"/>
                <w:bCs/>
              </w:rPr>
              <w:t xml:space="preserve"> - </w:t>
            </w:r>
            <w:r w:rsidRPr="00AE2921">
              <w:rPr>
                <w:rFonts w:ascii="Arial" w:hAnsi="Arial"/>
                <w:bCs/>
                <w:shd w:val="clear" w:color="auto" w:fill="BFBFBF"/>
              </w:rPr>
              <w:t>0.047</w:t>
            </w:r>
            <w:r>
              <w:rPr>
                <w:rFonts w:ascii="Arial" w:hAnsi="Arial"/>
                <w:bCs/>
                <w:shd w:val="clear" w:color="auto" w:fill="BFBFBF"/>
              </w:rPr>
              <w:t>*</w:t>
            </w:r>
          </w:p>
        </w:tc>
        <w:tc>
          <w:tcPr>
            <w:tcW w:w="1800" w:type="dxa"/>
            <w:shd w:val="clear" w:color="auto" w:fill="FFD9FF"/>
            <w:vAlign w:val="center"/>
          </w:tcPr>
          <w:p w:rsidR="00485094" w:rsidRPr="00AE2921" w:rsidRDefault="00485094" w:rsidP="00774BC4">
            <w:pPr>
              <w:pStyle w:val="Tabletextreduced"/>
              <w:jc w:val="center"/>
              <w:rPr>
                <w:rFonts w:ascii="Arial" w:hAnsi="Arial"/>
                <w:b/>
                <w:bCs/>
              </w:rPr>
            </w:pPr>
            <w:r w:rsidRPr="00AE2921">
              <w:rPr>
                <w:rFonts w:ascii="Arial" w:hAnsi="Arial"/>
                <w:b/>
                <w:bCs/>
                <w:shd w:val="clear" w:color="auto" w:fill="BFBFBF"/>
              </w:rPr>
              <w:t>0.72</w:t>
            </w:r>
            <w:r>
              <w:rPr>
                <w:rFonts w:ascii="Arial" w:hAnsi="Arial"/>
                <w:b/>
                <w:bCs/>
                <w:shd w:val="clear" w:color="auto" w:fill="BFBFBF"/>
              </w:rPr>
              <w:t>**</w:t>
            </w:r>
            <w:r w:rsidRPr="00AE2921">
              <w:rPr>
                <w:rFonts w:ascii="Arial" w:hAnsi="Arial"/>
                <w:b/>
                <w:bCs/>
              </w:rPr>
              <w:t xml:space="preserve"> - </w:t>
            </w:r>
            <w:r w:rsidRPr="00AE2921">
              <w:rPr>
                <w:rFonts w:ascii="Arial" w:hAnsi="Arial"/>
                <w:b/>
                <w:bCs/>
                <w:shd w:val="clear" w:color="auto" w:fill="BFBFBF"/>
              </w:rPr>
              <w:t>0.92</w:t>
            </w:r>
            <w:r>
              <w:rPr>
                <w:rFonts w:ascii="Arial" w:hAnsi="Arial"/>
                <w:b/>
                <w:bCs/>
                <w:shd w:val="clear" w:color="auto" w:fill="BFBFBF"/>
              </w:rPr>
              <w:t>**</w:t>
            </w:r>
          </w:p>
        </w:tc>
        <w:tc>
          <w:tcPr>
            <w:tcW w:w="1890" w:type="dxa"/>
            <w:shd w:val="clear" w:color="auto" w:fill="FFD9FF"/>
            <w:vAlign w:val="center"/>
          </w:tcPr>
          <w:p w:rsidR="00485094" w:rsidRPr="00AE2921" w:rsidRDefault="00485094" w:rsidP="00774BC4">
            <w:pPr>
              <w:pStyle w:val="Tabletextreduced"/>
              <w:jc w:val="center"/>
              <w:rPr>
                <w:rFonts w:ascii="Arial" w:hAnsi="Arial"/>
                <w:b/>
                <w:bCs/>
              </w:rPr>
            </w:pPr>
            <w:r w:rsidRPr="00AE2921">
              <w:rPr>
                <w:rFonts w:ascii="Arial" w:hAnsi="Arial"/>
                <w:bCs/>
                <w:shd w:val="clear" w:color="auto" w:fill="BFBFBF"/>
              </w:rPr>
              <w:t>207</w:t>
            </w:r>
            <w:r w:rsidRPr="002812CB">
              <w:rPr>
                <w:rFonts w:ascii="Arial" w:hAnsi="Arial"/>
                <w:bCs/>
                <w:shd w:val="clear" w:color="auto" w:fill="BFBFBF"/>
              </w:rPr>
              <w:t>*</w:t>
            </w:r>
            <w:r w:rsidRPr="002812CB">
              <w:rPr>
                <w:rFonts w:ascii="Arial" w:hAnsi="Arial"/>
                <w:bCs/>
              </w:rPr>
              <w:t xml:space="preserve"> - 1</w:t>
            </w:r>
            <w:r w:rsidRPr="00AE2921">
              <w:rPr>
                <w:rFonts w:ascii="Arial" w:hAnsi="Arial"/>
                <w:bCs/>
              </w:rPr>
              <w:t>50</w:t>
            </w:r>
          </w:p>
        </w:tc>
        <w:tc>
          <w:tcPr>
            <w:tcW w:w="1980" w:type="dxa"/>
            <w:shd w:val="clear" w:color="auto" w:fill="FFD9FF"/>
            <w:vAlign w:val="center"/>
          </w:tcPr>
          <w:p w:rsidR="00485094" w:rsidRPr="00AE2921" w:rsidRDefault="00485094" w:rsidP="00774BC4">
            <w:pPr>
              <w:pStyle w:val="Tabletextreduced"/>
              <w:jc w:val="center"/>
              <w:rPr>
                <w:rFonts w:ascii="Arial" w:hAnsi="Arial"/>
                <w:bCs/>
              </w:rPr>
            </w:pPr>
            <w:r w:rsidRPr="00AE2921">
              <w:rPr>
                <w:rFonts w:ascii="Arial" w:hAnsi="Arial"/>
                <w:bCs/>
                <w:shd w:val="clear" w:color="auto" w:fill="BFBFBF"/>
              </w:rPr>
              <w:t>605</w:t>
            </w:r>
            <w:r>
              <w:rPr>
                <w:rFonts w:ascii="Arial" w:hAnsi="Arial"/>
                <w:bCs/>
                <w:shd w:val="clear" w:color="auto" w:fill="BFBFBF"/>
              </w:rPr>
              <w:t>*</w:t>
            </w:r>
            <w:r w:rsidRPr="00AE2921">
              <w:rPr>
                <w:rFonts w:ascii="Arial" w:hAnsi="Arial"/>
                <w:bCs/>
              </w:rPr>
              <w:t xml:space="preserve"> - </w:t>
            </w:r>
            <w:r w:rsidRPr="00AE2921">
              <w:rPr>
                <w:rFonts w:ascii="Arial" w:hAnsi="Arial"/>
                <w:bCs/>
                <w:shd w:val="clear" w:color="auto" w:fill="BFBFBF"/>
              </w:rPr>
              <w:t>570</w:t>
            </w:r>
            <w:r>
              <w:rPr>
                <w:rFonts w:ascii="Arial" w:hAnsi="Arial"/>
                <w:bCs/>
                <w:shd w:val="clear" w:color="auto" w:fill="BFBFBF"/>
              </w:rPr>
              <w:t>*</w:t>
            </w:r>
          </w:p>
        </w:tc>
      </w:tr>
    </w:tbl>
    <w:p w:rsidR="00485094" w:rsidRPr="0096042F" w:rsidRDefault="00485094" w:rsidP="0096042F">
      <w:pPr>
        <w:rPr>
          <w:rFonts w:ascii="Arial" w:hAnsi="Arial" w:cs="Arial"/>
          <w:sz w:val="22"/>
          <w:szCs w:val="22"/>
        </w:rPr>
      </w:pPr>
    </w:p>
    <w:p w:rsidR="00485094" w:rsidRPr="00D54646" w:rsidRDefault="00485094" w:rsidP="00EE77CC">
      <w:pPr>
        <w:pStyle w:val="TableText"/>
        <w:rPr>
          <w:sz w:val="16"/>
          <w:szCs w:val="16"/>
        </w:rPr>
      </w:pPr>
    </w:p>
    <w:p w:rsidR="00485094" w:rsidRDefault="00485094" w:rsidP="00EE77CC">
      <w:pPr>
        <w:autoSpaceDE w:val="0"/>
        <w:autoSpaceDN w:val="0"/>
        <w:adjustRightInd w:val="0"/>
        <w:rPr>
          <w:rFonts w:ascii="Arial" w:hAnsi="Arial" w:cs="Arial"/>
          <w:bCs/>
          <w:sz w:val="22"/>
          <w:szCs w:val="22"/>
        </w:rPr>
        <w:sectPr w:rsidR="00485094" w:rsidSect="003B37D3">
          <w:pgSz w:w="15840" w:h="12240" w:orient="landscape"/>
          <w:pgMar w:top="1440" w:right="1440" w:bottom="1440" w:left="1440" w:header="720" w:footer="720" w:gutter="0"/>
          <w:cols w:space="720"/>
          <w:docGrid w:linePitch="360"/>
        </w:sectPr>
      </w:pPr>
    </w:p>
    <w:p w:rsidR="00485094" w:rsidRDefault="00485094" w:rsidP="00EE77CC">
      <w:pPr>
        <w:pStyle w:val="Bodytextreduced"/>
      </w:pPr>
    </w:p>
    <w:p w:rsidR="00485094" w:rsidRDefault="00485094" w:rsidP="00EE77CC">
      <w:pPr>
        <w:pStyle w:val="Bodytext"/>
      </w:pPr>
      <w:r w:rsidRPr="00DC470A">
        <w:t>Historically</w:t>
      </w:r>
      <w:r>
        <w:t>,</w:t>
      </w:r>
      <w:r w:rsidRPr="00DC470A">
        <w:t xml:space="preserve"> nitrogen was only a minor constituent of spring water</w:t>
      </w:r>
      <w:r>
        <w:t>,</w:t>
      </w:r>
      <w:r w:rsidRPr="00DC470A">
        <w:t xml:space="preserve"> and typical nitrate concentrations in Florida were less than 0.2 mg/L until the early 1970s.  </w:t>
      </w:r>
      <w:r>
        <w:t>However</w:t>
      </w:r>
      <w:r w:rsidRPr="00DC470A">
        <w:t xml:space="preserve">, </w:t>
      </w:r>
      <w:r>
        <w:t xml:space="preserve">due to the use of fertilizers and wastewater applications (both human and animal manure), </w:t>
      </w:r>
      <w:r w:rsidRPr="00DC470A">
        <w:t xml:space="preserve">nitrate concentrations greater than 1 mg/L can </w:t>
      </w:r>
      <w:r>
        <w:t xml:space="preserve">now </w:t>
      </w:r>
      <w:r w:rsidRPr="00DC470A">
        <w:t xml:space="preserve">be found in many springs.  </w:t>
      </w:r>
      <w:r>
        <w:t>Data from the springs monitoring network indicate that elevated nitrate (expressed as nitrate + nitrite – total) is a widespread problem (Figure 10.2), and w</w:t>
      </w:r>
      <w:r w:rsidRPr="00DC470A">
        <w:t xml:space="preserve">ith sufficient phosphorus in the water column, seemingly low nitrate concentrations can actually cause a significant shift in the balance of spring ecological communities, leading to the degradation of biological systems due to </w:t>
      </w:r>
      <w:r>
        <w:t xml:space="preserve">the increased </w:t>
      </w:r>
      <w:r w:rsidRPr="00DC470A">
        <w:t xml:space="preserve">growth of algae and sometimes aquatic plants.  </w:t>
      </w:r>
    </w:p>
    <w:p w:rsidR="00485094" w:rsidRPr="00DC470A" w:rsidRDefault="00485094" w:rsidP="00EE77CC">
      <w:pPr>
        <w:pStyle w:val="Bodytext"/>
      </w:pPr>
    </w:p>
    <w:p w:rsidR="00485094" w:rsidRDefault="00485094" w:rsidP="00EE77CC">
      <w:pPr>
        <w:pStyle w:val="Bodytext"/>
        <w:rPr>
          <w:szCs w:val="24"/>
        </w:rPr>
      </w:pPr>
      <w:r w:rsidRPr="00DC470A">
        <w:t xml:space="preserve">Research into the relationship of nutrients to algal growth in springs has led FDEP to propose a “clear stream” surface water </w:t>
      </w:r>
      <w:r>
        <w:t>criterion</w:t>
      </w:r>
      <w:r w:rsidRPr="00DC470A">
        <w:t xml:space="preserve"> of 0.35 mg/L, which is applicable for springs.  The median nitrate</w:t>
      </w:r>
      <w:r>
        <w:t xml:space="preserve"> </w:t>
      </w:r>
      <w:r w:rsidRPr="00DC470A">
        <w:t>+</w:t>
      </w:r>
      <w:r>
        <w:t xml:space="preserve"> </w:t>
      </w:r>
      <w:r w:rsidRPr="00DC470A">
        <w:t>nitrite concentration for all springs in the network was 0.65 mg/L</w:t>
      </w:r>
      <w:r>
        <w:t>, nearly</w:t>
      </w:r>
      <w:r w:rsidRPr="00DC470A">
        <w:t xml:space="preserve"> twice as high as the proposed </w:t>
      </w:r>
      <w:r>
        <w:t>criterion</w:t>
      </w:r>
      <w:r w:rsidRPr="00DC470A">
        <w:t xml:space="preserve">.  Based on the proposed </w:t>
      </w:r>
      <w:r>
        <w:t>criterion</w:t>
      </w:r>
      <w:r w:rsidRPr="00DC470A">
        <w:t xml:space="preserve">, about two-thirds (almost 74%) of the network springs have median nitrate + nitrite </w:t>
      </w:r>
      <w:r w:rsidRPr="00DC470A">
        <w:rPr>
          <w:szCs w:val="24"/>
        </w:rPr>
        <w:t>concentrations high enough to promote algal growth problems.  Jackson Blue, Fanning, Apopka</w:t>
      </w:r>
      <w:r>
        <w:rPr>
          <w:szCs w:val="24"/>
        </w:rPr>
        <w:t>,</w:t>
      </w:r>
      <w:r w:rsidRPr="00DC470A">
        <w:rPr>
          <w:szCs w:val="24"/>
        </w:rPr>
        <w:t xml:space="preserve"> and Lithia Major Springs are among the most nitrate-laden springs in the network, with nitrate</w:t>
      </w:r>
      <w:r>
        <w:rPr>
          <w:szCs w:val="24"/>
        </w:rPr>
        <w:t xml:space="preserve"> </w:t>
      </w:r>
      <w:r w:rsidRPr="00DC470A">
        <w:rPr>
          <w:szCs w:val="24"/>
        </w:rPr>
        <w:t>+</w:t>
      </w:r>
      <w:r>
        <w:rPr>
          <w:szCs w:val="24"/>
        </w:rPr>
        <w:t xml:space="preserve"> </w:t>
      </w:r>
      <w:r w:rsidRPr="00DC470A">
        <w:rPr>
          <w:szCs w:val="24"/>
        </w:rPr>
        <w:t>nitrite concentrations approaching 3 mg/L or higher.  Of these, Fanning Spring has the highest nitrate</w:t>
      </w:r>
      <w:r>
        <w:rPr>
          <w:szCs w:val="24"/>
        </w:rPr>
        <w:t xml:space="preserve"> </w:t>
      </w:r>
      <w:r w:rsidRPr="00DC470A">
        <w:rPr>
          <w:szCs w:val="24"/>
        </w:rPr>
        <w:t>+</w:t>
      </w:r>
      <w:r>
        <w:rPr>
          <w:szCs w:val="24"/>
        </w:rPr>
        <w:t xml:space="preserve"> </w:t>
      </w:r>
      <w:r w:rsidRPr="00DC470A">
        <w:rPr>
          <w:szCs w:val="24"/>
        </w:rPr>
        <w:t>nitrite concentration.  It is noteworthy that these three springs are located in areas that include agricultur</w:t>
      </w:r>
      <w:r>
        <w:rPr>
          <w:szCs w:val="24"/>
        </w:rPr>
        <w:t>al</w:t>
      </w:r>
      <w:r w:rsidRPr="00DC470A">
        <w:rPr>
          <w:szCs w:val="24"/>
        </w:rPr>
        <w:t xml:space="preserve"> and/or former agricultural areas undergoing urbanization. </w:t>
      </w:r>
    </w:p>
    <w:p w:rsidR="00485094" w:rsidRPr="00DC470A" w:rsidRDefault="00485094" w:rsidP="00EE77CC">
      <w:pPr>
        <w:pStyle w:val="Bodytext"/>
        <w:rPr>
          <w:szCs w:val="24"/>
        </w:rPr>
      </w:pPr>
      <w:r w:rsidRPr="00DC470A">
        <w:rPr>
          <w:szCs w:val="24"/>
        </w:rPr>
        <w:t xml:space="preserve"> </w:t>
      </w:r>
    </w:p>
    <w:p w:rsidR="00485094" w:rsidRPr="002A60B6" w:rsidRDefault="00485094" w:rsidP="00EE77CC">
      <w:pPr>
        <w:pStyle w:val="Bodytext"/>
      </w:pPr>
      <w:r w:rsidRPr="002A60B6">
        <w:t xml:space="preserve">Based on data from multiple sources, </w:t>
      </w:r>
      <w:r>
        <w:t xml:space="preserve">currently </w:t>
      </w:r>
      <w:r w:rsidRPr="002A60B6">
        <w:t>only a small number of springs in the state exhibit nitrate concentrations close to background conditions.  The concentrations of nitrate</w:t>
      </w:r>
      <w:r>
        <w:t xml:space="preserve"> </w:t>
      </w:r>
      <w:r w:rsidRPr="002A60B6">
        <w:t>+</w:t>
      </w:r>
      <w:r>
        <w:t xml:space="preserve"> </w:t>
      </w:r>
      <w:r w:rsidRPr="002A60B6">
        <w:t>nitrite in these springs may be primarily due to atmospheric deposition, since they are mostly located in remote settings such as national forests or away from land use</w:t>
      </w:r>
      <w:r>
        <w:t>s</w:t>
      </w:r>
      <w:r w:rsidRPr="002A60B6">
        <w:t xml:space="preserve"> considered as nitrogen sources.  Some springs previously considered as background springs have had increases in their nitrate concentrations to the point that they are no longer considered as such.  This may be due to increase</w:t>
      </w:r>
      <w:r>
        <w:t>d</w:t>
      </w:r>
      <w:r w:rsidRPr="002A60B6">
        <w:t xml:space="preserve"> atmospheric deposition or other factors.  </w:t>
      </w:r>
    </w:p>
    <w:p w:rsidR="00485094" w:rsidRDefault="00485094" w:rsidP="00EE77CC">
      <w:pPr>
        <w:pStyle w:val="Heading3"/>
        <w:spacing w:before="100" w:beforeAutospacing="1"/>
      </w:pPr>
      <w:bookmarkStart w:id="736" w:name="_Toc245183401"/>
      <w:bookmarkStart w:id="737" w:name="_Toc252525670"/>
      <w:bookmarkStart w:id="738" w:name="_Toc255822586"/>
      <w:bookmarkStart w:id="739" w:name="_Toc262484202"/>
      <w:bookmarkStart w:id="740" w:name="_Toc271280031"/>
      <w:r>
        <w:t>Phosphorus</w:t>
      </w:r>
      <w:bookmarkEnd w:id="736"/>
      <w:bookmarkEnd w:id="737"/>
      <w:bookmarkEnd w:id="738"/>
      <w:bookmarkEnd w:id="739"/>
      <w:bookmarkEnd w:id="740"/>
    </w:p>
    <w:p w:rsidR="00485094" w:rsidRPr="002A60B6" w:rsidRDefault="00485094" w:rsidP="00EE77CC">
      <w:pPr>
        <w:pStyle w:val="Bodytext"/>
      </w:pPr>
      <w:r w:rsidRPr="002A60B6">
        <w:t xml:space="preserve">Phosphorus is measured as both </w:t>
      </w:r>
      <w:r w:rsidR="008C37FA">
        <w:t>TP</w:t>
      </w:r>
      <w:r w:rsidRPr="002A60B6">
        <w:t xml:space="preserve"> and orthophosphate by the spring monitoring program.  T</w:t>
      </w:r>
      <w:r w:rsidR="008C37FA">
        <w:t>P</w:t>
      </w:r>
      <w:r w:rsidRPr="002A60B6">
        <w:t xml:space="preserve"> consists of organic and inorganic fractions.  The soluble inorganic form of phosphorus is orthophosphate.  </w:t>
      </w:r>
      <w:r>
        <w:t>T</w:t>
      </w:r>
      <w:r w:rsidRPr="002A60B6">
        <w:t xml:space="preserve">here is very little organic phosphorus in ground water, </w:t>
      </w:r>
      <w:r>
        <w:t xml:space="preserve">and, </w:t>
      </w:r>
      <w:r w:rsidRPr="002A60B6">
        <w:t xml:space="preserve">with few exceptions only inorganic (orthophosphate) is found in springs.  Orthophosphate is also the natural form of phosphorus found in geologic material and the form of phosphorus found in conventional fertilizers.  Throughout much of Florida, the Miocene-age Hawthorn Group </w:t>
      </w:r>
      <w:r>
        <w:t>comprises</w:t>
      </w:r>
      <w:r w:rsidRPr="002A60B6">
        <w:t xml:space="preserve"> a massive geologic unit that is naturally rich in phosphorus.  This material lies on top of the porous and permeable limestone in which spring systems occur</w:t>
      </w:r>
      <w:r>
        <w:t>,</w:t>
      </w:r>
      <w:r w:rsidRPr="002A60B6">
        <w:t xml:space="preserve"> and it can provide a continuing source of phosphorus to ground water.  </w:t>
      </w:r>
    </w:p>
    <w:p w:rsidR="00485094" w:rsidRDefault="00485094" w:rsidP="00EE77CC">
      <w:pPr>
        <w:pStyle w:val="Bodytextreduced"/>
      </w:pPr>
    </w:p>
    <w:p w:rsidR="00485094" w:rsidRPr="002A60B6" w:rsidRDefault="00485094" w:rsidP="00EE77CC">
      <w:pPr>
        <w:pStyle w:val="Bodytext"/>
        <w:rPr>
          <w:rFonts w:cs="Arial"/>
        </w:rPr>
      </w:pPr>
      <w:r w:rsidRPr="002A60B6">
        <w:t>The natural abundance of phosphorus varies across the state</w:t>
      </w:r>
      <w:r>
        <w:t>,</w:t>
      </w:r>
      <w:r w:rsidRPr="002A60B6">
        <w:t xml:space="preserve"> and as a result background ground water concentrations vary.  </w:t>
      </w:r>
      <w:r w:rsidRPr="00FE7836">
        <w:rPr>
          <w:b/>
          <w:i/>
        </w:rPr>
        <w:t>Table 10.3</w:t>
      </w:r>
      <w:r w:rsidRPr="002A60B6">
        <w:t xml:space="preserve"> </w:t>
      </w:r>
      <w:r>
        <w:t>summarizes the</w:t>
      </w:r>
      <w:r w:rsidRPr="002A60B6">
        <w:t xml:space="preserve"> median phosphorus concentrations in ground water of the </w:t>
      </w:r>
      <w:r>
        <w:t>nine basins that have springs.</w:t>
      </w:r>
    </w:p>
    <w:p w:rsidR="00485094" w:rsidRDefault="00485094" w:rsidP="00EE77CC">
      <w:pPr>
        <w:pStyle w:val="Bodytext"/>
        <w:rPr>
          <w:rFonts w:cs="Arial"/>
        </w:rPr>
      </w:pPr>
    </w:p>
    <w:p w:rsidR="00485094" w:rsidRPr="00FC5774" w:rsidRDefault="00485094" w:rsidP="00EE77CC">
      <w:pPr>
        <w:pStyle w:val="Bodytext"/>
      </w:pPr>
      <w:r w:rsidRPr="002A60B6">
        <w:rPr>
          <w:rFonts w:cs="Arial"/>
        </w:rPr>
        <w:t>Springs in the Suwannee and Middle St. Johns River Basins have the highest orthophosphate concentrations</w:t>
      </w:r>
      <w:r>
        <w:rPr>
          <w:rFonts w:cs="Arial"/>
        </w:rPr>
        <w:t>, with m</w:t>
      </w:r>
      <w:r w:rsidRPr="002A60B6">
        <w:rPr>
          <w:rFonts w:cs="Arial"/>
        </w:rPr>
        <w:t xml:space="preserve">any </w:t>
      </w:r>
      <w:r>
        <w:rPr>
          <w:rFonts w:cs="Arial"/>
        </w:rPr>
        <w:t>springs in these basins having</w:t>
      </w:r>
      <w:r w:rsidRPr="002A60B6">
        <w:rPr>
          <w:rFonts w:cs="Arial"/>
        </w:rPr>
        <w:t xml:space="preserve"> phosphorus concentrations </w:t>
      </w:r>
      <w:r>
        <w:rPr>
          <w:rFonts w:cs="Arial"/>
        </w:rPr>
        <w:t xml:space="preserve">significantly </w:t>
      </w:r>
      <w:r w:rsidRPr="002A60B6">
        <w:rPr>
          <w:rFonts w:cs="Arial"/>
        </w:rPr>
        <w:t xml:space="preserve">higher than the </w:t>
      </w:r>
      <w:r>
        <w:rPr>
          <w:rFonts w:cs="Arial"/>
        </w:rPr>
        <w:t xml:space="preserve">median value of </w:t>
      </w:r>
      <w:r w:rsidRPr="002A60B6">
        <w:rPr>
          <w:rFonts w:cs="Arial"/>
        </w:rPr>
        <w:t xml:space="preserve">0.03 mg/L </w:t>
      </w:r>
      <w:r>
        <w:rPr>
          <w:rFonts w:cs="Arial"/>
        </w:rPr>
        <w:t xml:space="preserve">in </w:t>
      </w:r>
      <w:r w:rsidRPr="002A60B6">
        <w:rPr>
          <w:rFonts w:cs="Arial"/>
        </w:rPr>
        <w:t>FDEP</w:t>
      </w:r>
      <w:r>
        <w:rPr>
          <w:rFonts w:cs="Arial"/>
        </w:rPr>
        <w:t>’s</w:t>
      </w:r>
      <w:r w:rsidRPr="002A60B6">
        <w:rPr>
          <w:rFonts w:cs="Arial"/>
        </w:rPr>
        <w:t xml:space="preserve"> network</w:t>
      </w:r>
      <w:r>
        <w:rPr>
          <w:rFonts w:cs="Arial"/>
        </w:rPr>
        <w:t xml:space="preserve"> (</w:t>
      </w:r>
      <w:r w:rsidRPr="00DC470A">
        <w:rPr>
          <w:rFonts w:cs="Arial"/>
          <w:b/>
          <w:i/>
        </w:rPr>
        <w:t xml:space="preserve">Figure </w:t>
      </w:r>
      <w:r>
        <w:rPr>
          <w:rFonts w:cs="Arial"/>
          <w:b/>
          <w:i/>
        </w:rPr>
        <w:t>10.</w:t>
      </w:r>
      <w:r w:rsidRPr="00DC470A">
        <w:rPr>
          <w:rFonts w:cs="Arial"/>
          <w:b/>
          <w:i/>
        </w:rPr>
        <w:t>3</w:t>
      </w:r>
      <w:r w:rsidRPr="00FE7836">
        <w:rPr>
          <w:rFonts w:cs="Arial"/>
        </w:rPr>
        <w:t>)</w:t>
      </w:r>
      <w:r w:rsidRPr="00FE7836">
        <w:t xml:space="preserve">. </w:t>
      </w:r>
      <w:r w:rsidRPr="002A60B6">
        <w:t xml:space="preserve"> </w:t>
      </w:r>
      <w:r w:rsidRPr="002A60B6">
        <w:rPr>
          <w:rFonts w:cs="Arial"/>
        </w:rPr>
        <w:t xml:space="preserve">The springs in the network with the highest orthophosphate concentrations are </w:t>
      </w:r>
      <w:proofErr w:type="spellStart"/>
      <w:r w:rsidRPr="002A60B6">
        <w:rPr>
          <w:rFonts w:cs="Arial"/>
        </w:rPr>
        <w:t>Wekiwa</w:t>
      </w:r>
      <w:proofErr w:type="spellEnd"/>
      <w:r w:rsidRPr="002A60B6">
        <w:rPr>
          <w:rFonts w:cs="Arial"/>
        </w:rPr>
        <w:t xml:space="preserve">, Rock, Hornsby, Volusia Blue, Fanning, Lithia Springs Major, </w:t>
      </w:r>
      <w:proofErr w:type="spellStart"/>
      <w:r w:rsidRPr="002A60B6">
        <w:rPr>
          <w:rFonts w:cs="Arial"/>
        </w:rPr>
        <w:t>Ichetucknee</w:t>
      </w:r>
      <w:proofErr w:type="spellEnd"/>
      <w:r w:rsidRPr="002A60B6">
        <w:rPr>
          <w:rFonts w:cs="Arial"/>
        </w:rPr>
        <w:t xml:space="preserve"> Group, </w:t>
      </w:r>
      <w:proofErr w:type="spellStart"/>
      <w:r w:rsidRPr="002A60B6">
        <w:rPr>
          <w:rFonts w:cs="Arial"/>
        </w:rPr>
        <w:t>DeLeon</w:t>
      </w:r>
      <w:proofErr w:type="spellEnd"/>
      <w:r w:rsidRPr="002A60B6">
        <w:rPr>
          <w:rFonts w:cs="Arial"/>
        </w:rPr>
        <w:t xml:space="preserve">, Alexander, Lafayette, and Big Springs.  </w:t>
      </w:r>
      <w:r>
        <w:rPr>
          <w:rFonts w:cs="Arial"/>
        </w:rPr>
        <w:t>In contrast, s</w:t>
      </w:r>
      <w:r w:rsidRPr="002A60B6">
        <w:rPr>
          <w:rFonts w:cs="Arial"/>
        </w:rPr>
        <w:t>prings in the Choctawhatchee</w:t>
      </w:r>
      <w:r>
        <w:rPr>
          <w:rFonts w:cs="Arial"/>
        </w:rPr>
        <w:t>–</w:t>
      </w:r>
      <w:r w:rsidRPr="002A60B6">
        <w:rPr>
          <w:rFonts w:cs="Arial"/>
        </w:rPr>
        <w:t xml:space="preserve">St. Andrew Basin, have low concentrations of phosphorus.  </w:t>
      </w:r>
    </w:p>
    <w:p w:rsidR="00485094" w:rsidRDefault="00485094" w:rsidP="00EE77CC">
      <w:pPr>
        <w:pStyle w:val="Bodytext"/>
        <w:rPr>
          <w:rFonts w:cs="Arial"/>
        </w:rPr>
      </w:pPr>
      <w:bookmarkStart w:id="741" w:name="_Toc245115633"/>
      <w:bookmarkStart w:id="742" w:name="_Toc245183532"/>
      <w:bookmarkStart w:id="743" w:name="_Toc252525705"/>
    </w:p>
    <w:p w:rsidR="00485094" w:rsidRDefault="00485094" w:rsidP="00EE77CC">
      <w:pPr>
        <w:pStyle w:val="Bodytext"/>
        <w:rPr>
          <w:rFonts w:cs="Arial"/>
        </w:rPr>
      </w:pPr>
    </w:p>
    <w:p w:rsidR="00485094" w:rsidRDefault="00485094" w:rsidP="00EE77CC">
      <w:pPr>
        <w:pStyle w:val="Caption"/>
      </w:pPr>
      <w:bookmarkStart w:id="744" w:name="_Toc262484327"/>
      <w:bookmarkStart w:id="745" w:name="_Toc271280188"/>
      <w:r>
        <w:t xml:space="preserve">Figure 10.2.  Median Concentrations of </w:t>
      </w:r>
      <w:r w:rsidRPr="00601BB9">
        <w:t>Nitrate</w:t>
      </w:r>
      <w:r>
        <w:t xml:space="preserve"> </w:t>
      </w:r>
      <w:r w:rsidRPr="00601BB9">
        <w:t>+</w:t>
      </w:r>
      <w:r>
        <w:t xml:space="preserve"> </w:t>
      </w:r>
      <w:r w:rsidRPr="00601BB9">
        <w:t xml:space="preserve">Nitrite </w:t>
      </w:r>
      <w:r>
        <w:t>in FDEP’s Spring Network (</w:t>
      </w:r>
      <w:r w:rsidRPr="00601BB9">
        <w:t>2001</w:t>
      </w:r>
      <w:r>
        <w:t>–</w:t>
      </w:r>
      <w:r w:rsidRPr="00601BB9">
        <w:t>06</w:t>
      </w:r>
      <w:r>
        <w:t>)</w:t>
      </w:r>
      <w:bookmarkEnd w:id="741"/>
      <w:bookmarkEnd w:id="742"/>
      <w:bookmarkEnd w:id="743"/>
      <w:bookmarkEnd w:id="744"/>
      <w:bookmarkEnd w:id="745"/>
    </w:p>
    <w:p w:rsidR="00485094" w:rsidRPr="00DC470A" w:rsidRDefault="001717CD" w:rsidP="00EE77CC">
      <w:pPr>
        <w:pStyle w:val="Bodytextreduced"/>
        <w:rPr>
          <w:szCs w:val="22"/>
        </w:rPr>
      </w:pPr>
      <w:r>
        <w:rPr>
          <w:noProof/>
        </w:rPr>
        <w:drawing>
          <wp:anchor distT="0" distB="0" distL="114300" distR="114300" simplePos="0" relativeHeight="251670016" behindDoc="0" locked="0" layoutInCell="1" allowOverlap="1">
            <wp:simplePos x="0" y="0"/>
            <wp:positionH relativeFrom="column">
              <wp:align>center</wp:align>
            </wp:positionH>
            <wp:positionV relativeFrom="paragraph">
              <wp:posOffset>102235</wp:posOffset>
            </wp:positionV>
            <wp:extent cx="5800725" cy="4608830"/>
            <wp:effectExtent l="19050" t="0" r="9525" b="0"/>
            <wp:wrapTopAndBottom/>
            <wp:docPr id="44" name="Picture 11" descr="Figure 10.2.  Median Concentrations of Nitrate + Nitrite in FDEP’s Spring Network (200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10.2.  Median Concentrations of Nitrate + Nitrite in FDEP’s Spring Network (2001–06)"/>
                    <pic:cNvPicPr>
                      <a:picLocks noChangeAspect="1" noChangeArrowheads="1"/>
                    </pic:cNvPicPr>
                  </pic:nvPicPr>
                  <pic:blipFill>
                    <a:blip r:embed="rId165"/>
                    <a:srcRect r="2182"/>
                    <a:stretch>
                      <a:fillRect/>
                    </a:stretch>
                  </pic:blipFill>
                  <pic:spPr bwMode="auto">
                    <a:xfrm>
                      <a:off x="0" y="0"/>
                      <a:ext cx="5800725" cy="4608830"/>
                    </a:xfrm>
                    <a:prstGeom prst="rect">
                      <a:avLst/>
                    </a:prstGeom>
                    <a:noFill/>
                    <a:ln w="9525">
                      <a:noFill/>
                      <a:miter lim="800000"/>
                      <a:headEnd/>
                      <a:tailEnd/>
                    </a:ln>
                  </pic:spPr>
                </pic:pic>
              </a:graphicData>
            </a:graphic>
          </wp:anchor>
        </w:drawing>
      </w:r>
    </w:p>
    <w:p w:rsidR="00485094" w:rsidRPr="00DC470A" w:rsidRDefault="00485094" w:rsidP="00EE77CC">
      <w:pPr>
        <w:pStyle w:val="Bodytextreduced"/>
        <w:rPr>
          <w:szCs w:val="22"/>
        </w:rPr>
      </w:pPr>
    </w:p>
    <w:p w:rsidR="00485094" w:rsidRDefault="00485094" w:rsidP="00EE77CC">
      <w:pPr>
        <w:pStyle w:val="Bodytext"/>
      </w:pPr>
    </w:p>
    <w:p w:rsidR="00485094" w:rsidRDefault="00485094" w:rsidP="00EE77CC">
      <w:pPr>
        <w:pStyle w:val="Bodytextreduced"/>
      </w:pPr>
      <w:r>
        <w:br w:type="page"/>
      </w:r>
    </w:p>
    <w:p w:rsidR="00485094" w:rsidRPr="00601BB9" w:rsidRDefault="00485094" w:rsidP="00EE77CC">
      <w:pPr>
        <w:pStyle w:val="Caption"/>
        <w:rPr>
          <w:rFonts w:cs="Arial"/>
          <w:szCs w:val="22"/>
        </w:rPr>
      </w:pPr>
      <w:bookmarkStart w:id="746" w:name="_Toc245115634"/>
      <w:bookmarkStart w:id="747" w:name="_Toc245183533"/>
      <w:bookmarkStart w:id="748" w:name="_Toc252525706"/>
      <w:bookmarkStart w:id="749" w:name="_Toc262484328"/>
      <w:bookmarkStart w:id="750" w:name="_Toc271280189"/>
      <w:r>
        <w:t>Figure 10.3.  Median Orthophosphate Concentrations in the Spring Network, 2001–06</w:t>
      </w:r>
      <w:bookmarkEnd w:id="746"/>
      <w:bookmarkEnd w:id="747"/>
      <w:bookmarkEnd w:id="748"/>
      <w:bookmarkEnd w:id="749"/>
      <w:bookmarkEnd w:id="750"/>
    </w:p>
    <w:p w:rsidR="00485094" w:rsidRPr="00FE7836" w:rsidRDefault="001717CD" w:rsidP="00EE77CC">
      <w:pPr>
        <w:pStyle w:val="Bodytextreduced"/>
      </w:pPr>
      <w:r>
        <w:rPr>
          <w:noProof/>
        </w:rPr>
        <w:drawing>
          <wp:anchor distT="0" distB="0" distL="114300" distR="114300" simplePos="0" relativeHeight="251671040" behindDoc="0" locked="0" layoutInCell="1" allowOverlap="1">
            <wp:simplePos x="0" y="0"/>
            <wp:positionH relativeFrom="column">
              <wp:align>center</wp:align>
            </wp:positionH>
            <wp:positionV relativeFrom="paragraph">
              <wp:posOffset>116205</wp:posOffset>
            </wp:positionV>
            <wp:extent cx="5815330" cy="4484370"/>
            <wp:effectExtent l="19050" t="0" r="0" b="0"/>
            <wp:wrapTopAndBottom/>
            <wp:docPr id="45" name="Picture 12" descr="Figure 10.3.  Median Orthophosphate Concentrations in the Spring Network, 200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10.3.  Median Orthophosphate Concentrations in the Spring Network, 2001–06"/>
                    <pic:cNvPicPr>
                      <a:picLocks noChangeAspect="1" noChangeArrowheads="1"/>
                    </pic:cNvPicPr>
                  </pic:nvPicPr>
                  <pic:blipFill>
                    <a:blip r:embed="rId166"/>
                    <a:srcRect t="2597" r="2008"/>
                    <a:stretch>
                      <a:fillRect/>
                    </a:stretch>
                  </pic:blipFill>
                  <pic:spPr bwMode="auto">
                    <a:xfrm>
                      <a:off x="0" y="0"/>
                      <a:ext cx="5815330" cy="4484370"/>
                    </a:xfrm>
                    <a:prstGeom prst="rect">
                      <a:avLst/>
                    </a:prstGeom>
                    <a:noFill/>
                    <a:ln w="9525">
                      <a:noFill/>
                      <a:miter lim="800000"/>
                      <a:headEnd/>
                      <a:tailEnd/>
                    </a:ln>
                  </pic:spPr>
                </pic:pic>
              </a:graphicData>
            </a:graphic>
          </wp:anchor>
        </w:drawing>
      </w:r>
      <w:r w:rsidR="00485094">
        <w:rPr>
          <w:i/>
          <w:color w:val="000000"/>
        </w:rPr>
        <w:br w:type="page"/>
      </w:r>
    </w:p>
    <w:p w:rsidR="007B7214" w:rsidRDefault="007B7214" w:rsidP="007B7214">
      <w:pPr>
        <w:pStyle w:val="Bodytextreduced"/>
      </w:pPr>
      <w:bookmarkStart w:id="751" w:name="_Chapter_11:_"/>
      <w:bookmarkStart w:id="752" w:name="_Ref263768464"/>
      <w:bookmarkStart w:id="753" w:name="_Ref263768482"/>
      <w:bookmarkStart w:id="754" w:name="_Ref263768550"/>
      <w:bookmarkStart w:id="755" w:name="_Ref263768640"/>
      <w:bookmarkStart w:id="756" w:name="_Toc271280032"/>
      <w:bookmarkEnd w:id="751"/>
    </w:p>
    <w:p w:rsidR="00485094" w:rsidRDefault="00485094" w:rsidP="00B215C8">
      <w:pPr>
        <w:pStyle w:val="Heading1"/>
      </w:pPr>
      <w:r>
        <w:t>Chapter 11</w:t>
      </w:r>
      <w:r w:rsidRPr="005B02A6">
        <w:t xml:space="preserve">:  </w:t>
      </w:r>
      <w:r>
        <w:t>Water Protection and Restoration Programs</w:t>
      </w:r>
      <w:bookmarkEnd w:id="752"/>
      <w:bookmarkEnd w:id="753"/>
      <w:bookmarkEnd w:id="754"/>
      <w:bookmarkEnd w:id="755"/>
      <w:bookmarkEnd w:id="756"/>
    </w:p>
    <w:p w:rsidR="00485094" w:rsidRDefault="00485094" w:rsidP="00B215C8">
      <w:pPr>
        <w:pStyle w:val="Bodytextreduced"/>
      </w:pPr>
    </w:p>
    <w:p w:rsidR="00485094" w:rsidRDefault="00485094">
      <w:pPr>
        <w:pStyle w:val="Bodytext"/>
      </w:pPr>
      <w:r w:rsidRPr="00595B30">
        <w:t>Maintaining overall water quality and supplies, protecting p</w:t>
      </w:r>
      <w:r>
        <w:t xml:space="preserve">otable water supplies, </w:t>
      </w:r>
      <w:r w:rsidRPr="00595B30">
        <w:t xml:space="preserve">satisfying competing and rapidly increasing demands for finite quantities of fresh water, minimizing damage to future water reserves, </w:t>
      </w:r>
      <w:r>
        <w:t xml:space="preserve">addressing habitat loss and associated aquatic life use, </w:t>
      </w:r>
      <w:r w:rsidRPr="00595B30">
        <w:t xml:space="preserve">and ensuring healthy populations of fish and wildlife are </w:t>
      </w:r>
      <w:r>
        <w:t xml:space="preserve">major </w:t>
      </w:r>
      <w:r w:rsidRPr="00595B30">
        <w:t>o</w:t>
      </w:r>
      <w:r>
        <w:t xml:space="preserve">bjectives of </w:t>
      </w:r>
      <w:r w:rsidRPr="00595B30">
        <w:t xml:space="preserve">water resource management and protection.  </w:t>
      </w:r>
      <w:r>
        <w:t>To meet these objectives, many d</w:t>
      </w:r>
      <w:r w:rsidRPr="00595B30">
        <w:t>ifferent programs and agencies throughout the state</w:t>
      </w:r>
      <w:r>
        <w:t>, including FDEP,</w:t>
      </w:r>
      <w:r w:rsidRPr="00595B30">
        <w:t xml:space="preserve"> address activities </w:t>
      </w:r>
      <w:r>
        <w:t xml:space="preserve">and problems </w:t>
      </w:r>
      <w:r w:rsidRPr="00595B30">
        <w:t>that affect surface water and ground</w:t>
      </w:r>
      <w:r>
        <w:t xml:space="preserve"> </w:t>
      </w:r>
      <w:r w:rsidRPr="00595B30">
        <w:t xml:space="preserve">water quality and quantity.  </w:t>
      </w:r>
      <w:r>
        <w:rPr>
          <w:rFonts w:cs="Arial"/>
          <w:szCs w:val="22"/>
        </w:rPr>
        <w:t>I</w:t>
      </w:r>
      <w:r w:rsidRPr="000A1EAC">
        <w:rPr>
          <w:rFonts w:cs="Arial"/>
          <w:szCs w:val="22"/>
        </w:rPr>
        <w:t xml:space="preserve">n cooperation with other agencies and stakeholders, </w:t>
      </w:r>
      <w:r>
        <w:rPr>
          <w:rFonts w:cs="Arial"/>
          <w:szCs w:val="22"/>
        </w:rPr>
        <w:t xml:space="preserve">FDEP </w:t>
      </w:r>
      <w:r w:rsidRPr="000A1EAC">
        <w:rPr>
          <w:rFonts w:cs="Arial"/>
          <w:szCs w:val="22"/>
        </w:rPr>
        <w:t xml:space="preserve">has </w:t>
      </w:r>
      <w:r>
        <w:rPr>
          <w:rFonts w:cs="Arial"/>
          <w:szCs w:val="22"/>
        </w:rPr>
        <w:t xml:space="preserve">also </w:t>
      </w:r>
      <w:r w:rsidRPr="000A1EAC">
        <w:rPr>
          <w:rFonts w:cs="Arial"/>
          <w:szCs w:val="22"/>
        </w:rPr>
        <w:t>initiated a number of programs and activities</w:t>
      </w:r>
      <w:r>
        <w:rPr>
          <w:rFonts w:cs="Arial"/>
          <w:szCs w:val="22"/>
        </w:rPr>
        <w:t xml:space="preserve">, which are discussed in this chapter, </w:t>
      </w:r>
      <w:r w:rsidRPr="000A1EAC">
        <w:rPr>
          <w:rFonts w:cs="Arial"/>
          <w:szCs w:val="22"/>
        </w:rPr>
        <w:t>to expand the scientific understanding of Florida’s water resources and improve the protection, management, and restoration of surface water and ground water</w:t>
      </w:r>
      <w:r>
        <w:rPr>
          <w:rFonts w:cs="Arial"/>
          <w:szCs w:val="22"/>
        </w:rPr>
        <w:t xml:space="preserve">.  </w:t>
      </w:r>
    </w:p>
    <w:p w:rsidR="00485094" w:rsidRDefault="00485094">
      <w:pPr>
        <w:pStyle w:val="Bodytext"/>
        <w:rPr>
          <w:rFonts w:cs="Arial"/>
          <w:szCs w:val="22"/>
        </w:rPr>
      </w:pPr>
    </w:p>
    <w:p w:rsidR="00485094" w:rsidRDefault="00485094" w:rsidP="00B215C8">
      <w:pPr>
        <w:pStyle w:val="Heading2"/>
      </w:pPr>
      <w:bookmarkStart w:id="757" w:name="_Toc271280033"/>
      <w:r w:rsidRPr="00D67E69">
        <w:t xml:space="preserve">Florida’s Water </w:t>
      </w:r>
      <w:r>
        <w:t>Resource Management Programs</w:t>
      </w:r>
      <w:bookmarkEnd w:id="757"/>
    </w:p>
    <w:p w:rsidR="00485094" w:rsidRDefault="00485094" w:rsidP="00B215C8">
      <w:pPr>
        <w:pStyle w:val="Bodytext"/>
      </w:pPr>
      <w:r w:rsidRPr="00DB609F">
        <w:t xml:space="preserve">In 1972, the Florida </w:t>
      </w:r>
      <w:r>
        <w:t>Legislature</w:t>
      </w:r>
      <w:r w:rsidRPr="00DB609F">
        <w:t xml:space="preserve">, recognizing the importance of the state’s water resources, passed the </w:t>
      </w:r>
      <w:r>
        <w:t>Florida Water Resources Act,</w:t>
      </w:r>
      <w:r w:rsidRPr="00DB609F">
        <w:t xml:space="preserve"> 373, F.S., and the Florida Air and Water Pollution Control Act, Chapter 403, F.S.  Many goals and policies in the State Comprehensive Plan, Chapter 187, F.S., also address water resources and natural systems protection. </w:t>
      </w:r>
    </w:p>
    <w:p w:rsidR="00485094" w:rsidRDefault="00485094" w:rsidP="00B215C8">
      <w:pPr>
        <w:pStyle w:val="Bodytext"/>
      </w:pPr>
    </w:p>
    <w:p w:rsidR="00485094" w:rsidRDefault="00485094" w:rsidP="00B215C8">
      <w:pPr>
        <w:pStyle w:val="Bodytext"/>
      </w:pPr>
      <w:r>
        <w:t xml:space="preserve">In addition to the FDEP district offices around the state, Florida is unique in that there are also </w:t>
      </w:r>
      <w:r w:rsidRPr="00D67E69">
        <w:t xml:space="preserve">five regional water management districts </w:t>
      </w:r>
      <w:r>
        <w:t xml:space="preserve">broadly </w:t>
      </w:r>
      <w:r w:rsidRPr="00D67E69">
        <w:t>established along natural watershed</w:t>
      </w:r>
      <w:r>
        <w:t xml:space="preserve"> boundarie</w:t>
      </w:r>
      <w:r w:rsidRPr="00D67E69">
        <w:t>s:</w:t>
      </w:r>
    </w:p>
    <w:p w:rsidR="00485094" w:rsidRDefault="00485094" w:rsidP="00B215C8">
      <w:pPr>
        <w:pStyle w:val="Bodytext"/>
      </w:pPr>
    </w:p>
    <w:p w:rsidR="00485094" w:rsidRDefault="00485094" w:rsidP="00B215C8">
      <w:pPr>
        <w:pStyle w:val="Bullet"/>
      </w:pPr>
      <w:r w:rsidRPr="00D67E69">
        <w:t>Northwest Florida</w:t>
      </w:r>
      <w:r>
        <w:t>;</w:t>
      </w:r>
    </w:p>
    <w:p w:rsidR="00485094" w:rsidRDefault="00485094" w:rsidP="00B215C8">
      <w:pPr>
        <w:pStyle w:val="Bullet"/>
      </w:pPr>
      <w:r w:rsidRPr="00D67E69">
        <w:t>St. Johns River</w:t>
      </w:r>
      <w:r>
        <w:t>;</w:t>
      </w:r>
    </w:p>
    <w:p w:rsidR="00485094" w:rsidRDefault="00485094" w:rsidP="00B215C8">
      <w:pPr>
        <w:pStyle w:val="Bullet"/>
      </w:pPr>
      <w:r w:rsidRPr="00D67E69">
        <w:t>Southwest Florida</w:t>
      </w:r>
      <w:r>
        <w:t>;</w:t>
      </w:r>
    </w:p>
    <w:p w:rsidR="00485094" w:rsidRDefault="00485094" w:rsidP="00B215C8">
      <w:pPr>
        <w:pStyle w:val="Bullet"/>
      </w:pPr>
      <w:r w:rsidRPr="00D67E69">
        <w:t>South Florida</w:t>
      </w:r>
      <w:r>
        <w:t>; and</w:t>
      </w:r>
    </w:p>
    <w:p w:rsidR="00485094" w:rsidRDefault="00485094" w:rsidP="00B215C8">
      <w:pPr>
        <w:pStyle w:val="Bullet"/>
      </w:pPr>
      <w:r w:rsidRPr="00D67E69">
        <w:t>Suwannee River</w:t>
      </w:r>
      <w:r>
        <w:t>.</w:t>
      </w:r>
    </w:p>
    <w:p w:rsidR="00485094" w:rsidRDefault="00485094" w:rsidP="00B215C8">
      <w:pPr>
        <w:pStyle w:val="Bodytextreduced"/>
      </w:pPr>
    </w:p>
    <w:p w:rsidR="00485094" w:rsidRDefault="00485094" w:rsidP="00B215C8">
      <w:pPr>
        <w:pStyle w:val="Bodytext"/>
      </w:pPr>
      <w:r w:rsidRPr="00D67E69">
        <w:t xml:space="preserve">The statute gives </w:t>
      </w:r>
      <w:r>
        <w:t>FDEP</w:t>
      </w:r>
      <w:r w:rsidRPr="00D67E69">
        <w:t xml:space="preserve"> “general supervisory authority” over the districts and the authority to exercise any power authorized to be exercised by the districts.  </w:t>
      </w:r>
      <w:r>
        <w:t>FDEP</w:t>
      </w:r>
      <w:r w:rsidRPr="00D67E69">
        <w:t xml:space="preserve"> exercises its general supervisory authority through</w:t>
      </w:r>
      <w:r>
        <w:t xml:space="preserve"> several means, including</w:t>
      </w:r>
      <w:r w:rsidRPr="00D67E69">
        <w:t xml:space="preserve"> </w:t>
      </w:r>
      <w:r>
        <w:t>reviewing</w:t>
      </w:r>
      <w:r w:rsidRPr="00D67E69">
        <w:t xml:space="preserve"> and approv</w:t>
      </w:r>
      <w:r>
        <w:t>ing</w:t>
      </w:r>
      <w:r w:rsidRPr="00D67E69">
        <w:t xml:space="preserve"> district rules, </w:t>
      </w:r>
      <w:r>
        <w:t xml:space="preserve">carrying out </w:t>
      </w:r>
      <w:r w:rsidRPr="00D67E69">
        <w:t xml:space="preserve">coordinated planning, and </w:t>
      </w:r>
      <w:r>
        <w:t xml:space="preserve">providing </w:t>
      </w:r>
      <w:r w:rsidRPr="00D67E69">
        <w:t>program, policy</w:t>
      </w:r>
      <w:r>
        <w:t>,</w:t>
      </w:r>
      <w:r w:rsidRPr="00D67E69">
        <w:t xml:space="preserve"> and rule guidance through the Water Resource Implementation Rule (</w:t>
      </w:r>
      <w:r>
        <w:t>Chapter</w:t>
      </w:r>
      <w:r w:rsidRPr="00D67E69">
        <w:t xml:space="preserve"> 62-40, F.A.C.).</w:t>
      </w:r>
    </w:p>
    <w:p w:rsidR="00485094" w:rsidRDefault="00485094" w:rsidP="00B215C8">
      <w:pPr>
        <w:pStyle w:val="Bodytext"/>
      </w:pPr>
    </w:p>
    <w:p w:rsidR="00485094" w:rsidRDefault="00485094" w:rsidP="00B215C8">
      <w:pPr>
        <w:pStyle w:val="Bodytext"/>
      </w:pPr>
      <w:r>
        <w:t>This approach</w:t>
      </w:r>
      <w:r w:rsidRPr="00D67E69">
        <w:t xml:space="preserve"> combines state-level oversight with regional decision making.  </w:t>
      </w:r>
      <w:r>
        <w:t>It</w:t>
      </w:r>
      <w:r w:rsidRPr="00D67E69">
        <w:t xml:space="preserve"> facilitates </w:t>
      </w:r>
      <w:r>
        <w:t xml:space="preserve">appropriate </w:t>
      </w:r>
      <w:r w:rsidRPr="00D67E69">
        <w:t>statewide consistency in the application of Florida water law</w:t>
      </w:r>
      <w:r>
        <w:t xml:space="preserve">, </w:t>
      </w:r>
      <w:r w:rsidRPr="00D67E69">
        <w:t>while maintaining regional flexibility where necessary to accommodate the wide-ranging climatic, geological, and environmental conditions that affect the state’s water resources.</w:t>
      </w:r>
    </w:p>
    <w:p w:rsidR="00485094" w:rsidRDefault="00485094" w:rsidP="00B215C8">
      <w:pPr>
        <w:pStyle w:val="Bodytext"/>
      </w:pPr>
    </w:p>
    <w:p w:rsidR="00485094" w:rsidRDefault="00485094" w:rsidP="00B215C8">
      <w:pPr>
        <w:pStyle w:val="Bodytext"/>
      </w:pPr>
      <w:r w:rsidRPr="00D67E69">
        <w:t xml:space="preserve">The water management activities of </w:t>
      </w:r>
      <w:r>
        <w:t>FDEP</w:t>
      </w:r>
      <w:r w:rsidRPr="00D67E69">
        <w:t xml:space="preserve"> and </w:t>
      </w:r>
      <w:r>
        <w:t xml:space="preserve">the </w:t>
      </w:r>
      <w:r w:rsidRPr="00D67E69">
        <w:t xml:space="preserve">water management districts are divided into </w:t>
      </w:r>
      <w:r>
        <w:t xml:space="preserve">the following </w:t>
      </w:r>
      <w:r w:rsidRPr="00D67E69">
        <w:t>four areas of responsibility:</w:t>
      </w:r>
    </w:p>
    <w:p w:rsidR="00485094" w:rsidRDefault="00485094" w:rsidP="00B215C8">
      <w:pPr>
        <w:pStyle w:val="Bodytext"/>
      </w:pPr>
    </w:p>
    <w:p w:rsidR="00485094" w:rsidRDefault="00485094" w:rsidP="00B215C8">
      <w:pPr>
        <w:pStyle w:val="Bullet"/>
      </w:pPr>
      <w:r w:rsidRPr="00313FDB">
        <w:rPr>
          <w:b/>
        </w:rPr>
        <w:t>Water Supply:</w:t>
      </w:r>
      <w:r w:rsidRPr="00D67E69">
        <w:t xml:space="preserve"> </w:t>
      </w:r>
      <w:r>
        <w:t xml:space="preserve"> Promoting the availability of sufficient water for all existing and future reasonable and beneficial uses and natural systems.</w:t>
      </w:r>
    </w:p>
    <w:p w:rsidR="00485094" w:rsidRDefault="00485094" w:rsidP="00B215C8">
      <w:pPr>
        <w:pStyle w:val="Bullet"/>
      </w:pPr>
      <w:r w:rsidRPr="00313FDB">
        <w:rPr>
          <w:b/>
        </w:rPr>
        <w:t>Flood Protection and Flood</w:t>
      </w:r>
      <w:r>
        <w:rPr>
          <w:b/>
        </w:rPr>
        <w:t>p</w:t>
      </w:r>
      <w:r w:rsidRPr="00313FDB">
        <w:rPr>
          <w:b/>
        </w:rPr>
        <w:t>lain Management:</w:t>
      </w:r>
      <w:r>
        <w:t xml:space="preserve">  Preventing or minimizing damage from floods, and protecting and enhancing the natural system values of floodplains.</w:t>
      </w:r>
    </w:p>
    <w:p w:rsidR="00485094" w:rsidRDefault="00485094" w:rsidP="00B215C8">
      <w:pPr>
        <w:pStyle w:val="Bullet"/>
      </w:pPr>
      <w:r w:rsidRPr="00313FDB">
        <w:rPr>
          <w:b/>
        </w:rPr>
        <w:t>Water Quality Management:</w:t>
      </w:r>
      <w:r w:rsidRPr="00D67E69">
        <w:t xml:space="preserve"> </w:t>
      </w:r>
      <w:r>
        <w:t xml:space="preserve"> Improving, protecting, and maintaining the quality of surface and ground water.  </w:t>
      </w:r>
    </w:p>
    <w:p w:rsidR="00485094" w:rsidRDefault="00485094" w:rsidP="00B215C8">
      <w:pPr>
        <w:pStyle w:val="Bullet"/>
      </w:pPr>
      <w:r w:rsidRPr="00313FDB">
        <w:rPr>
          <w:b/>
        </w:rPr>
        <w:t>Natural System Management:</w:t>
      </w:r>
      <w:r>
        <w:t xml:space="preserve"> </w:t>
      </w:r>
      <w:r w:rsidRPr="00D67E69">
        <w:t xml:space="preserve"> </w:t>
      </w:r>
      <w:r>
        <w:t>P</w:t>
      </w:r>
      <w:r w:rsidRPr="00D67E69">
        <w:t>reserv</w:t>
      </w:r>
      <w:r>
        <w:t>ing</w:t>
      </w:r>
      <w:r w:rsidRPr="00D67E69">
        <w:t>, prot</w:t>
      </w:r>
      <w:r>
        <w:t>ecting, and restoring natural systems.</w:t>
      </w:r>
    </w:p>
    <w:p w:rsidR="00485094" w:rsidRDefault="00485094" w:rsidP="00B215C8">
      <w:pPr>
        <w:pStyle w:val="Bodytextreduced"/>
      </w:pPr>
    </w:p>
    <w:p w:rsidR="00485094" w:rsidRDefault="00485094" w:rsidP="00B215C8">
      <w:pPr>
        <w:pStyle w:val="Bodytext"/>
      </w:pPr>
      <w:r w:rsidRPr="00F25BB5">
        <w:t xml:space="preserve">These </w:t>
      </w:r>
      <w:r>
        <w:t>responsibilities are carried out through a variety of activities, including planning</w:t>
      </w:r>
      <w:r w:rsidRPr="00F25BB5">
        <w:t>, watershed manag</w:t>
      </w:r>
      <w:r>
        <w:t xml:space="preserve">ement, assessment through application of water quality standards, the </w:t>
      </w:r>
      <w:r w:rsidRPr="00F25BB5">
        <w:t xml:space="preserve">management of nonpoint source pollution, wastewater facilities permitting, ambient </w:t>
      </w:r>
      <w:r>
        <w:t xml:space="preserve">water quality </w:t>
      </w:r>
      <w:r w:rsidRPr="00F25BB5">
        <w:t>monitoring, ground</w:t>
      </w:r>
      <w:r>
        <w:t xml:space="preserve"> </w:t>
      </w:r>
      <w:r w:rsidRPr="00F25BB5">
        <w:t>water protection, educational pro</w:t>
      </w:r>
      <w:r>
        <w:t>grams, and land management.</w:t>
      </w:r>
      <w:r w:rsidRPr="00F25BB5">
        <w:t xml:space="preserve"> </w:t>
      </w:r>
    </w:p>
    <w:p w:rsidR="00485094" w:rsidRDefault="00485094" w:rsidP="00B215C8">
      <w:pPr>
        <w:pStyle w:val="Bodytext"/>
        <w:rPr>
          <w:b/>
          <w:bCs/>
        </w:rPr>
      </w:pPr>
    </w:p>
    <w:p w:rsidR="00485094" w:rsidRDefault="00485094" w:rsidP="00B215C8">
      <w:pPr>
        <w:pStyle w:val="Heading3"/>
      </w:pPr>
      <w:bookmarkStart w:id="758" w:name="_Toc271280034"/>
      <w:r>
        <w:t>Overview of Surface Water Monitoring Programs</w:t>
      </w:r>
      <w:bookmarkEnd w:id="758"/>
    </w:p>
    <w:p w:rsidR="00485094" w:rsidRPr="004367B3" w:rsidRDefault="00485094" w:rsidP="00B215C8">
      <w:pPr>
        <w:pStyle w:val="Heading4"/>
      </w:pPr>
      <w:r w:rsidRPr="004367B3">
        <w:t>Watershed-based Monitoring and Reporting</w:t>
      </w:r>
    </w:p>
    <w:p w:rsidR="00485094" w:rsidRPr="004367B3" w:rsidRDefault="00485094" w:rsidP="00B215C8">
      <w:pPr>
        <w:pStyle w:val="Bodytext"/>
      </w:pPr>
      <w:r w:rsidRPr="004367B3">
        <w:t xml:space="preserve">Different </w:t>
      </w:r>
      <w:r>
        <w:t>types</w:t>
      </w:r>
      <w:r w:rsidRPr="004367B3">
        <w:t xml:space="preserve"> of monitoring, ranging from the general to the specific, are needed </w:t>
      </w:r>
      <w:r>
        <w:t xml:space="preserve">to answer questions about water quality </w:t>
      </w:r>
      <w:r w:rsidRPr="004367B3">
        <w:t xml:space="preserve">at </w:t>
      </w:r>
      <w:r>
        <w:t>varying</w:t>
      </w:r>
      <w:r w:rsidRPr="004367B3">
        <w:t xml:space="preserve"> scales.  Questions may pertain to larger national, statewide</w:t>
      </w:r>
      <w:r>
        <w:t>,</w:t>
      </w:r>
      <w:r w:rsidRPr="004367B3">
        <w:t xml:space="preserve"> or regional/local conditions</w:t>
      </w:r>
      <w:r>
        <w:t>;</w:t>
      </w:r>
      <w:r w:rsidRPr="004367B3">
        <w:t xml:space="preserve"> whether trends exist in water quality over time</w:t>
      </w:r>
      <w:r>
        <w:t>;</w:t>
      </w:r>
      <w:r w:rsidRPr="004367B3">
        <w:t xml:space="preserve"> or </w:t>
      </w:r>
      <w:r>
        <w:t>whether</w:t>
      </w:r>
      <w:r w:rsidRPr="004367B3">
        <w:t xml:space="preserve"> there are problems in individual surface or ground waters.  Other monitoring may include gathering project-specific information to develop standards or to fill data gaps if there is </w:t>
      </w:r>
      <w:r>
        <w:t xml:space="preserve">a </w:t>
      </w:r>
      <w:r w:rsidRPr="004367B3">
        <w:t xml:space="preserve">need to address specific regulatory problems.  To that end, FDEP has developed diverse monitoring programs to resolve questions in response to these needs. </w:t>
      </w:r>
    </w:p>
    <w:p w:rsidR="00485094" w:rsidRPr="004367B3" w:rsidRDefault="00485094" w:rsidP="00B215C8">
      <w:pPr>
        <w:pStyle w:val="Bodytext"/>
      </w:pPr>
    </w:p>
    <w:p w:rsidR="00485094" w:rsidRPr="00174C25" w:rsidRDefault="00485094" w:rsidP="00B215C8">
      <w:pPr>
        <w:pStyle w:val="Bodytext"/>
      </w:pPr>
      <w:r w:rsidRPr="00174C25">
        <w:t xml:space="preserve">FDEP has embraced a tiered monitoring approach and is reporting the results of statewide ambient monitoring networks (Tier I; </w:t>
      </w:r>
      <w:hyperlink r:id="rId167" w:anchor="_Chapter_5._" w:history="1">
        <w:r w:rsidRPr="00174C25">
          <w:rPr>
            <w:rStyle w:val="Hyperlink"/>
          </w:rPr>
          <w:t>Chapter 5</w:t>
        </w:r>
      </w:hyperlink>
      <w:r w:rsidRPr="00174C25">
        <w:t xml:space="preserve"> and </w:t>
      </w:r>
      <w:hyperlink r:id="rId168" w:anchor="_Chapter_6:_" w:history="1">
        <w:r w:rsidRPr="00174C25">
          <w:rPr>
            <w:rStyle w:val="Hyperlink"/>
          </w:rPr>
          <w:t>Chapter 6</w:t>
        </w:r>
      </w:hyperlink>
      <w:r>
        <w:t xml:space="preserve">), </w:t>
      </w:r>
      <w:r w:rsidRPr="00174C25">
        <w:rPr>
          <w:snapToGrid w:val="0"/>
        </w:rPr>
        <w:t>strategic monitoring for verification of impairment and identification of causative pollutants</w:t>
      </w:r>
      <w:r>
        <w:rPr>
          <w:snapToGrid w:val="0"/>
        </w:rPr>
        <w:t xml:space="preserve">, </w:t>
      </w:r>
      <w:r>
        <w:t>(</w:t>
      </w:r>
      <w:r w:rsidRPr="00174C25">
        <w:t xml:space="preserve">Tier II; </w:t>
      </w:r>
      <w:hyperlink r:id="rId169" w:anchor="_Chapter_7._" w:history="1">
        <w:r w:rsidRPr="00174C25">
          <w:rPr>
            <w:rStyle w:val="Hyperlink"/>
          </w:rPr>
          <w:t>Chapter 7</w:t>
        </w:r>
      </w:hyperlink>
      <w:r w:rsidRPr="00174C25">
        <w:t xml:space="preserve"> and </w:t>
      </w:r>
      <w:hyperlink r:id="rId170" w:anchor="_Chapter_8:_" w:history="1">
        <w:r w:rsidRPr="00174C25">
          <w:rPr>
            <w:rStyle w:val="Hyperlink"/>
          </w:rPr>
          <w:t>Chapter 8</w:t>
        </w:r>
      </w:hyperlink>
      <w:r w:rsidRPr="00174C25">
        <w:t>,) and specialized, site-specific monitoring (Tier III).  Tier I consist</w:t>
      </w:r>
      <w:r>
        <w:t>s</w:t>
      </w:r>
      <w:r w:rsidRPr="00174C25">
        <w:t xml:space="preserve"> of FDEP’s statewide surface water Status Monitoring (probabilistic) and Trend Monitoring Networks, TMDL basin</w:t>
      </w:r>
      <w:r>
        <w:t>-</w:t>
      </w:r>
      <w:r w:rsidRPr="00174C25">
        <w:t xml:space="preserve"> and waterbody</w:t>
      </w:r>
      <w:r>
        <w:t>-</w:t>
      </w:r>
      <w:r w:rsidRPr="00174C25">
        <w:t>specific monitoring, and site</w:t>
      </w:r>
      <w:r>
        <w:t>-</w:t>
      </w:r>
      <w:r w:rsidRPr="00174C25">
        <w:t xml:space="preserve">specific monitoring for special projects and regulatory needs, such as statewide </w:t>
      </w:r>
      <w:r>
        <w:t>DO</w:t>
      </w:r>
      <w:r w:rsidRPr="00174C25">
        <w:t xml:space="preserve"> and nutrient criteria monitoring.</w:t>
      </w:r>
    </w:p>
    <w:p w:rsidR="00485094" w:rsidRPr="00174C25" w:rsidRDefault="00485094" w:rsidP="00B215C8">
      <w:pPr>
        <w:pStyle w:val="Bodytext"/>
      </w:pPr>
    </w:p>
    <w:p w:rsidR="00485094" w:rsidRPr="00174C25" w:rsidRDefault="00485094" w:rsidP="00B215C8">
      <w:pPr>
        <w:pStyle w:val="Bodytext"/>
      </w:pPr>
      <w:r w:rsidRPr="00174C25">
        <w:t>The Tier I Status Network used a rotating</w:t>
      </w:r>
      <w:r>
        <w:t xml:space="preserve"> </w:t>
      </w:r>
      <w:r w:rsidRPr="00174C25">
        <w:t xml:space="preserve">basin, probabilistic monitoring design to estimate water quality across the entire state during 2004–08, based on a representative subsample of water resource types.  These estimates are based on a variety of threshold values, including water quality standards, water quality indices, and other appropriate ecological indicators.  The Trend Network uses a fixed station design to examine changes in water quality over time in select river and stream sites throughout the state.  </w:t>
      </w:r>
    </w:p>
    <w:p w:rsidR="00485094" w:rsidRDefault="00485094" w:rsidP="00B215C8">
      <w:pPr>
        <w:pStyle w:val="Bodytext"/>
      </w:pPr>
    </w:p>
    <w:p w:rsidR="00485094" w:rsidRPr="004367B3" w:rsidRDefault="00485094" w:rsidP="00B215C8">
      <w:pPr>
        <w:pStyle w:val="Bodytext"/>
      </w:pPr>
      <w:r>
        <w:t xml:space="preserve">Strategic monitoring </w:t>
      </w:r>
      <w:r w:rsidRPr="004367B3">
        <w:t xml:space="preserve">(Tier II) includes </w:t>
      </w:r>
      <w:r>
        <w:t xml:space="preserve">monitoring </w:t>
      </w:r>
      <w:r w:rsidRPr="004367B3">
        <w:t xml:space="preserve">designed to address data gaps in order to verify impairment in </w:t>
      </w:r>
      <w:r>
        <w:t xml:space="preserve">potentially impaired </w:t>
      </w:r>
      <w:r w:rsidRPr="004367B3">
        <w:t>waterbod</w:t>
      </w:r>
      <w:r>
        <w:t>ies</w:t>
      </w:r>
      <w:r w:rsidRPr="004367B3">
        <w:t xml:space="preserve"> and monitoring in response to citizen concerns and environmental emergencies.  The Springs Initiative</w:t>
      </w:r>
      <w:r>
        <w:t xml:space="preserve"> monitoring is another example, and</w:t>
      </w:r>
      <w:r w:rsidRPr="004367B3">
        <w:t xml:space="preserve"> encompasses all of the extensive monitoring activities begun in 1999 to address the needs of Florida’s freshwater spring systems, a fragile and unique resource type that is at risk.</w:t>
      </w:r>
    </w:p>
    <w:p w:rsidR="00485094" w:rsidRPr="004367B3" w:rsidRDefault="00485094" w:rsidP="00B215C8">
      <w:pPr>
        <w:pStyle w:val="Bodytext"/>
      </w:pPr>
    </w:p>
    <w:p w:rsidR="00485094" w:rsidRPr="004367B3" w:rsidRDefault="00485094" w:rsidP="00B215C8">
      <w:pPr>
        <w:pStyle w:val="Bodytext"/>
      </w:pPr>
      <w:r w:rsidRPr="004367B3">
        <w:t xml:space="preserve">Tier III monitoring addresses questions that are regulatory in nature, or that support specific program needs and quality objectives.  Examples include monitoring to determine whether moderating provisions such as SSACs should apply to certain waters, monitoring tied to regulatory permits issued by FDEP (including fifth-year inspections of wastewater facilities under the </w:t>
      </w:r>
      <w:r>
        <w:t>National Pollutant Discharge Elimination System (</w:t>
      </w:r>
      <w:r w:rsidRPr="004367B3">
        <w:t>NPDES</w:t>
      </w:r>
      <w:r>
        <w:t>)</w:t>
      </w:r>
      <w:r w:rsidRPr="004367B3">
        <w:t xml:space="preserve"> Program, intensive surveys for the development of TMDLs, monitoring to evaluate the effectiveness of </w:t>
      </w:r>
      <w:r>
        <w:t>best management practices (</w:t>
      </w:r>
      <w:r w:rsidRPr="004367B3">
        <w:t>BMPs</w:t>
      </w:r>
      <w:r>
        <w:t>)</w:t>
      </w:r>
      <w:r w:rsidRPr="004367B3">
        <w:t>, and, monitoring to establish or revise state water quality standards.</w:t>
      </w:r>
    </w:p>
    <w:p w:rsidR="00485094" w:rsidRPr="004367B3" w:rsidRDefault="00485094" w:rsidP="00B215C8">
      <w:pPr>
        <w:pStyle w:val="Bodytext"/>
      </w:pPr>
    </w:p>
    <w:p w:rsidR="00485094" w:rsidRDefault="00485094" w:rsidP="00B215C8">
      <w:pPr>
        <w:pStyle w:val="Bodytext"/>
      </w:pPr>
      <w:r w:rsidRPr="004367B3">
        <w:t xml:space="preserve">Each of FDEP’s core monitoring programs has a monitoring design, a list of core and supplemental water quality indicators, and specific procedures for quality assurance, data management, data analysis and assessment, reporting, and programmatic evaluation.  FDEP relies on both chemical and biological sampling in all of its monitoring programs and conducts the bulk of the biological sampling statewide.  </w:t>
      </w:r>
      <w:r>
        <w:t>T</w:t>
      </w:r>
      <w:r w:rsidRPr="004367B3">
        <w:t xml:space="preserve">he remainder of this report </w:t>
      </w:r>
      <w:r>
        <w:t xml:space="preserve">contains information </w:t>
      </w:r>
      <w:r w:rsidRPr="004367B3">
        <w:t>about the programs, their objectives</w:t>
      </w:r>
      <w:r>
        <w:t>,</w:t>
      </w:r>
      <w:r w:rsidRPr="004367B3">
        <w:t xml:space="preserve"> and </w:t>
      </w:r>
      <w:r>
        <w:t xml:space="preserve">the </w:t>
      </w:r>
      <w:r w:rsidRPr="004367B3">
        <w:t xml:space="preserve">results </w:t>
      </w:r>
      <w:r>
        <w:t>of each of their efforts.</w:t>
      </w:r>
    </w:p>
    <w:p w:rsidR="00485094" w:rsidRDefault="00485094" w:rsidP="00B215C8">
      <w:pPr>
        <w:pStyle w:val="Bodytext"/>
      </w:pPr>
    </w:p>
    <w:p w:rsidR="00485094" w:rsidRDefault="00485094" w:rsidP="00B215C8">
      <w:pPr>
        <w:pStyle w:val="Heading3"/>
      </w:pPr>
      <w:bookmarkStart w:id="759" w:name="_Toc271280035"/>
      <w:r>
        <w:t>Overview of Surface Water Protection Programs</w:t>
      </w:r>
      <w:bookmarkEnd w:id="759"/>
    </w:p>
    <w:p w:rsidR="00485094" w:rsidRDefault="00485094" w:rsidP="00B215C8">
      <w:pPr>
        <w:pStyle w:val="Heading4"/>
      </w:pPr>
      <w:r>
        <w:t>Water Quality Standards Program</w:t>
      </w:r>
    </w:p>
    <w:p w:rsidR="00485094" w:rsidRPr="000615B5" w:rsidRDefault="00485094" w:rsidP="00B215C8">
      <w:pPr>
        <w:pStyle w:val="Bodytext"/>
      </w:pPr>
      <w:r w:rsidRPr="000615B5">
        <w:t xml:space="preserve">Florida’s surface water quality standards </w:t>
      </w:r>
      <w:r>
        <w:t xml:space="preserve">are described </w:t>
      </w:r>
      <w:r w:rsidRPr="000615B5">
        <w:t xml:space="preserve">in </w:t>
      </w:r>
      <w:r>
        <w:t xml:space="preserve">Chapter </w:t>
      </w:r>
      <w:r w:rsidRPr="000615B5">
        <w:t xml:space="preserve">62-302, F.A.C.  The components of this system, which are described below, include water quality classifications; </w:t>
      </w:r>
      <w:r>
        <w:t xml:space="preserve">water quality </w:t>
      </w:r>
      <w:r w:rsidRPr="000615B5">
        <w:t>criteria; an anti</w:t>
      </w:r>
      <w:r>
        <w:t>-</w:t>
      </w:r>
      <w:r w:rsidRPr="000615B5">
        <w:t xml:space="preserve">degradation policy; </w:t>
      </w:r>
      <w:r>
        <w:t xml:space="preserve">and </w:t>
      </w:r>
      <w:r w:rsidRPr="000615B5">
        <w:t>moderating provisions.</w:t>
      </w:r>
    </w:p>
    <w:p w:rsidR="00485094" w:rsidRPr="000615B5" w:rsidRDefault="00485094" w:rsidP="00B215C8">
      <w:pPr>
        <w:pStyle w:val="Bodytext"/>
      </w:pPr>
    </w:p>
    <w:p w:rsidR="00485094" w:rsidRDefault="00485094" w:rsidP="00B215C8">
      <w:pPr>
        <w:pStyle w:val="Heading5"/>
      </w:pPr>
      <w:r w:rsidRPr="00D116D2">
        <w:t>Water Quality Classifications</w:t>
      </w:r>
    </w:p>
    <w:p w:rsidR="00485094" w:rsidRPr="000615B5" w:rsidRDefault="00485094" w:rsidP="00B215C8">
      <w:pPr>
        <w:pStyle w:val="Bodytext"/>
      </w:pPr>
      <w:r w:rsidRPr="000615B5">
        <w:t xml:space="preserve">Florida’s </w:t>
      </w:r>
      <w:r>
        <w:t>W</w:t>
      </w:r>
      <w:r w:rsidRPr="000615B5">
        <w:t xml:space="preserve">ater </w:t>
      </w:r>
      <w:r>
        <w:t>Q</w:t>
      </w:r>
      <w:r w:rsidRPr="000615B5">
        <w:t xml:space="preserve">uality </w:t>
      </w:r>
      <w:r>
        <w:t>S</w:t>
      </w:r>
      <w:r w:rsidRPr="000615B5">
        <w:t xml:space="preserve">tandards </w:t>
      </w:r>
      <w:r>
        <w:t>P</w:t>
      </w:r>
      <w:r w:rsidRPr="000615B5">
        <w:t>rogram, the foundation of the state’s program of water quality management, designates the “present and future most beneficial uses” of the waters of the state (Subsection 403.061[10], F.S.).  Florida’s surface water is protected for five designated use classifications, as follows:</w:t>
      </w:r>
    </w:p>
    <w:p w:rsidR="00485094" w:rsidRPr="000615B5" w:rsidRDefault="00485094" w:rsidP="00B215C8">
      <w:pPr>
        <w:pStyle w:val="Bodytext"/>
        <w:rPr>
          <w:rFonts w:cs="Arial"/>
          <w:bCs/>
        </w:rPr>
      </w:pPr>
    </w:p>
    <w:p w:rsidR="00485094" w:rsidRPr="00492CE5" w:rsidRDefault="00485094" w:rsidP="00B215C8">
      <w:pPr>
        <w:pStyle w:val="Bodytext"/>
        <w:ind w:left="1440" w:right="720" w:hanging="1440"/>
        <w:rPr>
          <w:rFonts w:cs="Arial"/>
          <w:bCs/>
          <w:i/>
        </w:rPr>
      </w:pPr>
      <w:r>
        <w:rPr>
          <w:rFonts w:cs="Arial"/>
          <w:bCs/>
          <w:i/>
        </w:rPr>
        <w:t xml:space="preserve">     </w:t>
      </w:r>
      <w:r w:rsidRPr="00492CE5">
        <w:rPr>
          <w:rFonts w:cs="Arial"/>
          <w:bCs/>
          <w:i/>
        </w:rPr>
        <w:t>Class I</w:t>
      </w:r>
      <w:r w:rsidRPr="00492CE5">
        <w:rPr>
          <w:rFonts w:cs="Arial"/>
          <w:bCs/>
          <w:i/>
        </w:rPr>
        <w:tab/>
        <w:t>Potable water supplies</w:t>
      </w:r>
    </w:p>
    <w:p w:rsidR="00485094" w:rsidRPr="00492CE5" w:rsidRDefault="00485094" w:rsidP="00B215C8">
      <w:pPr>
        <w:pStyle w:val="Bodytext"/>
        <w:ind w:left="1440" w:right="720" w:hanging="1440"/>
        <w:rPr>
          <w:rFonts w:cs="Arial"/>
          <w:bCs/>
          <w:i/>
        </w:rPr>
      </w:pPr>
      <w:r>
        <w:rPr>
          <w:rFonts w:cs="Arial"/>
          <w:bCs/>
          <w:i/>
        </w:rPr>
        <w:t xml:space="preserve">     </w:t>
      </w:r>
      <w:r w:rsidRPr="00492CE5">
        <w:rPr>
          <w:rFonts w:cs="Arial"/>
          <w:bCs/>
          <w:i/>
        </w:rPr>
        <w:t>Class II</w:t>
      </w:r>
      <w:r w:rsidRPr="00492CE5">
        <w:rPr>
          <w:rFonts w:cs="Arial"/>
          <w:bCs/>
          <w:i/>
        </w:rPr>
        <w:tab/>
        <w:t>Shellfish propagation or harvesting</w:t>
      </w:r>
    </w:p>
    <w:p w:rsidR="00485094" w:rsidRPr="00492CE5" w:rsidRDefault="00485094" w:rsidP="00B215C8">
      <w:pPr>
        <w:pStyle w:val="Bodytext"/>
        <w:ind w:left="1440" w:right="720" w:hanging="1440"/>
        <w:rPr>
          <w:rFonts w:cs="Arial"/>
          <w:bCs/>
          <w:i/>
        </w:rPr>
      </w:pPr>
      <w:r>
        <w:rPr>
          <w:rFonts w:cs="Arial"/>
          <w:bCs/>
          <w:i/>
        </w:rPr>
        <w:t xml:space="preserve">     </w:t>
      </w:r>
      <w:r w:rsidRPr="00492CE5">
        <w:rPr>
          <w:rFonts w:cs="Arial"/>
          <w:bCs/>
          <w:i/>
        </w:rPr>
        <w:t>Class III</w:t>
      </w:r>
      <w:r w:rsidRPr="00492CE5">
        <w:rPr>
          <w:rFonts w:cs="Arial"/>
          <w:bCs/>
          <w:i/>
        </w:rPr>
        <w:tab/>
        <w:t>Recreation, propagation, and maintenance of a healthy, well-balanced population of fish and wildlife</w:t>
      </w:r>
    </w:p>
    <w:p w:rsidR="00485094" w:rsidRPr="00492CE5" w:rsidRDefault="00485094" w:rsidP="00B215C8">
      <w:pPr>
        <w:pStyle w:val="Bodytext"/>
        <w:ind w:left="1440" w:right="720" w:hanging="1440"/>
        <w:rPr>
          <w:rFonts w:cs="Arial"/>
          <w:bCs/>
          <w:i/>
        </w:rPr>
      </w:pPr>
      <w:r>
        <w:rPr>
          <w:rFonts w:cs="Arial"/>
          <w:bCs/>
          <w:i/>
        </w:rPr>
        <w:t xml:space="preserve">     </w:t>
      </w:r>
      <w:r w:rsidRPr="00492CE5">
        <w:rPr>
          <w:rFonts w:cs="Arial"/>
          <w:bCs/>
          <w:i/>
        </w:rPr>
        <w:t>Class IV</w:t>
      </w:r>
      <w:r w:rsidRPr="00492CE5">
        <w:rPr>
          <w:rFonts w:cs="Arial"/>
          <w:bCs/>
          <w:i/>
        </w:rPr>
        <w:tab/>
        <w:t>Agricultural water supplies</w:t>
      </w:r>
      <w:r>
        <w:rPr>
          <w:rFonts w:cs="Arial"/>
          <w:bCs/>
          <w:i/>
        </w:rPr>
        <w:t xml:space="preserve"> (large agricultural lands, located mainly around Lake Okeechobee)</w:t>
      </w:r>
    </w:p>
    <w:p w:rsidR="00485094" w:rsidRPr="00492CE5" w:rsidRDefault="00485094" w:rsidP="00B215C8">
      <w:pPr>
        <w:pStyle w:val="Bodytext"/>
        <w:ind w:left="1440" w:right="720" w:hanging="1440"/>
        <w:rPr>
          <w:rFonts w:cs="Arial"/>
          <w:bCs/>
          <w:i/>
        </w:rPr>
      </w:pPr>
      <w:r>
        <w:rPr>
          <w:rFonts w:cs="Arial"/>
          <w:bCs/>
          <w:i/>
        </w:rPr>
        <w:t xml:space="preserve">     </w:t>
      </w:r>
      <w:r w:rsidRPr="00492CE5">
        <w:rPr>
          <w:rFonts w:cs="Arial"/>
          <w:bCs/>
          <w:i/>
        </w:rPr>
        <w:t>Class V</w:t>
      </w:r>
      <w:r w:rsidRPr="00492CE5">
        <w:rPr>
          <w:rFonts w:cs="Arial"/>
          <w:bCs/>
          <w:i/>
        </w:rPr>
        <w:tab/>
        <w:t>Navigation, utility, and industrial use (there are no state waters currently in this class)</w:t>
      </w:r>
    </w:p>
    <w:p w:rsidR="00485094" w:rsidRDefault="00485094" w:rsidP="00B215C8">
      <w:pPr>
        <w:pStyle w:val="Bodytextreduced"/>
      </w:pPr>
    </w:p>
    <w:p w:rsidR="00485094" w:rsidRDefault="00485094" w:rsidP="00B215C8">
      <w:pPr>
        <w:pStyle w:val="Bodytext"/>
      </w:pPr>
      <w:r>
        <w:t>Class I waters generally have the most stringent water quality criteria and Class V the least.  However, Class I, II, and III surface waters share water quality criteria established to protect recreation and the propagation and maintenance of a healthy, well-balanced population of fish and wildlife.  All waters of the state are considered to be Class III, except for those specifically identified in Section 62-302.600, F.A.C.  All waters of the state are required to meet the “Minimum Criteria for Surface Waters,” as identified in Section 62-302.500, F.A.C.</w:t>
      </w:r>
    </w:p>
    <w:p w:rsidR="00485094" w:rsidRPr="000615B5" w:rsidRDefault="00485094" w:rsidP="00B215C8">
      <w:pPr>
        <w:pStyle w:val="Bodytext"/>
        <w:rPr>
          <w:rFonts w:cs="Arial"/>
          <w:bCs/>
        </w:rPr>
      </w:pPr>
    </w:p>
    <w:p w:rsidR="00485094" w:rsidRDefault="00485094" w:rsidP="00B215C8">
      <w:pPr>
        <w:pStyle w:val="Bodytext"/>
      </w:pPr>
      <w:r>
        <w:t xml:space="preserve">FDEP has proposed the establishment of a Class III subclassification (Class III Limited) for some wholly artificial and altered waters, in acknowledgment that many of these waters have physical or habitat limitations that preclude support of the same type of aquatic ecosystem as a natural stream or lake.  </w:t>
      </w:r>
      <w:hyperlink r:id="rId171" w:anchor="_Chapter_7._" w:history="1">
        <w:r w:rsidRPr="00E82400">
          <w:rPr>
            <w:rStyle w:val="Hyperlink"/>
          </w:rPr>
          <w:t>Chapter 7</w:t>
        </w:r>
      </w:hyperlink>
      <w:r>
        <w:t xml:space="preserve"> discusses the relationship between the state and the EPA’s designated use classifications.</w:t>
      </w:r>
    </w:p>
    <w:p w:rsidR="00485094" w:rsidRDefault="00485094" w:rsidP="00B215C8">
      <w:pPr>
        <w:pStyle w:val="Bodytext"/>
        <w:rPr>
          <w:rFonts w:cs="Arial"/>
          <w:bCs/>
        </w:rPr>
      </w:pPr>
    </w:p>
    <w:p w:rsidR="00485094" w:rsidRDefault="00485094" w:rsidP="00B215C8">
      <w:pPr>
        <w:rPr>
          <w:rFonts w:ascii="Arial" w:hAnsi="Arial"/>
          <w:b/>
          <w:i/>
          <w:sz w:val="22"/>
          <w:szCs w:val="20"/>
        </w:rPr>
      </w:pPr>
      <w:r>
        <w:br w:type="page"/>
      </w:r>
    </w:p>
    <w:p w:rsidR="00485094" w:rsidRDefault="00485094" w:rsidP="00B215C8">
      <w:pPr>
        <w:pStyle w:val="Heading5"/>
      </w:pPr>
      <w:r w:rsidRPr="00D116D2">
        <w:t>Water Quality Criteria</w:t>
      </w:r>
    </w:p>
    <w:p w:rsidR="00485094" w:rsidRDefault="00485094" w:rsidP="00B215C8">
      <w:pPr>
        <w:pStyle w:val="Bodytext"/>
      </w:pPr>
      <w:r w:rsidRPr="000615B5">
        <w:t xml:space="preserve">Water quality criteria, expressed as numeric or narrative limits for specific parameters, describe the water quality necessary to maintain </w:t>
      </w:r>
      <w:r>
        <w:t>designated uses (such as fishing, swimming, and drinking water)</w:t>
      </w:r>
      <w:r w:rsidRPr="000615B5">
        <w:t xml:space="preserve"> for surface water and ground water.  </w:t>
      </w:r>
      <w:r>
        <w:t>These criteria are presented in Chapter 62-302, F.A.C., and specifically in Section 62-302.530, F.A.C.</w:t>
      </w:r>
    </w:p>
    <w:p w:rsidR="00485094" w:rsidRDefault="00485094" w:rsidP="00B215C8">
      <w:pPr>
        <w:pStyle w:val="Bodytext"/>
      </w:pPr>
    </w:p>
    <w:p w:rsidR="00485094" w:rsidRDefault="00485094" w:rsidP="00B215C8">
      <w:pPr>
        <w:pStyle w:val="Heading5"/>
      </w:pPr>
      <w:r w:rsidRPr="00D116D2">
        <w:t>Anti</w:t>
      </w:r>
      <w:r>
        <w:t>-</w:t>
      </w:r>
      <w:r w:rsidRPr="00D116D2">
        <w:t>degradation Policy</w:t>
      </w:r>
    </w:p>
    <w:p w:rsidR="00485094" w:rsidRPr="000615B5" w:rsidRDefault="00485094" w:rsidP="00B215C8">
      <w:pPr>
        <w:pStyle w:val="Bodytext"/>
      </w:pPr>
      <w:r w:rsidRPr="000615B5">
        <w:t>The Florida Anti</w:t>
      </w:r>
      <w:r>
        <w:t>-</w:t>
      </w:r>
      <w:r w:rsidRPr="000615B5">
        <w:t>degradation Policy (Sections 62-302.300 and 62-4.242, F.A.C.) recognizes that pollution that causes or contributes to new violations of water quality standards or to the continuation of existing violations is harmful to the waters of the state.  Under this policy, the permitting of new or previously unpermitted existing discharges is prohibited where the discharge is expected to reduce the quality of a receiving water below the classification established for it.  Any lowering of water quality caused by a new or expanded discharge to surface waters must be in the public interest (that is, the benefits of the discharge to public health, safety, and welfare must outweigh any adverse impacts on fish and wildlife or recreation).  Further, the permittee must demonstrate that other disposal alternatives (for example, reuse) or pollution prevention are not economically and technologically reasonable alternatives to the surface water discharge.</w:t>
      </w:r>
    </w:p>
    <w:p w:rsidR="00485094" w:rsidRPr="000615B5" w:rsidRDefault="00485094" w:rsidP="00B215C8">
      <w:pPr>
        <w:pStyle w:val="Bodytext"/>
        <w:rPr>
          <w:rFonts w:cs="Arial"/>
          <w:bCs/>
        </w:rPr>
      </w:pPr>
    </w:p>
    <w:p w:rsidR="00485094" w:rsidRDefault="00485094" w:rsidP="00B215C8">
      <w:pPr>
        <w:pStyle w:val="Heading5"/>
      </w:pPr>
      <w:r w:rsidRPr="00D116D2">
        <w:t>Moderating Provisions</w:t>
      </w:r>
    </w:p>
    <w:p w:rsidR="00485094" w:rsidRPr="000615B5" w:rsidRDefault="00485094" w:rsidP="00B215C8">
      <w:pPr>
        <w:pStyle w:val="Bodytext"/>
      </w:pPr>
      <w:r>
        <w:t>Florida’s water quality standards include a variety of m</w:t>
      </w:r>
      <w:r w:rsidRPr="000615B5">
        <w:t>oderating</w:t>
      </w:r>
      <w:r>
        <w:t xml:space="preserve"> </w:t>
      </w:r>
      <w:r w:rsidRPr="000615B5">
        <w:t>provisions (provided in Subsection 62-302.300</w:t>
      </w:r>
      <w:r>
        <w:t>(</w:t>
      </w:r>
      <w:r w:rsidRPr="000615B5">
        <w:t>10</w:t>
      </w:r>
      <w:r>
        <w:t>)</w:t>
      </w:r>
      <w:r w:rsidRPr="000615B5">
        <w:t xml:space="preserve"> and </w:t>
      </w:r>
      <w:r>
        <w:t>Chapters</w:t>
      </w:r>
      <w:r w:rsidRPr="000615B5">
        <w:t xml:space="preserve"> 62-4 and 62-6, F.A.C., and described in Sections 62-302.300, 62-4.244, 62-302.800, 62-4.243, F.A.C., and Sections 403.201 and 373.414, F.S.) include mixing zones, zones of discharge, </w:t>
      </w:r>
      <w:r>
        <w:t>SSACs</w:t>
      </w:r>
      <w:r w:rsidRPr="000615B5">
        <w:t>, exemptions, and variances.  These provisions are intended to moderate the applicability of water quality standards where it has been determined that, under certain special circumstances, the social, economic, and environmental costs of such applicability outweigh the benefits.</w:t>
      </w:r>
    </w:p>
    <w:p w:rsidR="00485094" w:rsidRDefault="00485094" w:rsidP="00B215C8"/>
    <w:p w:rsidR="00485094" w:rsidRDefault="00485094" w:rsidP="00B215C8">
      <w:pPr>
        <w:pStyle w:val="Heading4"/>
      </w:pPr>
      <w:r>
        <w:t>Watershed Assessment Program</w:t>
      </w:r>
    </w:p>
    <w:p w:rsidR="00485094" w:rsidRDefault="00485094" w:rsidP="00B215C8">
      <w:pPr>
        <w:pStyle w:val="Bodytext"/>
      </w:pPr>
      <w:r w:rsidRPr="00225AAC">
        <w:t xml:space="preserve">The primary tasks of the </w:t>
      </w:r>
      <w:hyperlink r:id="rId172" w:history="1">
        <w:r w:rsidRPr="00FA7EAD">
          <w:rPr>
            <w:rStyle w:val="Hyperlink"/>
            <w:szCs w:val="22"/>
          </w:rPr>
          <w:t>Watershed Assessment Program</w:t>
        </w:r>
      </w:hyperlink>
      <w:r w:rsidRPr="00225AAC">
        <w:t xml:space="preserve"> include coordinating strategic monitoring; implementing </w:t>
      </w:r>
      <w:r>
        <w:t>Chapter</w:t>
      </w:r>
      <w:r w:rsidRPr="00225AAC">
        <w:t xml:space="preserve"> 62-303, F.A.C., also known as the </w:t>
      </w:r>
      <w:hyperlink r:id="rId173" w:history="1">
        <w:r w:rsidRPr="00FA7EAD">
          <w:rPr>
            <w:rStyle w:val="Hyperlink"/>
          </w:rPr>
          <w:t>Impaired Surface Waters Rule (IWR)</w:t>
        </w:r>
      </w:hyperlink>
      <w:r w:rsidRPr="00225AAC">
        <w:t>; ensuring the completion of the biannual Integrated Report; and</w:t>
      </w:r>
      <w:r>
        <w:t xml:space="preserve"> </w:t>
      </w:r>
      <w:r w:rsidRPr="00225AAC">
        <w:t>submitting annual updates of Florida’s 303(d) list to the EPA</w:t>
      </w:r>
      <w:r w:rsidRPr="00225AAC" w:rsidDel="00A06CD6">
        <w:t xml:space="preserve"> </w:t>
      </w:r>
      <w:r w:rsidRPr="00225AAC">
        <w:t>.</w:t>
      </w:r>
      <w:r>
        <w:t xml:space="preserve">  Section 303(d) of the federal CWA requires States to submit to the EPA lists of surface waters that do not meet applicable water quality standards (i.e., their designated uses or water quality criteria) and establish TMDLs for each of these waters on a schedule.  Pollution limits are then allocated to each pollutant source in an individual river basin.  A waterbody that does not meet its designated use is defined as </w:t>
      </w:r>
      <w:r>
        <w:rPr>
          <w:i/>
        </w:rPr>
        <w:t>impaired</w:t>
      </w:r>
      <w:r>
        <w:t>.</w:t>
      </w:r>
    </w:p>
    <w:p w:rsidR="00485094" w:rsidRDefault="00485094" w:rsidP="00B215C8">
      <w:pPr>
        <w:pStyle w:val="Bodytext"/>
      </w:pPr>
    </w:p>
    <w:p w:rsidR="00485094" w:rsidRDefault="00485094" w:rsidP="00B215C8">
      <w:pPr>
        <w:pStyle w:val="Bodytext"/>
        <w:rPr>
          <w:b/>
          <w:i/>
        </w:rPr>
      </w:pPr>
      <w:r w:rsidRPr="00595B30">
        <w:rPr>
          <w:b/>
          <w:i/>
        </w:rPr>
        <w:t>Florida Watershed Restoration Act</w:t>
      </w:r>
    </w:p>
    <w:p w:rsidR="00485094" w:rsidRDefault="00485094" w:rsidP="00B215C8">
      <w:pPr>
        <w:pStyle w:val="Bodytext"/>
      </w:pPr>
      <w:r>
        <w:t xml:space="preserve">The 1999 FWRA (Section 403.067, F.S.) clarified FDEP’s statutory authority to establish TMDLs, required FDEP to develop a scientifically sound methodology for identifying impaired waters, specified that FDEP could develop TMDLs only for waters identified as impaired using this new methodology, and directed FDEP to establish an Allocation Technical Advisory Committee (ATAC) to assure the equitable allocation of load reductions when implementing TMDLs.  </w:t>
      </w:r>
    </w:p>
    <w:p w:rsidR="00485094" w:rsidRDefault="00485094" w:rsidP="00B215C8">
      <w:pPr>
        <w:rPr>
          <w:rFonts w:ascii="Arial" w:hAnsi="Arial"/>
          <w:sz w:val="22"/>
          <w:szCs w:val="20"/>
        </w:rPr>
      </w:pPr>
    </w:p>
    <w:p w:rsidR="00485094" w:rsidRDefault="00485094" w:rsidP="00B215C8">
      <w:pPr>
        <w:rPr>
          <w:rFonts w:ascii="Arial" w:hAnsi="Arial"/>
          <w:sz w:val="22"/>
          <w:szCs w:val="20"/>
        </w:rPr>
      </w:pPr>
      <w:r w:rsidRPr="00427548">
        <w:rPr>
          <w:rFonts w:ascii="Arial" w:hAnsi="Arial"/>
          <w:sz w:val="22"/>
          <w:szCs w:val="20"/>
        </w:rPr>
        <w:t xml:space="preserve">Another significant component of the FWRA was the requirement for FDEP and FDACS to adopt, by rule, </w:t>
      </w:r>
      <w:r>
        <w:rPr>
          <w:rFonts w:ascii="Arial" w:hAnsi="Arial"/>
          <w:sz w:val="22"/>
          <w:szCs w:val="20"/>
        </w:rPr>
        <w:t xml:space="preserve">BMPs </w:t>
      </w:r>
      <w:r w:rsidRPr="00427548">
        <w:rPr>
          <w:rFonts w:ascii="Arial" w:hAnsi="Arial"/>
          <w:sz w:val="22"/>
          <w:szCs w:val="20"/>
        </w:rPr>
        <w:t xml:space="preserve">to reduce urban and agricultural nonpoint sources of pollution.  </w:t>
      </w:r>
      <w:r>
        <w:rPr>
          <w:rFonts w:ascii="Arial" w:hAnsi="Arial"/>
          <w:sz w:val="22"/>
          <w:szCs w:val="20"/>
        </w:rPr>
        <w:t>As</w:t>
      </w:r>
      <w:r w:rsidRPr="00427548">
        <w:rPr>
          <w:rFonts w:ascii="Arial" w:hAnsi="Arial"/>
          <w:sz w:val="22"/>
          <w:szCs w:val="20"/>
        </w:rPr>
        <w:t xml:space="preserve"> Florida already has an urban stormwater regulatory program, this new authority was particularly important in strengthening Florida’s agricultural nonpoint source management program.  This section of the law requires FDACS to adopt, by rule, BMPs to reduce agricultural nonpoint source pollution</w:t>
      </w:r>
      <w:r>
        <w:rPr>
          <w:rFonts w:ascii="Arial" w:hAnsi="Arial"/>
          <w:sz w:val="22"/>
          <w:szCs w:val="20"/>
        </w:rPr>
        <w:t>,</w:t>
      </w:r>
      <w:r w:rsidRPr="00427548">
        <w:rPr>
          <w:rFonts w:ascii="Arial" w:hAnsi="Arial"/>
          <w:sz w:val="22"/>
          <w:szCs w:val="20"/>
        </w:rPr>
        <w:t xml:space="preserve"> and </w:t>
      </w:r>
      <w:r>
        <w:rPr>
          <w:rFonts w:ascii="Arial" w:hAnsi="Arial"/>
          <w:sz w:val="22"/>
          <w:szCs w:val="20"/>
        </w:rPr>
        <w:t>for F</w:t>
      </w:r>
      <w:r w:rsidRPr="00427548">
        <w:rPr>
          <w:rFonts w:ascii="Arial" w:hAnsi="Arial"/>
          <w:sz w:val="22"/>
          <w:szCs w:val="20"/>
        </w:rPr>
        <w:t>DEP to verify the effectiveness of the BMPs in reducing pollutant loads</w:t>
      </w:r>
      <w:r>
        <w:rPr>
          <w:rFonts w:ascii="Arial" w:hAnsi="Arial"/>
          <w:sz w:val="22"/>
          <w:szCs w:val="20"/>
        </w:rPr>
        <w:t>.</w:t>
      </w:r>
    </w:p>
    <w:p w:rsidR="00485094" w:rsidRDefault="00485094" w:rsidP="00B215C8">
      <w:pPr>
        <w:rPr>
          <w:rFonts w:ascii="Arial" w:hAnsi="Arial"/>
          <w:sz w:val="22"/>
          <w:szCs w:val="20"/>
        </w:rPr>
      </w:pPr>
    </w:p>
    <w:p w:rsidR="00485094" w:rsidRDefault="00485094" w:rsidP="00B215C8">
      <w:pPr>
        <w:rPr>
          <w:rFonts w:ascii="Arial" w:hAnsi="Arial"/>
          <w:sz w:val="22"/>
          <w:szCs w:val="20"/>
        </w:rPr>
      </w:pPr>
      <w:r w:rsidRPr="00427548">
        <w:rPr>
          <w:rFonts w:ascii="Arial" w:hAnsi="Arial"/>
          <w:sz w:val="22"/>
          <w:szCs w:val="20"/>
        </w:rPr>
        <w:t xml:space="preserve">Once </w:t>
      </w:r>
      <w:r>
        <w:rPr>
          <w:rFonts w:ascii="Arial" w:hAnsi="Arial"/>
          <w:sz w:val="22"/>
          <w:szCs w:val="20"/>
        </w:rPr>
        <w:t>FDACS adopts the BMPs</w:t>
      </w:r>
      <w:r w:rsidRPr="00427548">
        <w:rPr>
          <w:rFonts w:ascii="Arial" w:hAnsi="Arial"/>
          <w:sz w:val="22"/>
          <w:szCs w:val="20"/>
        </w:rPr>
        <w:t>, landowners must submit a Notice of Intent</w:t>
      </w:r>
      <w:r>
        <w:rPr>
          <w:rFonts w:ascii="Arial" w:hAnsi="Arial"/>
          <w:sz w:val="22"/>
          <w:szCs w:val="20"/>
        </w:rPr>
        <w:t xml:space="preserve"> </w:t>
      </w:r>
      <w:r w:rsidR="00EE4CFE">
        <w:rPr>
          <w:rFonts w:ascii="Arial" w:hAnsi="Arial"/>
          <w:sz w:val="22"/>
          <w:szCs w:val="20"/>
        </w:rPr>
        <w:t xml:space="preserve">(NOI) </w:t>
      </w:r>
      <w:r w:rsidRPr="00427548">
        <w:rPr>
          <w:rFonts w:ascii="Arial" w:hAnsi="Arial"/>
          <w:sz w:val="22"/>
          <w:szCs w:val="20"/>
        </w:rPr>
        <w:t>to FDACS</w:t>
      </w:r>
      <w:r>
        <w:rPr>
          <w:rFonts w:ascii="Arial" w:hAnsi="Arial"/>
          <w:sz w:val="22"/>
          <w:szCs w:val="20"/>
        </w:rPr>
        <w:t>,</w:t>
      </w:r>
      <w:r w:rsidRPr="00427548">
        <w:rPr>
          <w:rFonts w:ascii="Arial" w:hAnsi="Arial"/>
          <w:sz w:val="22"/>
          <w:szCs w:val="20"/>
        </w:rPr>
        <w:t xml:space="preserve"> specifying the BMPs that will be applied on specific land parcels and the schedule for BMP implementation.  The landowners also must maintain records, such as fertilizer use, and allow FDACS staff to inspect the BMPs.  By submitting a N</w:t>
      </w:r>
      <w:r w:rsidR="00EE4CFE">
        <w:rPr>
          <w:rFonts w:ascii="Arial" w:hAnsi="Arial"/>
          <w:sz w:val="22"/>
          <w:szCs w:val="20"/>
        </w:rPr>
        <w:t>OI</w:t>
      </w:r>
      <w:r w:rsidRPr="00427548">
        <w:rPr>
          <w:rFonts w:ascii="Arial" w:hAnsi="Arial"/>
          <w:sz w:val="22"/>
          <w:szCs w:val="20"/>
        </w:rPr>
        <w:t xml:space="preserve">, the landowners become eligible for state and federal cost-share funding to implement BMPs and receive a presumption of compliance that they are meeting water quality standards.  The BMP rules and the associated BMP manuals that have been adopted are available </w:t>
      </w:r>
      <w:r>
        <w:rPr>
          <w:rFonts w:ascii="Arial" w:hAnsi="Arial"/>
          <w:sz w:val="22"/>
          <w:szCs w:val="20"/>
        </w:rPr>
        <w:t>from</w:t>
      </w:r>
      <w:r w:rsidRPr="00427548">
        <w:rPr>
          <w:rFonts w:ascii="Arial" w:hAnsi="Arial"/>
          <w:sz w:val="22"/>
          <w:szCs w:val="20"/>
        </w:rPr>
        <w:t xml:space="preserve"> </w:t>
      </w:r>
      <w:hyperlink r:id="rId174" w:history="1">
        <w:r>
          <w:rPr>
            <w:rStyle w:val="Hyperlink"/>
            <w:rFonts w:ascii="Arial" w:hAnsi="Arial"/>
            <w:sz w:val="22"/>
            <w:szCs w:val="20"/>
          </w:rPr>
          <w:t>FDAC’s O</w:t>
        </w:r>
        <w:r w:rsidRPr="00CA657B">
          <w:rPr>
            <w:rStyle w:val="Hyperlink"/>
            <w:rFonts w:ascii="Arial" w:hAnsi="Arial"/>
            <w:sz w:val="22"/>
            <w:szCs w:val="20"/>
          </w:rPr>
          <w:t>ffice of Agricultural Water Policy website</w:t>
        </w:r>
      </w:hyperlink>
      <w:r>
        <w:rPr>
          <w:rFonts w:ascii="Arial" w:hAnsi="Arial"/>
          <w:sz w:val="22"/>
          <w:szCs w:val="20"/>
        </w:rPr>
        <w:t>.</w:t>
      </w:r>
    </w:p>
    <w:p w:rsidR="00485094" w:rsidRPr="00427548" w:rsidRDefault="00485094" w:rsidP="00B215C8">
      <w:pPr>
        <w:rPr>
          <w:rFonts w:ascii="Arial" w:hAnsi="Arial"/>
          <w:sz w:val="22"/>
          <w:szCs w:val="20"/>
        </w:rPr>
      </w:pPr>
    </w:p>
    <w:p w:rsidR="00485094" w:rsidRDefault="00485094" w:rsidP="00B215C8">
      <w:pPr>
        <w:pStyle w:val="Bodytext"/>
      </w:pPr>
      <w:r>
        <w:t>The FWRA identifies BMAPs as the primary mechanism for implementing TMDLs to restore water quality.  BMAPs are developed cooperatively with local stakeholders over an 18- to 24-month period following TMDL development.  The strategies developed in each BMAP are implemented in NPDES permits for wastewater facilities and municipal separate storm sewer system (MS4) permits.</w:t>
      </w:r>
    </w:p>
    <w:p w:rsidR="00485094" w:rsidRDefault="00485094" w:rsidP="00B215C8">
      <w:pPr>
        <w:pStyle w:val="Bodytext"/>
      </w:pPr>
    </w:p>
    <w:p w:rsidR="00485094" w:rsidRDefault="00485094" w:rsidP="00B215C8">
      <w:pPr>
        <w:pStyle w:val="Bodytext"/>
      </w:pPr>
      <w:r>
        <w:t>The 2005 Florida Legislature’s amendments to the FWRA focused on the development and adoption of BMAPs as an appropriate method for implementing TMDLs.  The Legislature also established a long-term funding source that provided $20 million per year for urban stormwater retrofitting projects to reduce pollutant loadings to impaired waters; however, that level of funding has not been consistently provided.  Additionally, the 2005 amendments provide FDEP with the ability to take enforcement action against nonpoint sources that do not implement the BMPs that they agreed to implement in the BMAP.</w:t>
      </w:r>
    </w:p>
    <w:p w:rsidR="00485094" w:rsidRDefault="00485094" w:rsidP="00B215C8">
      <w:pPr>
        <w:pStyle w:val="Bodytext"/>
      </w:pPr>
    </w:p>
    <w:p w:rsidR="00485094" w:rsidRDefault="00485094" w:rsidP="00B215C8">
      <w:pPr>
        <w:pStyle w:val="Bodytext"/>
        <w:rPr>
          <w:b/>
          <w:i/>
        </w:rPr>
      </w:pPr>
      <w:r w:rsidRPr="00595B30">
        <w:rPr>
          <w:b/>
          <w:i/>
        </w:rPr>
        <w:t>Impaired Surface Waters Rule</w:t>
      </w:r>
    </w:p>
    <w:p w:rsidR="00485094" w:rsidRDefault="00485094" w:rsidP="00B215C8">
      <w:pPr>
        <w:pStyle w:val="Bodytext"/>
      </w:pPr>
      <w:r>
        <w:t>Waterbodies are assessed and TMDLs are developed and implemented using the methodology in Florida</w:t>
      </w:r>
      <w:r w:rsidRPr="00AC4F94">
        <w:t xml:space="preserve">’s </w:t>
      </w:r>
      <w:r>
        <w:t>IWR</w:t>
      </w:r>
      <w:r w:rsidRPr="00AC4F94">
        <w:t xml:space="preserve"> (</w:t>
      </w:r>
      <w:r>
        <w:t>Chapter</w:t>
      </w:r>
      <w:r w:rsidRPr="00AC4F94">
        <w:t xml:space="preserve"> 62-303, F.A.C.)</w:t>
      </w:r>
      <w:r>
        <w:t>.  This is</w:t>
      </w:r>
      <w:r w:rsidRPr="00AC4F94">
        <w:t xml:space="preserve"> </w:t>
      </w:r>
      <w:r>
        <w:t xml:space="preserve">a </w:t>
      </w:r>
      <w:r w:rsidRPr="00AC4F94">
        <w:t>science-based methodology for evaluating water quality data in order to identify impaired waters, and establishes specific criteria for impairment based on chemical parameters, the interpretation of narrative nutrient criteria, biological impairment, fish consumption advisories, and ecological impairment.  The IWR also establishes thresholds for data sufficiency and data quality, including the minimum sample size required and the number of exceedances of the applicable water quality standard for a given sample size that identify a waterbody as impaired.  The number of exceedances is based on a statistical approach designed to provide greater confidence that the outcome of the water quality assessment is correct.  Waters that are identified as impaired through the IWR are prioritized for TMDL development and implementation.</w:t>
      </w:r>
    </w:p>
    <w:p w:rsidR="00485094" w:rsidRDefault="00485094" w:rsidP="00B215C8">
      <w:pPr>
        <w:pStyle w:val="Bodytext"/>
      </w:pPr>
    </w:p>
    <w:p w:rsidR="00485094" w:rsidRDefault="00485094" w:rsidP="00B215C8">
      <w:pPr>
        <w:pStyle w:val="Bodytext"/>
      </w:pPr>
      <w:r w:rsidRPr="0087255F">
        <w:t xml:space="preserve">In 2006, and again in 2007, the IWR was amended to address legal challenges that arose following the original adoption in 2001.  After </w:t>
      </w:r>
      <w:r>
        <w:t>t</w:t>
      </w:r>
      <w:r w:rsidRPr="0087255F">
        <w:t>he state rulemaking process</w:t>
      </w:r>
      <w:r>
        <w:t xml:space="preserve"> was completed</w:t>
      </w:r>
      <w:r w:rsidRPr="0087255F">
        <w:t xml:space="preserve">, the revised IWR was submitted to </w:t>
      </w:r>
      <w:r>
        <w:t>the EPA</w:t>
      </w:r>
      <w:r w:rsidRPr="0087255F">
        <w:t xml:space="preserve"> on </w:t>
      </w:r>
      <w:r>
        <w:t xml:space="preserve">September 14, 2007, </w:t>
      </w:r>
      <w:r w:rsidRPr="0087255F">
        <w:t xml:space="preserve">as a change to water quality standards.  On February 19, 2008, </w:t>
      </w:r>
      <w:r>
        <w:t xml:space="preserve">the </w:t>
      </w:r>
      <w:r w:rsidRPr="0087255F">
        <w:t xml:space="preserve">EPA sent </w:t>
      </w:r>
      <w:r>
        <w:t>a</w:t>
      </w:r>
      <w:r w:rsidRPr="0087255F">
        <w:t xml:space="preserve"> letter of approval to FDEP acknowledging </w:t>
      </w:r>
      <w:r>
        <w:t xml:space="preserve">that </w:t>
      </w:r>
      <w:r w:rsidRPr="0087255F">
        <w:t>the IWR was an approved change to water quality standards.</w:t>
      </w:r>
    </w:p>
    <w:p w:rsidR="00485094" w:rsidRDefault="00485094" w:rsidP="00B215C8">
      <w:pPr>
        <w:pStyle w:val="Bodytext"/>
      </w:pPr>
    </w:p>
    <w:p w:rsidR="00485094" w:rsidRDefault="00485094" w:rsidP="00B215C8">
      <w:pPr>
        <w:rPr>
          <w:rFonts w:ascii="Arial" w:hAnsi="Arial"/>
          <w:b/>
          <w:i/>
          <w:sz w:val="22"/>
          <w:szCs w:val="20"/>
        </w:rPr>
      </w:pPr>
      <w:r>
        <w:br w:type="page"/>
      </w:r>
    </w:p>
    <w:p w:rsidR="00485094" w:rsidRDefault="00485094" w:rsidP="00B215C8">
      <w:pPr>
        <w:pStyle w:val="Heading5"/>
      </w:pPr>
      <w:r>
        <w:t>Watershed Management Approach</w:t>
      </w:r>
    </w:p>
    <w:p w:rsidR="00485094" w:rsidRDefault="00485094" w:rsidP="00B215C8">
      <w:pPr>
        <w:pStyle w:val="Bodytext"/>
      </w:pPr>
      <w:r w:rsidRPr="00934827">
        <w:t>FDEP's statewide</w:t>
      </w:r>
      <w:r>
        <w:t xml:space="preserve"> tactic to water resource management, called the watershed management approach, is the framework for developing and implementing the provisions of Section 303(d) of the CWA, including the development of TMDLs, as required by federal and state laws.</w:t>
      </w:r>
    </w:p>
    <w:p w:rsidR="00485094" w:rsidRDefault="00485094" w:rsidP="00B215C8">
      <w:pPr>
        <w:pStyle w:val="Bodytext"/>
      </w:pPr>
    </w:p>
    <w:p w:rsidR="00485094" w:rsidRDefault="00485094" w:rsidP="00B215C8">
      <w:pPr>
        <w:pStyle w:val="Bodytext"/>
      </w:pPr>
      <w:r>
        <w:t>Watershed management is a comprehensive approach to managing water resources on the basis of hydrologic units—which are natural boundaries such as river basins—rather than arbitrary political or regulatory boundaries.  It does not focus on individual causes of pollution.  Instead, each basin is assessed as an entire functioning system, and aquatic resources are evaluated from a basin-wide perspective that considers the cumulative effects of human activities.</w:t>
      </w:r>
    </w:p>
    <w:p w:rsidR="00485094" w:rsidRDefault="00485094" w:rsidP="00B215C8">
      <w:pPr>
        <w:pStyle w:val="Bodytext"/>
      </w:pPr>
    </w:p>
    <w:p w:rsidR="00485094" w:rsidRDefault="00485094" w:rsidP="00B215C8">
      <w:pPr>
        <w:pStyle w:val="Bodytext"/>
        <w:rPr>
          <w:b/>
        </w:rPr>
      </w:pPr>
      <w:r>
        <w:t xml:space="preserve">On a simple level, Florida’s watershed management approach provides a mechanism to focus resources on specific units (river or estuary basins), rather than trying to work on all state waters at one time.  An important feature is the involvement of all the stakeholders who have an interest in an individual basin (including federal, state, regional, tribal, and local governments and individual citizens), in a cooperative effort to define, prioritize, and resolve water quality problems.  Existing programs are coordinated to manage basin resources without duplicated effort.  </w:t>
      </w:r>
      <w:r>
        <w:rPr>
          <w:color w:val="000000"/>
        </w:rPr>
        <w:t xml:space="preserve">The watershed management approach is not new, nor does it compete with or replace existing programs.  Rather than relying on single solutions to water resource issues, it is intended to improve the health of surface water and ground water resources by strengthening coordination among such activities as monitoring, stormwater management, wastewater treatment, wetland restoration, land acquisition, and public involvement.  </w:t>
      </w:r>
    </w:p>
    <w:p w:rsidR="00485094" w:rsidRDefault="00485094" w:rsidP="00B215C8">
      <w:pPr>
        <w:pStyle w:val="Bodytext"/>
      </w:pPr>
    </w:p>
    <w:p w:rsidR="00485094" w:rsidRPr="00776983" w:rsidRDefault="00485094" w:rsidP="00B215C8">
      <w:pPr>
        <w:pStyle w:val="Bodytext"/>
      </w:pPr>
      <w:r w:rsidRPr="00776983">
        <w:t xml:space="preserve">Florida’s watershed management approach </w:t>
      </w:r>
      <w:r>
        <w:t xml:space="preserve">involves a multiple-phase, </w:t>
      </w:r>
      <w:r w:rsidRPr="00776983">
        <w:t>five-year, rotating basin cycle.</w:t>
      </w:r>
      <w:r>
        <w:t xml:space="preserve">  </w:t>
      </w:r>
      <w:r w:rsidRPr="00776983">
        <w:t>During Phase 1, a Planning List of potentially impaired waters is prepared in a collaborative process with stakeholders.  During this phase, FDEP works closely with local monitoring staff to determine when and where additional monitoring is needed to verify the impairments.  This culminates in the preparation of a Strategic Monitoring Plan that is implemented the following year, during Phase 2 of the cycle.</w:t>
      </w:r>
    </w:p>
    <w:p w:rsidR="00485094" w:rsidRPr="00776983" w:rsidRDefault="00485094" w:rsidP="00B215C8">
      <w:pPr>
        <w:pStyle w:val="Bodytext"/>
      </w:pPr>
    </w:p>
    <w:p w:rsidR="00485094" w:rsidRPr="00776983" w:rsidRDefault="00485094" w:rsidP="00B215C8">
      <w:pPr>
        <w:pStyle w:val="Bodytext"/>
      </w:pPr>
      <w:r w:rsidRPr="00776983">
        <w:t xml:space="preserve">The key product of Phase 2 is the Verified List of impaired waters.  </w:t>
      </w:r>
      <w:r>
        <w:t>These lists are developed through applying the water quality standards in Chapter 62-302 F.A.C., as well as the methodologies provided in Chapter 62-303</w:t>
      </w:r>
      <w:r w:rsidR="00A03A97">
        <w:t>,</w:t>
      </w:r>
      <w:r>
        <w:t xml:space="preserve"> F.A.C.  There are generally draft lists developed which are provided to stakeholders for comment.  Lists are finalized based on public comment and any additional information received throughout the process.</w:t>
      </w:r>
    </w:p>
    <w:p w:rsidR="00485094" w:rsidRPr="00776983" w:rsidRDefault="00485094" w:rsidP="00B215C8">
      <w:pPr>
        <w:pStyle w:val="Bodytext"/>
      </w:pPr>
    </w:p>
    <w:p w:rsidR="00485094" w:rsidRPr="00776983" w:rsidRDefault="00485094" w:rsidP="00B215C8">
      <w:pPr>
        <w:pStyle w:val="Bodytext"/>
      </w:pPr>
      <w:r w:rsidRPr="00776983">
        <w:t xml:space="preserve">During Phase 3 of the cycle, watershed and waterbody modeling are carried out to develop TMDLs for impaired waters and the preliminary allocations to point and nonpoint sources.  Typically, a </w:t>
      </w:r>
      <w:r w:rsidR="00A03A97">
        <w:t>B</w:t>
      </w:r>
      <w:r w:rsidR="00A03A97" w:rsidRPr="00776983">
        <w:t xml:space="preserve">asin </w:t>
      </w:r>
      <w:r w:rsidR="00A03A97">
        <w:t>W</w:t>
      </w:r>
      <w:r w:rsidR="00A03A97" w:rsidRPr="00776983">
        <w:t xml:space="preserve">orking </w:t>
      </w:r>
      <w:r w:rsidR="00A03A97">
        <w:t>G</w:t>
      </w:r>
      <w:r w:rsidR="00A03A97" w:rsidRPr="00776983">
        <w:t xml:space="preserve">roup </w:t>
      </w:r>
      <w:r w:rsidRPr="00776983">
        <w:t xml:space="preserve">is formalized during this phase and begins the process of developing the BMAP that will guide TMDL implementation activities.  FDEP works closely with the </w:t>
      </w:r>
      <w:r w:rsidR="00A03A97">
        <w:t>B</w:t>
      </w:r>
      <w:r w:rsidR="00A03A97" w:rsidRPr="00776983">
        <w:t xml:space="preserve">asin </w:t>
      </w:r>
      <w:r w:rsidR="00A03A97">
        <w:t>W</w:t>
      </w:r>
      <w:r w:rsidR="00A03A97" w:rsidRPr="00776983">
        <w:t xml:space="preserve">orking </w:t>
      </w:r>
      <w:r w:rsidR="00A03A97">
        <w:t>G</w:t>
      </w:r>
      <w:r w:rsidR="00A03A97" w:rsidRPr="00776983">
        <w:t xml:space="preserve">roup </w:t>
      </w:r>
      <w:r w:rsidRPr="00776983">
        <w:t>and other watershed stakeholders to ensure that they understand and support the approaches being undertaken to develop the TMDL.</w:t>
      </w:r>
      <w:r>
        <w:t xml:space="preserve">  To date, </w:t>
      </w:r>
      <w:r w:rsidR="00A03A97">
        <w:t>FDEP has adopted</w:t>
      </w:r>
      <w:r>
        <w:t xml:space="preserve"> a total of 234 TMDLs.  Of those 234, 138 were developed for DO and/or </w:t>
      </w:r>
      <w:r w:rsidR="00550C22">
        <w:t>nutrients</w:t>
      </w:r>
      <w:r>
        <w:t>, 92 were developed for bacteria, and 4 are for other parameters such as un</w:t>
      </w:r>
      <w:r w:rsidR="00A03A97">
        <w:t>-</w:t>
      </w:r>
      <w:r>
        <w:t>ionized ammonia.  These TMDLs represent areas in all basin groups and cover many of the largest watersheds within the state (e.g.</w:t>
      </w:r>
      <w:r w:rsidR="00550C22">
        <w:t>,</w:t>
      </w:r>
      <w:r>
        <w:t xml:space="preserve"> St. Johns River, St. Lucie </w:t>
      </w:r>
      <w:r w:rsidR="00550C22">
        <w:t>Estuary</w:t>
      </w:r>
      <w:r>
        <w:t xml:space="preserve">).  Many more TMDLs have been drafted or are in various stages of development.  </w:t>
      </w:r>
    </w:p>
    <w:p w:rsidR="00485094" w:rsidRPr="00776983" w:rsidRDefault="00485094" w:rsidP="00B215C8">
      <w:pPr>
        <w:pStyle w:val="Bodytext"/>
      </w:pPr>
    </w:p>
    <w:p w:rsidR="00485094" w:rsidRPr="00776983" w:rsidRDefault="00485094" w:rsidP="00B215C8">
      <w:pPr>
        <w:pStyle w:val="Bodytext"/>
      </w:pPr>
      <w:r w:rsidRPr="00776983">
        <w:t>During Phase 4 of the cycle, the basin working group and other stakeholders—especially representatives of local governments, including local elected officials—develop the BMAP.  This process typically takes about two years and culminates in the adoption of the BMAP by FDEP’s Secretary.</w:t>
      </w:r>
    </w:p>
    <w:p w:rsidR="00485094" w:rsidRPr="00776983" w:rsidRDefault="00485094" w:rsidP="00B215C8">
      <w:pPr>
        <w:pStyle w:val="Bodytext"/>
      </w:pPr>
    </w:p>
    <w:p w:rsidR="00485094" w:rsidRPr="00776983" w:rsidRDefault="00485094" w:rsidP="00B215C8">
      <w:pPr>
        <w:pStyle w:val="Bodytext"/>
      </w:pPr>
      <w:r w:rsidRPr="00776983">
        <w:t xml:space="preserve">Both the BMAP and the Verified List of impaired waters are adopted by Secretarial Order, while all TMDLs are adopted by rule.  Like all official agency actions, these adoptions are subject to state administrative procedures set forth in Chapter 120, F.S.  Once a BMAP, Verified List, or TMDL is adopted, a notice is published in the </w:t>
      </w:r>
      <w:hyperlink r:id="rId175" w:history="1">
        <w:r w:rsidRPr="00776983">
          <w:rPr>
            <w:rStyle w:val="Hyperlink"/>
            <w:i/>
          </w:rPr>
          <w:t>Florida Administrative Weekly</w:t>
        </w:r>
      </w:hyperlink>
      <w:r w:rsidRPr="00776983">
        <w:rPr>
          <w:i/>
        </w:rPr>
        <w:t xml:space="preserve"> and</w:t>
      </w:r>
      <w:r w:rsidRPr="00776983">
        <w:t xml:space="preserve"> any affected party has the opportunity to request an administrative hearing to challenge the adoption.</w:t>
      </w:r>
    </w:p>
    <w:p w:rsidR="00485094" w:rsidRPr="00776983" w:rsidRDefault="00485094" w:rsidP="00B215C8">
      <w:pPr>
        <w:pStyle w:val="Bodytext"/>
      </w:pPr>
    </w:p>
    <w:p w:rsidR="00485094" w:rsidRDefault="00485094" w:rsidP="00B215C8">
      <w:pPr>
        <w:pStyle w:val="Bodytext"/>
      </w:pPr>
      <w:smartTag w:uri="urn:schemas-microsoft-com:office:smarttags" w:element="State">
        <w:smartTag w:uri="urn:schemas-microsoft-com:office:smarttags" w:element="place">
          <w:r w:rsidRPr="00776983">
            <w:t>Florida</w:t>
          </w:r>
        </w:smartTag>
      </w:smartTag>
      <w:r w:rsidRPr="00776983">
        <w:t xml:space="preserve"> continues to develop an integrated database of assessment information that reflects whether water quality standards are being attained.  The Verified Lists of impaired waters, lists of waters to be delisted, Basin Status and Water Quality Assessment Reports, BMAPs, TMDL reports, and other information are available on the </w:t>
      </w:r>
      <w:hyperlink r:id="rId176" w:history="1">
        <w:r w:rsidRPr="00776983">
          <w:rPr>
            <w:rStyle w:val="Hyperlink"/>
          </w:rPr>
          <w:t>FDEP Watershed Assessment Program website</w:t>
        </w:r>
      </w:hyperlink>
      <w:r w:rsidRPr="00776983">
        <w:t>.</w:t>
      </w:r>
    </w:p>
    <w:p w:rsidR="00485094" w:rsidRDefault="00485094" w:rsidP="00B215C8">
      <w:pPr>
        <w:pStyle w:val="Bodytext"/>
      </w:pPr>
    </w:p>
    <w:p w:rsidR="00485094" w:rsidRPr="00531ADE" w:rsidRDefault="00485094" w:rsidP="00531ADE">
      <w:pPr>
        <w:pStyle w:val="Bodytext"/>
        <w:rPr>
          <w:b/>
          <w:i/>
        </w:rPr>
      </w:pPr>
      <w:r w:rsidRPr="003917BD">
        <w:rPr>
          <w:b/>
          <w:i/>
        </w:rPr>
        <w:t>BMAP Development Activities to Date</w:t>
      </w:r>
    </w:p>
    <w:p w:rsidR="00485094" w:rsidRPr="003917BD" w:rsidRDefault="00485094" w:rsidP="003917BD">
      <w:pPr>
        <w:pStyle w:val="Bodytextreduced"/>
        <w:rPr>
          <w:sz w:val="22"/>
          <w:szCs w:val="22"/>
        </w:rPr>
      </w:pPr>
      <w:r w:rsidRPr="003917BD">
        <w:rPr>
          <w:sz w:val="22"/>
          <w:szCs w:val="22"/>
        </w:rPr>
        <w:t xml:space="preserve">To date seven BMAPs have been fully adopted and </w:t>
      </w:r>
      <w:r>
        <w:rPr>
          <w:sz w:val="22"/>
          <w:szCs w:val="22"/>
        </w:rPr>
        <w:t xml:space="preserve">are </w:t>
      </w:r>
      <w:r w:rsidRPr="003917BD">
        <w:rPr>
          <w:sz w:val="22"/>
          <w:szCs w:val="22"/>
        </w:rPr>
        <w:t xml:space="preserve">under implementation in the following basins: </w:t>
      </w:r>
      <w:r>
        <w:rPr>
          <w:sz w:val="22"/>
          <w:szCs w:val="22"/>
        </w:rPr>
        <w:t xml:space="preserve"> </w:t>
      </w:r>
      <w:r w:rsidRPr="003917BD">
        <w:rPr>
          <w:sz w:val="22"/>
          <w:szCs w:val="22"/>
        </w:rPr>
        <w:t xml:space="preserve">Upper Ocklawaha, Orange Creek, Long Branch, Lower St. Johns River </w:t>
      </w:r>
      <w:proofErr w:type="spellStart"/>
      <w:r w:rsidRPr="003917BD">
        <w:rPr>
          <w:sz w:val="22"/>
          <w:szCs w:val="22"/>
        </w:rPr>
        <w:t>Mainstem</w:t>
      </w:r>
      <w:proofErr w:type="spellEnd"/>
      <w:r w:rsidRPr="003917BD">
        <w:rPr>
          <w:sz w:val="22"/>
          <w:szCs w:val="22"/>
        </w:rPr>
        <w:t xml:space="preserve">, Lower St. Johns River Tributaries, Hillsborough River and Lake </w:t>
      </w:r>
      <w:proofErr w:type="spellStart"/>
      <w:r w:rsidRPr="003917BD">
        <w:rPr>
          <w:sz w:val="22"/>
          <w:szCs w:val="22"/>
        </w:rPr>
        <w:t>Jesup</w:t>
      </w:r>
      <w:proofErr w:type="spellEnd"/>
      <w:r w:rsidRPr="003917BD">
        <w:rPr>
          <w:sz w:val="22"/>
          <w:szCs w:val="22"/>
        </w:rPr>
        <w:t>.</w:t>
      </w:r>
      <w:r>
        <w:rPr>
          <w:sz w:val="22"/>
          <w:szCs w:val="22"/>
        </w:rPr>
        <w:t xml:space="preserve"> </w:t>
      </w:r>
      <w:r w:rsidRPr="003917BD">
        <w:rPr>
          <w:sz w:val="22"/>
          <w:szCs w:val="22"/>
        </w:rPr>
        <w:t xml:space="preserve"> An </w:t>
      </w:r>
      <w:r w:rsidR="0011748B">
        <w:rPr>
          <w:sz w:val="22"/>
          <w:szCs w:val="22"/>
        </w:rPr>
        <w:t>eighth</w:t>
      </w:r>
      <w:r w:rsidRPr="003917BD">
        <w:rPr>
          <w:sz w:val="22"/>
          <w:szCs w:val="22"/>
        </w:rPr>
        <w:t xml:space="preserve"> BMAP for additional Lower St. Johns River Tributaries is expected to be adopted shortly.</w:t>
      </w:r>
      <w:r>
        <w:rPr>
          <w:sz w:val="22"/>
          <w:szCs w:val="22"/>
        </w:rPr>
        <w:t xml:space="preserve"> </w:t>
      </w:r>
      <w:r w:rsidRPr="003917BD">
        <w:rPr>
          <w:sz w:val="22"/>
          <w:szCs w:val="22"/>
        </w:rPr>
        <w:t xml:space="preserve"> BMAP development activities are currently under</w:t>
      </w:r>
      <w:r w:rsidR="0011748B">
        <w:rPr>
          <w:sz w:val="22"/>
          <w:szCs w:val="22"/>
        </w:rPr>
        <w:t xml:space="preserve"> </w:t>
      </w:r>
      <w:r w:rsidRPr="003917BD">
        <w:rPr>
          <w:sz w:val="22"/>
          <w:szCs w:val="22"/>
        </w:rPr>
        <w:t>way and in various stages of completion in an additional eight basins around the state</w:t>
      </w:r>
      <w:r w:rsidR="0011748B">
        <w:rPr>
          <w:sz w:val="22"/>
          <w:szCs w:val="22"/>
        </w:rPr>
        <w:t xml:space="preserve">:  </w:t>
      </w:r>
      <w:r>
        <w:rPr>
          <w:sz w:val="22"/>
          <w:szCs w:val="22"/>
        </w:rPr>
        <w:t xml:space="preserve">the </w:t>
      </w:r>
      <w:r w:rsidRPr="003917BD">
        <w:rPr>
          <w:sz w:val="22"/>
          <w:szCs w:val="22"/>
        </w:rPr>
        <w:t xml:space="preserve">Upper Peace River </w:t>
      </w:r>
      <w:r>
        <w:rPr>
          <w:sz w:val="22"/>
          <w:szCs w:val="22"/>
        </w:rPr>
        <w:t>and</w:t>
      </w:r>
      <w:r w:rsidRPr="003917BD">
        <w:rPr>
          <w:sz w:val="22"/>
          <w:szCs w:val="22"/>
        </w:rPr>
        <w:t xml:space="preserve"> Winter Haven Chain of Lakes, Wekiva, Suwannee, Bayou Chico, Indian River Lagoon </w:t>
      </w:r>
      <w:proofErr w:type="spellStart"/>
      <w:r w:rsidRPr="003917BD">
        <w:rPr>
          <w:sz w:val="22"/>
          <w:szCs w:val="22"/>
        </w:rPr>
        <w:t>Mainstem</w:t>
      </w:r>
      <w:proofErr w:type="spellEnd"/>
      <w:r w:rsidRPr="003917BD">
        <w:rPr>
          <w:sz w:val="22"/>
          <w:szCs w:val="22"/>
        </w:rPr>
        <w:t xml:space="preserve">, Caloosahatchee, Everglades West Coast, St. Lucie, and Wakulla/Lake Munson. </w:t>
      </w:r>
      <w:r>
        <w:rPr>
          <w:sz w:val="22"/>
          <w:szCs w:val="22"/>
        </w:rPr>
        <w:t xml:space="preserve"> </w:t>
      </w:r>
      <w:r w:rsidRPr="003917BD">
        <w:rPr>
          <w:b/>
          <w:bCs/>
          <w:sz w:val="22"/>
          <w:szCs w:val="22"/>
        </w:rPr>
        <w:t>Table 11.1</w:t>
      </w:r>
      <w:r w:rsidRPr="003917BD">
        <w:rPr>
          <w:sz w:val="22"/>
          <w:szCs w:val="22"/>
        </w:rPr>
        <w:t xml:space="preserve"> descri</w:t>
      </w:r>
      <w:r w:rsidR="00805B69">
        <w:rPr>
          <w:sz w:val="22"/>
          <w:szCs w:val="22"/>
        </w:rPr>
        <w:t>bes</w:t>
      </w:r>
      <w:r w:rsidRPr="003917BD">
        <w:rPr>
          <w:sz w:val="22"/>
          <w:szCs w:val="22"/>
        </w:rPr>
        <w:t xml:space="preserve"> the current status of these ongoing BMAP efforts.  In addition to these BMAPs, local governments and water management districts are concurrently carrying out restoration activities in many other waterbodies statewide.</w:t>
      </w:r>
    </w:p>
    <w:p w:rsidR="00485094" w:rsidRPr="003917BD" w:rsidRDefault="00485094" w:rsidP="003917BD">
      <w:pPr>
        <w:pStyle w:val="Bodytextreduced"/>
        <w:rPr>
          <w:sz w:val="22"/>
          <w:szCs w:val="22"/>
        </w:rPr>
      </w:pPr>
    </w:p>
    <w:p w:rsidR="00485094" w:rsidRPr="003917BD" w:rsidRDefault="00485094" w:rsidP="003917BD">
      <w:pPr>
        <w:pStyle w:val="Bodytextreduced"/>
        <w:rPr>
          <w:sz w:val="22"/>
          <w:szCs w:val="22"/>
        </w:rPr>
      </w:pPr>
      <w:r w:rsidRPr="003917BD">
        <w:rPr>
          <w:sz w:val="22"/>
          <w:szCs w:val="22"/>
        </w:rPr>
        <w:t xml:space="preserve">BMAPs are Florida’s primary mechanism for implementing TMDLs adopted through </w:t>
      </w:r>
      <w:r w:rsidR="0011748B">
        <w:rPr>
          <w:sz w:val="22"/>
          <w:szCs w:val="22"/>
        </w:rPr>
        <w:t xml:space="preserve">Chapter </w:t>
      </w:r>
      <w:r w:rsidRPr="003917BD">
        <w:rPr>
          <w:sz w:val="22"/>
          <w:szCs w:val="22"/>
        </w:rPr>
        <w:t>403.067, F.S.</w:t>
      </w:r>
      <w:r>
        <w:rPr>
          <w:sz w:val="22"/>
          <w:szCs w:val="22"/>
        </w:rPr>
        <w:t xml:space="preserve"> </w:t>
      </w:r>
      <w:r w:rsidRPr="003917BD">
        <w:rPr>
          <w:sz w:val="22"/>
          <w:szCs w:val="22"/>
        </w:rPr>
        <w:t xml:space="preserve"> </w:t>
      </w:r>
      <w:r>
        <w:rPr>
          <w:sz w:val="22"/>
          <w:szCs w:val="22"/>
        </w:rPr>
        <w:t>They</w:t>
      </w:r>
      <w:r w:rsidRPr="003917BD">
        <w:rPr>
          <w:sz w:val="22"/>
          <w:szCs w:val="22"/>
        </w:rPr>
        <w:t xml:space="preserve"> are developed in collaboration with groups of stakeholders</w:t>
      </w:r>
      <w:r w:rsidR="0011748B">
        <w:rPr>
          <w:sz w:val="22"/>
          <w:szCs w:val="22"/>
        </w:rPr>
        <w:t>,</w:t>
      </w:r>
      <w:r w:rsidRPr="003917BD">
        <w:rPr>
          <w:sz w:val="22"/>
          <w:szCs w:val="22"/>
        </w:rPr>
        <w:t xml:space="preserve"> including other state agencies, water management districts, county and municipal governments</w:t>
      </w:r>
      <w:r w:rsidR="0011748B">
        <w:rPr>
          <w:sz w:val="22"/>
          <w:szCs w:val="22"/>
        </w:rPr>
        <w:t>,</w:t>
      </w:r>
      <w:r w:rsidRPr="003917BD">
        <w:rPr>
          <w:sz w:val="22"/>
          <w:szCs w:val="22"/>
        </w:rPr>
        <w:t xml:space="preserve"> and other local stakeholders.</w:t>
      </w:r>
      <w:r>
        <w:rPr>
          <w:sz w:val="22"/>
          <w:szCs w:val="22"/>
        </w:rPr>
        <w:t xml:space="preserve"> </w:t>
      </w:r>
      <w:r w:rsidRPr="003917BD">
        <w:rPr>
          <w:sz w:val="22"/>
          <w:szCs w:val="22"/>
        </w:rPr>
        <w:t xml:space="preserve"> BMAPs are then adopted by </w:t>
      </w:r>
      <w:r>
        <w:rPr>
          <w:sz w:val="22"/>
          <w:szCs w:val="22"/>
        </w:rPr>
        <w:t>F</w:t>
      </w:r>
      <w:r w:rsidRPr="003917BD">
        <w:rPr>
          <w:sz w:val="22"/>
          <w:szCs w:val="22"/>
        </w:rPr>
        <w:t>DEP Secretarial Order.</w:t>
      </w:r>
      <w:r>
        <w:rPr>
          <w:sz w:val="22"/>
          <w:szCs w:val="22"/>
        </w:rPr>
        <w:t xml:space="preserve"> </w:t>
      </w:r>
      <w:r w:rsidRPr="003917BD">
        <w:rPr>
          <w:sz w:val="22"/>
          <w:szCs w:val="22"/>
        </w:rPr>
        <w:t xml:space="preserve"> </w:t>
      </w:r>
      <w:r>
        <w:rPr>
          <w:sz w:val="22"/>
          <w:szCs w:val="22"/>
        </w:rPr>
        <w:t xml:space="preserve">The </w:t>
      </w:r>
      <w:r w:rsidRPr="003917BD">
        <w:rPr>
          <w:sz w:val="22"/>
          <w:szCs w:val="22"/>
        </w:rPr>
        <w:t xml:space="preserve">goals </w:t>
      </w:r>
      <w:r>
        <w:rPr>
          <w:sz w:val="22"/>
          <w:szCs w:val="22"/>
        </w:rPr>
        <w:t xml:space="preserve">of the BMAP </w:t>
      </w:r>
      <w:r w:rsidRPr="003917BD">
        <w:rPr>
          <w:sz w:val="22"/>
          <w:szCs w:val="22"/>
        </w:rPr>
        <w:t xml:space="preserve">are to reach consensus on the scientific foundation of the TMDL, determine detailed allocations as appropriate, and </w:t>
      </w:r>
      <w:r w:rsidR="0011748B">
        <w:rPr>
          <w:sz w:val="22"/>
          <w:szCs w:val="22"/>
        </w:rPr>
        <w:t xml:space="preserve">reach </w:t>
      </w:r>
      <w:r w:rsidRPr="003917BD">
        <w:rPr>
          <w:sz w:val="22"/>
          <w:szCs w:val="22"/>
        </w:rPr>
        <w:t xml:space="preserve">agreement on how </w:t>
      </w:r>
      <w:r w:rsidR="0011748B">
        <w:rPr>
          <w:sz w:val="22"/>
          <w:szCs w:val="22"/>
        </w:rPr>
        <w:t xml:space="preserve">the </w:t>
      </w:r>
      <w:r w:rsidRPr="003917BD">
        <w:rPr>
          <w:sz w:val="22"/>
          <w:szCs w:val="22"/>
        </w:rPr>
        <w:t>required load reductions will be accomplished.</w:t>
      </w:r>
      <w:r>
        <w:rPr>
          <w:sz w:val="22"/>
          <w:szCs w:val="22"/>
        </w:rPr>
        <w:t xml:space="preserve"> </w:t>
      </w:r>
      <w:r w:rsidRPr="003917BD">
        <w:rPr>
          <w:sz w:val="22"/>
          <w:szCs w:val="22"/>
        </w:rPr>
        <w:t xml:space="preserve"> A BMAP include</w:t>
      </w:r>
      <w:r w:rsidR="0011748B">
        <w:rPr>
          <w:sz w:val="22"/>
          <w:szCs w:val="22"/>
        </w:rPr>
        <w:t>s</w:t>
      </w:r>
      <w:r w:rsidRPr="003917BD">
        <w:rPr>
          <w:sz w:val="22"/>
          <w:szCs w:val="22"/>
        </w:rPr>
        <w:t xml:space="preserve"> defined water quality restoration goals, refined source identification, detailed allocations by entity where appropriate, load reduction projects, a monitoring plan, and local commitments.</w:t>
      </w:r>
      <w:r>
        <w:rPr>
          <w:sz w:val="22"/>
          <w:szCs w:val="22"/>
        </w:rPr>
        <w:t xml:space="preserve"> </w:t>
      </w:r>
      <w:r w:rsidRPr="003917BD">
        <w:rPr>
          <w:sz w:val="22"/>
          <w:szCs w:val="22"/>
        </w:rPr>
        <w:t xml:space="preserve"> Implementation projects may include structural and </w:t>
      </w:r>
      <w:r>
        <w:rPr>
          <w:sz w:val="22"/>
          <w:szCs w:val="22"/>
        </w:rPr>
        <w:t>nonstructural BMPs, education and</w:t>
      </w:r>
      <w:r w:rsidRPr="003917BD">
        <w:rPr>
          <w:sz w:val="22"/>
          <w:szCs w:val="22"/>
        </w:rPr>
        <w:t xml:space="preserve"> outreach activities, additional research </w:t>
      </w:r>
      <w:r>
        <w:rPr>
          <w:sz w:val="22"/>
          <w:szCs w:val="22"/>
        </w:rPr>
        <w:t>and</w:t>
      </w:r>
      <w:r w:rsidRPr="003917BD">
        <w:rPr>
          <w:sz w:val="22"/>
          <w:szCs w:val="22"/>
        </w:rPr>
        <w:t xml:space="preserve"> studies, changes to programs and permits, and changes to local ordinances </w:t>
      </w:r>
      <w:r>
        <w:rPr>
          <w:sz w:val="22"/>
          <w:szCs w:val="22"/>
        </w:rPr>
        <w:t>and</w:t>
      </w:r>
      <w:r w:rsidRPr="003917BD">
        <w:rPr>
          <w:sz w:val="22"/>
          <w:szCs w:val="22"/>
        </w:rPr>
        <w:t xml:space="preserve"> policies.</w:t>
      </w:r>
    </w:p>
    <w:p w:rsidR="00485094" w:rsidRPr="003917BD" w:rsidRDefault="00485094" w:rsidP="003917BD">
      <w:pPr>
        <w:pStyle w:val="Bodytextreduced"/>
        <w:rPr>
          <w:sz w:val="22"/>
          <w:szCs w:val="22"/>
        </w:rPr>
      </w:pPr>
    </w:p>
    <w:p w:rsidR="00485094" w:rsidRDefault="00485094" w:rsidP="003917BD">
      <w:pPr>
        <w:pStyle w:val="Bodytextreduced"/>
        <w:rPr>
          <w:sz w:val="22"/>
          <w:szCs w:val="22"/>
        </w:rPr>
      </w:pPr>
      <w:r w:rsidRPr="003917BD">
        <w:rPr>
          <w:sz w:val="22"/>
          <w:szCs w:val="22"/>
        </w:rPr>
        <w:t xml:space="preserve">The Lower St. Johns River </w:t>
      </w:r>
      <w:proofErr w:type="spellStart"/>
      <w:r w:rsidRPr="003917BD">
        <w:rPr>
          <w:sz w:val="22"/>
          <w:szCs w:val="22"/>
        </w:rPr>
        <w:t>Mainstem</w:t>
      </w:r>
      <w:proofErr w:type="spellEnd"/>
      <w:r w:rsidRPr="003917BD">
        <w:rPr>
          <w:sz w:val="22"/>
          <w:szCs w:val="22"/>
        </w:rPr>
        <w:t xml:space="preserve"> BMAP provides an excellent example of both the extent of the efforts required to address TMDL requirements </w:t>
      </w:r>
      <w:r>
        <w:rPr>
          <w:sz w:val="22"/>
          <w:szCs w:val="22"/>
        </w:rPr>
        <w:t>and</w:t>
      </w:r>
      <w:r w:rsidRPr="003917BD">
        <w:rPr>
          <w:sz w:val="22"/>
          <w:szCs w:val="22"/>
        </w:rPr>
        <w:t xml:space="preserve"> mov</w:t>
      </w:r>
      <w:r>
        <w:rPr>
          <w:sz w:val="22"/>
          <w:szCs w:val="22"/>
        </w:rPr>
        <w:t>e</w:t>
      </w:r>
      <w:r w:rsidRPr="003917BD">
        <w:rPr>
          <w:sz w:val="22"/>
          <w:szCs w:val="22"/>
        </w:rPr>
        <w:t xml:space="preserve"> forward </w:t>
      </w:r>
      <w:r w:rsidR="00E22C45">
        <w:rPr>
          <w:sz w:val="22"/>
          <w:szCs w:val="22"/>
        </w:rPr>
        <w:t xml:space="preserve">in </w:t>
      </w:r>
      <w:r w:rsidRPr="003917BD">
        <w:rPr>
          <w:sz w:val="22"/>
          <w:szCs w:val="22"/>
        </w:rPr>
        <w:t>carry</w:t>
      </w:r>
      <w:r>
        <w:rPr>
          <w:sz w:val="22"/>
          <w:szCs w:val="22"/>
        </w:rPr>
        <w:t>ing</w:t>
      </w:r>
      <w:r w:rsidRPr="003917BD">
        <w:rPr>
          <w:sz w:val="22"/>
          <w:szCs w:val="22"/>
        </w:rPr>
        <w:t xml:space="preserve"> the</w:t>
      </w:r>
      <w:r>
        <w:rPr>
          <w:sz w:val="22"/>
          <w:szCs w:val="22"/>
        </w:rPr>
        <w:t>m out</w:t>
      </w:r>
      <w:r w:rsidRPr="003917BD">
        <w:rPr>
          <w:sz w:val="22"/>
          <w:szCs w:val="22"/>
        </w:rPr>
        <w:t xml:space="preserve">. </w:t>
      </w:r>
      <w:r>
        <w:rPr>
          <w:sz w:val="22"/>
          <w:szCs w:val="22"/>
        </w:rPr>
        <w:t xml:space="preserve"> </w:t>
      </w:r>
      <w:r w:rsidRPr="003917BD">
        <w:rPr>
          <w:sz w:val="22"/>
          <w:szCs w:val="22"/>
        </w:rPr>
        <w:t xml:space="preserve">The TMDL required a reduction of 1,076,403 </w:t>
      </w:r>
      <w:r w:rsidR="00E22C45">
        <w:rPr>
          <w:sz w:val="22"/>
          <w:szCs w:val="22"/>
        </w:rPr>
        <w:t>kilograms per year (</w:t>
      </w:r>
      <w:r w:rsidRPr="003917BD">
        <w:rPr>
          <w:sz w:val="22"/>
          <w:szCs w:val="22"/>
        </w:rPr>
        <w:t>kg/yr</w:t>
      </w:r>
      <w:r w:rsidR="00E22C45">
        <w:rPr>
          <w:sz w:val="22"/>
          <w:szCs w:val="22"/>
        </w:rPr>
        <w:t>)</w:t>
      </w:r>
      <w:r w:rsidRPr="003917BD">
        <w:rPr>
          <w:sz w:val="22"/>
          <w:szCs w:val="22"/>
        </w:rPr>
        <w:t xml:space="preserve"> TN in the marine portion of the river. </w:t>
      </w:r>
      <w:r>
        <w:rPr>
          <w:sz w:val="22"/>
          <w:szCs w:val="22"/>
        </w:rPr>
        <w:t xml:space="preserve"> </w:t>
      </w:r>
      <w:r w:rsidRPr="003917BD">
        <w:rPr>
          <w:sz w:val="22"/>
          <w:szCs w:val="22"/>
        </w:rPr>
        <w:t>Through 2009</w:t>
      </w:r>
      <w:r w:rsidR="00E22C45">
        <w:rPr>
          <w:sz w:val="22"/>
          <w:szCs w:val="22"/>
        </w:rPr>
        <w:t>,</w:t>
      </w:r>
      <w:r w:rsidRPr="003917BD">
        <w:rPr>
          <w:sz w:val="22"/>
          <w:szCs w:val="22"/>
        </w:rPr>
        <w:t xml:space="preserve"> </w:t>
      </w:r>
      <w:r w:rsidR="00E22C45">
        <w:rPr>
          <w:sz w:val="22"/>
          <w:szCs w:val="22"/>
        </w:rPr>
        <w:t xml:space="preserve">the </w:t>
      </w:r>
      <w:r w:rsidRPr="003917BD">
        <w:rPr>
          <w:sz w:val="22"/>
          <w:szCs w:val="22"/>
        </w:rPr>
        <w:t>responsible entities have achieved reductions of 543,525 kg/yr.</w:t>
      </w:r>
      <w:r>
        <w:rPr>
          <w:sz w:val="22"/>
          <w:szCs w:val="22"/>
        </w:rPr>
        <w:t xml:space="preserve"> </w:t>
      </w:r>
      <w:r w:rsidRPr="003917BD">
        <w:rPr>
          <w:sz w:val="22"/>
          <w:szCs w:val="22"/>
        </w:rPr>
        <w:t xml:space="preserve"> In the freshwater section, the TMDL required reductions of 1,543,989 kg/yr </w:t>
      </w:r>
      <w:r w:rsidR="00E22C45">
        <w:rPr>
          <w:sz w:val="22"/>
          <w:szCs w:val="22"/>
        </w:rPr>
        <w:t xml:space="preserve">of </w:t>
      </w:r>
      <w:r w:rsidRPr="003917BD">
        <w:rPr>
          <w:sz w:val="22"/>
          <w:szCs w:val="22"/>
        </w:rPr>
        <w:t xml:space="preserve">TN and 99.285 kg/yr </w:t>
      </w:r>
      <w:r w:rsidR="00E22C45">
        <w:rPr>
          <w:sz w:val="22"/>
          <w:szCs w:val="22"/>
        </w:rPr>
        <w:t xml:space="preserve">of </w:t>
      </w:r>
      <w:r w:rsidRPr="003917BD">
        <w:rPr>
          <w:sz w:val="22"/>
          <w:szCs w:val="22"/>
        </w:rPr>
        <w:t xml:space="preserve">TP. </w:t>
      </w:r>
      <w:r>
        <w:rPr>
          <w:sz w:val="22"/>
          <w:szCs w:val="22"/>
        </w:rPr>
        <w:t xml:space="preserve"> </w:t>
      </w:r>
      <w:r w:rsidRPr="003917BD">
        <w:rPr>
          <w:sz w:val="22"/>
          <w:szCs w:val="22"/>
        </w:rPr>
        <w:t xml:space="preserve">Through 2009, the entities have achieved reductions of 134,289 kg/yr </w:t>
      </w:r>
      <w:r w:rsidR="00E22C45">
        <w:rPr>
          <w:sz w:val="22"/>
          <w:szCs w:val="22"/>
        </w:rPr>
        <w:t xml:space="preserve">of </w:t>
      </w:r>
      <w:r w:rsidRPr="003917BD">
        <w:rPr>
          <w:sz w:val="22"/>
          <w:szCs w:val="22"/>
        </w:rPr>
        <w:t xml:space="preserve">TN and 37,403 kg/yr </w:t>
      </w:r>
      <w:r w:rsidR="00E22C45">
        <w:rPr>
          <w:sz w:val="22"/>
          <w:szCs w:val="22"/>
        </w:rPr>
        <w:t xml:space="preserve">of </w:t>
      </w:r>
      <w:r w:rsidRPr="003917BD">
        <w:rPr>
          <w:sz w:val="22"/>
          <w:szCs w:val="22"/>
        </w:rPr>
        <w:t>TP.</w:t>
      </w:r>
    </w:p>
    <w:p w:rsidR="00485094" w:rsidRPr="003917BD" w:rsidRDefault="00485094" w:rsidP="003917BD">
      <w:pPr>
        <w:pStyle w:val="Bodytextreduced"/>
        <w:rPr>
          <w:sz w:val="22"/>
          <w:szCs w:val="22"/>
        </w:rPr>
      </w:pPr>
    </w:p>
    <w:p w:rsidR="00485094" w:rsidRDefault="00485094" w:rsidP="003917BD">
      <w:pPr>
        <w:pStyle w:val="Bodytextreduced"/>
        <w:rPr>
          <w:sz w:val="22"/>
          <w:szCs w:val="22"/>
        </w:rPr>
      </w:pPr>
      <w:r w:rsidRPr="003917BD">
        <w:rPr>
          <w:sz w:val="22"/>
          <w:szCs w:val="22"/>
        </w:rPr>
        <w:t xml:space="preserve">During 2009, three </w:t>
      </w:r>
      <w:r w:rsidR="00E22C45">
        <w:rPr>
          <w:sz w:val="22"/>
          <w:szCs w:val="22"/>
        </w:rPr>
        <w:t xml:space="preserve">wastewater treatment facility </w:t>
      </w:r>
      <w:r>
        <w:rPr>
          <w:sz w:val="22"/>
          <w:szCs w:val="22"/>
        </w:rPr>
        <w:t>(</w:t>
      </w:r>
      <w:r w:rsidRPr="003917BD">
        <w:rPr>
          <w:sz w:val="22"/>
          <w:szCs w:val="22"/>
        </w:rPr>
        <w:t>WWTF</w:t>
      </w:r>
      <w:r>
        <w:rPr>
          <w:sz w:val="22"/>
          <w:szCs w:val="22"/>
        </w:rPr>
        <w:t>)</w:t>
      </w:r>
      <w:r w:rsidRPr="003917BD">
        <w:rPr>
          <w:sz w:val="22"/>
          <w:szCs w:val="22"/>
        </w:rPr>
        <w:t xml:space="preserve"> projects in the freshwater section were completed</w:t>
      </w:r>
      <w:r w:rsidR="00E22C45">
        <w:rPr>
          <w:sz w:val="22"/>
          <w:szCs w:val="22"/>
        </w:rPr>
        <w:t>,</w:t>
      </w:r>
      <w:r w:rsidRPr="003917BD">
        <w:rPr>
          <w:sz w:val="22"/>
          <w:szCs w:val="22"/>
        </w:rPr>
        <w:t xml:space="preserve"> with a total reduction of </w:t>
      </w:r>
      <w:r w:rsidRPr="00E9612C">
        <w:rPr>
          <w:sz w:val="22"/>
          <w:szCs w:val="22"/>
        </w:rPr>
        <w:t xml:space="preserve">26,045 kg/yr of TN </w:t>
      </w:r>
      <w:r>
        <w:rPr>
          <w:sz w:val="22"/>
          <w:szCs w:val="22"/>
        </w:rPr>
        <w:t xml:space="preserve">and </w:t>
      </w:r>
      <w:r w:rsidRPr="003917BD">
        <w:rPr>
          <w:sz w:val="22"/>
          <w:szCs w:val="22"/>
        </w:rPr>
        <w:t xml:space="preserve">3,451 kg/yr of TP. </w:t>
      </w:r>
      <w:r>
        <w:rPr>
          <w:sz w:val="22"/>
          <w:szCs w:val="22"/>
        </w:rPr>
        <w:t xml:space="preserve"> </w:t>
      </w:r>
      <w:r w:rsidRPr="003917BD">
        <w:rPr>
          <w:sz w:val="22"/>
          <w:szCs w:val="22"/>
        </w:rPr>
        <w:t xml:space="preserve">While no WWTF projects were completed in the marine section this past year, FDEP issued the majority of the </w:t>
      </w:r>
      <w:r>
        <w:rPr>
          <w:sz w:val="22"/>
          <w:szCs w:val="22"/>
        </w:rPr>
        <w:t xml:space="preserve">aggregate and </w:t>
      </w:r>
      <w:r w:rsidRPr="003917BD">
        <w:rPr>
          <w:sz w:val="22"/>
          <w:szCs w:val="22"/>
        </w:rPr>
        <w:t xml:space="preserve">individual facility permits </w:t>
      </w:r>
      <w:r>
        <w:rPr>
          <w:sz w:val="22"/>
          <w:szCs w:val="22"/>
        </w:rPr>
        <w:t>to initiate the reductions needed from wastewater point sources discharging to the marine portion of the river</w:t>
      </w:r>
      <w:r w:rsidRPr="003917BD">
        <w:rPr>
          <w:sz w:val="22"/>
          <w:szCs w:val="22"/>
        </w:rPr>
        <w:t xml:space="preserve">. </w:t>
      </w:r>
      <w:r>
        <w:rPr>
          <w:sz w:val="22"/>
          <w:szCs w:val="22"/>
        </w:rPr>
        <w:t xml:space="preserve"> </w:t>
      </w:r>
      <w:r w:rsidRPr="003917BD">
        <w:rPr>
          <w:sz w:val="22"/>
          <w:szCs w:val="22"/>
        </w:rPr>
        <w:t xml:space="preserve">During 2009, </w:t>
      </w:r>
      <w:r w:rsidR="00E22C45">
        <w:rPr>
          <w:sz w:val="22"/>
          <w:szCs w:val="22"/>
        </w:rPr>
        <w:t>3</w:t>
      </w:r>
      <w:r w:rsidR="00E22C45" w:rsidRPr="003917BD">
        <w:rPr>
          <w:sz w:val="22"/>
          <w:szCs w:val="22"/>
        </w:rPr>
        <w:t xml:space="preserve"> </w:t>
      </w:r>
      <w:r w:rsidRPr="003917BD">
        <w:rPr>
          <w:sz w:val="22"/>
          <w:szCs w:val="22"/>
        </w:rPr>
        <w:t>MS4 projects were completed in the freshwater section</w:t>
      </w:r>
      <w:r w:rsidR="00E22C45">
        <w:rPr>
          <w:sz w:val="22"/>
          <w:szCs w:val="22"/>
        </w:rPr>
        <w:t>,</w:t>
      </w:r>
      <w:r w:rsidRPr="003917BD">
        <w:rPr>
          <w:sz w:val="22"/>
          <w:szCs w:val="22"/>
        </w:rPr>
        <w:t xml:space="preserve"> for a total reduction of 111.5 kg/yr of TN</w:t>
      </w:r>
      <w:r>
        <w:rPr>
          <w:sz w:val="22"/>
          <w:szCs w:val="22"/>
        </w:rPr>
        <w:t xml:space="preserve"> and 189.6 kg/yr of TP</w:t>
      </w:r>
      <w:r w:rsidRPr="003917BD">
        <w:rPr>
          <w:sz w:val="22"/>
          <w:szCs w:val="22"/>
        </w:rPr>
        <w:t>.</w:t>
      </w:r>
      <w:r>
        <w:rPr>
          <w:sz w:val="22"/>
          <w:szCs w:val="22"/>
        </w:rPr>
        <w:t xml:space="preserve"> </w:t>
      </w:r>
      <w:r w:rsidRPr="003917BD">
        <w:rPr>
          <w:sz w:val="22"/>
          <w:szCs w:val="22"/>
        </w:rPr>
        <w:t xml:space="preserve"> The reductions in TP that were accomplished this year</w:t>
      </w:r>
      <w:r>
        <w:rPr>
          <w:sz w:val="22"/>
          <w:szCs w:val="22"/>
        </w:rPr>
        <w:t>,</w:t>
      </w:r>
      <w:r w:rsidRPr="003917BD">
        <w:rPr>
          <w:sz w:val="22"/>
          <w:szCs w:val="22"/>
        </w:rPr>
        <w:t xml:space="preserve"> in combination with the completed projects in the BMAP</w:t>
      </w:r>
      <w:r>
        <w:rPr>
          <w:sz w:val="22"/>
          <w:szCs w:val="22"/>
        </w:rPr>
        <w:t>,</w:t>
      </w:r>
      <w:r w:rsidRPr="003917BD">
        <w:rPr>
          <w:sz w:val="22"/>
          <w:szCs w:val="22"/>
        </w:rPr>
        <w:t xml:space="preserve"> have achieved the TP reductions required for the MS4s in the freshwater section. </w:t>
      </w:r>
      <w:r>
        <w:rPr>
          <w:sz w:val="22"/>
          <w:szCs w:val="22"/>
        </w:rPr>
        <w:t xml:space="preserve"> </w:t>
      </w:r>
      <w:r w:rsidRPr="003917BD">
        <w:rPr>
          <w:sz w:val="22"/>
          <w:szCs w:val="22"/>
        </w:rPr>
        <w:t xml:space="preserve">An additional </w:t>
      </w:r>
      <w:r w:rsidR="00E22C45">
        <w:rPr>
          <w:sz w:val="22"/>
          <w:szCs w:val="22"/>
        </w:rPr>
        <w:t>10</w:t>
      </w:r>
      <w:r w:rsidR="00E22C45" w:rsidRPr="003917BD">
        <w:rPr>
          <w:sz w:val="22"/>
          <w:szCs w:val="22"/>
        </w:rPr>
        <w:t xml:space="preserve"> </w:t>
      </w:r>
      <w:r w:rsidRPr="003917BD">
        <w:rPr>
          <w:sz w:val="22"/>
          <w:szCs w:val="22"/>
        </w:rPr>
        <w:t>MS4 projects were completed in the marine section</w:t>
      </w:r>
      <w:r w:rsidR="00E22C45">
        <w:rPr>
          <w:sz w:val="22"/>
          <w:szCs w:val="22"/>
        </w:rPr>
        <w:t>,</w:t>
      </w:r>
      <w:r w:rsidRPr="003917BD">
        <w:rPr>
          <w:sz w:val="22"/>
          <w:szCs w:val="22"/>
        </w:rPr>
        <w:t xml:space="preserve"> for a reduction of 3,685 kg/yr of TN.</w:t>
      </w:r>
      <w:r>
        <w:rPr>
          <w:sz w:val="22"/>
          <w:szCs w:val="22"/>
        </w:rPr>
        <w:t xml:space="preserve"> </w:t>
      </w:r>
      <w:r w:rsidRPr="003917BD">
        <w:rPr>
          <w:sz w:val="22"/>
          <w:szCs w:val="22"/>
        </w:rPr>
        <w:t xml:space="preserve"> </w:t>
      </w:r>
    </w:p>
    <w:p w:rsidR="00485094" w:rsidRDefault="00485094" w:rsidP="003917BD">
      <w:pPr>
        <w:pStyle w:val="Bodytextreduced"/>
        <w:rPr>
          <w:sz w:val="22"/>
          <w:szCs w:val="22"/>
        </w:rPr>
      </w:pPr>
    </w:p>
    <w:p w:rsidR="00485094" w:rsidRDefault="00485094" w:rsidP="003917BD">
      <w:pPr>
        <w:pStyle w:val="Bodytextreduced"/>
        <w:rPr>
          <w:sz w:val="22"/>
          <w:szCs w:val="22"/>
        </w:rPr>
      </w:pPr>
      <w:r>
        <w:rPr>
          <w:sz w:val="22"/>
          <w:szCs w:val="22"/>
        </w:rPr>
        <w:t xml:space="preserve">Progress was also made towards addressing nutrient loads from nonpoint sources.  </w:t>
      </w:r>
      <w:r w:rsidRPr="003917BD">
        <w:rPr>
          <w:sz w:val="22"/>
          <w:szCs w:val="22"/>
        </w:rPr>
        <w:t xml:space="preserve">In the freshwater section, </w:t>
      </w:r>
      <w:r w:rsidR="00E22C45">
        <w:rPr>
          <w:sz w:val="22"/>
          <w:szCs w:val="22"/>
        </w:rPr>
        <w:t>6</w:t>
      </w:r>
      <w:r w:rsidR="00E22C45" w:rsidRPr="003917BD">
        <w:rPr>
          <w:sz w:val="22"/>
          <w:szCs w:val="22"/>
        </w:rPr>
        <w:t xml:space="preserve"> </w:t>
      </w:r>
      <w:r w:rsidRPr="003917BD">
        <w:rPr>
          <w:sz w:val="22"/>
          <w:szCs w:val="22"/>
        </w:rPr>
        <w:t xml:space="preserve">non-MS4 projects were completed this year, yielding 1,763 kg/yr of TN </w:t>
      </w:r>
      <w:r>
        <w:rPr>
          <w:sz w:val="22"/>
          <w:szCs w:val="22"/>
        </w:rPr>
        <w:t xml:space="preserve">and </w:t>
      </w:r>
      <w:r w:rsidRPr="00E9612C">
        <w:rPr>
          <w:sz w:val="22"/>
          <w:szCs w:val="22"/>
        </w:rPr>
        <w:t xml:space="preserve">769.2 kg/yr of TP </w:t>
      </w:r>
      <w:r w:rsidRPr="003917BD">
        <w:rPr>
          <w:sz w:val="22"/>
          <w:szCs w:val="22"/>
        </w:rPr>
        <w:t>reductions.</w:t>
      </w:r>
      <w:r>
        <w:rPr>
          <w:sz w:val="22"/>
          <w:szCs w:val="22"/>
        </w:rPr>
        <w:t xml:space="preserve">  </w:t>
      </w:r>
      <w:r w:rsidRPr="003917BD">
        <w:rPr>
          <w:sz w:val="22"/>
          <w:szCs w:val="22"/>
        </w:rPr>
        <w:t xml:space="preserve">There were also </w:t>
      </w:r>
      <w:r w:rsidR="00E22C45">
        <w:rPr>
          <w:sz w:val="22"/>
          <w:szCs w:val="22"/>
        </w:rPr>
        <w:t>3</w:t>
      </w:r>
      <w:r w:rsidR="00E22C45" w:rsidRPr="003917BD">
        <w:rPr>
          <w:sz w:val="22"/>
          <w:szCs w:val="22"/>
        </w:rPr>
        <w:t xml:space="preserve"> </w:t>
      </w:r>
      <w:r w:rsidRPr="003917BD">
        <w:rPr>
          <w:sz w:val="22"/>
          <w:szCs w:val="22"/>
        </w:rPr>
        <w:t>non-MS4 projects completed in the marine section</w:t>
      </w:r>
      <w:r w:rsidR="00EE4CFE">
        <w:rPr>
          <w:sz w:val="22"/>
          <w:szCs w:val="22"/>
        </w:rPr>
        <w:t>,</w:t>
      </w:r>
      <w:r w:rsidRPr="003917BD">
        <w:rPr>
          <w:sz w:val="22"/>
          <w:szCs w:val="22"/>
        </w:rPr>
        <w:t xml:space="preserve"> for 993 kg/yr of TN reduction.</w:t>
      </w:r>
      <w:r>
        <w:rPr>
          <w:sz w:val="22"/>
          <w:szCs w:val="22"/>
        </w:rPr>
        <w:t xml:space="preserve"> </w:t>
      </w:r>
      <w:r w:rsidRPr="003917BD">
        <w:rPr>
          <w:sz w:val="22"/>
          <w:szCs w:val="22"/>
        </w:rPr>
        <w:t xml:space="preserve"> FDACS continued to sign up growers under the vegetable and agronomic crop BMP manual. </w:t>
      </w:r>
      <w:r>
        <w:rPr>
          <w:sz w:val="22"/>
          <w:szCs w:val="22"/>
        </w:rPr>
        <w:t xml:space="preserve"> </w:t>
      </w:r>
      <w:r w:rsidRPr="003917BD">
        <w:rPr>
          <w:sz w:val="22"/>
          <w:szCs w:val="22"/>
        </w:rPr>
        <w:t>The sod and cow/calf manuals were adopted this year</w:t>
      </w:r>
      <w:r w:rsidR="00E22C45">
        <w:rPr>
          <w:sz w:val="22"/>
          <w:szCs w:val="22"/>
        </w:rPr>
        <w:t>,</w:t>
      </w:r>
      <w:r w:rsidRPr="003917BD">
        <w:rPr>
          <w:sz w:val="22"/>
          <w:szCs w:val="22"/>
        </w:rPr>
        <w:t xml:space="preserve"> and FDACS held workshops to inform producers about the manuals and to begin the enrollment process. </w:t>
      </w:r>
      <w:r>
        <w:rPr>
          <w:sz w:val="22"/>
          <w:szCs w:val="22"/>
        </w:rPr>
        <w:t xml:space="preserve"> </w:t>
      </w:r>
      <w:r w:rsidRPr="003917BD">
        <w:rPr>
          <w:sz w:val="22"/>
          <w:szCs w:val="22"/>
        </w:rPr>
        <w:t>To date, no producers have opted to monitor water quality instead of implementing BMPs.</w:t>
      </w:r>
      <w:r>
        <w:rPr>
          <w:sz w:val="22"/>
          <w:szCs w:val="22"/>
        </w:rPr>
        <w:t xml:space="preserve"> </w:t>
      </w:r>
      <w:r w:rsidRPr="003917BD">
        <w:rPr>
          <w:sz w:val="22"/>
          <w:szCs w:val="22"/>
        </w:rPr>
        <w:t xml:space="preserve"> In addition, </w:t>
      </w:r>
      <w:r w:rsidR="00E22C45">
        <w:rPr>
          <w:sz w:val="22"/>
          <w:szCs w:val="22"/>
        </w:rPr>
        <w:t>the St. Johns River Water Management District</w:t>
      </w:r>
      <w:r w:rsidRPr="003917BD">
        <w:rPr>
          <w:sz w:val="22"/>
          <w:szCs w:val="22"/>
        </w:rPr>
        <w:t xml:space="preserve"> is currently assessing the most </w:t>
      </w:r>
      <w:r w:rsidR="00E22C45" w:rsidRPr="003917BD">
        <w:rPr>
          <w:sz w:val="22"/>
          <w:szCs w:val="22"/>
        </w:rPr>
        <w:t>cost</w:t>
      </w:r>
      <w:r w:rsidR="00E22C45">
        <w:rPr>
          <w:sz w:val="22"/>
          <w:szCs w:val="22"/>
        </w:rPr>
        <w:t>-</w:t>
      </w:r>
      <w:r w:rsidRPr="003917BD">
        <w:rPr>
          <w:sz w:val="22"/>
          <w:szCs w:val="22"/>
        </w:rPr>
        <w:t xml:space="preserve">effective means of meeting the remainder of the agricultural allocation through improved BMPs, land buffers, and regional treatment. </w:t>
      </w:r>
      <w:r>
        <w:rPr>
          <w:sz w:val="22"/>
          <w:szCs w:val="22"/>
        </w:rPr>
        <w:t xml:space="preserve"> </w:t>
      </w:r>
    </w:p>
    <w:p w:rsidR="00485094" w:rsidRDefault="00485094" w:rsidP="003917BD">
      <w:pPr>
        <w:pStyle w:val="Bodytextreduced"/>
        <w:rPr>
          <w:sz w:val="22"/>
          <w:szCs w:val="22"/>
        </w:rPr>
      </w:pPr>
    </w:p>
    <w:p w:rsidR="00485094" w:rsidRPr="003917BD" w:rsidRDefault="00485094" w:rsidP="003917BD">
      <w:pPr>
        <w:pStyle w:val="Bodytextreduced"/>
        <w:rPr>
          <w:sz w:val="22"/>
          <w:szCs w:val="22"/>
        </w:rPr>
      </w:pPr>
      <w:r w:rsidRPr="003917BD">
        <w:rPr>
          <w:sz w:val="22"/>
          <w:szCs w:val="22"/>
        </w:rPr>
        <w:t xml:space="preserve">BMAP monitoring plan efforts have started in the freshwater section, marine section, and tributaries. </w:t>
      </w:r>
      <w:r>
        <w:rPr>
          <w:sz w:val="22"/>
          <w:szCs w:val="22"/>
        </w:rPr>
        <w:t xml:space="preserve"> </w:t>
      </w:r>
      <w:r w:rsidRPr="003917BD">
        <w:rPr>
          <w:sz w:val="22"/>
          <w:szCs w:val="22"/>
        </w:rPr>
        <w:t xml:space="preserve">The river transect sampling in the freshwater section occurred on schedule </w:t>
      </w:r>
      <w:r w:rsidR="00EE4CFE">
        <w:rPr>
          <w:sz w:val="22"/>
          <w:szCs w:val="22"/>
        </w:rPr>
        <w:t>from</w:t>
      </w:r>
      <w:r w:rsidR="00EE4CFE" w:rsidRPr="003917BD">
        <w:rPr>
          <w:sz w:val="22"/>
          <w:szCs w:val="22"/>
        </w:rPr>
        <w:t xml:space="preserve"> </w:t>
      </w:r>
      <w:r w:rsidRPr="003917BD">
        <w:rPr>
          <w:sz w:val="22"/>
          <w:szCs w:val="22"/>
        </w:rPr>
        <w:t xml:space="preserve">April through October. </w:t>
      </w:r>
      <w:r>
        <w:rPr>
          <w:sz w:val="22"/>
          <w:szCs w:val="22"/>
        </w:rPr>
        <w:t xml:space="preserve"> </w:t>
      </w:r>
      <w:r w:rsidRPr="003917BD">
        <w:rPr>
          <w:sz w:val="22"/>
          <w:szCs w:val="22"/>
        </w:rPr>
        <w:t xml:space="preserve">The two new continuous DO </w:t>
      </w:r>
      <w:r>
        <w:rPr>
          <w:sz w:val="22"/>
          <w:szCs w:val="22"/>
        </w:rPr>
        <w:t xml:space="preserve">monitoring </w:t>
      </w:r>
      <w:r w:rsidRPr="003917BD">
        <w:rPr>
          <w:sz w:val="22"/>
          <w:szCs w:val="22"/>
        </w:rPr>
        <w:t xml:space="preserve">stations were added in the marine section. </w:t>
      </w:r>
      <w:r>
        <w:rPr>
          <w:sz w:val="22"/>
          <w:szCs w:val="22"/>
        </w:rPr>
        <w:t xml:space="preserve"> </w:t>
      </w:r>
      <w:r w:rsidRPr="003917BD">
        <w:rPr>
          <w:sz w:val="22"/>
          <w:szCs w:val="22"/>
        </w:rPr>
        <w:t xml:space="preserve">The entities have started the ambient water quality sampling in the tributaries, and </w:t>
      </w:r>
      <w:r w:rsidR="00EE4CFE">
        <w:rPr>
          <w:sz w:val="22"/>
          <w:szCs w:val="22"/>
        </w:rPr>
        <w:t xml:space="preserve">the </w:t>
      </w:r>
      <w:r>
        <w:rPr>
          <w:rFonts w:cs="Arial"/>
          <w:sz w:val="22"/>
          <w:szCs w:val="22"/>
        </w:rPr>
        <w:t>Clay County Utility Authority</w:t>
      </w:r>
      <w:r w:rsidRPr="00E9612C">
        <w:rPr>
          <w:sz w:val="22"/>
          <w:szCs w:val="22"/>
        </w:rPr>
        <w:t xml:space="preserve"> </w:t>
      </w:r>
      <w:r>
        <w:rPr>
          <w:sz w:val="22"/>
          <w:szCs w:val="22"/>
        </w:rPr>
        <w:t>(</w:t>
      </w:r>
      <w:r w:rsidRPr="003917BD">
        <w:rPr>
          <w:sz w:val="22"/>
          <w:szCs w:val="22"/>
        </w:rPr>
        <w:t>CCUA</w:t>
      </w:r>
      <w:r>
        <w:rPr>
          <w:sz w:val="22"/>
          <w:szCs w:val="22"/>
        </w:rPr>
        <w:t>)</w:t>
      </w:r>
      <w:r w:rsidRPr="003917BD">
        <w:rPr>
          <w:sz w:val="22"/>
          <w:szCs w:val="22"/>
        </w:rPr>
        <w:t xml:space="preserve"> has </w:t>
      </w:r>
      <w:r w:rsidR="00EE4CFE">
        <w:rPr>
          <w:sz w:val="22"/>
          <w:szCs w:val="22"/>
        </w:rPr>
        <w:t>initiated</w:t>
      </w:r>
      <w:r w:rsidR="00EE4CFE" w:rsidRPr="003917BD">
        <w:rPr>
          <w:sz w:val="22"/>
          <w:szCs w:val="22"/>
        </w:rPr>
        <w:t xml:space="preserve"> </w:t>
      </w:r>
      <w:r w:rsidRPr="003917BD">
        <w:rPr>
          <w:sz w:val="22"/>
          <w:szCs w:val="22"/>
        </w:rPr>
        <w:t>high-flow sampling.</w:t>
      </w:r>
      <w:r>
        <w:rPr>
          <w:sz w:val="22"/>
          <w:szCs w:val="22"/>
        </w:rPr>
        <w:t xml:space="preserve"> </w:t>
      </w:r>
      <w:r w:rsidRPr="003917BD">
        <w:rPr>
          <w:sz w:val="22"/>
          <w:szCs w:val="22"/>
        </w:rPr>
        <w:t xml:space="preserve"> FDEP and </w:t>
      </w:r>
      <w:r w:rsidR="00E22C45">
        <w:rPr>
          <w:sz w:val="22"/>
          <w:szCs w:val="22"/>
        </w:rPr>
        <w:t>the St. Johns River Water Management District</w:t>
      </w:r>
      <w:r w:rsidR="00EE4CFE">
        <w:rPr>
          <w:sz w:val="22"/>
          <w:szCs w:val="22"/>
        </w:rPr>
        <w:t xml:space="preserve"> </w:t>
      </w:r>
      <w:r w:rsidRPr="003917BD">
        <w:rPr>
          <w:sz w:val="22"/>
          <w:szCs w:val="22"/>
        </w:rPr>
        <w:t>also prepared a detailed monitoring plan to support the BMAP that describes the processes for collecting and submitting data.</w:t>
      </w:r>
    </w:p>
    <w:p w:rsidR="00485094" w:rsidRPr="003917BD" w:rsidRDefault="00485094" w:rsidP="003917BD">
      <w:pPr>
        <w:pStyle w:val="Bodytextreduced"/>
        <w:rPr>
          <w:sz w:val="22"/>
          <w:szCs w:val="22"/>
        </w:rPr>
      </w:pPr>
    </w:p>
    <w:p w:rsidR="00485094" w:rsidRPr="003917BD" w:rsidRDefault="00485094" w:rsidP="003917BD">
      <w:pPr>
        <w:pStyle w:val="Bodytextreduced"/>
        <w:rPr>
          <w:sz w:val="22"/>
          <w:szCs w:val="22"/>
        </w:rPr>
      </w:pPr>
      <w:r w:rsidRPr="003917BD">
        <w:rPr>
          <w:sz w:val="22"/>
          <w:szCs w:val="22"/>
        </w:rPr>
        <w:t xml:space="preserve">The </w:t>
      </w:r>
      <w:r>
        <w:rPr>
          <w:sz w:val="22"/>
          <w:szCs w:val="22"/>
        </w:rPr>
        <w:t>L</w:t>
      </w:r>
      <w:r w:rsidRPr="003917BD">
        <w:rPr>
          <w:sz w:val="22"/>
          <w:szCs w:val="22"/>
        </w:rPr>
        <w:t xml:space="preserve">ake </w:t>
      </w:r>
      <w:proofErr w:type="spellStart"/>
      <w:r w:rsidRPr="003917BD">
        <w:rPr>
          <w:sz w:val="22"/>
          <w:szCs w:val="22"/>
        </w:rPr>
        <w:t>Jesup</w:t>
      </w:r>
      <w:proofErr w:type="spellEnd"/>
      <w:r w:rsidRPr="003917BD">
        <w:rPr>
          <w:sz w:val="22"/>
          <w:szCs w:val="22"/>
        </w:rPr>
        <w:t xml:space="preserve"> BMAP, adopted in May 2010, includes commitments for projects to reduce TP by 10,167.5 </w:t>
      </w:r>
      <w:r w:rsidR="00E22C45">
        <w:rPr>
          <w:sz w:val="22"/>
          <w:szCs w:val="22"/>
        </w:rPr>
        <w:t>pounds per year (</w:t>
      </w:r>
      <w:r w:rsidRPr="003917BD">
        <w:rPr>
          <w:sz w:val="22"/>
          <w:szCs w:val="22"/>
        </w:rPr>
        <w:t>lbs/yr</w:t>
      </w:r>
      <w:r w:rsidR="00E22C45">
        <w:rPr>
          <w:sz w:val="22"/>
          <w:szCs w:val="22"/>
        </w:rPr>
        <w:t>)</w:t>
      </w:r>
      <w:r w:rsidRPr="003917BD">
        <w:rPr>
          <w:sz w:val="22"/>
          <w:szCs w:val="22"/>
        </w:rPr>
        <w:t xml:space="preserve"> over the next </w:t>
      </w:r>
      <w:r w:rsidR="00E22C45">
        <w:rPr>
          <w:sz w:val="22"/>
          <w:szCs w:val="22"/>
        </w:rPr>
        <w:t>5</w:t>
      </w:r>
      <w:r w:rsidR="00E22C45" w:rsidRPr="003917BD">
        <w:rPr>
          <w:sz w:val="22"/>
          <w:szCs w:val="22"/>
        </w:rPr>
        <w:t xml:space="preserve"> </w:t>
      </w:r>
      <w:r w:rsidRPr="003917BD">
        <w:rPr>
          <w:sz w:val="22"/>
          <w:szCs w:val="22"/>
        </w:rPr>
        <w:t xml:space="preserve">years (approximately 54% of the total reduction required by the TMDL, which will be fully met within 15 years). </w:t>
      </w:r>
      <w:r>
        <w:rPr>
          <w:sz w:val="22"/>
          <w:szCs w:val="22"/>
        </w:rPr>
        <w:t xml:space="preserve"> </w:t>
      </w:r>
      <w:r w:rsidRPr="003917BD">
        <w:rPr>
          <w:sz w:val="22"/>
          <w:szCs w:val="22"/>
        </w:rPr>
        <w:t xml:space="preserve">Many projects have already been completed demonstrating the commitment of local stakeholders to the restoration of their local waterbodies. </w:t>
      </w:r>
    </w:p>
    <w:p w:rsidR="00485094" w:rsidRPr="003917BD" w:rsidRDefault="00485094" w:rsidP="003917BD">
      <w:pPr>
        <w:pStyle w:val="Bodytextreduced"/>
        <w:rPr>
          <w:sz w:val="22"/>
          <w:szCs w:val="22"/>
        </w:rPr>
      </w:pPr>
    </w:p>
    <w:p w:rsidR="002A4505" w:rsidRDefault="00485094" w:rsidP="003917BD">
      <w:pPr>
        <w:pStyle w:val="Bodytextreduced"/>
        <w:rPr>
          <w:sz w:val="22"/>
          <w:szCs w:val="22"/>
        </w:rPr>
      </w:pPr>
      <w:r w:rsidRPr="003917BD">
        <w:rPr>
          <w:sz w:val="22"/>
          <w:szCs w:val="22"/>
        </w:rPr>
        <w:t xml:space="preserve">Information on </w:t>
      </w:r>
      <w:r w:rsidR="00E22C45">
        <w:rPr>
          <w:sz w:val="22"/>
          <w:szCs w:val="22"/>
        </w:rPr>
        <w:t>FDEP’s</w:t>
      </w:r>
      <w:r w:rsidRPr="003917BD">
        <w:rPr>
          <w:sz w:val="22"/>
          <w:szCs w:val="22"/>
        </w:rPr>
        <w:t xml:space="preserve"> BMAP activities can be found </w:t>
      </w:r>
      <w:r w:rsidR="00E22C45">
        <w:rPr>
          <w:sz w:val="22"/>
          <w:szCs w:val="22"/>
        </w:rPr>
        <w:t xml:space="preserve">on FDEP’s </w:t>
      </w:r>
      <w:hyperlink r:id="rId177" w:history="1">
        <w:r w:rsidR="00E22C45" w:rsidRPr="00E22C45">
          <w:rPr>
            <w:rStyle w:val="Hyperlink"/>
            <w:sz w:val="22"/>
            <w:szCs w:val="22"/>
          </w:rPr>
          <w:t>Watershed Management website</w:t>
        </w:r>
      </w:hyperlink>
      <w:r w:rsidR="00E22C45">
        <w:rPr>
          <w:sz w:val="22"/>
          <w:szCs w:val="22"/>
        </w:rPr>
        <w:t xml:space="preserve">. </w:t>
      </w:r>
    </w:p>
    <w:p w:rsidR="00485094" w:rsidRPr="003917BD" w:rsidRDefault="00E22C45" w:rsidP="003917BD">
      <w:pPr>
        <w:pStyle w:val="Bodytextreduced"/>
        <w:rPr>
          <w:sz w:val="22"/>
          <w:szCs w:val="22"/>
        </w:rPr>
      </w:pPr>
      <w:r>
        <w:rPr>
          <w:sz w:val="22"/>
          <w:szCs w:val="22"/>
        </w:rPr>
        <w:t xml:space="preserve"> </w:t>
      </w:r>
    </w:p>
    <w:p w:rsidR="00485094" w:rsidRDefault="00485094" w:rsidP="00B215C8">
      <w:pPr>
        <w:pStyle w:val="Bodytext"/>
      </w:pPr>
    </w:p>
    <w:p w:rsidR="002A4505" w:rsidRDefault="002A4505" w:rsidP="003917BD">
      <w:pPr>
        <w:pStyle w:val="Tableheading"/>
      </w:pPr>
      <w:r>
        <w:br w:type="page"/>
      </w:r>
      <w:bookmarkStart w:id="760" w:name="_Toc271280132"/>
      <w:r w:rsidR="00485094" w:rsidRPr="00531ADE">
        <w:t xml:space="preserve">Table </w:t>
      </w:r>
      <w:r w:rsidR="00485094">
        <w:t>11.1</w:t>
      </w:r>
      <w:r w:rsidR="00485094" w:rsidRPr="00531ADE">
        <w:t>.</w:t>
      </w:r>
      <w:r>
        <w:t xml:space="preserve">  </w:t>
      </w:r>
      <w:r w:rsidR="00485094" w:rsidRPr="00531ADE">
        <w:t>Status of Ongoing BMAP Efforts</w:t>
      </w:r>
      <w:bookmarkEnd w:id="760"/>
    </w:p>
    <w:p w:rsidR="00657C91" w:rsidRDefault="000309E2">
      <w:pPr>
        <w:pStyle w:val="Tabledescription"/>
        <w:rPr>
          <w:b w:val="0"/>
        </w:rPr>
      </w:pPr>
      <w:r w:rsidRPr="000309E2">
        <w:rPr>
          <w:b w:val="0"/>
        </w:rPr>
        <w:t>This is a four-column table.  Column 1 lists the basin, Column 2 lists the status of BMAP development, Column 3 lists the impairment</w:t>
      </w:r>
      <w:r w:rsidR="00EE4CFE">
        <w:rPr>
          <w:b w:val="0"/>
        </w:rPr>
        <w:t>(</w:t>
      </w:r>
      <w:r w:rsidRPr="000309E2">
        <w:rPr>
          <w:b w:val="0"/>
        </w:rPr>
        <w:t>s</w:t>
      </w:r>
      <w:r w:rsidR="00EE4CFE">
        <w:rPr>
          <w:b w:val="0"/>
        </w:rPr>
        <w:t>)</w:t>
      </w:r>
      <w:r w:rsidRPr="000309E2">
        <w:rPr>
          <w:b w:val="0"/>
        </w:rPr>
        <w:t xml:space="preserve"> addressed by the BMAP, and Column 4 lists comments.</w:t>
      </w:r>
    </w:p>
    <w:p w:rsidR="00657C91" w:rsidRPr="0096042F" w:rsidRDefault="00657C91" w:rsidP="0096042F">
      <w:pPr>
        <w:rPr>
          <w:rFonts w:ascii="Arial" w:hAnsi="Arial" w:cs="Arial"/>
          <w:sz w:val="18"/>
          <w:szCs w:val="18"/>
        </w:rPr>
      </w:pPr>
    </w:p>
    <w:tbl>
      <w:tblPr>
        <w:tblW w:w="10179" w:type="dxa"/>
        <w:jc w:val="center"/>
        <w:tblBorders>
          <w:top w:val="single" w:sz="4" w:space="0" w:color="000000"/>
          <w:left w:val="single" w:sz="4" w:space="0" w:color="000000"/>
          <w:bottom w:val="single" w:sz="4" w:space="0" w:color="000000"/>
          <w:right w:val="single" w:sz="4" w:space="0" w:color="000000"/>
        </w:tblBorders>
        <w:tblLook w:val="04A0"/>
      </w:tblPr>
      <w:tblGrid>
        <w:gridCol w:w="2123"/>
        <w:gridCol w:w="1738"/>
        <w:gridCol w:w="2017"/>
        <w:gridCol w:w="4301"/>
      </w:tblGrid>
      <w:tr w:rsidR="00485094" w:rsidRPr="00E22C45" w:rsidTr="00EE4CFE">
        <w:trPr>
          <w:trHeight w:val="350"/>
          <w:tblHeader/>
          <w:jc w:val="center"/>
        </w:trPr>
        <w:tc>
          <w:tcPr>
            <w:tcW w:w="2123" w:type="dxa"/>
            <w:tcBorders>
              <w:top w:val="single" w:sz="4" w:space="0" w:color="000000"/>
              <w:bottom w:val="double" w:sz="4" w:space="0" w:color="auto"/>
              <w:right w:val="single" w:sz="4" w:space="0" w:color="000000"/>
            </w:tcBorders>
            <w:shd w:val="clear" w:color="auto" w:fill="B7FFFF"/>
            <w:vAlign w:val="bottom"/>
            <w:hideMark/>
          </w:tcPr>
          <w:p w:rsidR="00657C91" w:rsidRDefault="000309E2">
            <w:pPr>
              <w:pStyle w:val="TableText"/>
              <w:jc w:val="center"/>
              <w:rPr>
                <w:b/>
                <w:i/>
              </w:rPr>
            </w:pPr>
            <w:r w:rsidRPr="000309E2">
              <w:rPr>
                <w:b/>
                <w:i/>
              </w:rPr>
              <w:t>Basin</w:t>
            </w:r>
          </w:p>
        </w:tc>
        <w:tc>
          <w:tcPr>
            <w:tcW w:w="1738" w:type="dxa"/>
            <w:tcBorders>
              <w:top w:val="single" w:sz="4" w:space="0" w:color="000000"/>
              <w:left w:val="single" w:sz="4" w:space="0" w:color="000000"/>
              <w:bottom w:val="double" w:sz="4" w:space="0" w:color="auto"/>
              <w:right w:val="single" w:sz="4" w:space="0" w:color="000000"/>
            </w:tcBorders>
            <w:shd w:val="clear" w:color="auto" w:fill="B7FFFF"/>
            <w:vAlign w:val="bottom"/>
            <w:hideMark/>
          </w:tcPr>
          <w:p w:rsidR="00657C91" w:rsidRDefault="000309E2">
            <w:pPr>
              <w:pStyle w:val="TableText"/>
              <w:jc w:val="center"/>
              <w:rPr>
                <w:b/>
                <w:i/>
              </w:rPr>
            </w:pPr>
            <w:r w:rsidRPr="000309E2">
              <w:rPr>
                <w:b/>
                <w:i/>
              </w:rPr>
              <w:t>Status</w:t>
            </w:r>
          </w:p>
        </w:tc>
        <w:tc>
          <w:tcPr>
            <w:tcW w:w="2017" w:type="dxa"/>
            <w:tcBorders>
              <w:top w:val="single" w:sz="4" w:space="0" w:color="000000"/>
              <w:left w:val="single" w:sz="4" w:space="0" w:color="000000"/>
              <w:bottom w:val="double" w:sz="4" w:space="0" w:color="auto"/>
              <w:right w:val="single" w:sz="4" w:space="0" w:color="000000"/>
            </w:tcBorders>
            <w:shd w:val="clear" w:color="auto" w:fill="B7FFFF"/>
            <w:vAlign w:val="bottom"/>
            <w:hideMark/>
          </w:tcPr>
          <w:p w:rsidR="00657C91" w:rsidRDefault="000309E2">
            <w:pPr>
              <w:pStyle w:val="TableText"/>
              <w:jc w:val="center"/>
              <w:rPr>
                <w:b/>
                <w:i/>
              </w:rPr>
            </w:pPr>
            <w:r w:rsidRPr="000309E2">
              <w:rPr>
                <w:b/>
                <w:i/>
              </w:rPr>
              <w:t>Impairment</w:t>
            </w:r>
            <w:r w:rsidR="00EE4CFE">
              <w:rPr>
                <w:b/>
                <w:i/>
              </w:rPr>
              <w:t>(s)</w:t>
            </w:r>
            <w:r w:rsidRPr="000309E2">
              <w:rPr>
                <w:b/>
                <w:i/>
              </w:rPr>
              <w:t xml:space="preserve"> Addressed by BMAP</w:t>
            </w:r>
          </w:p>
        </w:tc>
        <w:tc>
          <w:tcPr>
            <w:tcW w:w="4301" w:type="dxa"/>
            <w:tcBorders>
              <w:top w:val="single" w:sz="4" w:space="0" w:color="000000"/>
              <w:left w:val="single" w:sz="4" w:space="0" w:color="000000"/>
              <w:bottom w:val="double" w:sz="4" w:space="0" w:color="auto"/>
            </w:tcBorders>
            <w:shd w:val="clear" w:color="auto" w:fill="B7FFFF"/>
            <w:vAlign w:val="bottom"/>
            <w:hideMark/>
          </w:tcPr>
          <w:p w:rsidR="00657C91" w:rsidRDefault="000309E2">
            <w:pPr>
              <w:pStyle w:val="TableText"/>
              <w:jc w:val="center"/>
              <w:rPr>
                <w:b/>
                <w:i/>
              </w:rPr>
            </w:pPr>
            <w:r w:rsidRPr="000309E2">
              <w:rPr>
                <w:b/>
                <w:i/>
              </w:rPr>
              <w:t>Comments</w:t>
            </w:r>
          </w:p>
        </w:tc>
      </w:tr>
      <w:tr w:rsidR="00485094" w:rsidTr="002A4505">
        <w:trPr>
          <w:jc w:val="center"/>
        </w:trPr>
        <w:tc>
          <w:tcPr>
            <w:tcW w:w="2123" w:type="dxa"/>
            <w:tcBorders>
              <w:top w:val="double" w:sz="4" w:space="0" w:color="auto"/>
              <w:bottom w:val="single" w:sz="4" w:space="0" w:color="000000"/>
              <w:right w:val="single" w:sz="4" w:space="0" w:color="000000"/>
            </w:tcBorders>
            <w:shd w:val="clear" w:color="auto" w:fill="FFFFAF"/>
            <w:vAlign w:val="center"/>
            <w:hideMark/>
          </w:tcPr>
          <w:p w:rsidR="00657C91" w:rsidRDefault="00485094">
            <w:pPr>
              <w:pStyle w:val="TableText"/>
              <w:jc w:val="center"/>
            </w:pPr>
            <w:r>
              <w:t>Lower St. Johns Tributaries</w:t>
            </w:r>
          </w:p>
        </w:tc>
        <w:tc>
          <w:tcPr>
            <w:tcW w:w="1738" w:type="dxa"/>
            <w:tcBorders>
              <w:top w:val="double" w:sz="4" w:space="0" w:color="auto"/>
              <w:left w:val="single" w:sz="4" w:space="0" w:color="000000"/>
              <w:bottom w:val="single" w:sz="4" w:space="0" w:color="000000"/>
              <w:right w:val="single" w:sz="4" w:space="0" w:color="000000"/>
            </w:tcBorders>
            <w:vAlign w:val="center"/>
            <w:hideMark/>
          </w:tcPr>
          <w:p w:rsidR="00657C91" w:rsidRDefault="00485094">
            <w:pPr>
              <w:pStyle w:val="TableText"/>
              <w:jc w:val="center"/>
            </w:pPr>
            <w:r>
              <w:t>BMAP II near adoption</w:t>
            </w:r>
          </w:p>
        </w:tc>
        <w:tc>
          <w:tcPr>
            <w:tcW w:w="2017" w:type="dxa"/>
            <w:tcBorders>
              <w:top w:val="double" w:sz="4" w:space="0" w:color="auto"/>
              <w:left w:val="single" w:sz="4" w:space="0" w:color="000000"/>
              <w:bottom w:val="single" w:sz="4" w:space="0" w:color="000000"/>
              <w:right w:val="single" w:sz="4" w:space="0" w:color="000000"/>
            </w:tcBorders>
            <w:vAlign w:val="center"/>
            <w:hideMark/>
          </w:tcPr>
          <w:p w:rsidR="00657C91" w:rsidRDefault="00485094">
            <w:pPr>
              <w:pStyle w:val="TableText"/>
              <w:jc w:val="center"/>
            </w:pPr>
            <w:r>
              <w:t>Fecal Coliform</w:t>
            </w:r>
          </w:p>
        </w:tc>
        <w:tc>
          <w:tcPr>
            <w:tcW w:w="4301" w:type="dxa"/>
            <w:tcBorders>
              <w:top w:val="double" w:sz="4" w:space="0" w:color="auto"/>
              <w:left w:val="single" w:sz="4" w:space="0" w:color="000000"/>
              <w:bottom w:val="single" w:sz="4" w:space="0" w:color="000000"/>
            </w:tcBorders>
            <w:vAlign w:val="center"/>
            <w:hideMark/>
          </w:tcPr>
          <w:p w:rsidR="00657C91" w:rsidRDefault="00485094">
            <w:pPr>
              <w:pStyle w:val="TableText"/>
              <w:jc w:val="center"/>
            </w:pPr>
            <w:r>
              <w:t xml:space="preserve">BMAP II, implementing </w:t>
            </w:r>
            <w:r w:rsidR="002A4505">
              <w:t xml:space="preserve">TMDLs for </w:t>
            </w:r>
            <w:r>
              <w:t xml:space="preserve">15 WBIDs, has been completed.  The BMAP </w:t>
            </w:r>
            <w:r w:rsidR="002A4505">
              <w:t>was</w:t>
            </w:r>
            <w:r>
              <w:t xml:space="preserve"> endorsed by </w:t>
            </w:r>
            <w:r w:rsidR="00E22C45">
              <w:t>the B</w:t>
            </w:r>
            <w:r>
              <w:t>asin Working Group</w:t>
            </w:r>
            <w:r w:rsidR="002A4505">
              <w:t>;</w:t>
            </w:r>
            <w:r>
              <w:t xml:space="preserve"> presented at a public meeting on June 9</w:t>
            </w:r>
            <w:r w:rsidR="00E22C45">
              <w:t>, 2010</w:t>
            </w:r>
            <w:r w:rsidR="002A4505">
              <w:t>;</w:t>
            </w:r>
            <w:r>
              <w:t xml:space="preserve"> and is currently running through </w:t>
            </w:r>
            <w:r w:rsidR="00E22C45">
              <w:t xml:space="preserve">the </w:t>
            </w:r>
            <w:r>
              <w:t>FDEP adoption process</w:t>
            </w:r>
            <w:r w:rsidR="00E22C45">
              <w:t>,</w:t>
            </w:r>
            <w:r>
              <w:t xml:space="preserve"> with Secretarial adoption anticipated in August 2010.</w:t>
            </w:r>
          </w:p>
        </w:tc>
      </w:tr>
      <w:tr w:rsidR="00485094" w:rsidTr="002A4505">
        <w:trPr>
          <w:jc w:val="center"/>
        </w:trPr>
        <w:tc>
          <w:tcPr>
            <w:tcW w:w="2123" w:type="dxa"/>
            <w:tcBorders>
              <w:top w:val="single" w:sz="4" w:space="0" w:color="000000"/>
              <w:bottom w:val="single" w:sz="4" w:space="0" w:color="000000"/>
              <w:right w:val="single" w:sz="4" w:space="0" w:color="000000"/>
            </w:tcBorders>
            <w:shd w:val="clear" w:color="auto" w:fill="FFFFAF"/>
            <w:vAlign w:val="center"/>
            <w:hideMark/>
          </w:tcPr>
          <w:p w:rsidR="00657C91" w:rsidRDefault="00485094">
            <w:pPr>
              <w:pStyle w:val="TableText"/>
              <w:jc w:val="center"/>
            </w:pPr>
            <w:r>
              <w:t>Suwannee</w:t>
            </w:r>
          </w:p>
        </w:tc>
        <w:tc>
          <w:tcPr>
            <w:tcW w:w="1738"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t>Individual stakeholder discussions ongoing</w:t>
            </w:r>
          </w:p>
        </w:tc>
        <w:tc>
          <w:tcPr>
            <w:tcW w:w="2017"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t>Nutrients/DO</w:t>
            </w:r>
          </w:p>
        </w:tc>
        <w:tc>
          <w:tcPr>
            <w:tcW w:w="4301" w:type="dxa"/>
            <w:tcBorders>
              <w:top w:val="single" w:sz="4" w:space="0" w:color="000000"/>
              <w:left w:val="single" w:sz="4" w:space="0" w:color="000000"/>
              <w:bottom w:val="single" w:sz="4" w:space="0" w:color="000000"/>
            </w:tcBorders>
            <w:vAlign w:val="center"/>
            <w:hideMark/>
          </w:tcPr>
          <w:p w:rsidR="00657C91" w:rsidRDefault="00485094">
            <w:pPr>
              <w:pStyle w:val="TableText"/>
              <w:jc w:val="center"/>
            </w:pPr>
            <w:r>
              <w:t>BMAP efforts in this basin started in November 2008.  Monthly BMAP stakeholder meetings were conducted thr</w:t>
            </w:r>
            <w:r w:rsidR="00E22C45">
              <w:t>ough</w:t>
            </w:r>
            <w:r>
              <w:t xml:space="preserve"> May 2010.  The next stage of contacting basin stakeholders (counties, cities</w:t>
            </w:r>
            <w:r w:rsidR="00E22C45">
              <w:t>, and</w:t>
            </w:r>
            <w:r>
              <w:t xml:space="preserve"> agricultural interests) is ongoing.  The BMAP effort is focusing initially on the Santa Fe sub-basin.  The Suwannee River BMAP will lag by approximately 6 to 9 months.</w:t>
            </w:r>
          </w:p>
        </w:tc>
      </w:tr>
      <w:tr w:rsidR="00485094" w:rsidTr="002A4505">
        <w:trPr>
          <w:jc w:val="center"/>
        </w:trPr>
        <w:tc>
          <w:tcPr>
            <w:tcW w:w="2123" w:type="dxa"/>
            <w:tcBorders>
              <w:top w:val="single" w:sz="4" w:space="0" w:color="000000"/>
              <w:bottom w:val="single" w:sz="4" w:space="0" w:color="000000"/>
              <w:right w:val="single" w:sz="4" w:space="0" w:color="000000"/>
            </w:tcBorders>
            <w:shd w:val="clear" w:color="auto" w:fill="FFFFAF"/>
            <w:vAlign w:val="center"/>
            <w:hideMark/>
          </w:tcPr>
          <w:p w:rsidR="00657C91" w:rsidRDefault="00485094">
            <w:pPr>
              <w:pStyle w:val="TableText"/>
              <w:jc w:val="center"/>
            </w:pPr>
            <w:r>
              <w:t>Bayou Chico</w:t>
            </w:r>
          </w:p>
        </w:tc>
        <w:tc>
          <w:tcPr>
            <w:tcW w:w="1738"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t>Next technical meeting anticipated in fall 2010</w:t>
            </w:r>
          </w:p>
        </w:tc>
        <w:tc>
          <w:tcPr>
            <w:tcW w:w="2017"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t>Fecal Coliform</w:t>
            </w:r>
          </w:p>
        </w:tc>
        <w:tc>
          <w:tcPr>
            <w:tcW w:w="4301" w:type="dxa"/>
            <w:tcBorders>
              <w:top w:val="single" w:sz="4" w:space="0" w:color="000000"/>
              <w:left w:val="single" w:sz="4" w:space="0" w:color="000000"/>
              <w:bottom w:val="single" w:sz="4" w:space="0" w:color="000000"/>
            </w:tcBorders>
            <w:vAlign w:val="center"/>
            <w:hideMark/>
          </w:tcPr>
          <w:p w:rsidR="00657C91" w:rsidRDefault="00485094">
            <w:pPr>
              <w:pStyle w:val="TableText"/>
              <w:jc w:val="center"/>
            </w:pPr>
            <w:r>
              <w:t xml:space="preserve">This group of stakeholders has been active in restoring the basin for many years, and BMAP progress is going smoothly.  Five BMAP and/or technical meetings have been held to date.  A draft BMAP is being developed based on information provided by stakeholders, and while additional information may be necessary to fill in the data and information gaps for the draft, it appears </w:t>
            </w:r>
            <w:r w:rsidR="002A4505">
              <w:t xml:space="preserve">that the BMAP </w:t>
            </w:r>
            <w:r>
              <w:t xml:space="preserve">will remain on schedule for adoption by the end of 2010 (barring any delays as a result of the Gulf </w:t>
            </w:r>
            <w:r w:rsidR="002A4505">
              <w:t xml:space="preserve">oil </w:t>
            </w:r>
            <w:r>
              <w:t>spill, which has most stakeholders</w:t>
            </w:r>
            <w:r w:rsidR="002A4505">
              <w:t>’</w:t>
            </w:r>
            <w:r>
              <w:t xml:space="preserve"> attention at this time)</w:t>
            </w:r>
            <w:r w:rsidR="00C04E26">
              <w:t xml:space="preserve">. </w:t>
            </w:r>
            <w:r>
              <w:t xml:space="preserve"> The next step is completion of the </w:t>
            </w:r>
            <w:r w:rsidR="002A4505">
              <w:t xml:space="preserve">draft </w:t>
            </w:r>
            <w:r>
              <w:t>BMAP for distribution, review</w:t>
            </w:r>
            <w:r w:rsidR="002A4505">
              <w:t>,</w:t>
            </w:r>
            <w:r>
              <w:t xml:space="preserve"> and comments.</w:t>
            </w:r>
          </w:p>
        </w:tc>
      </w:tr>
      <w:tr w:rsidR="00485094" w:rsidTr="002A4505">
        <w:trPr>
          <w:jc w:val="center"/>
        </w:trPr>
        <w:tc>
          <w:tcPr>
            <w:tcW w:w="2123" w:type="dxa"/>
            <w:tcBorders>
              <w:top w:val="single" w:sz="4" w:space="0" w:color="000000"/>
              <w:bottom w:val="single" w:sz="4" w:space="0" w:color="000000"/>
              <w:right w:val="single" w:sz="4" w:space="0" w:color="000000"/>
            </w:tcBorders>
            <w:shd w:val="clear" w:color="auto" w:fill="FFFFAF"/>
            <w:vAlign w:val="center"/>
            <w:hideMark/>
          </w:tcPr>
          <w:p w:rsidR="00657C91" w:rsidRDefault="00485094">
            <w:pPr>
              <w:pStyle w:val="TableText"/>
              <w:jc w:val="center"/>
            </w:pPr>
            <w:r w:rsidRPr="00531ADE">
              <w:t>Wekiva</w:t>
            </w:r>
            <w:r w:rsidR="002A4505">
              <w:t xml:space="preserve"> </w:t>
            </w:r>
          </w:p>
        </w:tc>
        <w:tc>
          <w:tcPr>
            <w:tcW w:w="1738"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rsidRPr="00531ADE">
              <w:t xml:space="preserve">Next </w:t>
            </w:r>
            <w:r w:rsidR="008B720C">
              <w:t>B</w:t>
            </w:r>
            <w:r w:rsidR="008B720C" w:rsidRPr="00531ADE">
              <w:t xml:space="preserve">asin </w:t>
            </w:r>
            <w:r w:rsidRPr="00531ADE">
              <w:t xml:space="preserve">Working Group meeting expected in </w:t>
            </w:r>
            <w:r w:rsidR="008B720C">
              <w:t>f</w:t>
            </w:r>
            <w:r w:rsidR="008B720C" w:rsidRPr="00531ADE">
              <w:t xml:space="preserve">all </w:t>
            </w:r>
            <w:r w:rsidRPr="00531ADE">
              <w:t>2010</w:t>
            </w:r>
          </w:p>
        </w:tc>
        <w:tc>
          <w:tcPr>
            <w:tcW w:w="2017"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rsidRPr="00E9612C">
              <w:t>Nutrients/DO</w:t>
            </w:r>
          </w:p>
        </w:tc>
        <w:tc>
          <w:tcPr>
            <w:tcW w:w="4301" w:type="dxa"/>
            <w:tcBorders>
              <w:top w:val="single" w:sz="4" w:space="0" w:color="000000"/>
              <w:left w:val="single" w:sz="4" w:space="0" w:color="000000"/>
              <w:bottom w:val="single" w:sz="4" w:space="0" w:color="000000"/>
            </w:tcBorders>
            <w:vAlign w:val="center"/>
            <w:hideMark/>
          </w:tcPr>
          <w:p w:rsidR="00657C91" w:rsidRDefault="00485094">
            <w:pPr>
              <w:pStyle w:val="TableText"/>
              <w:jc w:val="center"/>
            </w:pPr>
            <w:r w:rsidRPr="00531ADE">
              <w:t>BMAP efforts began in March 2009</w:t>
            </w:r>
            <w:r w:rsidR="002A4505">
              <w:t>,</w:t>
            </w:r>
            <w:r w:rsidRPr="00531ADE">
              <w:t xml:space="preserve"> and the most recent Basin Working Group Meeting was held on March 18, 2010. </w:t>
            </w:r>
            <w:r>
              <w:t xml:space="preserve"> </w:t>
            </w:r>
            <w:r w:rsidRPr="00531ADE">
              <w:t>Technical work continues in the interim.  Current BMAP activities include building common understanding of sources, develop</w:t>
            </w:r>
            <w:r w:rsidR="002A4505">
              <w:t>ing</w:t>
            </w:r>
            <w:r w:rsidRPr="00531ADE">
              <w:t xml:space="preserve"> the allocation/sufficiency of effort approach, and </w:t>
            </w:r>
            <w:r w:rsidR="002A4505">
              <w:t xml:space="preserve">compiling a list of </w:t>
            </w:r>
            <w:r w:rsidRPr="00531ADE">
              <w:t>preliminary project</w:t>
            </w:r>
            <w:r w:rsidR="002A4505">
              <w:t>s</w:t>
            </w:r>
            <w:r w:rsidRPr="00531ADE">
              <w:t xml:space="preserve">.  The BMAP will be sensitive to local concerns connected to other Wekiva Protection </w:t>
            </w:r>
            <w:r w:rsidRPr="00E9612C">
              <w:t>Area activities.</w:t>
            </w:r>
          </w:p>
        </w:tc>
      </w:tr>
      <w:tr w:rsidR="00485094" w:rsidTr="002A4505">
        <w:trPr>
          <w:jc w:val="center"/>
        </w:trPr>
        <w:tc>
          <w:tcPr>
            <w:tcW w:w="2123" w:type="dxa"/>
            <w:tcBorders>
              <w:top w:val="single" w:sz="4" w:space="0" w:color="000000"/>
              <w:bottom w:val="single" w:sz="4" w:space="0" w:color="000000"/>
              <w:right w:val="single" w:sz="4" w:space="0" w:color="000000"/>
            </w:tcBorders>
            <w:shd w:val="clear" w:color="auto" w:fill="FFFFAF"/>
            <w:vAlign w:val="center"/>
            <w:hideMark/>
          </w:tcPr>
          <w:p w:rsidR="00657C91" w:rsidRDefault="00485094">
            <w:pPr>
              <w:pStyle w:val="TableText"/>
              <w:jc w:val="center"/>
            </w:pPr>
            <w:r w:rsidRPr="00531ADE">
              <w:t>Upper Peace (Hancock Chain, Winter Haven Chain</w:t>
            </w:r>
            <w:r w:rsidR="002A4505">
              <w:t>,</w:t>
            </w:r>
            <w:r w:rsidRPr="00531ADE">
              <w:t xml:space="preserve"> </w:t>
            </w:r>
            <w:r w:rsidR="002A4505">
              <w:t>and</w:t>
            </w:r>
            <w:r w:rsidRPr="00531ADE">
              <w:t xml:space="preserve"> Upper Peace Creek)</w:t>
            </w:r>
          </w:p>
        </w:tc>
        <w:tc>
          <w:tcPr>
            <w:tcW w:w="1738"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rsidRPr="00E9612C">
              <w:t>BMAP activities on hold pending resolution of issues related to effectiveness of management options and completion of local watershed master plan</w:t>
            </w:r>
          </w:p>
        </w:tc>
        <w:tc>
          <w:tcPr>
            <w:tcW w:w="2017"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rsidRPr="00E9612C">
              <w:t xml:space="preserve">Nutrients, </w:t>
            </w:r>
          </w:p>
          <w:p w:rsidR="00657C91" w:rsidRDefault="00485094">
            <w:pPr>
              <w:pStyle w:val="TableText"/>
              <w:jc w:val="center"/>
            </w:pPr>
            <w:r w:rsidRPr="00E9612C">
              <w:t>Fecal Coliform</w:t>
            </w:r>
          </w:p>
        </w:tc>
        <w:tc>
          <w:tcPr>
            <w:tcW w:w="4301" w:type="dxa"/>
            <w:tcBorders>
              <w:top w:val="single" w:sz="4" w:space="0" w:color="000000"/>
              <w:left w:val="single" w:sz="4" w:space="0" w:color="000000"/>
              <w:bottom w:val="single" w:sz="4" w:space="0" w:color="000000"/>
            </w:tcBorders>
            <w:vAlign w:val="center"/>
            <w:hideMark/>
          </w:tcPr>
          <w:p w:rsidR="00657C91" w:rsidRDefault="002A4505">
            <w:pPr>
              <w:pStyle w:val="TableText"/>
              <w:jc w:val="center"/>
            </w:pPr>
            <w:r>
              <w:t>A t</w:t>
            </w:r>
            <w:r w:rsidR="00485094" w:rsidRPr="00531ADE">
              <w:t xml:space="preserve">echnical review of the TMDLs and lake processes has led to questions about the effectiveness of management options attempting to meet TMDLs.  A comprehensive watershed master plan is being developed for the City of Winter Haven and </w:t>
            </w:r>
            <w:r>
              <w:t xml:space="preserve">Southwest Florida Water Management District, </w:t>
            </w:r>
            <w:r w:rsidR="00485094" w:rsidRPr="00531ADE">
              <w:t xml:space="preserve">and needs further consideration before moving forward with a BMAP for the southern Winter Haven Chain of Lakes.  The consultant's interim plan is being developed and will be reviewed, but the final plan </w:t>
            </w:r>
            <w:r w:rsidR="00C04E26">
              <w:t xml:space="preserve">is </w:t>
            </w:r>
            <w:r w:rsidR="00485094" w:rsidRPr="00531ADE">
              <w:t xml:space="preserve">not expected until late 2010.  In addition, </w:t>
            </w:r>
            <w:r>
              <w:t>FDEP</w:t>
            </w:r>
            <w:r w:rsidRPr="00531ADE">
              <w:t xml:space="preserve"> </w:t>
            </w:r>
            <w:r>
              <w:t>will</w:t>
            </w:r>
            <w:r w:rsidR="00485094" w:rsidRPr="00E9612C">
              <w:t xml:space="preserve"> develop any Upper Peace River TMDL implementation plans concurrently with the Southern Chain of Lakes BMAP development (anticipated at</w:t>
            </w:r>
            <w:r>
              <w:t xml:space="preserve"> the</w:t>
            </w:r>
            <w:r w:rsidR="00485094" w:rsidRPr="00E9612C">
              <w:t xml:space="preserve"> end of 2010).  Coordination efforts with</w:t>
            </w:r>
            <w:r>
              <w:t xml:space="preserve"> the</w:t>
            </w:r>
            <w:r w:rsidR="00485094" w:rsidRPr="00E9612C">
              <w:t xml:space="preserve"> City of Winter Haven, Polk County</w:t>
            </w:r>
            <w:r>
              <w:t>,</w:t>
            </w:r>
            <w:r w:rsidR="00485094" w:rsidRPr="00E9612C">
              <w:t xml:space="preserve"> and other stakeholders continues</w:t>
            </w:r>
            <w:r>
              <w:t>,</w:t>
            </w:r>
            <w:r w:rsidR="00485094" w:rsidRPr="00E9612C">
              <w:t xml:space="preserve"> and a meeting is planned to discuss local watershed plans and the interim reports that may affect implementation strategies at the end of August,2010. </w:t>
            </w:r>
            <w:r w:rsidR="00485094">
              <w:t xml:space="preserve"> </w:t>
            </w:r>
            <w:r w:rsidR="00485094" w:rsidRPr="00E9612C">
              <w:t>Further BMAP efforts for other waterbodies in the basin are on hold pending the resolution of issues related to the effectiveness of management options.</w:t>
            </w:r>
          </w:p>
        </w:tc>
      </w:tr>
      <w:tr w:rsidR="00485094" w:rsidTr="002A4505">
        <w:trPr>
          <w:jc w:val="center"/>
        </w:trPr>
        <w:tc>
          <w:tcPr>
            <w:tcW w:w="2123" w:type="dxa"/>
            <w:tcBorders>
              <w:top w:val="single" w:sz="4" w:space="0" w:color="000000"/>
              <w:bottom w:val="single" w:sz="4" w:space="0" w:color="000000"/>
              <w:right w:val="single" w:sz="4" w:space="0" w:color="000000"/>
            </w:tcBorders>
            <w:shd w:val="clear" w:color="auto" w:fill="FFFFAF"/>
            <w:vAlign w:val="center"/>
            <w:hideMark/>
          </w:tcPr>
          <w:p w:rsidR="00657C91" w:rsidRDefault="00485094">
            <w:pPr>
              <w:pStyle w:val="TableText"/>
              <w:jc w:val="center"/>
            </w:pPr>
            <w:r w:rsidRPr="00531ADE">
              <w:t>Indian River Lagoon</w:t>
            </w:r>
          </w:p>
        </w:tc>
        <w:tc>
          <w:tcPr>
            <w:tcW w:w="1738"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rsidRPr="00E9612C">
              <w:t>Continuing rotating meetings among sub-basins</w:t>
            </w:r>
          </w:p>
        </w:tc>
        <w:tc>
          <w:tcPr>
            <w:tcW w:w="2017"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rsidRPr="00E9612C">
              <w:t>Nutrients/DO</w:t>
            </w:r>
          </w:p>
        </w:tc>
        <w:tc>
          <w:tcPr>
            <w:tcW w:w="4301" w:type="dxa"/>
            <w:tcBorders>
              <w:top w:val="single" w:sz="4" w:space="0" w:color="000000"/>
              <w:left w:val="single" w:sz="4" w:space="0" w:color="000000"/>
              <w:bottom w:val="single" w:sz="4" w:space="0" w:color="000000"/>
            </w:tcBorders>
            <w:vAlign w:val="center"/>
            <w:hideMark/>
          </w:tcPr>
          <w:p w:rsidR="00657C91" w:rsidRDefault="00485094">
            <w:pPr>
              <w:pStyle w:val="TableText"/>
              <w:jc w:val="center"/>
            </w:pPr>
            <w:r w:rsidRPr="00531ADE">
              <w:t xml:space="preserve">The Indian River Lagoon </w:t>
            </w:r>
            <w:proofErr w:type="spellStart"/>
            <w:r w:rsidRPr="00531ADE">
              <w:t>Mainstem</w:t>
            </w:r>
            <w:proofErr w:type="spellEnd"/>
            <w:r w:rsidRPr="00531ADE">
              <w:t xml:space="preserve"> Basin </w:t>
            </w:r>
            <w:r w:rsidR="002A4505">
              <w:t>has been</w:t>
            </w:r>
            <w:r w:rsidRPr="00531ADE">
              <w:t xml:space="preserve"> divided into three </w:t>
            </w:r>
            <w:r w:rsidR="002A4505">
              <w:t xml:space="preserve">sub-basins </w:t>
            </w:r>
            <w:r w:rsidRPr="00531ADE">
              <w:t>(Banana River, North</w:t>
            </w:r>
            <w:r w:rsidR="002A4505">
              <w:t>,</w:t>
            </w:r>
            <w:r w:rsidRPr="00531ADE">
              <w:t xml:space="preserve"> and Central) for </w:t>
            </w:r>
            <w:r w:rsidRPr="00E9612C">
              <w:t xml:space="preserve">BMAP development. </w:t>
            </w:r>
            <w:r>
              <w:t xml:space="preserve"> </w:t>
            </w:r>
            <w:r w:rsidRPr="00E9612C">
              <w:t>Banana River sub-basin allocations are complete</w:t>
            </w:r>
            <w:r w:rsidR="002A4505">
              <w:t>,</w:t>
            </w:r>
            <w:r w:rsidRPr="00E9612C">
              <w:t xml:space="preserve"> project information collection is under</w:t>
            </w:r>
            <w:r w:rsidR="002A4505">
              <w:t xml:space="preserve"> </w:t>
            </w:r>
            <w:r w:rsidRPr="00E9612C">
              <w:t>way (projected complet</w:t>
            </w:r>
            <w:r w:rsidR="002A4505">
              <w:t>ion</w:t>
            </w:r>
            <w:r w:rsidRPr="00E9612C">
              <w:t xml:space="preserve"> by </w:t>
            </w:r>
            <w:r w:rsidR="002A4505">
              <w:t>f</w:t>
            </w:r>
            <w:r w:rsidR="002A4505" w:rsidRPr="00E9612C">
              <w:t xml:space="preserve">all </w:t>
            </w:r>
            <w:r w:rsidRPr="00E9612C">
              <w:t xml:space="preserve">2010), and a draft BMAP is anticipated in </w:t>
            </w:r>
            <w:r w:rsidR="002A4505">
              <w:t>w</w:t>
            </w:r>
            <w:r w:rsidR="002A4505" w:rsidRPr="00E9612C">
              <w:t xml:space="preserve">inter </w:t>
            </w:r>
            <w:r w:rsidRPr="00E9612C">
              <w:t>2010.</w:t>
            </w:r>
            <w:r>
              <w:t xml:space="preserve"> </w:t>
            </w:r>
            <w:r w:rsidRPr="00E9612C">
              <w:t xml:space="preserve"> Nutrient TMDLs for tributaries to the North and </w:t>
            </w:r>
            <w:r w:rsidR="002A4505">
              <w:t>C</w:t>
            </w:r>
            <w:r w:rsidR="002A4505" w:rsidRPr="00E9612C">
              <w:t xml:space="preserve">entral </w:t>
            </w:r>
            <w:r w:rsidRPr="00E9612C">
              <w:t xml:space="preserve">sub-basins are anticipated in </w:t>
            </w:r>
            <w:r w:rsidR="002A4505">
              <w:t>f</w:t>
            </w:r>
            <w:r w:rsidR="002A4505" w:rsidRPr="00E9612C">
              <w:t xml:space="preserve">all </w:t>
            </w:r>
            <w:r w:rsidRPr="00E9612C">
              <w:t xml:space="preserve">2010, with allocations for those sub-basin BMAPs anticipated by </w:t>
            </w:r>
            <w:r w:rsidR="008B720C">
              <w:t>w</w:t>
            </w:r>
            <w:r w:rsidRPr="00E9612C">
              <w:t>inter 2010.</w:t>
            </w:r>
            <w:r>
              <w:t xml:space="preserve"> </w:t>
            </w:r>
            <w:r w:rsidRPr="00E9612C">
              <w:t xml:space="preserve"> The Monitoring Plan discussions are under</w:t>
            </w:r>
            <w:r w:rsidR="008B720C">
              <w:t xml:space="preserve"> </w:t>
            </w:r>
            <w:r w:rsidRPr="00E9612C">
              <w:t>way</w:t>
            </w:r>
            <w:r w:rsidR="008B720C">
              <w:t>,</w:t>
            </w:r>
            <w:r w:rsidRPr="00E9612C">
              <w:t xml:space="preserve"> with </w:t>
            </w:r>
            <w:r w:rsidR="008B720C">
              <w:t>p</w:t>
            </w:r>
            <w:r w:rsidR="008B720C" w:rsidRPr="00E9612C">
              <w:t xml:space="preserve">rimary </w:t>
            </w:r>
            <w:r w:rsidRPr="00E9612C">
              <w:t xml:space="preserve">and </w:t>
            </w:r>
            <w:r w:rsidR="008B720C">
              <w:t>s</w:t>
            </w:r>
            <w:r w:rsidR="008B720C" w:rsidRPr="00E9612C">
              <w:t xml:space="preserve">econdary </w:t>
            </w:r>
            <w:r w:rsidRPr="00E9612C">
              <w:t>objectives being developed in coordination with local stakeholders.</w:t>
            </w:r>
          </w:p>
        </w:tc>
      </w:tr>
      <w:tr w:rsidR="00485094" w:rsidTr="002A4505">
        <w:trPr>
          <w:jc w:val="center"/>
        </w:trPr>
        <w:tc>
          <w:tcPr>
            <w:tcW w:w="2123" w:type="dxa"/>
            <w:tcBorders>
              <w:top w:val="single" w:sz="4" w:space="0" w:color="000000"/>
              <w:bottom w:val="single" w:sz="4" w:space="0" w:color="000000"/>
              <w:right w:val="single" w:sz="4" w:space="0" w:color="000000"/>
            </w:tcBorders>
            <w:shd w:val="clear" w:color="auto" w:fill="FFFFAF"/>
            <w:vAlign w:val="center"/>
            <w:hideMark/>
          </w:tcPr>
          <w:p w:rsidR="00657C91" w:rsidRDefault="00485094">
            <w:pPr>
              <w:pStyle w:val="TableText"/>
              <w:jc w:val="center"/>
            </w:pPr>
            <w:r w:rsidRPr="00531ADE">
              <w:t>St. Lucie</w:t>
            </w:r>
          </w:p>
        </w:tc>
        <w:tc>
          <w:tcPr>
            <w:tcW w:w="1738"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rsidRPr="00531ADE">
              <w:t xml:space="preserve">Next </w:t>
            </w:r>
            <w:r w:rsidR="002A4505">
              <w:t>t</w:t>
            </w:r>
            <w:r w:rsidR="002A4505" w:rsidRPr="00531ADE">
              <w:t xml:space="preserve">echnical </w:t>
            </w:r>
            <w:r w:rsidR="002A4505">
              <w:t>m</w:t>
            </w:r>
            <w:r w:rsidR="002A4505" w:rsidRPr="00531ADE">
              <w:t xml:space="preserve">eeting </w:t>
            </w:r>
            <w:r w:rsidR="002A4505">
              <w:t>p</w:t>
            </w:r>
            <w:r w:rsidR="002A4505" w:rsidRPr="00531ADE">
              <w:t xml:space="preserve">lanned </w:t>
            </w:r>
            <w:r w:rsidR="002A4505">
              <w:t>f</w:t>
            </w:r>
            <w:r w:rsidR="002A4505" w:rsidRPr="00531ADE">
              <w:t xml:space="preserve">all </w:t>
            </w:r>
            <w:r w:rsidRPr="00531ADE">
              <w:t>2010</w:t>
            </w:r>
          </w:p>
        </w:tc>
        <w:tc>
          <w:tcPr>
            <w:tcW w:w="2017"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rsidRPr="00E9612C">
              <w:t>Nutrients/BOD</w:t>
            </w:r>
          </w:p>
        </w:tc>
        <w:tc>
          <w:tcPr>
            <w:tcW w:w="4301" w:type="dxa"/>
            <w:tcBorders>
              <w:top w:val="single" w:sz="4" w:space="0" w:color="000000"/>
              <w:left w:val="single" w:sz="4" w:space="0" w:color="000000"/>
              <w:bottom w:val="single" w:sz="4" w:space="0" w:color="000000"/>
            </w:tcBorders>
            <w:vAlign w:val="center"/>
            <w:hideMark/>
          </w:tcPr>
          <w:p w:rsidR="00657C91" w:rsidRDefault="00485094">
            <w:pPr>
              <w:pStyle w:val="TableText"/>
              <w:jc w:val="center"/>
            </w:pPr>
            <w:r w:rsidRPr="00531ADE">
              <w:t xml:space="preserve">BMAP activities were started in July 2009. </w:t>
            </w:r>
            <w:r>
              <w:t xml:space="preserve"> </w:t>
            </w:r>
            <w:r w:rsidRPr="00531ADE">
              <w:t>The last BMAP technical meeting was held in March 2010, and one-on-one stakeholder meetings with cities/counties were held in December 2009.</w:t>
            </w:r>
            <w:r>
              <w:t xml:space="preserve"> </w:t>
            </w:r>
            <w:r w:rsidRPr="00531ADE">
              <w:t xml:space="preserve"> </w:t>
            </w:r>
            <w:r w:rsidR="008B720C">
              <w:t>An e</w:t>
            </w:r>
            <w:r w:rsidRPr="00531ADE">
              <w:t xml:space="preserve">valuation </w:t>
            </w:r>
            <w:r w:rsidR="008B720C">
              <w:t xml:space="preserve">continues </w:t>
            </w:r>
            <w:r w:rsidRPr="00531ADE">
              <w:t xml:space="preserve">of the </w:t>
            </w:r>
            <w:r w:rsidR="008B720C" w:rsidRPr="008B720C">
              <w:t xml:space="preserve">Northern Everglades and Estuaries Protection Program </w:t>
            </w:r>
            <w:r w:rsidR="008B720C">
              <w:t>(</w:t>
            </w:r>
            <w:r w:rsidRPr="00531ADE">
              <w:t>NEEPP</w:t>
            </w:r>
            <w:r w:rsidR="008B720C">
              <w:t>)</w:t>
            </w:r>
            <w:r w:rsidRPr="00531ADE">
              <w:t xml:space="preserve"> Regional </w:t>
            </w:r>
            <w:r w:rsidR="008B720C">
              <w:t>W</w:t>
            </w:r>
            <w:r w:rsidR="008B720C" w:rsidRPr="00531ADE">
              <w:t xml:space="preserve">atershed </w:t>
            </w:r>
            <w:r w:rsidRPr="00531ADE">
              <w:t xml:space="preserve">Protection Plan applicability </w:t>
            </w:r>
            <w:r>
              <w:t>and</w:t>
            </w:r>
            <w:r w:rsidRPr="00531ADE">
              <w:t xml:space="preserve"> implementation/allocation approach document. </w:t>
            </w:r>
            <w:r>
              <w:t xml:space="preserve"> F</w:t>
            </w:r>
            <w:r w:rsidRPr="00531ADE">
              <w:t>DEP staff are reviewing the applicability of different models for detailed allocations, and gathering information on land u</w:t>
            </w:r>
            <w:r w:rsidRPr="00E9612C">
              <w:t xml:space="preserve">se and agricultural and MS4 jurisdictional areas. </w:t>
            </w:r>
            <w:r>
              <w:t xml:space="preserve"> </w:t>
            </w:r>
            <w:r w:rsidRPr="00E9612C">
              <w:t>Meetings are anticipated with various Special Districts</w:t>
            </w:r>
            <w:r w:rsidR="008B720C">
              <w:t>,</w:t>
            </w:r>
            <w:r w:rsidRPr="00E9612C">
              <w:t xml:space="preserve"> along with continued coordination with local municipalities</w:t>
            </w:r>
            <w:r w:rsidR="008B720C">
              <w:t>,</w:t>
            </w:r>
            <w:r w:rsidRPr="00E9612C">
              <w:t xml:space="preserve"> to move to the next step of detailed allocations and project tables. </w:t>
            </w:r>
            <w:r>
              <w:t xml:space="preserve"> </w:t>
            </w:r>
            <w:r w:rsidRPr="00E9612C">
              <w:t xml:space="preserve">Stakeholder technical meetings are expected to continue in </w:t>
            </w:r>
            <w:r w:rsidR="008B720C">
              <w:t>f</w:t>
            </w:r>
            <w:r w:rsidR="008B720C" w:rsidRPr="00E9612C">
              <w:t xml:space="preserve">all </w:t>
            </w:r>
            <w:r w:rsidRPr="00E9612C">
              <w:t>2010.</w:t>
            </w:r>
          </w:p>
        </w:tc>
      </w:tr>
      <w:tr w:rsidR="00485094" w:rsidTr="002A4505">
        <w:trPr>
          <w:jc w:val="center"/>
        </w:trPr>
        <w:tc>
          <w:tcPr>
            <w:tcW w:w="2123" w:type="dxa"/>
            <w:tcBorders>
              <w:top w:val="single" w:sz="4" w:space="0" w:color="000000"/>
              <w:bottom w:val="single" w:sz="4" w:space="0" w:color="000000"/>
              <w:right w:val="single" w:sz="4" w:space="0" w:color="000000"/>
            </w:tcBorders>
            <w:shd w:val="clear" w:color="auto" w:fill="FFFFAF"/>
            <w:vAlign w:val="center"/>
            <w:hideMark/>
          </w:tcPr>
          <w:p w:rsidR="00657C91" w:rsidRDefault="00485094">
            <w:pPr>
              <w:pStyle w:val="TableText"/>
              <w:jc w:val="center"/>
            </w:pPr>
            <w:r w:rsidRPr="00531ADE">
              <w:t>Lake Munson/</w:t>
            </w:r>
          </w:p>
          <w:p w:rsidR="00657C91" w:rsidRDefault="00485094">
            <w:pPr>
              <w:pStyle w:val="TableText"/>
              <w:jc w:val="center"/>
            </w:pPr>
            <w:r w:rsidRPr="00531ADE">
              <w:t>Munson Slough</w:t>
            </w:r>
          </w:p>
        </w:tc>
        <w:tc>
          <w:tcPr>
            <w:tcW w:w="1738"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rsidRPr="00E9612C">
              <w:t xml:space="preserve">BMAP </w:t>
            </w:r>
            <w:r w:rsidR="002A4505">
              <w:t>k</w:t>
            </w:r>
            <w:r w:rsidR="002A4505" w:rsidRPr="00E9612C">
              <w:t>ick</w:t>
            </w:r>
            <w:r w:rsidRPr="00E9612C">
              <w:t xml:space="preserve">off </w:t>
            </w:r>
            <w:r w:rsidR="002A4505">
              <w:t>a</w:t>
            </w:r>
            <w:r w:rsidR="002A4505" w:rsidRPr="00E9612C">
              <w:t xml:space="preserve">nticipated </w:t>
            </w:r>
            <w:r w:rsidRPr="00E9612C">
              <w:t xml:space="preserve">in </w:t>
            </w:r>
            <w:r w:rsidR="002A4505">
              <w:t>f</w:t>
            </w:r>
            <w:r w:rsidR="002A4505" w:rsidRPr="00E9612C">
              <w:t xml:space="preserve">all </w:t>
            </w:r>
            <w:r w:rsidRPr="00E9612C">
              <w:t>2010</w:t>
            </w:r>
          </w:p>
        </w:tc>
        <w:tc>
          <w:tcPr>
            <w:tcW w:w="2017"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rsidRPr="00E9612C">
              <w:t>Nutrients/DO/</w:t>
            </w:r>
          </w:p>
          <w:p w:rsidR="00657C91" w:rsidRDefault="00485094">
            <w:pPr>
              <w:pStyle w:val="TableText"/>
              <w:jc w:val="center"/>
            </w:pPr>
            <w:r w:rsidRPr="00E9612C">
              <w:t>Fecal Coliform</w:t>
            </w:r>
          </w:p>
        </w:tc>
        <w:tc>
          <w:tcPr>
            <w:tcW w:w="4301" w:type="dxa"/>
            <w:tcBorders>
              <w:top w:val="single" w:sz="4" w:space="0" w:color="000000"/>
              <w:left w:val="single" w:sz="4" w:space="0" w:color="000000"/>
              <w:bottom w:val="single" w:sz="4" w:space="0" w:color="000000"/>
            </w:tcBorders>
            <w:vAlign w:val="center"/>
            <w:hideMark/>
          </w:tcPr>
          <w:p w:rsidR="00657C91" w:rsidRDefault="00485094">
            <w:pPr>
              <w:pStyle w:val="TableText"/>
              <w:jc w:val="center"/>
            </w:pPr>
            <w:r>
              <w:t>F</w:t>
            </w:r>
            <w:r w:rsidRPr="00531ADE">
              <w:t xml:space="preserve">DEP staff are following local concerns and news </w:t>
            </w:r>
            <w:r w:rsidR="008B720C">
              <w:t>related to the</w:t>
            </w:r>
            <w:r w:rsidRPr="00531ADE">
              <w:t xml:space="preserve"> final adoption of the Lake Munson/Munson Slough and Wakulla River TMDLs (workshop held </w:t>
            </w:r>
            <w:r w:rsidR="008B720C">
              <w:t>on May 28, 20</w:t>
            </w:r>
            <w:r w:rsidRPr="00531ADE">
              <w:t xml:space="preserve">10). </w:t>
            </w:r>
            <w:r>
              <w:t xml:space="preserve"> </w:t>
            </w:r>
            <w:r w:rsidRPr="00531ADE">
              <w:t xml:space="preserve">BMAP development is currently on hold pending </w:t>
            </w:r>
            <w:r w:rsidR="008B720C">
              <w:t xml:space="preserve">the </w:t>
            </w:r>
            <w:r w:rsidRPr="00531ADE">
              <w:t xml:space="preserve">final adoption of the </w:t>
            </w:r>
            <w:r w:rsidR="008B720C">
              <w:t>d</w:t>
            </w:r>
            <w:r w:rsidR="008B720C" w:rsidRPr="00531ADE">
              <w:t xml:space="preserve">raft </w:t>
            </w:r>
            <w:r w:rsidRPr="00531ADE">
              <w:t xml:space="preserve">TMDLs, the selection of the Wakulla Springs </w:t>
            </w:r>
            <w:r w:rsidR="008B720C">
              <w:t>f</w:t>
            </w:r>
            <w:r w:rsidR="008B720C" w:rsidRPr="00531ADE">
              <w:t>acilitator</w:t>
            </w:r>
            <w:r w:rsidR="008B720C">
              <w:t>,</w:t>
            </w:r>
            <w:r w:rsidR="008B720C" w:rsidRPr="00531ADE">
              <w:t xml:space="preserve"> </w:t>
            </w:r>
            <w:r w:rsidRPr="00531ADE">
              <w:t>and subsequent meetings of the Wakulla Springs Working Group</w:t>
            </w:r>
            <w:r w:rsidR="008B720C">
              <w:t>; these activities</w:t>
            </w:r>
            <w:r w:rsidRPr="00E9612C">
              <w:t xml:space="preserve"> should help to define the next steps and BMAP development for the entire Wakulla </w:t>
            </w:r>
            <w:proofErr w:type="spellStart"/>
            <w:r w:rsidRPr="00E9612C">
              <w:t>springshed</w:t>
            </w:r>
            <w:proofErr w:type="spellEnd"/>
            <w:r w:rsidRPr="00E9612C">
              <w:t>.</w:t>
            </w:r>
          </w:p>
        </w:tc>
      </w:tr>
      <w:tr w:rsidR="00485094" w:rsidTr="002A4505">
        <w:trPr>
          <w:jc w:val="center"/>
        </w:trPr>
        <w:tc>
          <w:tcPr>
            <w:tcW w:w="2123" w:type="dxa"/>
            <w:tcBorders>
              <w:top w:val="single" w:sz="4" w:space="0" w:color="000000"/>
              <w:bottom w:val="single" w:sz="4" w:space="0" w:color="000000"/>
              <w:right w:val="single" w:sz="4" w:space="0" w:color="000000"/>
            </w:tcBorders>
            <w:shd w:val="clear" w:color="auto" w:fill="FFFFAF"/>
            <w:vAlign w:val="center"/>
            <w:hideMark/>
          </w:tcPr>
          <w:p w:rsidR="00657C91" w:rsidRDefault="00485094">
            <w:pPr>
              <w:pStyle w:val="TableText"/>
              <w:jc w:val="center"/>
            </w:pPr>
            <w:r w:rsidRPr="00531ADE">
              <w:t>Everglades West Coast</w:t>
            </w:r>
          </w:p>
        </w:tc>
        <w:tc>
          <w:tcPr>
            <w:tcW w:w="1738"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rsidRPr="00E9612C">
              <w:t xml:space="preserve">Next </w:t>
            </w:r>
            <w:r w:rsidR="002A4505">
              <w:t>t</w:t>
            </w:r>
            <w:r w:rsidR="002A4505" w:rsidRPr="00E9612C">
              <w:t xml:space="preserve">echnical </w:t>
            </w:r>
            <w:r w:rsidR="002A4505">
              <w:t>m</w:t>
            </w:r>
            <w:r w:rsidR="002A4505" w:rsidRPr="00E9612C">
              <w:t xml:space="preserve">eeting </w:t>
            </w:r>
            <w:r w:rsidRPr="00E9612C">
              <w:t xml:space="preserve">to be held </w:t>
            </w:r>
            <w:r w:rsidR="002A4505">
              <w:t>f</w:t>
            </w:r>
            <w:r w:rsidR="002A4505" w:rsidRPr="00E9612C">
              <w:t xml:space="preserve">all </w:t>
            </w:r>
            <w:r w:rsidRPr="00E9612C">
              <w:t>2010</w:t>
            </w:r>
          </w:p>
        </w:tc>
        <w:tc>
          <w:tcPr>
            <w:tcW w:w="2017"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rsidRPr="00E9612C">
              <w:t>Multiple</w:t>
            </w:r>
          </w:p>
        </w:tc>
        <w:tc>
          <w:tcPr>
            <w:tcW w:w="4301" w:type="dxa"/>
            <w:tcBorders>
              <w:top w:val="single" w:sz="4" w:space="0" w:color="000000"/>
              <w:left w:val="single" w:sz="4" w:space="0" w:color="000000"/>
              <w:bottom w:val="single" w:sz="4" w:space="0" w:color="000000"/>
            </w:tcBorders>
            <w:vAlign w:val="center"/>
            <w:hideMark/>
          </w:tcPr>
          <w:p w:rsidR="00657C91" w:rsidRDefault="00485094">
            <w:pPr>
              <w:pStyle w:val="TableText"/>
              <w:jc w:val="center"/>
            </w:pPr>
            <w:r w:rsidRPr="00531ADE">
              <w:t>Basic W</w:t>
            </w:r>
            <w:r>
              <w:t xml:space="preserve">atershed </w:t>
            </w:r>
            <w:r w:rsidRPr="00531ADE">
              <w:t>M</w:t>
            </w:r>
            <w:r>
              <w:t xml:space="preserve">anagement </w:t>
            </w:r>
            <w:r w:rsidRPr="00531ADE">
              <w:t>M</w:t>
            </w:r>
            <w:r>
              <w:t>odel</w:t>
            </w:r>
            <w:r w:rsidRPr="00531ADE">
              <w:t>ing to determine current loading was completed</w:t>
            </w:r>
            <w:r w:rsidR="008B720C">
              <w:t>,</w:t>
            </w:r>
            <w:r w:rsidRPr="00531ADE">
              <w:t xml:space="preserve"> and details were presented to stakeholders at the last technical meeting in February 2010. </w:t>
            </w:r>
            <w:r>
              <w:t xml:space="preserve"> </w:t>
            </w:r>
            <w:r w:rsidRPr="00531ADE">
              <w:t>One</w:t>
            </w:r>
            <w:r>
              <w:t>-</w:t>
            </w:r>
            <w:r w:rsidRPr="00531ADE">
              <w:t>on</w:t>
            </w:r>
            <w:r>
              <w:t>-</w:t>
            </w:r>
            <w:r w:rsidRPr="00531ADE">
              <w:t xml:space="preserve">one meetings were held with stakeholders to discuss current loading calculation process and projects eligible for BMAP credit.  </w:t>
            </w:r>
            <w:r>
              <w:t>F</w:t>
            </w:r>
            <w:r w:rsidRPr="00531ADE">
              <w:t xml:space="preserve">DEP staff are currently evaluating </w:t>
            </w:r>
            <w:r w:rsidRPr="00E9612C">
              <w:t>the list of nutrient reduction projects implemented since the TMDL verified period and calculating BMP efficiencies for the projects submitted.  Staff are awaiting results from a nutrient source tracking and ground</w:t>
            </w:r>
            <w:r w:rsidR="008B720C">
              <w:t xml:space="preserve"> </w:t>
            </w:r>
            <w:r w:rsidRPr="00E9612C">
              <w:t xml:space="preserve">water input study conducted in June 2010.  BMAP stakeholder </w:t>
            </w:r>
            <w:r>
              <w:t xml:space="preserve">technical meetings are expected to continue in </w:t>
            </w:r>
            <w:r w:rsidR="008B720C">
              <w:t xml:space="preserve">fall </w:t>
            </w:r>
            <w:r>
              <w:t>2010.</w:t>
            </w:r>
          </w:p>
        </w:tc>
      </w:tr>
      <w:tr w:rsidR="00485094" w:rsidTr="002A4505">
        <w:trPr>
          <w:jc w:val="center"/>
        </w:trPr>
        <w:tc>
          <w:tcPr>
            <w:tcW w:w="2123" w:type="dxa"/>
            <w:tcBorders>
              <w:top w:val="single" w:sz="4" w:space="0" w:color="000000"/>
              <w:bottom w:val="single" w:sz="4" w:space="0" w:color="000000"/>
              <w:right w:val="single" w:sz="4" w:space="0" w:color="000000"/>
            </w:tcBorders>
            <w:shd w:val="clear" w:color="auto" w:fill="FFFFAF"/>
            <w:vAlign w:val="center"/>
            <w:hideMark/>
          </w:tcPr>
          <w:p w:rsidR="00657C91" w:rsidRDefault="00485094">
            <w:pPr>
              <w:pStyle w:val="TableText"/>
              <w:jc w:val="center"/>
            </w:pPr>
            <w:r w:rsidRPr="00531ADE">
              <w:t>Caloosahatchee</w:t>
            </w:r>
          </w:p>
        </w:tc>
        <w:tc>
          <w:tcPr>
            <w:tcW w:w="1738"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rsidRPr="00531ADE">
              <w:t xml:space="preserve">Next </w:t>
            </w:r>
            <w:r w:rsidR="008B720C">
              <w:t>t</w:t>
            </w:r>
            <w:r w:rsidR="008B720C" w:rsidRPr="00531ADE">
              <w:t xml:space="preserve">echnical </w:t>
            </w:r>
            <w:r w:rsidR="008B720C">
              <w:t>m</w:t>
            </w:r>
            <w:r w:rsidR="008B720C" w:rsidRPr="00531ADE">
              <w:t xml:space="preserve">eeting </w:t>
            </w:r>
            <w:r w:rsidRPr="00531ADE">
              <w:t xml:space="preserve">to be held </w:t>
            </w:r>
            <w:r w:rsidR="008B720C">
              <w:t>f</w:t>
            </w:r>
            <w:r w:rsidR="008B720C" w:rsidRPr="00531ADE">
              <w:t xml:space="preserve">all </w:t>
            </w:r>
            <w:r w:rsidRPr="00531ADE">
              <w:t>2010</w:t>
            </w:r>
          </w:p>
        </w:tc>
        <w:tc>
          <w:tcPr>
            <w:tcW w:w="2017"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rsidRPr="00E9612C">
              <w:t>Nutrients</w:t>
            </w:r>
          </w:p>
        </w:tc>
        <w:tc>
          <w:tcPr>
            <w:tcW w:w="4301" w:type="dxa"/>
            <w:tcBorders>
              <w:top w:val="single" w:sz="4" w:space="0" w:color="000000"/>
              <w:left w:val="single" w:sz="4" w:space="0" w:color="000000"/>
              <w:bottom w:val="single" w:sz="4" w:space="0" w:color="000000"/>
            </w:tcBorders>
            <w:vAlign w:val="center"/>
            <w:hideMark/>
          </w:tcPr>
          <w:p w:rsidR="00657C91" w:rsidRDefault="00485094">
            <w:pPr>
              <w:pStyle w:val="TableText"/>
              <w:jc w:val="center"/>
            </w:pPr>
            <w:r w:rsidRPr="00531ADE">
              <w:t xml:space="preserve">The last BMAP technical meeting was held </w:t>
            </w:r>
            <w:r w:rsidR="008B720C">
              <w:t xml:space="preserve">in </w:t>
            </w:r>
            <w:r w:rsidRPr="00531ADE">
              <w:t xml:space="preserve">February 2010. </w:t>
            </w:r>
            <w:r>
              <w:t xml:space="preserve"> </w:t>
            </w:r>
            <w:r w:rsidRPr="00531ADE">
              <w:t>The current loading calculation process and potential allocation a</w:t>
            </w:r>
            <w:r>
              <w:t>pproaches were discussed.  One-on-</w:t>
            </w:r>
            <w:r w:rsidRPr="00531ADE">
              <w:t xml:space="preserve">one meetings were held with several stakeholders to address concerns and discuss </w:t>
            </w:r>
            <w:r w:rsidR="008B720C">
              <w:t xml:space="preserve">the </w:t>
            </w:r>
            <w:r w:rsidRPr="00531ADE">
              <w:t xml:space="preserve">types of projects that would receive credit in the BMAP. </w:t>
            </w:r>
            <w:r>
              <w:t xml:space="preserve"> </w:t>
            </w:r>
            <w:r w:rsidRPr="00531ADE">
              <w:t>Staff are currently evaluating the list of nutrient reductio</w:t>
            </w:r>
            <w:r w:rsidRPr="00E9612C">
              <w:t xml:space="preserve">n projects implemented since the TMDL verified period and working on calculating BMP efficiencies for projects submitted. </w:t>
            </w:r>
            <w:r>
              <w:t xml:space="preserve"> </w:t>
            </w:r>
            <w:r w:rsidR="008B720C">
              <w:t>They</w:t>
            </w:r>
            <w:r w:rsidR="008B720C" w:rsidRPr="00E9612C">
              <w:t xml:space="preserve"> </w:t>
            </w:r>
            <w:r w:rsidRPr="00E9612C">
              <w:t xml:space="preserve">are finalizing current loading calculations and draft potential allocation approach calculations. </w:t>
            </w:r>
            <w:r>
              <w:t xml:space="preserve"> </w:t>
            </w:r>
            <w:r w:rsidRPr="00E9612C">
              <w:t xml:space="preserve">BMAP stakeholder technical meetings are expected to continue in </w:t>
            </w:r>
            <w:r w:rsidR="008B720C">
              <w:t>f</w:t>
            </w:r>
            <w:r w:rsidR="008B720C" w:rsidRPr="00E9612C">
              <w:t xml:space="preserve">all </w:t>
            </w:r>
            <w:r w:rsidRPr="00E9612C">
              <w:t>2010.</w:t>
            </w:r>
          </w:p>
        </w:tc>
      </w:tr>
    </w:tbl>
    <w:p w:rsidR="00485094" w:rsidRPr="00124177" w:rsidRDefault="00485094" w:rsidP="00124177">
      <w:pPr>
        <w:pStyle w:val="Bodytextreduced"/>
        <w:tabs>
          <w:tab w:val="left" w:pos="7173"/>
        </w:tabs>
        <w:rPr>
          <w:sz w:val="22"/>
          <w:szCs w:val="22"/>
        </w:rPr>
      </w:pPr>
      <w:r>
        <w:rPr>
          <w:sz w:val="22"/>
          <w:szCs w:val="22"/>
        </w:rPr>
        <w:tab/>
      </w:r>
    </w:p>
    <w:p w:rsidR="00485094" w:rsidRDefault="00485094" w:rsidP="00B215C8">
      <w:pPr>
        <w:pStyle w:val="Bodytext"/>
      </w:pPr>
    </w:p>
    <w:p w:rsidR="00485094" w:rsidRDefault="00485094" w:rsidP="00B215C8">
      <w:pPr>
        <w:pStyle w:val="Bodytext"/>
        <w:rPr>
          <w:b/>
          <w:i/>
        </w:rPr>
      </w:pPr>
      <w:r w:rsidRPr="00595B30">
        <w:rPr>
          <w:b/>
          <w:i/>
        </w:rPr>
        <w:t>Public Participation</w:t>
      </w:r>
    </w:p>
    <w:p w:rsidR="00485094" w:rsidRDefault="00485094" w:rsidP="00B215C8">
      <w:pPr>
        <w:pStyle w:val="Bodytext"/>
      </w:pPr>
      <w:r>
        <w:t>The success of Florida’s water resource management program, especially its watershed management approach/TMDL Program, depends heavily on input from local stakeholders in each watershed.  This process is highly collaborative, and FDEP staff closely coordinate and communicate with stakeholders in all phases of the five-year, rotating basin cycle.</w:t>
      </w:r>
    </w:p>
    <w:p w:rsidR="00485094" w:rsidRDefault="00485094" w:rsidP="00B215C8">
      <w:pPr>
        <w:pStyle w:val="Bodytext"/>
      </w:pPr>
    </w:p>
    <w:p w:rsidR="00485094" w:rsidRDefault="00485094" w:rsidP="00B215C8">
      <w:pPr>
        <w:pStyle w:val="Bodytext"/>
      </w:pPr>
      <w:r>
        <w:t>FDEP</w:t>
      </w:r>
      <w:r w:rsidRPr="003A4461">
        <w:t xml:space="preserve"> work</w:t>
      </w:r>
      <w:r>
        <w:t>s</w:t>
      </w:r>
      <w:r w:rsidRPr="003A4461">
        <w:t xml:space="preserve"> with a variety of stakeholders </w:t>
      </w:r>
      <w:r>
        <w:t>in developing a draft Verified List of impaired waters for each basin.  The d</w:t>
      </w:r>
      <w:r w:rsidRPr="003A4461">
        <w:t xml:space="preserve">raft </w:t>
      </w:r>
      <w:r>
        <w:t>l</w:t>
      </w:r>
      <w:r w:rsidRPr="003A4461">
        <w:t xml:space="preserve">ists </w:t>
      </w:r>
      <w:r>
        <w:t>are</w:t>
      </w:r>
      <w:r w:rsidRPr="003A4461">
        <w:t xml:space="preserve"> placed on </w:t>
      </w:r>
      <w:r>
        <w:t xml:space="preserve">the </w:t>
      </w:r>
      <w:hyperlink r:id="rId178" w:history="1">
        <w:r>
          <w:rPr>
            <w:rStyle w:val="Hyperlink"/>
          </w:rPr>
          <w:t>FDEP Watershed Assessment Program w</w:t>
        </w:r>
        <w:r w:rsidRPr="00F46CD8">
          <w:rPr>
            <w:rStyle w:val="Hyperlink"/>
          </w:rPr>
          <w:t>ebsite</w:t>
        </w:r>
      </w:hyperlink>
      <w:r>
        <w:t xml:space="preserve"> and are</w:t>
      </w:r>
      <w:r w:rsidRPr="003A4461">
        <w:t xml:space="preserve"> also sent </w:t>
      </w:r>
      <w:r>
        <w:t>by</w:t>
      </w:r>
      <w:r w:rsidRPr="003A4461">
        <w:t xml:space="preserve"> request to interested parties </w:t>
      </w:r>
      <w:r>
        <w:t>via</w:t>
      </w:r>
      <w:r w:rsidRPr="003A4461">
        <w:t xml:space="preserve"> mail or email.</w:t>
      </w:r>
      <w:r>
        <w:t xml:space="preserve">  As part of the review process, public workshops are advertised and held in each basin to help explain the process for developing the Verified Lists, exchange information, and encourage public involvement.  The workshops are noticed in the </w:t>
      </w:r>
      <w:hyperlink r:id="rId179" w:history="1">
        <w:r w:rsidRPr="00E82400">
          <w:rPr>
            <w:rStyle w:val="Hyperlink"/>
            <w:i/>
          </w:rPr>
          <w:t>Florida Administrative Weekly</w:t>
        </w:r>
      </w:hyperlink>
      <w:r>
        <w:rPr>
          <w:i/>
        </w:rPr>
        <w:t xml:space="preserve"> </w:t>
      </w:r>
      <w:r w:rsidRPr="005D59A4">
        <w:t xml:space="preserve">and </w:t>
      </w:r>
      <w:r>
        <w:t xml:space="preserve">on </w:t>
      </w:r>
      <w:r w:rsidRPr="005D59A4">
        <w:t xml:space="preserve">the </w:t>
      </w:r>
      <w:r>
        <w:t>w</w:t>
      </w:r>
      <w:r w:rsidRPr="005D59A4">
        <w:t>ebsite</w:t>
      </w:r>
      <w:r>
        <w:t>.  Stakeholders</w:t>
      </w:r>
      <w:r w:rsidRPr="003A4461">
        <w:t xml:space="preserve"> </w:t>
      </w:r>
      <w:r>
        <w:t>are</w:t>
      </w:r>
      <w:r w:rsidRPr="003A4461">
        <w:t xml:space="preserve"> given the opportunity to comment on the draft lists in person </w:t>
      </w:r>
      <w:r>
        <w:t xml:space="preserve">at public workshops </w:t>
      </w:r>
      <w:r w:rsidRPr="003A4461">
        <w:t xml:space="preserve">and/or </w:t>
      </w:r>
      <w:r>
        <w:t>through email and letters</w:t>
      </w:r>
      <w:r w:rsidRPr="003A4461">
        <w:t>.</w:t>
      </w:r>
      <w:r>
        <w:t xml:space="preserve">  If additional information or data are provided during the public comment period or before, FDEP typically creates a revised draft Verified List for further review and comment before submitting the final proposed list to the Secretary for adoption and then to the EPA.</w:t>
      </w:r>
    </w:p>
    <w:p w:rsidR="00485094" w:rsidRDefault="00485094" w:rsidP="00B215C8">
      <w:pPr>
        <w:pStyle w:val="Bodytext"/>
      </w:pPr>
    </w:p>
    <w:p w:rsidR="00485094" w:rsidRDefault="00485094" w:rsidP="00B215C8">
      <w:pPr>
        <w:pStyle w:val="Bodytext"/>
      </w:pPr>
      <w:r>
        <w:t>All public</w:t>
      </w:r>
      <w:r w:rsidRPr="00F86F1E">
        <w:t xml:space="preserve"> meetings are recorded, </w:t>
      </w:r>
      <w:r>
        <w:t>and</w:t>
      </w:r>
      <w:r w:rsidRPr="00F86F1E">
        <w:t xml:space="preserve"> specific </w:t>
      </w:r>
      <w:r>
        <w:t xml:space="preserve">comments are noted in written meeting summaries. </w:t>
      </w:r>
      <w:r w:rsidRPr="00F86F1E">
        <w:t xml:space="preserve"> </w:t>
      </w:r>
      <w:r>
        <w:t>S</w:t>
      </w:r>
      <w:r w:rsidRPr="00F86F1E">
        <w:t>ignificant comments typically receive a written response</w:t>
      </w:r>
      <w:r>
        <w:t>.  All</w:t>
      </w:r>
      <w:r w:rsidRPr="00F86F1E">
        <w:t xml:space="preserve"> </w:t>
      </w:r>
      <w:r>
        <w:t>written comments received and FDEP’s</w:t>
      </w:r>
      <w:r w:rsidRPr="00F86F1E">
        <w:t xml:space="preserve"> responses are </w:t>
      </w:r>
      <w:r>
        <w:t xml:space="preserve">kept </w:t>
      </w:r>
      <w:r w:rsidRPr="00F86F1E">
        <w:t xml:space="preserve">in </w:t>
      </w:r>
      <w:r>
        <w:t xml:space="preserve">a permanent </w:t>
      </w:r>
      <w:r w:rsidRPr="00F86F1E">
        <w:t>file maintained by FDEP</w:t>
      </w:r>
      <w:r>
        <w:t xml:space="preserve">.  These are included in an Appendix to each Water Quality Assessment Report.  The reports are available on the </w:t>
      </w:r>
      <w:hyperlink r:id="rId180" w:history="1">
        <w:r w:rsidRPr="00CA657B">
          <w:rPr>
            <w:rStyle w:val="Hyperlink"/>
          </w:rPr>
          <w:t xml:space="preserve">FDEP </w:t>
        </w:r>
        <w:r>
          <w:rPr>
            <w:rStyle w:val="Hyperlink"/>
          </w:rPr>
          <w:t xml:space="preserve">Watershed Management </w:t>
        </w:r>
        <w:r w:rsidRPr="00CA657B">
          <w:rPr>
            <w:rStyle w:val="Hyperlink"/>
          </w:rPr>
          <w:t>website</w:t>
        </w:r>
      </w:hyperlink>
      <w:r>
        <w:t>.</w:t>
      </w:r>
    </w:p>
    <w:p w:rsidR="00485094" w:rsidRDefault="00485094" w:rsidP="00B215C8">
      <w:pPr>
        <w:pStyle w:val="Bodytext"/>
      </w:pPr>
    </w:p>
    <w:p w:rsidR="00485094" w:rsidRDefault="00485094" w:rsidP="00B215C8">
      <w:pPr>
        <w:pStyle w:val="Heading4"/>
      </w:pPr>
      <w:r>
        <w:t>Surface Water Improvement and Management Program</w:t>
      </w:r>
    </w:p>
    <w:p w:rsidR="00485094" w:rsidRPr="00492CE5" w:rsidRDefault="00485094" w:rsidP="00B215C8">
      <w:pPr>
        <w:pStyle w:val="BodyText0"/>
        <w:rPr>
          <w:sz w:val="22"/>
          <w:szCs w:val="22"/>
        </w:rPr>
      </w:pPr>
      <w:r w:rsidRPr="00492CE5">
        <w:rPr>
          <w:snapToGrid w:val="0"/>
          <w:sz w:val="22"/>
          <w:szCs w:val="22"/>
        </w:rPr>
        <w:t xml:space="preserve">In 1987, the Florida </w:t>
      </w:r>
      <w:r>
        <w:rPr>
          <w:snapToGrid w:val="0"/>
          <w:sz w:val="22"/>
          <w:szCs w:val="22"/>
        </w:rPr>
        <w:t>Legislature</w:t>
      </w:r>
      <w:r w:rsidRPr="00492CE5">
        <w:rPr>
          <w:snapToGrid w:val="0"/>
          <w:sz w:val="22"/>
          <w:szCs w:val="22"/>
        </w:rPr>
        <w:t xml:space="preserve"> passed the </w:t>
      </w:r>
      <w:r>
        <w:rPr>
          <w:snapToGrid w:val="0"/>
          <w:sz w:val="22"/>
          <w:szCs w:val="22"/>
        </w:rPr>
        <w:t>SWIM</w:t>
      </w:r>
      <w:r w:rsidRPr="00492CE5">
        <w:rPr>
          <w:snapToGrid w:val="0"/>
          <w:sz w:val="22"/>
          <w:szCs w:val="22"/>
        </w:rPr>
        <w:t xml:space="preserve"> Act, Sections 373.451 through 373.4595, F.S.  The act directed the state to develop management and restoration plans for preserving or restoring priority waterbodies.  The legislation designated 6 SWIM waterbodies:  Lake Apopka, Tampa Bay, Indian River Lagoon, Biscayne Bay, Lower St. Johns River, and Lake Okeechobee.  </w:t>
      </w:r>
      <w:r>
        <w:rPr>
          <w:sz w:val="22"/>
          <w:szCs w:val="22"/>
        </w:rPr>
        <w:t>Currently</w:t>
      </w:r>
      <w:r w:rsidRPr="00784999">
        <w:rPr>
          <w:sz w:val="22"/>
          <w:szCs w:val="22"/>
        </w:rPr>
        <w:t xml:space="preserve">, 29 waterbodies </w:t>
      </w:r>
      <w:r>
        <w:rPr>
          <w:sz w:val="22"/>
          <w:szCs w:val="22"/>
        </w:rPr>
        <w:t>are</w:t>
      </w:r>
      <w:r w:rsidRPr="00784999">
        <w:rPr>
          <w:sz w:val="22"/>
          <w:szCs w:val="22"/>
        </w:rPr>
        <w:t xml:space="preserve"> on the </w:t>
      </w:r>
      <w:r>
        <w:rPr>
          <w:sz w:val="22"/>
          <w:szCs w:val="22"/>
        </w:rPr>
        <w:t xml:space="preserve">priority </w:t>
      </w:r>
      <w:r w:rsidRPr="00784999">
        <w:rPr>
          <w:sz w:val="22"/>
          <w:szCs w:val="22"/>
        </w:rPr>
        <w:t>list.</w:t>
      </w:r>
      <w:r>
        <w:rPr>
          <w:sz w:val="22"/>
          <w:szCs w:val="22"/>
        </w:rPr>
        <w:t xml:space="preserve">  Additional information and the list of priority waterbodies are available on the </w:t>
      </w:r>
      <w:hyperlink r:id="rId181" w:history="1">
        <w:r w:rsidRPr="00E82400">
          <w:rPr>
            <w:rStyle w:val="Hyperlink"/>
            <w:sz w:val="22"/>
            <w:szCs w:val="22"/>
          </w:rPr>
          <w:t>FDEP SWIM Program website</w:t>
        </w:r>
      </w:hyperlink>
      <w:r>
        <w:rPr>
          <w:sz w:val="22"/>
          <w:szCs w:val="22"/>
        </w:rPr>
        <w:t>.</w:t>
      </w:r>
      <w:r w:rsidRPr="00784999">
        <w:rPr>
          <w:sz w:val="22"/>
          <w:szCs w:val="22"/>
        </w:rPr>
        <w:t xml:space="preserve">  </w:t>
      </w:r>
    </w:p>
    <w:p w:rsidR="00485094" w:rsidRPr="00492CE5" w:rsidRDefault="00485094" w:rsidP="00B215C8">
      <w:pPr>
        <w:pStyle w:val="BodyText0"/>
        <w:jc w:val="center"/>
        <w:rPr>
          <w:sz w:val="22"/>
          <w:szCs w:val="22"/>
        </w:rPr>
      </w:pPr>
    </w:p>
    <w:p w:rsidR="00485094" w:rsidRPr="00492CE5" w:rsidRDefault="00485094" w:rsidP="00B215C8">
      <w:pPr>
        <w:pStyle w:val="BodyText0"/>
        <w:rPr>
          <w:sz w:val="22"/>
          <w:szCs w:val="22"/>
        </w:rPr>
      </w:pPr>
      <w:r w:rsidRPr="00492CE5">
        <w:rPr>
          <w:sz w:val="22"/>
          <w:szCs w:val="22"/>
        </w:rPr>
        <w:t xml:space="preserve">The SWIM Program addresses a waterbody’s needs as a system of connected resources, rather than isolated wetlands or waterbodies.  Its goals are protecting water quality and natural systems, creating governmental and other partnerships, and managing watersheds.  While FDEP oversees the program, the water management districts are responsible for its implementation—including developing lists of additional high-priority waterbodies and waterbody plans (outlined under </w:t>
      </w:r>
      <w:r>
        <w:rPr>
          <w:sz w:val="22"/>
          <w:szCs w:val="22"/>
        </w:rPr>
        <w:t>Chapter</w:t>
      </w:r>
      <w:r w:rsidRPr="00492CE5">
        <w:rPr>
          <w:sz w:val="22"/>
          <w:szCs w:val="22"/>
        </w:rPr>
        <w:t xml:space="preserve"> 62-43, F.A.C.).  The districts also provide matching funds for state revenues.  In a collaborative effort, other federal and state agencies, local governments, and the private sector provide funds or in-kind services.</w:t>
      </w:r>
    </w:p>
    <w:p w:rsidR="00485094" w:rsidRPr="00492CE5" w:rsidRDefault="00485094" w:rsidP="00B215C8">
      <w:pPr>
        <w:pStyle w:val="BodyText0"/>
        <w:rPr>
          <w:snapToGrid w:val="0"/>
          <w:sz w:val="22"/>
          <w:szCs w:val="22"/>
        </w:rPr>
      </w:pPr>
    </w:p>
    <w:p w:rsidR="00485094" w:rsidRPr="00492CE5" w:rsidRDefault="00485094" w:rsidP="00B215C8">
      <w:pPr>
        <w:pStyle w:val="BodyText0"/>
        <w:rPr>
          <w:snapToGrid w:val="0"/>
          <w:sz w:val="22"/>
          <w:szCs w:val="22"/>
        </w:rPr>
      </w:pPr>
      <w:r w:rsidRPr="00492CE5">
        <w:rPr>
          <w:snapToGrid w:val="0"/>
          <w:sz w:val="22"/>
          <w:szCs w:val="22"/>
        </w:rPr>
        <w:t>SWIM plans must contain the following:</w:t>
      </w:r>
    </w:p>
    <w:p w:rsidR="00485094" w:rsidRPr="00492CE5" w:rsidRDefault="00485094" w:rsidP="00B215C8">
      <w:pPr>
        <w:pStyle w:val="BodyText0"/>
        <w:rPr>
          <w:b/>
          <w:i/>
          <w:snapToGrid w:val="0"/>
          <w:sz w:val="22"/>
          <w:szCs w:val="22"/>
        </w:rPr>
      </w:pPr>
    </w:p>
    <w:p w:rsidR="00485094" w:rsidRPr="00492CE5" w:rsidRDefault="00485094" w:rsidP="00B215C8">
      <w:pPr>
        <w:pStyle w:val="Bullet"/>
        <w:rPr>
          <w:snapToGrid w:val="0"/>
          <w:sz w:val="22"/>
          <w:szCs w:val="22"/>
        </w:rPr>
      </w:pPr>
      <w:r w:rsidRPr="00492CE5">
        <w:rPr>
          <w:snapToGrid w:val="0"/>
          <w:sz w:val="22"/>
          <w:szCs w:val="22"/>
        </w:rPr>
        <w:t>A description of the waterbody;</w:t>
      </w:r>
    </w:p>
    <w:p w:rsidR="00485094" w:rsidRPr="00492CE5" w:rsidRDefault="00485094" w:rsidP="00B215C8">
      <w:pPr>
        <w:pStyle w:val="Bullet"/>
        <w:rPr>
          <w:snapToGrid w:val="0"/>
          <w:sz w:val="22"/>
          <w:szCs w:val="22"/>
        </w:rPr>
      </w:pPr>
      <w:r w:rsidRPr="00492CE5">
        <w:rPr>
          <w:snapToGrid w:val="0"/>
          <w:sz w:val="22"/>
          <w:szCs w:val="22"/>
        </w:rPr>
        <w:t>A list of governmental agencies with jurisdiction;</w:t>
      </w:r>
    </w:p>
    <w:p w:rsidR="00485094" w:rsidRPr="00492CE5" w:rsidRDefault="00485094" w:rsidP="00B215C8">
      <w:pPr>
        <w:pStyle w:val="Bullet"/>
        <w:rPr>
          <w:snapToGrid w:val="0"/>
          <w:sz w:val="22"/>
          <w:szCs w:val="22"/>
        </w:rPr>
      </w:pPr>
      <w:r w:rsidRPr="00492CE5">
        <w:rPr>
          <w:snapToGrid w:val="0"/>
          <w:sz w:val="22"/>
          <w:szCs w:val="22"/>
        </w:rPr>
        <w:t>A description of land uses;</w:t>
      </w:r>
    </w:p>
    <w:p w:rsidR="00485094" w:rsidRPr="00492CE5" w:rsidRDefault="00485094" w:rsidP="00B215C8">
      <w:pPr>
        <w:pStyle w:val="Bullet"/>
        <w:rPr>
          <w:snapToGrid w:val="0"/>
          <w:sz w:val="22"/>
          <w:szCs w:val="22"/>
        </w:rPr>
      </w:pPr>
      <w:r w:rsidRPr="00492CE5">
        <w:rPr>
          <w:snapToGrid w:val="0"/>
          <w:sz w:val="22"/>
          <w:szCs w:val="22"/>
        </w:rPr>
        <w:t>A list of point and nonpoint source discharges;</w:t>
      </w:r>
    </w:p>
    <w:p w:rsidR="00485094" w:rsidRPr="00492CE5" w:rsidRDefault="00485094" w:rsidP="00B215C8">
      <w:pPr>
        <w:pStyle w:val="Bullet"/>
        <w:rPr>
          <w:snapToGrid w:val="0"/>
          <w:sz w:val="22"/>
          <w:szCs w:val="22"/>
        </w:rPr>
      </w:pPr>
      <w:r w:rsidRPr="00492CE5">
        <w:rPr>
          <w:snapToGrid w:val="0"/>
          <w:sz w:val="22"/>
          <w:szCs w:val="22"/>
        </w:rPr>
        <w:t>Restoration strategies;</w:t>
      </w:r>
    </w:p>
    <w:p w:rsidR="00485094" w:rsidRPr="00492CE5" w:rsidRDefault="00485094" w:rsidP="00B215C8">
      <w:pPr>
        <w:pStyle w:val="Bullet"/>
        <w:rPr>
          <w:snapToGrid w:val="0"/>
          <w:sz w:val="22"/>
          <w:szCs w:val="22"/>
        </w:rPr>
      </w:pPr>
      <w:r w:rsidRPr="00492CE5">
        <w:rPr>
          <w:snapToGrid w:val="0"/>
          <w:sz w:val="22"/>
          <w:szCs w:val="22"/>
        </w:rPr>
        <w:t>Research or feasibility studies needed to support restoration strategies;</w:t>
      </w:r>
    </w:p>
    <w:p w:rsidR="00485094" w:rsidRPr="00492CE5" w:rsidRDefault="00485094" w:rsidP="00B215C8">
      <w:pPr>
        <w:pStyle w:val="Bullet"/>
        <w:rPr>
          <w:snapToGrid w:val="0"/>
          <w:sz w:val="22"/>
          <w:szCs w:val="22"/>
        </w:rPr>
      </w:pPr>
      <w:r w:rsidRPr="00492CE5">
        <w:rPr>
          <w:snapToGrid w:val="0"/>
          <w:sz w:val="22"/>
          <w:szCs w:val="22"/>
        </w:rPr>
        <w:t>A restoration schedule;</w:t>
      </w:r>
    </w:p>
    <w:p w:rsidR="00485094" w:rsidRPr="00492CE5" w:rsidRDefault="00485094" w:rsidP="00B215C8">
      <w:pPr>
        <w:pStyle w:val="Bullet"/>
        <w:rPr>
          <w:snapToGrid w:val="0"/>
          <w:sz w:val="22"/>
          <w:szCs w:val="22"/>
        </w:rPr>
      </w:pPr>
      <w:r w:rsidRPr="00492CE5">
        <w:rPr>
          <w:snapToGrid w:val="0"/>
          <w:sz w:val="22"/>
          <w:szCs w:val="22"/>
        </w:rPr>
        <w:t>An estimate of costs; and</w:t>
      </w:r>
    </w:p>
    <w:p w:rsidR="00485094" w:rsidRPr="00492CE5" w:rsidRDefault="00485094" w:rsidP="00B215C8">
      <w:pPr>
        <w:pStyle w:val="Bullet"/>
        <w:rPr>
          <w:snapToGrid w:val="0"/>
          <w:sz w:val="22"/>
          <w:szCs w:val="22"/>
        </w:rPr>
      </w:pPr>
      <w:r w:rsidRPr="00492CE5">
        <w:rPr>
          <w:snapToGrid w:val="0"/>
          <w:sz w:val="22"/>
          <w:szCs w:val="22"/>
        </w:rPr>
        <w:t>Plans for interagency coordination and environmental education.</w:t>
      </w:r>
    </w:p>
    <w:p w:rsidR="00485094" w:rsidRPr="00492CE5" w:rsidRDefault="00485094" w:rsidP="00B215C8">
      <w:pPr>
        <w:pStyle w:val="Bodytextreduced"/>
        <w:rPr>
          <w:snapToGrid w:val="0"/>
        </w:rPr>
      </w:pPr>
    </w:p>
    <w:p w:rsidR="00485094" w:rsidRDefault="00485094" w:rsidP="00B215C8">
      <w:pPr>
        <w:pStyle w:val="Heading5"/>
        <w:rPr>
          <w:snapToGrid w:val="0"/>
        </w:rPr>
      </w:pPr>
      <w:r w:rsidRPr="00E40754">
        <w:rPr>
          <w:snapToGrid w:val="0"/>
        </w:rPr>
        <w:t>Pollutant Load Reduction Goals</w:t>
      </w:r>
    </w:p>
    <w:p w:rsidR="00485094" w:rsidRPr="00492CE5" w:rsidRDefault="00485094" w:rsidP="00B215C8">
      <w:pPr>
        <w:pStyle w:val="Bodytext"/>
        <w:rPr>
          <w:snapToGrid w:val="0"/>
          <w:szCs w:val="22"/>
        </w:rPr>
      </w:pPr>
      <w:r w:rsidRPr="00492CE5">
        <w:rPr>
          <w:snapToGrid w:val="0"/>
          <w:szCs w:val="22"/>
        </w:rPr>
        <w:t>A pollutant load reduction goal (PLRG) is an estimated reduction in stormwater pollutant loadings needed to preserve or restore designated uses in SWIM waterbodies that receive stormwater.  Ultimately, water quality in a receiving water should meet state water quality standards, and PLRGs provide benchmarks toward which specific strategies can be directed.  Interim PLRGs are best-judgment estimates of the pollution reductions from specific corrective actions.  Final PLRGs are goals needed to maintain water quality standards.</w:t>
      </w:r>
    </w:p>
    <w:p w:rsidR="00485094" w:rsidRPr="00492CE5" w:rsidRDefault="00485094" w:rsidP="00B215C8">
      <w:pPr>
        <w:pStyle w:val="Bodytext"/>
        <w:rPr>
          <w:snapToGrid w:val="0"/>
          <w:szCs w:val="22"/>
        </w:rPr>
      </w:pPr>
    </w:p>
    <w:p w:rsidR="00485094" w:rsidRPr="000615B5" w:rsidRDefault="00485094" w:rsidP="00B215C8">
      <w:pPr>
        <w:pStyle w:val="Bodytext"/>
      </w:pPr>
      <w:r w:rsidRPr="000615B5">
        <w:rPr>
          <w:snapToGrid w:val="0"/>
        </w:rPr>
        <w:t>The Water Resource Implementation Rule (</w:t>
      </w:r>
      <w:r>
        <w:rPr>
          <w:snapToGrid w:val="0"/>
        </w:rPr>
        <w:t>Chapter</w:t>
      </w:r>
      <w:r w:rsidRPr="000615B5">
        <w:rPr>
          <w:snapToGrid w:val="0"/>
        </w:rPr>
        <w:t xml:space="preserve"> 62-40, F.A.C.) requires the water management districts to establish PLRGs for SWIM priority waters and other waterbodies, and include them as part of a SWIM plan, other watershed management plan, or district</w:t>
      </w:r>
      <w:r>
        <w:rPr>
          <w:snapToGrid w:val="0"/>
        </w:rPr>
        <w:t>-</w:t>
      </w:r>
      <w:r w:rsidRPr="000615B5">
        <w:rPr>
          <w:snapToGrid w:val="0"/>
        </w:rPr>
        <w:t>wide or basin-specific rules.</w:t>
      </w:r>
    </w:p>
    <w:p w:rsidR="00485094" w:rsidRPr="000615B5" w:rsidRDefault="00485094" w:rsidP="00B215C8">
      <w:pPr>
        <w:pStyle w:val="Bodytext"/>
      </w:pPr>
    </w:p>
    <w:p w:rsidR="00485094" w:rsidRDefault="00485094" w:rsidP="00B215C8">
      <w:pPr>
        <w:pStyle w:val="Heading4"/>
      </w:pPr>
      <w:r>
        <w:t>Point Source Control Program</w:t>
      </w:r>
    </w:p>
    <w:p w:rsidR="00485094" w:rsidRPr="000615B5" w:rsidRDefault="00485094" w:rsidP="00B215C8">
      <w:pPr>
        <w:pStyle w:val="Bodytext"/>
        <w:rPr>
          <w:snapToGrid w:val="0"/>
        </w:rPr>
      </w:pPr>
      <w:r w:rsidRPr="000615B5">
        <w:rPr>
          <w:snapToGrid w:val="0"/>
        </w:rPr>
        <w:t xml:space="preserve">Florida's well-established wastewater facility </w:t>
      </w:r>
      <w:r>
        <w:rPr>
          <w:snapToGrid w:val="0"/>
        </w:rPr>
        <w:t>regulatory</w:t>
      </w:r>
      <w:r w:rsidRPr="000615B5">
        <w:rPr>
          <w:snapToGrid w:val="0"/>
        </w:rPr>
        <w:t xml:space="preserve"> program was revised in 1995 when the EPA authorized FDEP to administer a partial NPDES Program, and then expanded again in 2000 when the EPA authorized FDEP to administer the NPDES </w:t>
      </w:r>
      <w:r>
        <w:rPr>
          <w:snapToGrid w:val="0"/>
        </w:rPr>
        <w:t>s</w:t>
      </w:r>
      <w:r w:rsidRPr="000615B5">
        <w:rPr>
          <w:snapToGrid w:val="0"/>
        </w:rPr>
        <w:t xml:space="preserve">tormwater </w:t>
      </w:r>
      <w:r>
        <w:rPr>
          <w:snapToGrid w:val="0"/>
        </w:rPr>
        <w:t>p</w:t>
      </w:r>
      <w:r w:rsidRPr="000615B5">
        <w:rPr>
          <w:snapToGrid w:val="0"/>
        </w:rPr>
        <w:t xml:space="preserve">rogram.  While the federal program only regulates discharges to surface waters, the state wastewater program issues permits for facilities that discharge to either surface water or ground water.  Of </w:t>
      </w:r>
      <w:r>
        <w:rPr>
          <w:snapToGrid w:val="0"/>
        </w:rPr>
        <w:t xml:space="preserve">about </w:t>
      </w:r>
      <w:r w:rsidRPr="000615B5">
        <w:rPr>
          <w:snapToGrid w:val="0"/>
        </w:rPr>
        <w:t>4,</w:t>
      </w:r>
      <w:r>
        <w:rPr>
          <w:snapToGrid w:val="0"/>
        </w:rPr>
        <w:t>500</w:t>
      </w:r>
      <w:r w:rsidRPr="000615B5">
        <w:rPr>
          <w:snapToGrid w:val="0"/>
        </w:rPr>
        <w:t xml:space="preserve"> wastewater facilities in Florida, </w:t>
      </w:r>
      <w:r>
        <w:rPr>
          <w:snapToGrid w:val="0"/>
        </w:rPr>
        <w:t xml:space="preserve">approximately </w:t>
      </w:r>
      <w:r w:rsidRPr="000615B5">
        <w:rPr>
          <w:snapToGrid w:val="0"/>
        </w:rPr>
        <w:t>5</w:t>
      </w:r>
      <w:r>
        <w:rPr>
          <w:snapToGrid w:val="0"/>
        </w:rPr>
        <w:t>00</w:t>
      </w:r>
      <w:r w:rsidRPr="000615B5">
        <w:rPr>
          <w:snapToGrid w:val="0"/>
        </w:rPr>
        <w:t xml:space="preserve"> are permitted to discharge to state surface waters under individual permits</w:t>
      </w:r>
      <w:r>
        <w:rPr>
          <w:snapToGrid w:val="0"/>
        </w:rPr>
        <w:t xml:space="preserve">.  </w:t>
      </w:r>
      <w:r w:rsidRPr="000615B5">
        <w:rPr>
          <w:snapToGrid w:val="0"/>
        </w:rPr>
        <w:t xml:space="preserve">While an additional </w:t>
      </w:r>
      <w:r>
        <w:rPr>
          <w:snapToGrid w:val="0"/>
        </w:rPr>
        <w:t>500</w:t>
      </w:r>
      <w:r w:rsidRPr="000615B5">
        <w:rPr>
          <w:snapToGrid w:val="0"/>
        </w:rPr>
        <w:t xml:space="preserve"> facilities discharge to surface water under general </w:t>
      </w:r>
      <w:r>
        <w:rPr>
          <w:snapToGrid w:val="0"/>
        </w:rPr>
        <w:t xml:space="preserve">(called generic) </w:t>
      </w:r>
      <w:r w:rsidRPr="000615B5">
        <w:rPr>
          <w:snapToGrid w:val="0"/>
        </w:rPr>
        <w:t xml:space="preserve">permit authorization (and many others discharge stormwater to surface water under the NPDES </w:t>
      </w:r>
      <w:r>
        <w:rPr>
          <w:snapToGrid w:val="0"/>
        </w:rPr>
        <w:t>S</w:t>
      </w:r>
      <w:r w:rsidRPr="000615B5">
        <w:rPr>
          <w:snapToGrid w:val="0"/>
        </w:rPr>
        <w:t xml:space="preserve">tormwater </w:t>
      </w:r>
      <w:r>
        <w:rPr>
          <w:snapToGrid w:val="0"/>
        </w:rPr>
        <w:t>P</w:t>
      </w:r>
      <w:r w:rsidRPr="000615B5">
        <w:rPr>
          <w:snapToGrid w:val="0"/>
        </w:rPr>
        <w:t>rogram), most wastewater facilities in Florida discharge</w:t>
      </w:r>
      <w:r>
        <w:rPr>
          <w:snapToGrid w:val="0"/>
        </w:rPr>
        <w:t xml:space="preserve"> indirectly</w:t>
      </w:r>
      <w:r w:rsidRPr="000615B5">
        <w:rPr>
          <w:snapToGrid w:val="0"/>
        </w:rPr>
        <w:t xml:space="preserve"> to ground water</w:t>
      </w:r>
      <w:r>
        <w:rPr>
          <w:snapToGrid w:val="0"/>
        </w:rPr>
        <w:t xml:space="preserve"> via land application or reuse</w:t>
      </w:r>
      <w:r w:rsidRPr="000615B5">
        <w:rPr>
          <w:snapToGrid w:val="0"/>
        </w:rPr>
        <w:t>.</w:t>
      </w:r>
    </w:p>
    <w:p w:rsidR="00485094" w:rsidRPr="000615B5" w:rsidRDefault="00485094" w:rsidP="00B215C8">
      <w:pPr>
        <w:pStyle w:val="Bodytext"/>
        <w:rPr>
          <w:snapToGrid w:val="0"/>
        </w:rPr>
      </w:pPr>
    </w:p>
    <w:p w:rsidR="00485094" w:rsidRPr="000615B5" w:rsidRDefault="00485094" w:rsidP="00B215C8">
      <w:pPr>
        <w:pStyle w:val="Bodytext"/>
        <w:rPr>
          <w:snapToGrid w:val="0"/>
        </w:rPr>
      </w:pPr>
      <w:r w:rsidRPr="000615B5">
        <w:t xml:space="preserve">An important component of Florida’s wastewater management is the encouragement and promotion of reuse.  </w:t>
      </w:r>
      <w:r>
        <w:t xml:space="preserve">Florida leads the nation in reuse.  </w:t>
      </w:r>
      <w:r w:rsidRPr="000615B5">
        <w:t>In fact, the current reuse capacity (200</w:t>
      </w:r>
      <w:r>
        <w:t>8</w:t>
      </w:r>
      <w:r w:rsidRPr="000615B5">
        <w:t xml:space="preserve"> data) represents about </w:t>
      </w:r>
      <w:r>
        <w:t>64%</w:t>
      </w:r>
      <w:r w:rsidRPr="000615B5">
        <w:t xml:space="preserve"> of the total permitted domestic wastewater treatment capacity in Florida.</w:t>
      </w:r>
    </w:p>
    <w:p w:rsidR="00485094" w:rsidRPr="000615B5" w:rsidRDefault="00485094" w:rsidP="00B215C8">
      <w:pPr>
        <w:pStyle w:val="Bodytext"/>
        <w:rPr>
          <w:snapToGrid w:val="0"/>
        </w:rPr>
      </w:pPr>
    </w:p>
    <w:p w:rsidR="00485094" w:rsidRPr="000615B5" w:rsidRDefault="00485094" w:rsidP="00B215C8">
      <w:pPr>
        <w:pStyle w:val="Bodytext"/>
        <w:rPr>
          <w:snapToGrid w:val="0"/>
        </w:rPr>
      </w:pPr>
      <w:r w:rsidRPr="000615B5">
        <w:rPr>
          <w:snapToGrid w:val="0"/>
        </w:rPr>
        <w:t>FDEP's</w:t>
      </w:r>
      <w:r>
        <w:rPr>
          <w:snapToGrid w:val="0"/>
        </w:rPr>
        <w:t xml:space="preserve"> six</w:t>
      </w:r>
      <w:r w:rsidRPr="000615B5">
        <w:rPr>
          <w:snapToGrid w:val="0"/>
        </w:rPr>
        <w:t xml:space="preserve"> district offices handle most of the permitting process, with the Tallahassee office overseeing the program, </w:t>
      </w:r>
      <w:r>
        <w:rPr>
          <w:snapToGrid w:val="0"/>
        </w:rPr>
        <w:t xml:space="preserve">conducting rulemaking, </w:t>
      </w:r>
      <w:r w:rsidRPr="000615B5">
        <w:rPr>
          <w:snapToGrid w:val="0"/>
        </w:rPr>
        <w:t xml:space="preserve">providing technical assistance, </w:t>
      </w:r>
      <w:r>
        <w:rPr>
          <w:snapToGrid w:val="0"/>
        </w:rPr>
        <w:t xml:space="preserve">managing the state and federal wastewater databases that are the repositories of all program data, </w:t>
      </w:r>
      <w:r w:rsidRPr="000615B5">
        <w:rPr>
          <w:snapToGrid w:val="0"/>
        </w:rPr>
        <w:t xml:space="preserve">and coordinating with the EPA.  </w:t>
      </w:r>
      <w:r w:rsidRPr="00D142B3">
        <w:rPr>
          <w:snapToGrid w:val="0"/>
        </w:rPr>
        <w:t>The Tallahassee office also oversees the administrative relief mechanisms for applicants that are allowed under Florida law, as well as permits for steam electric–generating power plants that discharge to waters of the state, and the implementation of the pretreatment component of the NPDES Program.</w:t>
      </w:r>
      <w:r w:rsidRPr="000615B5">
        <w:rPr>
          <w:snapToGrid w:val="0"/>
        </w:rPr>
        <w:t xml:space="preserve">  Wastewater permits, issued for up to five years, set effluent limits and monitoring requirements to provide reasonable assurance that water quality criteria will be met.  A permit may allow a mixing zone when there is enough dilution to ensure that a waterbody's designated use will not be affected.  In other special cases, a variance allows certain water quality standards to be exceeded</w:t>
      </w:r>
      <w:r>
        <w:rPr>
          <w:snapToGrid w:val="0"/>
        </w:rPr>
        <w:t xml:space="preserve"> temporarily</w:t>
      </w:r>
      <w:r w:rsidRPr="000615B5">
        <w:rPr>
          <w:snapToGrid w:val="0"/>
        </w:rPr>
        <w:t>.  Facilities that cannot comply with new requirements may be issued or reissued a permit containing the effluent limitations to be met and an administrative order setting out the steps required to achieve compliance.  This procedure applies only to facilities complying with an existing permit, and is not used in lieu of enforcement when a permittee is out of compliance with an existing permit or operating without a required permit.</w:t>
      </w:r>
    </w:p>
    <w:p w:rsidR="00485094" w:rsidRPr="000615B5" w:rsidRDefault="00485094" w:rsidP="00B215C8">
      <w:pPr>
        <w:pStyle w:val="Bodytext"/>
        <w:rPr>
          <w:snapToGrid w:val="0"/>
        </w:rPr>
      </w:pPr>
    </w:p>
    <w:p w:rsidR="00485094" w:rsidRPr="000615B5" w:rsidRDefault="00485094" w:rsidP="00B215C8">
      <w:pPr>
        <w:pStyle w:val="Bodytext"/>
        <w:rPr>
          <w:snapToGrid w:val="0"/>
        </w:rPr>
      </w:pPr>
      <w:r w:rsidRPr="000615B5">
        <w:rPr>
          <w:snapToGrid w:val="0"/>
        </w:rPr>
        <w:t>All facilities must meet, at a minimum,</w:t>
      </w:r>
      <w:r w:rsidR="00550C22">
        <w:rPr>
          <w:snapToGrid w:val="0"/>
        </w:rPr>
        <w:t xml:space="preserve"> the</w:t>
      </w:r>
      <w:r w:rsidRPr="000615B5">
        <w:rPr>
          <w:snapToGrid w:val="0"/>
        </w:rPr>
        <w:t xml:space="preserve"> appropriate technology-based effluent limitations.  In many cases, water quality–based effluent limitations (WQBELs) may also be necessary.  Two types of WQBELs are used (as defined in </w:t>
      </w:r>
      <w:r>
        <w:rPr>
          <w:snapToGrid w:val="0"/>
        </w:rPr>
        <w:t>Chapter</w:t>
      </w:r>
      <w:r w:rsidRPr="000615B5">
        <w:rPr>
          <w:snapToGrid w:val="0"/>
        </w:rPr>
        <w:t xml:space="preserve"> 62-650, F.A.C.).  Level I WQBELs are generally based on more simplified evaluations for streams and for permit renewals.  To determine Level II WQBELs, which are typically calculated for more complicated situations, a waterbody is generally sampled intensively</w:t>
      </w:r>
      <w:r>
        <w:rPr>
          <w:snapToGrid w:val="0"/>
        </w:rPr>
        <w:t>,</w:t>
      </w:r>
      <w:r w:rsidRPr="000615B5">
        <w:rPr>
          <w:snapToGrid w:val="0"/>
        </w:rPr>
        <w:t xml:space="preserve"> and computer models are used to predict its response to </w:t>
      </w:r>
      <w:r>
        <w:rPr>
          <w:snapToGrid w:val="0"/>
        </w:rPr>
        <w:t>a</w:t>
      </w:r>
      <w:r w:rsidRPr="000615B5">
        <w:rPr>
          <w:snapToGrid w:val="0"/>
        </w:rPr>
        <w:t xml:space="preserve"> facility’s discharge.</w:t>
      </w:r>
    </w:p>
    <w:p w:rsidR="00485094" w:rsidRPr="000615B5" w:rsidRDefault="00485094" w:rsidP="00B215C8">
      <w:pPr>
        <w:pStyle w:val="Bodytext"/>
        <w:rPr>
          <w:i/>
          <w:snapToGrid w:val="0"/>
        </w:rPr>
      </w:pPr>
    </w:p>
    <w:p w:rsidR="00485094" w:rsidRDefault="00485094" w:rsidP="00B215C8">
      <w:pPr>
        <w:pStyle w:val="Heading5"/>
      </w:pPr>
      <w:r w:rsidRPr="00E40754">
        <w:t>Permit Compliance</w:t>
      </w:r>
    </w:p>
    <w:p w:rsidR="00485094" w:rsidRDefault="00485094" w:rsidP="00B215C8">
      <w:pPr>
        <w:pStyle w:val="Bodytext"/>
        <w:rPr>
          <w:snapToGrid w:val="0"/>
        </w:rPr>
      </w:pPr>
      <w:r>
        <w:t xml:space="preserve">The primary objective of FDEP’s </w:t>
      </w:r>
      <w:hyperlink r:id="rId182" w:history="1">
        <w:r w:rsidRPr="00B51A6B">
          <w:rPr>
            <w:rStyle w:val="Hyperlink"/>
          </w:rPr>
          <w:t>Wastewater Program</w:t>
        </w:r>
      </w:hyperlink>
      <w:r>
        <w:rPr>
          <w:snapToGrid w:val="0"/>
        </w:rPr>
        <w:t xml:space="preserve"> </w:t>
      </w:r>
      <w:r w:rsidRPr="000615B5">
        <w:rPr>
          <w:snapToGrid w:val="0"/>
        </w:rPr>
        <w:t xml:space="preserve">is to protect the quality of Florida's surface </w:t>
      </w:r>
      <w:r>
        <w:rPr>
          <w:snapToGrid w:val="0"/>
        </w:rPr>
        <w:t xml:space="preserve">water </w:t>
      </w:r>
      <w:r w:rsidRPr="000615B5">
        <w:rPr>
          <w:snapToGrid w:val="0"/>
        </w:rPr>
        <w:t xml:space="preserve">and ground water by </w:t>
      </w:r>
      <w:r>
        <w:rPr>
          <w:snapToGrid w:val="0"/>
        </w:rPr>
        <w:t xml:space="preserve">ensuring that permitted wastewater facilities meet the conditions of their permits and to quickly </w:t>
      </w:r>
      <w:r w:rsidRPr="000615B5">
        <w:rPr>
          <w:snapToGrid w:val="0"/>
        </w:rPr>
        <w:t xml:space="preserve">identify </w:t>
      </w:r>
      <w:r>
        <w:rPr>
          <w:snapToGrid w:val="0"/>
        </w:rPr>
        <w:t xml:space="preserve">unpermitted </w:t>
      </w:r>
      <w:r w:rsidRPr="000615B5">
        <w:rPr>
          <w:snapToGrid w:val="0"/>
        </w:rPr>
        <w:t xml:space="preserve">pollution sources </w:t>
      </w:r>
      <w:r>
        <w:rPr>
          <w:snapToGrid w:val="0"/>
        </w:rPr>
        <w:t>and those facilities that</w:t>
      </w:r>
      <w:r w:rsidRPr="000615B5">
        <w:rPr>
          <w:snapToGrid w:val="0"/>
        </w:rPr>
        <w:t xml:space="preserve"> do not meet water quality standards or specific permit conditions.  To </w:t>
      </w:r>
      <w:r>
        <w:rPr>
          <w:snapToGrid w:val="0"/>
        </w:rPr>
        <w:t xml:space="preserve">provide proper oversight of </w:t>
      </w:r>
      <w:r w:rsidRPr="000615B5">
        <w:rPr>
          <w:snapToGrid w:val="0"/>
        </w:rPr>
        <w:t>the wastewater facilit</w:t>
      </w:r>
      <w:r>
        <w:rPr>
          <w:snapToGrid w:val="0"/>
        </w:rPr>
        <w:t>ie</w:t>
      </w:r>
      <w:r w:rsidRPr="000615B5">
        <w:rPr>
          <w:snapToGrid w:val="0"/>
        </w:rPr>
        <w:t>s</w:t>
      </w:r>
      <w:r>
        <w:rPr>
          <w:snapToGrid w:val="0"/>
        </w:rPr>
        <w:t xml:space="preserve"> in the state, FDEP’s</w:t>
      </w:r>
      <w:r w:rsidRPr="000615B5">
        <w:rPr>
          <w:snapToGrid w:val="0"/>
        </w:rPr>
        <w:t xml:space="preserve"> </w:t>
      </w:r>
      <w:r>
        <w:rPr>
          <w:snapToGrid w:val="0"/>
        </w:rPr>
        <w:t xml:space="preserve">Wastewater Compliance Evaluation Section developed a </w:t>
      </w:r>
      <w:r w:rsidRPr="000615B5">
        <w:rPr>
          <w:snapToGrid w:val="0"/>
        </w:rPr>
        <w:t xml:space="preserve">compliance </w:t>
      </w:r>
      <w:r>
        <w:rPr>
          <w:snapToGrid w:val="0"/>
        </w:rPr>
        <w:t xml:space="preserve">inspection </w:t>
      </w:r>
      <w:r w:rsidRPr="000615B5">
        <w:rPr>
          <w:snapToGrid w:val="0"/>
        </w:rPr>
        <w:t>strategy</w:t>
      </w:r>
      <w:r>
        <w:rPr>
          <w:snapToGrid w:val="0"/>
        </w:rPr>
        <w:t xml:space="preserve"> based on its five-year permitting cycle (permits are issued for five years).  </w:t>
      </w:r>
    </w:p>
    <w:p w:rsidR="00485094" w:rsidRDefault="00485094" w:rsidP="00B215C8">
      <w:pPr>
        <w:pStyle w:val="Bodytext"/>
        <w:rPr>
          <w:snapToGrid w:val="0"/>
        </w:rPr>
      </w:pPr>
    </w:p>
    <w:p w:rsidR="00485094" w:rsidRPr="000615B5" w:rsidRDefault="00485094" w:rsidP="00B215C8">
      <w:pPr>
        <w:pStyle w:val="Bodytext"/>
        <w:rPr>
          <w:snapToGrid w:val="0"/>
        </w:rPr>
      </w:pPr>
      <w:r>
        <w:rPr>
          <w:snapToGrid w:val="0"/>
        </w:rPr>
        <w:t xml:space="preserve">For NPDES-permitted facilities, the goal is to conduct an annual inspection with at least a Compliance Evaluation Inspection (CEI) and to conduct a Performance Audit Inspection (PAI) immediately following permit renewal.  When an NPDES-permitted facility is approximately one year away from submitting a permit renewal application, a much more comprehensive inspection, or Fifth Year Inspection (FYI), is scheduled.  The FYI consists of an overview of the facilities operation, but also includes an in-depth sampling plan consisting of a Compliance Sampling Inspection (CSI), Toxic Sampling Inspection (XSI), Compliance Biomonitoring Inspection (CBI), Impact Bioassessment (IBI), and Water Quality Inspection (WQI).  The results of these inspections help to determine if current permit limits are adequate to protect the quality of the receiving waters.  Land application facilities are also inspected annually as resources allow; however, they are not subject to the same sampling intensity as the surface water dischargers. </w:t>
      </w:r>
    </w:p>
    <w:p w:rsidR="00485094" w:rsidRPr="000615B5" w:rsidRDefault="00485094" w:rsidP="00B215C8">
      <w:pPr>
        <w:pStyle w:val="Bodytext"/>
        <w:rPr>
          <w:snapToGrid w:val="0"/>
        </w:rPr>
      </w:pPr>
    </w:p>
    <w:p w:rsidR="00485094" w:rsidRPr="000615B5" w:rsidRDefault="00485094" w:rsidP="00B215C8">
      <w:pPr>
        <w:pStyle w:val="Bodytext"/>
        <w:rPr>
          <w:snapToGrid w:val="0"/>
        </w:rPr>
      </w:pPr>
      <w:r w:rsidRPr="000615B5">
        <w:rPr>
          <w:snapToGrid w:val="0"/>
        </w:rPr>
        <w:t>District compliance and enforcement staff make every effort to work with permittee</w:t>
      </w:r>
      <w:r>
        <w:rPr>
          <w:snapToGrid w:val="0"/>
        </w:rPr>
        <w:t>s</w:t>
      </w:r>
      <w:r w:rsidRPr="000615B5">
        <w:rPr>
          <w:snapToGrid w:val="0"/>
        </w:rPr>
        <w:t xml:space="preserve"> to resolve minor problems before beginning </w:t>
      </w:r>
      <w:r>
        <w:rPr>
          <w:snapToGrid w:val="0"/>
        </w:rPr>
        <w:t xml:space="preserve">a </w:t>
      </w:r>
      <w:r w:rsidRPr="000615B5">
        <w:rPr>
          <w:snapToGrid w:val="0"/>
        </w:rPr>
        <w:t xml:space="preserve">formal enforcement action.  During </w:t>
      </w:r>
      <w:r>
        <w:rPr>
          <w:snapToGrid w:val="0"/>
        </w:rPr>
        <w:t xml:space="preserve">an </w:t>
      </w:r>
      <w:r w:rsidRPr="000615B5">
        <w:rPr>
          <w:snapToGrid w:val="0"/>
        </w:rPr>
        <w:t xml:space="preserve">inspection, it is the </w:t>
      </w:r>
      <w:r>
        <w:rPr>
          <w:snapToGrid w:val="0"/>
        </w:rPr>
        <w:t xml:space="preserve">inspector’s responsibility </w:t>
      </w:r>
      <w:r w:rsidRPr="000615B5">
        <w:rPr>
          <w:snapToGrid w:val="0"/>
        </w:rPr>
        <w:t xml:space="preserve">to determine </w:t>
      </w:r>
      <w:r>
        <w:rPr>
          <w:snapToGrid w:val="0"/>
        </w:rPr>
        <w:t xml:space="preserve">if </w:t>
      </w:r>
      <w:r w:rsidRPr="000615B5">
        <w:rPr>
          <w:snapToGrid w:val="0"/>
        </w:rPr>
        <w:t>a facility</w:t>
      </w:r>
      <w:r>
        <w:rPr>
          <w:snapToGrid w:val="0"/>
        </w:rPr>
        <w:t xml:space="preserve"> is in</w:t>
      </w:r>
      <w:r w:rsidRPr="000615B5">
        <w:rPr>
          <w:snapToGrid w:val="0"/>
        </w:rPr>
        <w:t xml:space="preserve"> compliance with</w:t>
      </w:r>
      <w:r>
        <w:rPr>
          <w:snapToGrid w:val="0"/>
        </w:rPr>
        <w:t xml:space="preserve"> its permit limits and </w:t>
      </w:r>
      <w:r w:rsidRPr="000615B5">
        <w:rPr>
          <w:snapToGrid w:val="0"/>
        </w:rPr>
        <w:t xml:space="preserve">compliance schedules.  </w:t>
      </w:r>
      <w:r>
        <w:rPr>
          <w:snapToGrid w:val="0"/>
        </w:rPr>
        <w:t xml:space="preserve">This is accomplished by </w:t>
      </w:r>
      <w:r w:rsidRPr="000615B5">
        <w:rPr>
          <w:snapToGrid w:val="0"/>
        </w:rPr>
        <w:t>verify</w:t>
      </w:r>
      <w:r>
        <w:rPr>
          <w:snapToGrid w:val="0"/>
        </w:rPr>
        <w:t xml:space="preserve">ing </w:t>
      </w:r>
      <w:r w:rsidRPr="000615B5">
        <w:rPr>
          <w:snapToGrid w:val="0"/>
        </w:rPr>
        <w:t>the accuracy of facility records and reports, plant operation and maintenance requirements, effluent quality data</w:t>
      </w:r>
      <w:r>
        <w:rPr>
          <w:snapToGrid w:val="0"/>
        </w:rPr>
        <w:t xml:space="preserve"> (Discharge Monitoring Reports, or DMRs)</w:t>
      </w:r>
      <w:r w:rsidRPr="000615B5">
        <w:rPr>
          <w:snapToGrid w:val="0"/>
        </w:rPr>
        <w:t xml:space="preserve">, and the general reliability of the </w:t>
      </w:r>
      <w:r>
        <w:rPr>
          <w:snapToGrid w:val="0"/>
        </w:rPr>
        <w:t xml:space="preserve">facility’s </w:t>
      </w:r>
      <w:r w:rsidRPr="000615B5">
        <w:rPr>
          <w:snapToGrid w:val="0"/>
        </w:rPr>
        <w:t>self-monitoring program.</w:t>
      </w:r>
    </w:p>
    <w:p w:rsidR="00485094" w:rsidRPr="000615B5" w:rsidRDefault="00485094" w:rsidP="00B215C8">
      <w:pPr>
        <w:pStyle w:val="Bodytext"/>
        <w:rPr>
          <w:snapToGrid w:val="0"/>
        </w:rPr>
      </w:pPr>
    </w:p>
    <w:p w:rsidR="00485094" w:rsidRDefault="00485094" w:rsidP="00B215C8">
      <w:pPr>
        <w:pStyle w:val="Heading5"/>
      </w:pPr>
      <w:r w:rsidRPr="00E40754">
        <w:t>Enforcement</w:t>
      </w:r>
    </w:p>
    <w:p w:rsidR="00485094" w:rsidRPr="000615B5" w:rsidRDefault="00485094" w:rsidP="00B215C8">
      <w:pPr>
        <w:pStyle w:val="Bodytext"/>
        <w:rPr>
          <w:snapToGrid w:val="0"/>
        </w:rPr>
      </w:pPr>
      <w:r>
        <w:rPr>
          <w:snapToGrid w:val="0"/>
        </w:rPr>
        <w:t>FDEP’s</w:t>
      </w:r>
      <w:r w:rsidRPr="000615B5">
        <w:rPr>
          <w:snapToGrid w:val="0"/>
        </w:rPr>
        <w:t xml:space="preserve"> </w:t>
      </w:r>
      <w:hyperlink r:id="rId183" w:history="1">
        <w:r w:rsidRPr="00B51A6B">
          <w:rPr>
            <w:rStyle w:val="Hyperlink"/>
          </w:rPr>
          <w:t>Wastewater Program</w:t>
        </w:r>
      </w:hyperlink>
      <w:r>
        <w:rPr>
          <w:snapToGrid w:val="0"/>
        </w:rPr>
        <w:t xml:space="preserve"> uses the Office of General Council’s Enforcement Manual as a guide for developing specific types of enforcement actions such as Consent Orders and Notices of Violations.  However, in order to provide guidance on specific wastewater issues related directly to the Wastewater Program, the Wastewater Program Enforcement Response Guide was developed to aid inspectors in determining the proper course for corrective actions.  The guide also provides consistency in addressing enforcement actions specifically related to wastewater issues.</w:t>
      </w:r>
    </w:p>
    <w:p w:rsidR="00485094" w:rsidRPr="000615B5" w:rsidRDefault="00485094" w:rsidP="00B215C8">
      <w:pPr>
        <w:pStyle w:val="Bodytext"/>
        <w:rPr>
          <w:snapToGrid w:val="0"/>
        </w:rPr>
      </w:pPr>
    </w:p>
    <w:p w:rsidR="00485094" w:rsidRPr="000615B5" w:rsidRDefault="00485094" w:rsidP="00B215C8">
      <w:pPr>
        <w:pStyle w:val="Bodytext"/>
        <w:rPr>
          <w:snapToGrid w:val="0"/>
        </w:rPr>
      </w:pPr>
      <w:r w:rsidRPr="000615B5">
        <w:rPr>
          <w:snapToGrid w:val="0"/>
        </w:rPr>
        <w:t>When formal enforcement is necessary, staff attempt to negotiate a consent order</w:t>
      </w:r>
      <w:r>
        <w:rPr>
          <w:snapToGrid w:val="0"/>
        </w:rPr>
        <w:t xml:space="preserve">, which is </w:t>
      </w:r>
      <w:r w:rsidRPr="000615B5">
        <w:rPr>
          <w:snapToGrid w:val="0"/>
        </w:rPr>
        <w:t xml:space="preserve">a type of administrative order in which civil penalties (such as fines) </w:t>
      </w:r>
      <w:r>
        <w:rPr>
          <w:snapToGrid w:val="0"/>
        </w:rPr>
        <w:t xml:space="preserve">and corrective actions </w:t>
      </w:r>
      <w:r w:rsidRPr="000615B5">
        <w:rPr>
          <w:snapToGrid w:val="0"/>
        </w:rPr>
        <w:t>for noncompliance can be assessed.  Consent orders also establish step-by-step schedules for complying with permit conditions and Florida law.</w:t>
      </w:r>
    </w:p>
    <w:p w:rsidR="00485094" w:rsidRPr="000615B5" w:rsidRDefault="00485094" w:rsidP="00B215C8">
      <w:pPr>
        <w:pStyle w:val="Bodytext"/>
        <w:rPr>
          <w:snapToGrid w:val="0"/>
        </w:rPr>
      </w:pPr>
    </w:p>
    <w:p w:rsidR="00485094" w:rsidRDefault="00485094" w:rsidP="00B215C8">
      <w:pPr>
        <w:pStyle w:val="Bodytext"/>
        <w:rPr>
          <w:snapToGrid w:val="0"/>
        </w:rPr>
      </w:pPr>
      <w:r>
        <w:t xml:space="preserve">In 2001, the Florida Legislature enacted the Environmental Litigation Reform Act (ELRA) to provide a fair, consistent, and expedient method for determining appropriate penalty amounts for violations.  If a settlement cannot be reached through the consent order process, FDEP has the authority to issue a Notice of Violation (NOV) to collect penalties (up to $10,000), as specified in ELRA.  The NOV can also be used when only corrective actions are needed and no penalties are being sought.  </w:t>
      </w:r>
      <w:r>
        <w:rPr>
          <w:snapToGrid w:val="0"/>
        </w:rPr>
        <w:t>When a serious violation endangers human health or welfare, or the environment, FDEP issues a complaint for injunctive relief or takes other legal action, including an immediate final order for corrective action.</w:t>
      </w:r>
    </w:p>
    <w:p w:rsidR="00485094" w:rsidRDefault="00485094" w:rsidP="00B215C8">
      <w:pPr>
        <w:pStyle w:val="Bodytext"/>
        <w:rPr>
          <w:snapToGrid w:val="0"/>
        </w:rPr>
      </w:pPr>
    </w:p>
    <w:p w:rsidR="00485094" w:rsidRDefault="00485094" w:rsidP="00B215C8">
      <w:pPr>
        <w:pStyle w:val="Heading4"/>
      </w:pPr>
      <w:r>
        <w:t>Nonpoint Source Management Program</w:t>
      </w:r>
    </w:p>
    <w:p w:rsidR="00485094" w:rsidRDefault="00485094" w:rsidP="00B215C8">
      <w:pPr>
        <w:pStyle w:val="BodyText0"/>
        <w:rPr>
          <w:snapToGrid w:val="0"/>
          <w:sz w:val="22"/>
          <w:szCs w:val="22"/>
        </w:rPr>
      </w:pPr>
      <w:r>
        <w:rPr>
          <w:snapToGrid w:val="0"/>
          <w:sz w:val="22"/>
          <w:szCs w:val="22"/>
        </w:rPr>
        <w:t xml:space="preserve">The importance of minimizing nonpoint source pollution, especially from new development, was recognized in Florida in the late 1970s when the state’s growth rate increased greatly.  Over the past 25 years, Florida has implemented one of the most comprehensive and effective nonpoint source management programs in the country.  The </w:t>
      </w:r>
      <w:hyperlink r:id="rId184" w:history="1">
        <w:r w:rsidRPr="00B51A6B">
          <w:rPr>
            <w:rStyle w:val="Hyperlink"/>
            <w:snapToGrid w:val="0"/>
            <w:sz w:val="22"/>
            <w:szCs w:val="22"/>
          </w:rPr>
          <w:t>Nonpoint Source Management Program</w:t>
        </w:r>
      </w:hyperlink>
      <w:r>
        <w:rPr>
          <w:snapToGrid w:val="0"/>
          <w:sz w:val="22"/>
          <w:szCs w:val="22"/>
        </w:rPr>
        <w:t xml:space="preserve"> includes a mixture of regulatory, nonregulatory, land acquisition, public education, and finance assistance components, which are discussed below.</w:t>
      </w:r>
    </w:p>
    <w:p w:rsidR="00485094" w:rsidRDefault="00485094" w:rsidP="00B215C8">
      <w:pPr>
        <w:pStyle w:val="BodyText0"/>
        <w:rPr>
          <w:snapToGrid w:val="0"/>
          <w:sz w:val="22"/>
          <w:szCs w:val="22"/>
        </w:rPr>
      </w:pPr>
    </w:p>
    <w:p w:rsidR="00485094" w:rsidRDefault="00485094" w:rsidP="00B215C8">
      <w:pPr>
        <w:pStyle w:val="Heading5"/>
        <w:rPr>
          <w:snapToGrid w:val="0"/>
        </w:rPr>
      </w:pPr>
      <w:r>
        <w:rPr>
          <w:snapToGrid w:val="0"/>
        </w:rPr>
        <w:t>Stormwater Rule</w:t>
      </w:r>
    </w:p>
    <w:p w:rsidR="00485094" w:rsidRPr="00492CE5" w:rsidRDefault="00485094" w:rsidP="00B215C8">
      <w:pPr>
        <w:pStyle w:val="BodyText0"/>
        <w:rPr>
          <w:snapToGrid w:val="0"/>
          <w:sz w:val="22"/>
          <w:szCs w:val="22"/>
        </w:rPr>
      </w:pPr>
      <w:r>
        <w:rPr>
          <w:snapToGrid w:val="0"/>
          <w:sz w:val="22"/>
          <w:szCs w:val="22"/>
        </w:rPr>
        <w:t xml:space="preserve">The cornerstone of Florida’s nonpoint source program is the state Stormwater Rule.  Florida was the first state in the country to establish a statewide Stormwater Permitting Program that requires the treatment of stormwater from all new development.  The state’s </w:t>
      </w:r>
      <w:r w:rsidRPr="00492CE5">
        <w:rPr>
          <w:snapToGrid w:val="0"/>
          <w:sz w:val="22"/>
          <w:szCs w:val="22"/>
        </w:rPr>
        <w:t xml:space="preserve">first </w:t>
      </w:r>
      <w:r>
        <w:rPr>
          <w:snapToGrid w:val="0"/>
          <w:sz w:val="22"/>
          <w:szCs w:val="22"/>
        </w:rPr>
        <w:t>S</w:t>
      </w:r>
      <w:r w:rsidRPr="00492CE5">
        <w:rPr>
          <w:snapToGrid w:val="0"/>
          <w:sz w:val="22"/>
          <w:szCs w:val="22"/>
        </w:rPr>
        <w:t xml:space="preserve">tormwater </w:t>
      </w:r>
      <w:r>
        <w:rPr>
          <w:snapToGrid w:val="0"/>
          <w:sz w:val="22"/>
          <w:szCs w:val="22"/>
        </w:rPr>
        <w:t>R</w:t>
      </w:r>
      <w:r w:rsidRPr="00492CE5">
        <w:rPr>
          <w:snapToGrid w:val="0"/>
          <w:sz w:val="22"/>
          <w:szCs w:val="22"/>
        </w:rPr>
        <w:t>ule</w:t>
      </w:r>
      <w:r>
        <w:rPr>
          <w:snapToGrid w:val="0"/>
          <w:sz w:val="22"/>
          <w:szCs w:val="22"/>
        </w:rPr>
        <w:t xml:space="preserve"> was adopted</w:t>
      </w:r>
      <w:r w:rsidRPr="00492CE5">
        <w:rPr>
          <w:snapToGrid w:val="0"/>
          <w:sz w:val="22"/>
          <w:szCs w:val="22"/>
        </w:rPr>
        <w:t xml:space="preserve"> in 1979</w:t>
      </w:r>
      <w:r>
        <w:rPr>
          <w:snapToGrid w:val="0"/>
          <w:sz w:val="22"/>
          <w:szCs w:val="22"/>
        </w:rPr>
        <w:t xml:space="preserve">, with a more comprehensive rule going into effect in February 1982.  </w:t>
      </w:r>
      <w:r w:rsidRPr="00492CE5">
        <w:rPr>
          <w:snapToGrid w:val="0"/>
          <w:sz w:val="22"/>
          <w:szCs w:val="22"/>
        </w:rPr>
        <w:t xml:space="preserve">New developments, except for single-family dwellings, and modifications to existing discharges must obtain stormwater permits.  Projects must include a stormwater management system that provides flood control and BMPs such as retention, detention, or wetland filtration to reduce stormwater pollutants.  </w:t>
      </w:r>
      <w:r>
        <w:rPr>
          <w:snapToGrid w:val="0"/>
          <w:sz w:val="22"/>
          <w:szCs w:val="22"/>
        </w:rPr>
        <w:t xml:space="preserve">The Stormwater Rule, a technology-based rule, establishes design criteria for various stormwater treatment BMPs to obtain the minimum level of treatment established in the state’s Water Resource Implementation </w:t>
      </w:r>
      <w:r w:rsidRPr="00CF43C7">
        <w:rPr>
          <w:rStyle w:val="BodytextChar1"/>
          <w:sz w:val="22"/>
        </w:rPr>
        <w:t>Rule (</w:t>
      </w:r>
      <w:r>
        <w:rPr>
          <w:rStyle w:val="BodytextChar1"/>
          <w:sz w:val="22"/>
        </w:rPr>
        <w:t>Chapter 62-40, F.A.C.)</w:t>
      </w:r>
      <w:r w:rsidRPr="00CF43C7">
        <w:rPr>
          <w:rStyle w:val="BodytextChar1"/>
          <w:sz w:val="22"/>
        </w:rPr>
        <w:t>.  Specifically, these BMPs are designed to remove at least 80% of</w:t>
      </w:r>
      <w:r w:rsidRPr="00492CE5">
        <w:rPr>
          <w:snapToGrid w:val="0"/>
          <w:sz w:val="22"/>
          <w:szCs w:val="22"/>
        </w:rPr>
        <w:t xml:space="preserve"> the total suspended solids (TSS) pollutant loading.  For </w:t>
      </w:r>
      <w:r>
        <w:rPr>
          <w:snapToGrid w:val="0"/>
          <w:sz w:val="22"/>
          <w:szCs w:val="22"/>
        </w:rPr>
        <w:t>Outstanding Florida Waters (</w:t>
      </w:r>
      <w:r w:rsidRPr="00492CE5">
        <w:rPr>
          <w:snapToGrid w:val="0"/>
          <w:sz w:val="22"/>
          <w:szCs w:val="22"/>
        </w:rPr>
        <w:t>OFWs</w:t>
      </w:r>
      <w:r>
        <w:rPr>
          <w:snapToGrid w:val="0"/>
          <w:sz w:val="22"/>
          <w:szCs w:val="22"/>
        </w:rPr>
        <w:t>)</w:t>
      </w:r>
      <w:r w:rsidRPr="00492CE5">
        <w:rPr>
          <w:snapToGrid w:val="0"/>
          <w:sz w:val="22"/>
          <w:szCs w:val="22"/>
        </w:rPr>
        <w:t>, some other sensitive waters (such as shellfish-harvesting areas), and waters that are below standards, BMPs must be designed to remove 95</w:t>
      </w:r>
      <w:r>
        <w:rPr>
          <w:snapToGrid w:val="0"/>
          <w:sz w:val="22"/>
          <w:szCs w:val="22"/>
        </w:rPr>
        <w:t>%</w:t>
      </w:r>
      <w:r w:rsidRPr="00492CE5">
        <w:rPr>
          <w:snapToGrid w:val="0"/>
          <w:sz w:val="22"/>
          <w:szCs w:val="22"/>
        </w:rPr>
        <w:t xml:space="preserve"> of the TSS loading.</w:t>
      </w:r>
    </w:p>
    <w:p w:rsidR="00485094" w:rsidRPr="00492CE5" w:rsidRDefault="00485094" w:rsidP="00B215C8">
      <w:pPr>
        <w:pStyle w:val="BodyText0"/>
        <w:rPr>
          <w:snapToGrid w:val="0"/>
          <w:sz w:val="22"/>
          <w:szCs w:val="22"/>
        </w:rPr>
      </w:pPr>
    </w:p>
    <w:p w:rsidR="00485094" w:rsidRPr="00492CE5" w:rsidRDefault="00485094" w:rsidP="00B215C8">
      <w:pPr>
        <w:pStyle w:val="BodyText0"/>
        <w:rPr>
          <w:i/>
          <w:snapToGrid w:val="0"/>
          <w:sz w:val="22"/>
          <w:szCs w:val="22"/>
        </w:rPr>
      </w:pPr>
      <w:r w:rsidRPr="00492CE5">
        <w:rPr>
          <w:snapToGrid w:val="0"/>
          <w:sz w:val="22"/>
          <w:szCs w:val="22"/>
        </w:rPr>
        <w:t xml:space="preserve">A 1989 stormwater law directed FDEP to establish statewide goals for treatment and to oversee the implementation of </w:t>
      </w:r>
      <w:r>
        <w:rPr>
          <w:snapToGrid w:val="0"/>
          <w:sz w:val="22"/>
          <w:szCs w:val="22"/>
        </w:rPr>
        <w:t xml:space="preserve">stormwater </w:t>
      </w:r>
      <w:r w:rsidRPr="00492CE5">
        <w:rPr>
          <w:snapToGrid w:val="0"/>
          <w:sz w:val="22"/>
          <w:szCs w:val="22"/>
        </w:rPr>
        <w:t xml:space="preserve">regulatory programs, which were also delegated to the water management districts.  Delegation allows minor design adjustments for Florida’s diverse landscape. </w:t>
      </w:r>
      <w:r>
        <w:rPr>
          <w:snapToGrid w:val="0"/>
          <w:sz w:val="22"/>
          <w:szCs w:val="22"/>
        </w:rPr>
        <w:t xml:space="preserve"> In 1993, the </w:t>
      </w:r>
      <w:r w:rsidR="00805B69">
        <w:rPr>
          <w:snapToGrid w:val="0"/>
          <w:sz w:val="22"/>
          <w:szCs w:val="22"/>
        </w:rPr>
        <w:t xml:space="preserve">Florida </w:t>
      </w:r>
      <w:r>
        <w:rPr>
          <w:snapToGrid w:val="0"/>
          <w:sz w:val="22"/>
          <w:szCs w:val="22"/>
        </w:rPr>
        <w:t>L</w:t>
      </w:r>
      <w:r w:rsidRPr="00492CE5">
        <w:rPr>
          <w:snapToGrid w:val="0"/>
          <w:sz w:val="22"/>
          <w:szCs w:val="22"/>
        </w:rPr>
        <w:t xml:space="preserve">egislature modified portions of Chapters 373 and 403, F.S., to streamline permitting.  The Wetlands Resource Permit and the Management and Storage of Surface Water (MSSW) Permit were unified into a single Environmental Resource Permit </w:t>
      </w:r>
      <w:r>
        <w:rPr>
          <w:snapToGrid w:val="0"/>
          <w:sz w:val="22"/>
          <w:szCs w:val="22"/>
        </w:rPr>
        <w:t xml:space="preserve">(ERP) </w:t>
      </w:r>
      <w:r w:rsidRPr="00492CE5">
        <w:rPr>
          <w:snapToGrid w:val="0"/>
          <w:sz w:val="22"/>
          <w:szCs w:val="22"/>
        </w:rPr>
        <w:t xml:space="preserve">to </w:t>
      </w:r>
      <w:r>
        <w:rPr>
          <w:snapToGrid w:val="0"/>
          <w:sz w:val="22"/>
          <w:szCs w:val="22"/>
        </w:rPr>
        <w:t>provide for flood control, stormwater treatment, and wetlands protection, and to</w:t>
      </w:r>
      <w:r w:rsidRPr="00492CE5">
        <w:rPr>
          <w:snapToGrid w:val="0"/>
          <w:sz w:val="22"/>
          <w:szCs w:val="22"/>
        </w:rPr>
        <w:t xml:space="preserve"> increase statewide consistency in minimizing the impacts of new land uses.</w:t>
      </w:r>
      <w:r>
        <w:rPr>
          <w:snapToGrid w:val="0"/>
          <w:sz w:val="22"/>
          <w:szCs w:val="22"/>
        </w:rPr>
        <w:t xml:space="preserve">  This permit program was implemented across the state, except in the area served by the Northwest Florida Water Management District.  </w:t>
      </w:r>
      <w:r w:rsidRPr="00F53FCA">
        <w:rPr>
          <w:snapToGrid w:val="0"/>
          <w:sz w:val="22"/>
          <w:szCs w:val="22"/>
        </w:rPr>
        <w:t>In 2006, the Legislature authoriz</w:t>
      </w:r>
      <w:r>
        <w:rPr>
          <w:snapToGrid w:val="0"/>
          <w:sz w:val="22"/>
          <w:szCs w:val="22"/>
        </w:rPr>
        <w:t>ed</w:t>
      </w:r>
      <w:r w:rsidRPr="00F53FCA">
        <w:rPr>
          <w:snapToGrid w:val="0"/>
          <w:sz w:val="22"/>
          <w:szCs w:val="22"/>
        </w:rPr>
        <w:t xml:space="preserve"> the creation of </w:t>
      </w:r>
      <w:r>
        <w:rPr>
          <w:snapToGrid w:val="0"/>
          <w:sz w:val="22"/>
          <w:szCs w:val="22"/>
        </w:rPr>
        <w:t xml:space="preserve">an </w:t>
      </w:r>
      <w:r w:rsidRPr="00F53FCA">
        <w:rPr>
          <w:snapToGrid w:val="0"/>
          <w:sz w:val="22"/>
          <w:szCs w:val="22"/>
        </w:rPr>
        <w:t>E</w:t>
      </w:r>
      <w:r w:rsidR="00805B69">
        <w:rPr>
          <w:snapToGrid w:val="0"/>
          <w:sz w:val="22"/>
          <w:szCs w:val="22"/>
        </w:rPr>
        <w:t>RP</w:t>
      </w:r>
      <w:r>
        <w:rPr>
          <w:snapToGrid w:val="0"/>
          <w:sz w:val="22"/>
          <w:szCs w:val="22"/>
        </w:rPr>
        <w:t xml:space="preserve"> Program in n</w:t>
      </w:r>
      <w:r w:rsidRPr="00F53FCA">
        <w:rPr>
          <w:snapToGrid w:val="0"/>
          <w:sz w:val="22"/>
          <w:szCs w:val="22"/>
        </w:rPr>
        <w:t>orthwest Florida</w:t>
      </w:r>
      <w:r>
        <w:rPr>
          <w:snapToGrid w:val="0"/>
          <w:sz w:val="22"/>
          <w:szCs w:val="22"/>
        </w:rPr>
        <w:t>, and the program was adopted and implemented there in early 2010.</w:t>
      </w:r>
    </w:p>
    <w:p w:rsidR="00485094" w:rsidRDefault="00485094" w:rsidP="00B215C8">
      <w:pPr>
        <w:pStyle w:val="BodyText0"/>
        <w:rPr>
          <w:sz w:val="22"/>
          <w:szCs w:val="22"/>
        </w:rPr>
      </w:pPr>
    </w:p>
    <w:p w:rsidR="00485094" w:rsidRDefault="00485094" w:rsidP="00B215C8">
      <w:pPr>
        <w:pStyle w:val="Heading5"/>
        <w:rPr>
          <w:snapToGrid w:val="0"/>
        </w:rPr>
      </w:pPr>
      <w:r>
        <w:rPr>
          <w:snapToGrid w:val="0"/>
        </w:rPr>
        <w:t>Wetlands Protection and Permitting</w:t>
      </w:r>
    </w:p>
    <w:p w:rsidR="00485094" w:rsidRDefault="00485094" w:rsidP="00B215C8">
      <w:pPr>
        <w:pStyle w:val="BodyText0"/>
        <w:rPr>
          <w:snapToGrid w:val="0"/>
          <w:sz w:val="22"/>
          <w:szCs w:val="22"/>
        </w:rPr>
      </w:pPr>
      <w:r>
        <w:rPr>
          <w:snapToGrid w:val="0"/>
          <w:sz w:val="22"/>
          <w:szCs w:val="22"/>
        </w:rPr>
        <w:t>A second important nonpoint source regulatory program is the state’s wetlands protection law and permitting program.  This program has been instrumental in minimizing the loss of wetlands, especially isolated wetlands.  Details about this program can be found in later in this chapter, in the section on the Wetlands Program.</w:t>
      </w:r>
    </w:p>
    <w:p w:rsidR="00485094" w:rsidRDefault="00485094" w:rsidP="00B215C8">
      <w:pPr>
        <w:pStyle w:val="BodyText0"/>
        <w:rPr>
          <w:snapToGrid w:val="0"/>
          <w:sz w:val="22"/>
          <w:szCs w:val="22"/>
        </w:rPr>
      </w:pPr>
    </w:p>
    <w:p w:rsidR="00485094" w:rsidRDefault="00485094" w:rsidP="00B215C8">
      <w:pPr>
        <w:pStyle w:val="Heading5"/>
        <w:rPr>
          <w:snapToGrid w:val="0"/>
        </w:rPr>
      </w:pPr>
      <w:r>
        <w:rPr>
          <w:snapToGrid w:val="0"/>
        </w:rPr>
        <w:t>Best Management Practices</w:t>
      </w:r>
    </w:p>
    <w:p w:rsidR="00485094" w:rsidRDefault="00485094" w:rsidP="00B215C8">
      <w:pPr>
        <w:pStyle w:val="BodyText0"/>
        <w:rPr>
          <w:sz w:val="22"/>
        </w:rPr>
      </w:pPr>
      <w:r>
        <w:rPr>
          <w:snapToGrid w:val="0"/>
          <w:sz w:val="22"/>
          <w:szCs w:val="22"/>
        </w:rPr>
        <w:t xml:space="preserve">As discussed earlier in this chapter (in the section on the Watershed Assessment Program), the FWRA requires FDACS’ Office of Agricultural Water Policy </w:t>
      </w:r>
      <w:r w:rsidR="00A14A31">
        <w:rPr>
          <w:snapToGrid w:val="0"/>
          <w:sz w:val="22"/>
          <w:szCs w:val="22"/>
        </w:rPr>
        <w:t xml:space="preserve">(OAWP) </w:t>
      </w:r>
      <w:r>
        <w:rPr>
          <w:snapToGrid w:val="0"/>
          <w:sz w:val="22"/>
          <w:szCs w:val="22"/>
        </w:rPr>
        <w:t xml:space="preserve">to develop and adopt, by rule, BMPs to reduce agricultural nonpoint source pollution.  FDEP is charged with monitoring the effectiveness of the BMPs.  To date, FDACS has developed and/or adopted BMP manuals for Ridge citrus, Indian River citrus, leatherleaf ferns, silviculture, cow/calf operations, Peace River citrus, vegetable and agronomic crops, container-grown plants, forage grass, tri-county agriculture, south Florida nurseries, and Gulf citrus.  </w:t>
      </w:r>
      <w:r w:rsidRPr="00427548">
        <w:rPr>
          <w:sz w:val="22"/>
        </w:rPr>
        <w:t xml:space="preserve">The BMP rules and the associated BMP manuals that have been adopted are available </w:t>
      </w:r>
      <w:r>
        <w:rPr>
          <w:sz w:val="22"/>
        </w:rPr>
        <w:t xml:space="preserve">on the </w:t>
      </w:r>
      <w:hyperlink r:id="rId185" w:history="1">
        <w:r>
          <w:rPr>
            <w:rStyle w:val="Hyperlink"/>
            <w:sz w:val="22"/>
          </w:rPr>
          <w:t>FDACS O</w:t>
        </w:r>
        <w:r w:rsidRPr="00084DB2">
          <w:rPr>
            <w:rStyle w:val="Hyperlink"/>
            <w:sz w:val="22"/>
          </w:rPr>
          <w:t>ffice of Agricultural Water Policy website</w:t>
        </w:r>
      </w:hyperlink>
      <w:r>
        <w:rPr>
          <w:sz w:val="22"/>
        </w:rPr>
        <w:t>.</w:t>
      </w:r>
    </w:p>
    <w:p w:rsidR="00485094" w:rsidRDefault="00485094" w:rsidP="00B215C8">
      <w:pPr>
        <w:pStyle w:val="BodyText0"/>
        <w:rPr>
          <w:snapToGrid w:val="0"/>
          <w:sz w:val="22"/>
          <w:szCs w:val="22"/>
        </w:rPr>
      </w:pPr>
    </w:p>
    <w:p w:rsidR="00485094" w:rsidRDefault="00485094" w:rsidP="00EE4CFE">
      <w:pPr>
        <w:pStyle w:val="BodyText0"/>
        <w:tabs>
          <w:tab w:val="left" w:pos="7290"/>
        </w:tabs>
        <w:rPr>
          <w:snapToGrid w:val="0"/>
          <w:sz w:val="22"/>
          <w:szCs w:val="22"/>
        </w:rPr>
      </w:pPr>
      <w:r>
        <w:rPr>
          <w:snapToGrid w:val="0"/>
          <w:sz w:val="22"/>
          <w:szCs w:val="22"/>
        </w:rPr>
        <w:t>This nonregulatory program provides agricultural producers with incentives to implement BMPs.  Participation in the program opens the door for state and federal cost-share dollars to implement BMPs, and it provides the landowner with a presumption of compliance that water quality standards are being met.  To participate, landowners must submit a N</w:t>
      </w:r>
      <w:r w:rsidR="00EE4CFE">
        <w:rPr>
          <w:snapToGrid w:val="0"/>
          <w:sz w:val="22"/>
          <w:szCs w:val="22"/>
        </w:rPr>
        <w:t>OI</w:t>
      </w:r>
      <w:r>
        <w:rPr>
          <w:snapToGrid w:val="0"/>
          <w:sz w:val="22"/>
          <w:szCs w:val="22"/>
        </w:rPr>
        <w:t xml:space="preserve"> to FDACS, specifying the lands to be covered, the BMPs to be implemented, the BMP implementation schedule, and the annual tracking requirements such as fertilizer use.</w:t>
      </w:r>
    </w:p>
    <w:p w:rsidR="00485094" w:rsidRDefault="00485094" w:rsidP="00B215C8">
      <w:pPr>
        <w:pStyle w:val="BodyText0"/>
        <w:rPr>
          <w:snapToGrid w:val="0"/>
          <w:sz w:val="22"/>
          <w:szCs w:val="22"/>
        </w:rPr>
      </w:pPr>
    </w:p>
    <w:p w:rsidR="00485094" w:rsidRDefault="00EE4CFE" w:rsidP="00B215C8">
      <w:pPr>
        <w:pStyle w:val="Heading5"/>
        <w:rPr>
          <w:snapToGrid w:val="0"/>
        </w:rPr>
      </w:pPr>
      <w:r>
        <w:rPr>
          <w:snapToGrid w:val="0"/>
        </w:rPr>
        <w:br w:type="page"/>
      </w:r>
      <w:r w:rsidR="00485094">
        <w:rPr>
          <w:snapToGrid w:val="0"/>
        </w:rPr>
        <w:t>Land Acquisition</w:t>
      </w:r>
    </w:p>
    <w:p w:rsidR="00485094" w:rsidRDefault="00485094" w:rsidP="00B215C8">
      <w:pPr>
        <w:pStyle w:val="BodyText0"/>
        <w:rPr>
          <w:snapToGrid w:val="0"/>
          <w:sz w:val="22"/>
          <w:szCs w:val="22"/>
        </w:rPr>
      </w:pPr>
      <w:r>
        <w:rPr>
          <w:snapToGrid w:val="0"/>
          <w:sz w:val="22"/>
          <w:szCs w:val="22"/>
        </w:rPr>
        <w:t xml:space="preserve">Land acquisition is one of the most important components of Florida’s </w:t>
      </w:r>
      <w:hyperlink r:id="rId186" w:history="1">
        <w:r w:rsidRPr="001936BF">
          <w:rPr>
            <w:rStyle w:val="Hyperlink"/>
            <w:snapToGrid w:val="0"/>
            <w:sz w:val="22"/>
            <w:szCs w:val="22"/>
          </w:rPr>
          <w:t>Nonpoint Source Management Program</w:t>
        </w:r>
      </w:hyperlink>
      <w:r>
        <w:rPr>
          <w:snapToGrid w:val="0"/>
          <w:sz w:val="22"/>
          <w:szCs w:val="22"/>
        </w:rPr>
        <w:t>.  The state’s first environmental land acquisition program was enacted by the Legislature in 1972 (the Environmentally Endangered Lands Act).  In 1981, the Save our Coasts and Save our Rivers Programs were enacted to expand land acquisition.  In 1989, recognizing the importance of accelerating land acquisition, given the state’s rapid population growth, the Preservation 2000 program was enacted.  This decade-long program provided $300 million annually for land acquisition.  In 1999, Preservation 2000 was extended for another decade by the enactment of the Florida Forever Program, which continued the $300 million annual commitment for another decade.  These programs have led to the acquisition of over 1 million acres of sensitive lands.</w:t>
      </w:r>
    </w:p>
    <w:p w:rsidR="00485094" w:rsidRDefault="00485094" w:rsidP="00B215C8">
      <w:pPr>
        <w:pStyle w:val="BodyText0"/>
        <w:rPr>
          <w:snapToGrid w:val="0"/>
          <w:sz w:val="22"/>
          <w:szCs w:val="22"/>
        </w:rPr>
      </w:pPr>
    </w:p>
    <w:p w:rsidR="00485094" w:rsidRDefault="00485094" w:rsidP="00B215C8">
      <w:pPr>
        <w:pStyle w:val="Heading5"/>
        <w:rPr>
          <w:snapToGrid w:val="0"/>
        </w:rPr>
      </w:pPr>
      <w:r>
        <w:rPr>
          <w:snapToGrid w:val="0"/>
        </w:rPr>
        <w:t>Growth Management</w:t>
      </w:r>
    </w:p>
    <w:p w:rsidR="00485094" w:rsidRDefault="00485094" w:rsidP="00B215C8">
      <w:pPr>
        <w:pStyle w:val="BodyText0"/>
        <w:rPr>
          <w:snapToGrid w:val="0"/>
          <w:sz w:val="22"/>
          <w:szCs w:val="22"/>
        </w:rPr>
      </w:pPr>
      <w:r>
        <w:rPr>
          <w:snapToGrid w:val="0"/>
          <w:sz w:val="22"/>
          <w:szCs w:val="22"/>
        </w:rPr>
        <w:t xml:space="preserve">The state’s growth management program, implemented by the Florida Department of Community Affairs (FDCA) and the state’s local governments, is another key component of Florida’s </w:t>
      </w:r>
      <w:hyperlink r:id="rId187" w:history="1">
        <w:r w:rsidRPr="001936BF">
          <w:rPr>
            <w:rStyle w:val="Hyperlink"/>
            <w:snapToGrid w:val="0"/>
            <w:sz w:val="22"/>
            <w:szCs w:val="22"/>
          </w:rPr>
          <w:t>Nonpoint Source Management Program</w:t>
        </w:r>
      </w:hyperlink>
      <w:r>
        <w:rPr>
          <w:snapToGrid w:val="0"/>
          <w:sz w:val="22"/>
          <w:szCs w:val="22"/>
        </w:rPr>
        <w:t>.  The 1985 State Comprehensive Plan and the Local Government Comprehensive Planning and Land Development Regulation Act require local governments to establish blueprints for future growth (local comprehensive plans) and to adopt local land development regulations to minimize the adverse social, economic, and environmental impacts of growth.</w:t>
      </w:r>
    </w:p>
    <w:p w:rsidR="00485094" w:rsidRDefault="00485094" w:rsidP="00B215C8">
      <w:pPr>
        <w:pStyle w:val="BodyText0"/>
        <w:rPr>
          <w:snapToGrid w:val="0"/>
          <w:sz w:val="22"/>
          <w:szCs w:val="22"/>
        </w:rPr>
      </w:pPr>
    </w:p>
    <w:p w:rsidR="00485094" w:rsidRDefault="00485094" w:rsidP="00B215C8">
      <w:pPr>
        <w:pStyle w:val="Heading5"/>
        <w:rPr>
          <w:snapToGrid w:val="0"/>
        </w:rPr>
      </w:pPr>
      <w:r>
        <w:rPr>
          <w:snapToGrid w:val="0"/>
        </w:rPr>
        <w:t>Public Education</w:t>
      </w:r>
    </w:p>
    <w:p w:rsidR="00485094" w:rsidRDefault="00485094" w:rsidP="00B215C8">
      <w:pPr>
        <w:pStyle w:val="BodyText0"/>
        <w:rPr>
          <w:snapToGrid w:val="0"/>
          <w:sz w:val="22"/>
          <w:szCs w:val="22"/>
        </w:rPr>
      </w:pPr>
      <w:r>
        <w:rPr>
          <w:snapToGrid w:val="0"/>
          <w:sz w:val="22"/>
          <w:szCs w:val="22"/>
        </w:rPr>
        <w:t xml:space="preserve">Public education on “pointless personal pollution” is the final component of Florida’s </w:t>
      </w:r>
      <w:hyperlink r:id="rId188" w:history="1">
        <w:r w:rsidRPr="001936BF">
          <w:rPr>
            <w:rStyle w:val="Hyperlink"/>
            <w:snapToGrid w:val="0"/>
            <w:sz w:val="22"/>
            <w:szCs w:val="22"/>
          </w:rPr>
          <w:t>Nonpoint Source Management Program</w:t>
        </w:r>
      </w:hyperlink>
      <w:r>
        <w:rPr>
          <w:snapToGrid w:val="0"/>
          <w:sz w:val="22"/>
          <w:szCs w:val="22"/>
        </w:rPr>
        <w:t xml:space="preserve">.  Over the past 20 years, a wide variety of educational materials, many of which can be customized for local areas, have been developed and distributed.  Nearly all of these materials are now available electronically and can be downloaded either from the FDEP website or from the </w:t>
      </w:r>
      <w:hyperlink r:id="rId189" w:history="1">
        <w:r w:rsidRPr="00084DB2">
          <w:rPr>
            <w:rStyle w:val="Hyperlink"/>
            <w:snapToGrid w:val="0"/>
            <w:sz w:val="22"/>
            <w:szCs w:val="22"/>
          </w:rPr>
          <w:t>University of Central Florida Stormwater Management Academy website</w:t>
        </w:r>
      </w:hyperlink>
      <w:r>
        <w:rPr>
          <w:snapToGrid w:val="0"/>
          <w:sz w:val="22"/>
          <w:szCs w:val="22"/>
        </w:rPr>
        <w:t>.  Given the state’s rapid growth rate, and the number of people arriving from out of state, these educational materials are important in teaching residents how they contribute to nonpoint source pollution and how they can be part of the solution to pointless personal pollution.</w:t>
      </w:r>
    </w:p>
    <w:p w:rsidR="00485094" w:rsidRDefault="00485094" w:rsidP="00B215C8">
      <w:pPr>
        <w:pStyle w:val="BodyText0"/>
        <w:rPr>
          <w:snapToGrid w:val="0"/>
          <w:sz w:val="22"/>
          <w:szCs w:val="22"/>
        </w:rPr>
      </w:pPr>
    </w:p>
    <w:p w:rsidR="00485094" w:rsidRDefault="00485094" w:rsidP="00B215C8">
      <w:pPr>
        <w:pStyle w:val="Heading5"/>
      </w:pPr>
      <w:r w:rsidRPr="00D61F2C">
        <w:t>Nature and Extent of Nonpoint Source Pollution</w:t>
      </w:r>
    </w:p>
    <w:p w:rsidR="00485094" w:rsidRPr="002A0C19" w:rsidRDefault="00485094" w:rsidP="00B215C8">
      <w:pPr>
        <w:pStyle w:val="Bodytext"/>
        <w:rPr>
          <w:b/>
          <w:szCs w:val="22"/>
        </w:rPr>
      </w:pPr>
      <w:r w:rsidRPr="00125D31">
        <w:rPr>
          <w:szCs w:val="22"/>
        </w:rPr>
        <w:t>Florida has made significant progress towards addressing elevated nutrients, but nutrient impairment is still an ongoing challenge</w:t>
      </w:r>
      <w:r>
        <w:rPr>
          <w:szCs w:val="22"/>
        </w:rPr>
        <w:t>,</w:t>
      </w:r>
      <w:r w:rsidRPr="00125D31">
        <w:rPr>
          <w:szCs w:val="22"/>
        </w:rPr>
        <w:t xml:space="preserve"> as evidenced by eutrophic conditions in some state surface waters and Florida’s increased nitrates in ground water.  Nutrient impairment remains a concern due to higher fertilizer use by the state’s intensive </w:t>
      </w:r>
      <w:hyperlink r:id="rId190" w:history="1">
        <w:r w:rsidRPr="00B37741">
          <w:rPr>
            <w:rStyle w:val="Hyperlink"/>
            <w:szCs w:val="22"/>
          </w:rPr>
          <w:t>agricultural industry</w:t>
        </w:r>
      </w:hyperlink>
      <w:r w:rsidRPr="00125D31">
        <w:rPr>
          <w:szCs w:val="22"/>
        </w:rPr>
        <w:t xml:space="preserve"> and continued population growth, </w:t>
      </w:r>
      <w:r>
        <w:rPr>
          <w:szCs w:val="22"/>
        </w:rPr>
        <w:t xml:space="preserve">both of </w:t>
      </w:r>
      <w:r w:rsidRPr="00125D31">
        <w:rPr>
          <w:szCs w:val="22"/>
        </w:rPr>
        <w:t xml:space="preserve">which increase wastewater and nonpoint source nutrient loads.  The </w:t>
      </w:r>
      <w:r w:rsidRPr="00125D31">
        <w:rPr>
          <w:snapToGrid w:val="0"/>
          <w:szCs w:val="22"/>
        </w:rPr>
        <w:t>cumulative impacts of nonpoint source pollution, also called “pointless personal pollution</w:t>
      </w:r>
      <w:r>
        <w:rPr>
          <w:snapToGrid w:val="0"/>
          <w:szCs w:val="22"/>
        </w:rPr>
        <w:t>,</w:t>
      </w:r>
      <w:r w:rsidRPr="00125D31">
        <w:rPr>
          <w:snapToGrid w:val="0"/>
          <w:szCs w:val="22"/>
        </w:rPr>
        <w:t xml:space="preserve">” continue to be an issue.  </w:t>
      </w:r>
      <w:r w:rsidRPr="00125D31">
        <w:rPr>
          <w:szCs w:val="22"/>
        </w:rPr>
        <w:t xml:space="preserve">The state’s Stormwater Rule is currently based on a minimum treatment level of 80% average annual load reduction.  </w:t>
      </w:r>
    </w:p>
    <w:p w:rsidR="00485094" w:rsidRDefault="00485094" w:rsidP="00B215C8">
      <w:pPr>
        <w:pStyle w:val="Bodytext"/>
        <w:rPr>
          <w:snapToGrid w:val="0"/>
        </w:rPr>
      </w:pPr>
    </w:p>
    <w:p w:rsidR="00485094" w:rsidRPr="00DA37AF" w:rsidRDefault="00485094" w:rsidP="00B215C8">
      <w:pPr>
        <w:pStyle w:val="Bodytext"/>
        <w:rPr>
          <w:snapToGrid w:val="0"/>
        </w:rPr>
      </w:pPr>
      <w:r w:rsidRPr="00DA37AF">
        <w:rPr>
          <w:snapToGrid w:val="0"/>
        </w:rPr>
        <w:t xml:space="preserve">It is important to remember that </w:t>
      </w:r>
      <w:r>
        <w:rPr>
          <w:snapToGrid w:val="0"/>
        </w:rPr>
        <w:t xml:space="preserve">many </w:t>
      </w:r>
      <w:r w:rsidRPr="00DA37AF">
        <w:rPr>
          <w:snapToGrid w:val="0"/>
        </w:rPr>
        <w:t xml:space="preserve">activities </w:t>
      </w:r>
      <w:r>
        <w:rPr>
          <w:snapToGrid w:val="0"/>
        </w:rPr>
        <w:t xml:space="preserve">resulting in nonpoint source pollution </w:t>
      </w:r>
      <w:r w:rsidRPr="00DA37AF">
        <w:rPr>
          <w:snapToGrid w:val="0"/>
        </w:rPr>
        <w:t xml:space="preserve">often are not regulated and that public education, cultural change, and personal stewardship are also essential in protecting Florida’s water resources.  A </w:t>
      </w:r>
      <w:r>
        <w:rPr>
          <w:snapToGrid w:val="0"/>
        </w:rPr>
        <w:t xml:space="preserve">simple </w:t>
      </w:r>
      <w:r w:rsidRPr="00DA37AF">
        <w:rPr>
          <w:snapToGrid w:val="0"/>
        </w:rPr>
        <w:t xml:space="preserve">example is </w:t>
      </w:r>
      <w:r>
        <w:rPr>
          <w:snapToGrid w:val="0"/>
        </w:rPr>
        <w:t xml:space="preserve">controlling </w:t>
      </w:r>
      <w:r w:rsidRPr="00DA37AF">
        <w:rPr>
          <w:snapToGrid w:val="0"/>
        </w:rPr>
        <w:t>pet wastes, which can add nutrients and fecal bacteria to the landscape that are washed off with each rain</w:t>
      </w:r>
      <w:r>
        <w:rPr>
          <w:snapToGrid w:val="0"/>
        </w:rPr>
        <w:t xml:space="preserve"> </w:t>
      </w:r>
      <w:r w:rsidRPr="00DA37AF">
        <w:rPr>
          <w:snapToGrid w:val="0"/>
        </w:rPr>
        <w:t>storm.  Picking up and properly disposing of pet waste is essential to preventing this source of “</w:t>
      </w:r>
      <w:r>
        <w:rPr>
          <w:snapToGrid w:val="0"/>
        </w:rPr>
        <w:t>p</w:t>
      </w:r>
      <w:r w:rsidRPr="00DA37AF">
        <w:rPr>
          <w:snapToGrid w:val="0"/>
        </w:rPr>
        <w:t xml:space="preserve">ointless </w:t>
      </w:r>
      <w:r>
        <w:rPr>
          <w:snapToGrid w:val="0"/>
        </w:rPr>
        <w:t>p</w:t>
      </w:r>
      <w:r w:rsidRPr="00DA37AF">
        <w:rPr>
          <w:snapToGrid w:val="0"/>
        </w:rPr>
        <w:t xml:space="preserve">ersonal </w:t>
      </w:r>
      <w:r>
        <w:rPr>
          <w:snapToGrid w:val="0"/>
        </w:rPr>
        <w:t>p</w:t>
      </w:r>
      <w:r w:rsidRPr="00DA37AF">
        <w:rPr>
          <w:snapToGrid w:val="0"/>
        </w:rPr>
        <w:t>ollution.”</w:t>
      </w:r>
    </w:p>
    <w:p w:rsidR="00485094" w:rsidRDefault="00485094" w:rsidP="00B215C8">
      <w:pPr>
        <w:pStyle w:val="Bodytext"/>
        <w:tabs>
          <w:tab w:val="left" w:pos="5472"/>
        </w:tabs>
      </w:pPr>
    </w:p>
    <w:p w:rsidR="00657C91" w:rsidRDefault="00485094">
      <w:pPr>
        <w:pStyle w:val="Bodytext"/>
      </w:pPr>
      <w:r>
        <w:rPr>
          <w:szCs w:val="22"/>
        </w:rPr>
        <w:t>FDEP’s</w:t>
      </w:r>
      <w:r w:rsidRPr="00112598">
        <w:rPr>
          <w:szCs w:val="22"/>
        </w:rPr>
        <w:t xml:space="preserve"> comprehensive </w:t>
      </w:r>
      <w:hyperlink r:id="rId191" w:history="1">
        <w:r w:rsidRPr="001936BF">
          <w:rPr>
            <w:rStyle w:val="Hyperlink"/>
            <w:snapToGrid w:val="0"/>
            <w:szCs w:val="22"/>
          </w:rPr>
          <w:t>Nonpoint Source Management Program</w:t>
        </w:r>
      </w:hyperlink>
      <w:r w:rsidRPr="00112598">
        <w:rPr>
          <w:szCs w:val="22"/>
        </w:rPr>
        <w:t xml:space="preserve">, in collaboration with the </w:t>
      </w:r>
      <w:hyperlink r:id="rId192" w:history="1">
        <w:r w:rsidRPr="001936BF">
          <w:rPr>
            <w:rStyle w:val="Hyperlink"/>
            <w:szCs w:val="22"/>
          </w:rPr>
          <w:t>TMDL Program</w:t>
        </w:r>
      </w:hyperlink>
      <w:r>
        <w:rPr>
          <w:szCs w:val="22"/>
        </w:rPr>
        <w:t xml:space="preserve"> (which is being implemented through the </w:t>
      </w:r>
      <w:r w:rsidRPr="00112598">
        <w:rPr>
          <w:szCs w:val="22"/>
        </w:rPr>
        <w:t xml:space="preserve">watershed management </w:t>
      </w:r>
      <w:r>
        <w:rPr>
          <w:szCs w:val="22"/>
        </w:rPr>
        <w:t>approach)</w:t>
      </w:r>
      <w:r w:rsidRPr="00112598">
        <w:rPr>
          <w:szCs w:val="22"/>
        </w:rPr>
        <w:t>, provide</w:t>
      </w:r>
      <w:r>
        <w:rPr>
          <w:szCs w:val="22"/>
        </w:rPr>
        <w:t>s</w:t>
      </w:r>
      <w:r w:rsidRPr="00112598">
        <w:rPr>
          <w:szCs w:val="22"/>
        </w:rPr>
        <w:t xml:space="preserve"> the institutional, technical, and financial fra</w:t>
      </w:r>
      <w:r>
        <w:rPr>
          <w:szCs w:val="22"/>
        </w:rPr>
        <w:t>mework to address these issues.</w:t>
      </w:r>
    </w:p>
    <w:p w:rsidR="00485094" w:rsidRDefault="00485094" w:rsidP="00B215C8">
      <w:pPr>
        <w:pStyle w:val="Bodytextreduced"/>
      </w:pPr>
    </w:p>
    <w:p w:rsidR="00485094" w:rsidRDefault="00485094" w:rsidP="00B215C8">
      <w:pPr>
        <w:pStyle w:val="Heading4"/>
        <w:rPr>
          <w:snapToGrid w:val="0"/>
        </w:rPr>
      </w:pPr>
      <w:r>
        <w:rPr>
          <w:snapToGrid w:val="0"/>
        </w:rPr>
        <w:t>Coordination with Other State, Tribal, and Local Agencies</w:t>
      </w:r>
    </w:p>
    <w:p w:rsidR="00485094" w:rsidRDefault="00485094" w:rsidP="00B215C8">
      <w:pPr>
        <w:pStyle w:val="Bodytext"/>
        <w:rPr>
          <w:snapToGrid w:val="0"/>
        </w:rPr>
      </w:pPr>
      <w:r>
        <w:rPr>
          <w:snapToGrid w:val="0"/>
        </w:rPr>
        <w:t xml:space="preserve">Florida’s surface water protection programs all emphasize </w:t>
      </w:r>
      <w:r w:rsidRPr="00492CE5">
        <w:rPr>
          <w:snapToGrid w:val="0"/>
        </w:rPr>
        <w:t xml:space="preserve">the need for interagency coordination in achieving statewide water management goals.  </w:t>
      </w:r>
      <w:r w:rsidRPr="00492CE5">
        <w:rPr>
          <w:b/>
          <w:i/>
          <w:snapToGrid w:val="0"/>
        </w:rPr>
        <w:t xml:space="preserve">Table </w:t>
      </w:r>
      <w:r>
        <w:rPr>
          <w:b/>
          <w:i/>
          <w:snapToGrid w:val="0"/>
        </w:rPr>
        <w:t>11.</w:t>
      </w:r>
      <w:r w:rsidR="00EB08C5">
        <w:rPr>
          <w:b/>
          <w:i/>
          <w:snapToGrid w:val="0"/>
        </w:rPr>
        <w:t>2</w:t>
      </w:r>
      <w:r w:rsidRPr="00492CE5">
        <w:rPr>
          <w:b/>
          <w:i/>
          <w:snapToGrid w:val="0"/>
        </w:rPr>
        <w:t xml:space="preserve"> </w:t>
      </w:r>
      <w:r w:rsidRPr="00492CE5">
        <w:rPr>
          <w:snapToGrid w:val="0"/>
        </w:rPr>
        <w:t xml:space="preserve">lists the primary state, local, and regional coordination mechanisms for managing water resources.  </w:t>
      </w:r>
      <w:r w:rsidRPr="00492CE5">
        <w:rPr>
          <w:b/>
          <w:i/>
          <w:snapToGrid w:val="0"/>
        </w:rPr>
        <w:t xml:space="preserve">Figure </w:t>
      </w:r>
      <w:r>
        <w:rPr>
          <w:b/>
          <w:i/>
          <w:snapToGrid w:val="0"/>
        </w:rPr>
        <w:t>11.1</w:t>
      </w:r>
      <w:r w:rsidRPr="00492CE5">
        <w:rPr>
          <w:b/>
          <w:i/>
          <w:snapToGrid w:val="0"/>
        </w:rPr>
        <w:t xml:space="preserve"> </w:t>
      </w:r>
      <w:r w:rsidRPr="00492CE5">
        <w:rPr>
          <w:snapToGrid w:val="0"/>
        </w:rPr>
        <w:t>shows the agencies responsible for water resource management and coordination in Florida, and lists their principal activities.</w:t>
      </w:r>
    </w:p>
    <w:p w:rsidR="00485094" w:rsidRDefault="00485094" w:rsidP="00B215C8">
      <w:pPr>
        <w:pStyle w:val="Bodytext"/>
      </w:pPr>
    </w:p>
    <w:p w:rsidR="00485094" w:rsidRDefault="00485094" w:rsidP="00B215C8">
      <w:pPr>
        <w:pStyle w:val="Tableheading"/>
      </w:pPr>
      <w:bookmarkStart w:id="761" w:name="_Toc271280133"/>
      <w:r>
        <w:t>Table 11.</w:t>
      </w:r>
      <w:r w:rsidR="00EB08C5">
        <w:t>2</w:t>
      </w:r>
      <w:r>
        <w:t>.  Primary Coordination Mechanisms for Managing State,</w:t>
      </w:r>
      <w:r>
        <w:br/>
        <w:t>Regional, and Local Water Resources</w:t>
      </w:r>
      <w:bookmarkEnd w:id="761"/>
    </w:p>
    <w:p w:rsidR="00485094" w:rsidRDefault="00485094" w:rsidP="00B215C8">
      <w:pPr>
        <w:pStyle w:val="TabledescriptionBF"/>
      </w:pPr>
      <w:r>
        <w:t>This is a two-column table.  Column 1 lists the function/entity, and Column 2 lists the primary coordination mechanisms.</w:t>
      </w:r>
    </w:p>
    <w:p w:rsidR="00485094" w:rsidRDefault="00485094" w:rsidP="00B215C8">
      <w:pPr>
        <w:pStyle w:val="TabledescriptionBF"/>
      </w:pPr>
    </w:p>
    <w:tbl>
      <w:tblPr>
        <w:tblW w:w="9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28"/>
        <w:gridCol w:w="5571"/>
      </w:tblGrid>
      <w:tr w:rsidR="00485094" w:rsidTr="00394CAD">
        <w:trPr>
          <w:trHeight w:val="432"/>
          <w:tblHeader/>
          <w:jc w:val="center"/>
        </w:trPr>
        <w:tc>
          <w:tcPr>
            <w:tcW w:w="4428" w:type="dxa"/>
            <w:tcBorders>
              <w:bottom w:val="double" w:sz="4" w:space="0" w:color="auto"/>
            </w:tcBorders>
            <w:shd w:val="clear" w:color="auto" w:fill="BDFFFF"/>
            <w:vAlign w:val="center"/>
          </w:tcPr>
          <w:p w:rsidR="00485094" w:rsidRDefault="00485094" w:rsidP="00394CAD">
            <w:pPr>
              <w:jc w:val="center"/>
              <w:rPr>
                <w:rFonts w:ascii="Arial" w:hAnsi="Arial"/>
                <w:b/>
                <w:i/>
                <w:snapToGrid w:val="0"/>
                <w:sz w:val="18"/>
              </w:rPr>
            </w:pPr>
            <w:r>
              <w:rPr>
                <w:rFonts w:ascii="Arial" w:hAnsi="Arial"/>
                <w:b/>
                <w:i/>
                <w:snapToGrid w:val="0"/>
                <w:sz w:val="18"/>
              </w:rPr>
              <w:t>Function/Entity</w:t>
            </w:r>
          </w:p>
        </w:tc>
        <w:tc>
          <w:tcPr>
            <w:tcW w:w="5571" w:type="dxa"/>
            <w:tcBorders>
              <w:bottom w:val="double" w:sz="4" w:space="0" w:color="auto"/>
            </w:tcBorders>
            <w:shd w:val="clear" w:color="auto" w:fill="BDFFFF"/>
            <w:vAlign w:val="center"/>
          </w:tcPr>
          <w:p w:rsidR="00485094" w:rsidRDefault="00485094" w:rsidP="00394CAD">
            <w:pPr>
              <w:jc w:val="center"/>
              <w:rPr>
                <w:rFonts w:ascii="Arial" w:hAnsi="Arial"/>
                <w:b/>
                <w:i/>
                <w:snapToGrid w:val="0"/>
                <w:sz w:val="18"/>
              </w:rPr>
            </w:pPr>
            <w:r>
              <w:rPr>
                <w:rFonts w:ascii="Arial" w:hAnsi="Arial"/>
                <w:b/>
                <w:i/>
                <w:snapToGrid w:val="0"/>
                <w:sz w:val="18"/>
              </w:rPr>
              <w:t>Primary Mechanisms</w:t>
            </w:r>
          </w:p>
        </w:tc>
      </w:tr>
      <w:tr w:rsidR="00485094" w:rsidTr="00394CAD">
        <w:trPr>
          <w:trHeight w:val="2807"/>
          <w:jc w:val="center"/>
        </w:trPr>
        <w:tc>
          <w:tcPr>
            <w:tcW w:w="4428" w:type="dxa"/>
            <w:tcBorders>
              <w:top w:val="double" w:sz="4" w:space="0" w:color="auto"/>
            </w:tcBorders>
            <w:shd w:val="clear" w:color="auto" w:fill="FFFFCC"/>
            <w:vAlign w:val="center"/>
          </w:tcPr>
          <w:p w:rsidR="00485094" w:rsidRDefault="00485094" w:rsidP="00394CAD">
            <w:pPr>
              <w:rPr>
                <w:rFonts w:ascii="Arial" w:hAnsi="Arial"/>
                <w:snapToGrid w:val="0"/>
                <w:sz w:val="18"/>
              </w:rPr>
            </w:pPr>
            <w:r>
              <w:rPr>
                <w:rFonts w:ascii="Arial" w:hAnsi="Arial"/>
                <w:snapToGrid w:val="0"/>
                <w:sz w:val="18"/>
              </w:rPr>
              <w:t xml:space="preserve">General supervision over water management districts (policies, plans, and programs) </w:t>
            </w:r>
          </w:p>
          <w:p w:rsidR="00485094" w:rsidRDefault="00485094" w:rsidP="00394CAD">
            <w:pPr>
              <w:rPr>
                <w:rFonts w:ascii="Arial" w:hAnsi="Arial"/>
                <w:snapToGrid w:val="0"/>
                <w:sz w:val="18"/>
              </w:rPr>
            </w:pPr>
            <w:r>
              <w:rPr>
                <w:rFonts w:ascii="Arial" w:hAnsi="Arial"/>
                <w:snapToGrid w:val="0"/>
                <w:sz w:val="18"/>
              </w:rPr>
              <w:t>(FDEP)</w:t>
            </w:r>
          </w:p>
        </w:tc>
        <w:tc>
          <w:tcPr>
            <w:tcW w:w="5571" w:type="dxa"/>
            <w:tcBorders>
              <w:top w:val="double" w:sz="4" w:space="0" w:color="auto"/>
            </w:tcBorders>
            <w:vAlign w:val="center"/>
          </w:tcPr>
          <w:p w:rsidR="00485094" w:rsidRDefault="00485094" w:rsidP="00394CAD">
            <w:pPr>
              <w:rPr>
                <w:rFonts w:ascii="Arial" w:hAnsi="Arial"/>
                <w:snapToGrid w:val="0"/>
                <w:sz w:val="18"/>
              </w:rPr>
            </w:pPr>
            <w:r>
              <w:rPr>
                <w:rFonts w:ascii="Arial" w:hAnsi="Arial"/>
                <w:snapToGrid w:val="0"/>
                <w:sz w:val="18"/>
              </w:rPr>
              <w:t>a. Water Resources Coordinating Commission</w:t>
            </w:r>
          </w:p>
          <w:p w:rsidR="00485094" w:rsidRDefault="00485094" w:rsidP="00394CAD">
            <w:pPr>
              <w:rPr>
                <w:rFonts w:ascii="Arial" w:hAnsi="Arial"/>
                <w:snapToGrid w:val="0"/>
                <w:sz w:val="18"/>
              </w:rPr>
            </w:pPr>
            <w:r>
              <w:rPr>
                <w:rFonts w:ascii="Arial" w:hAnsi="Arial"/>
                <w:snapToGrid w:val="0"/>
                <w:sz w:val="18"/>
              </w:rPr>
              <w:t>b. Meetings of the water management districts’ executive directors</w:t>
            </w:r>
          </w:p>
          <w:p w:rsidR="00485094" w:rsidRDefault="00485094" w:rsidP="00394CAD">
            <w:pPr>
              <w:ind w:left="243" w:hanging="243"/>
              <w:rPr>
                <w:rFonts w:ascii="Arial" w:hAnsi="Arial"/>
                <w:snapToGrid w:val="0"/>
                <w:sz w:val="18"/>
              </w:rPr>
            </w:pPr>
            <w:r>
              <w:rPr>
                <w:rFonts w:ascii="Arial" w:hAnsi="Arial"/>
                <w:snapToGrid w:val="0"/>
                <w:sz w:val="18"/>
              </w:rPr>
              <w:t>c. Water Resource Implementation Rule (Chapter 62-40, F.A.C.)</w:t>
            </w:r>
          </w:p>
          <w:p w:rsidR="00485094" w:rsidRDefault="00485094" w:rsidP="00394CAD">
            <w:pPr>
              <w:ind w:left="243" w:hanging="243"/>
              <w:rPr>
                <w:rFonts w:ascii="Arial" w:hAnsi="Arial"/>
                <w:snapToGrid w:val="0"/>
                <w:sz w:val="18"/>
              </w:rPr>
            </w:pPr>
            <w:r>
              <w:rPr>
                <w:rFonts w:ascii="Arial" w:hAnsi="Arial"/>
                <w:snapToGrid w:val="0"/>
                <w:sz w:val="18"/>
              </w:rPr>
              <w:t>d. Florida Water Plan/District Water Management Plan (DWMP) work group</w:t>
            </w:r>
          </w:p>
          <w:p w:rsidR="00485094" w:rsidRDefault="00485094" w:rsidP="00394CAD">
            <w:pPr>
              <w:rPr>
                <w:rFonts w:ascii="Arial" w:hAnsi="Arial"/>
                <w:snapToGrid w:val="0"/>
                <w:sz w:val="18"/>
              </w:rPr>
            </w:pPr>
            <w:r>
              <w:rPr>
                <w:rFonts w:ascii="Arial" w:hAnsi="Arial"/>
                <w:snapToGrid w:val="0"/>
                <w:sz w:val="18"/>
              </w:rPr>
              <w:t>e. Issue-specific work groups (policy and rule development)</w:t>
            </w:r>
          </w:p>
          <w:p w:rsidR="00485094" w:rsidRDefault="00485094" w:rsidP="00394CAD">
            <w:pPr>
              <w:rPr>
                <w:rFonts w:ascii="Arial" w:hAnsi="Arial"/>
                <w:snapToGrid w:val="0"/>
                <w:sz w:val="18"/>
              </w:rPr>
            </w:pPr>
            <w:r>
              <w:rPr>
                <w:rFonts w:ascii="Arial" w:hAnsi="Arial"/>
                <w:snapToGrid w:val="0"/>
                <w:sz w:val="18"/>
              </w:rPr>
              <w:t>f. Reuse Coordinating Committee</w:t>
            </w:r>
          </w:p>
          <w:p w:rsidR="00485094" w:rsidRDefault="00485094" w:rsidP="00394CAD">
            <w:pPr>
              <w:ind w:left="243" w:hanging="243"/>
              <w:rPr>
                <w:rFonts w:ascii="Arial" w:hAnsi="Arial"/>
                <w:snapToGrid w:val="0"/>
                <w:sz w:val="18"/>
              </w:rPr>
            </w:pPr>
            <w:r>
              <w:rPr>
                <w:rFonts w:ascii="Arial" w:hAnsi="Arial"/>
                <w:snapToGrid w:val="0"/>
                <w:sz w:val="18"/>
              </w:rPr>
              <w:t>g. Memoranda of understanding (delegation of programs and authorities)</w:t>
            </w:r>
          </w:p>
          <w:p w:rsidR="00485094" w:rsidRDefault="00485094" w:rsidP="00394CAD">
            <w:pPr>
              <w:rPr>
                <w:rFonts w:ascii="Arial" w:hAnsi="Arial"/>
                <w:snapToGrid w:val="0"/>
                <w:sz w:val="18"/>
              </w:rPr>
            </w:pPr>
            <w:r>
              <w:rPr>
                <w:rFonts w:ascii="Arial" w:hAnsi="Arial"/>
                <w:snapToGrid w:val="0"/>
                <w:sz w:val="18"/>
              </w:rPr>
              <w:t>h. Permit streamlining, mitigation banking</w:t>
            </w:r>
          </w:p>
          <w:p w:rsidR="00485094" w:rsidRDefault="00485094" w:rsidP="00394CAD">
            <w:pPr>
              <w:ind w:left="243" w:hanging="243"/>
              <w:rPr>
                <w:rFonts w:ascii="Arial" w:hAnsi="Arial"/>
                <w:snapToGrid w:val="0"/>
                <w:sz w:val="18"/>
              </w:rPr>
            </w:pPr>
            <w:proofErr w:type="spellStart"/>
            <w:r>
              <w:rPr>
                <w:rFonts w:ascii="Arial" w:hAnsi="Arial"/>
                <w:snapToGrid w:val="0"/>
                <w:sz w:val="18"/>
              </w:rPr>
              <w:t>i</w:t>
            </w:r>
            <w:proofErr w:type="spellEnd"/>
            <w:r>
              <w:rPr>
                <w:rFonts w:ascii="Arial" w:hAnsi="Arial"/>
                <w:snapToGrid w:val="0"/>
                <w:sz w:val="18"/>
              </w:rPr>
              <w:t>. FDEP review of water management district rules and budgets, auditing</w:t>
            </w:r>
          </w:p>
        </w:tc>
      </w:tr>
      <w:tr w:rsidR="00485094" w:rsidTr="00394CAD">
        <w:trPr>
          <w:trHeight w:val="1440"/>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Statewide watershed management approach (FDEP)</w:t>
            </w:r>
          </w:p>
        </w:tc>
        <w:tc>
          <w:tcPr>
            <w:tcW w:w="5571" w:type="dxa"/>
            <w:vAlign w:val="center"/>
          </w:tcPr>
          <w:p w:rsidR="00485094" w:rsidRDefault="00485094" w:rsidP="00394CAD">
            <w:pPr>
              <w:ind w:left="243" w:hanging="243"/>
              <w:rPr>
                <w:rFonts w:ascii="Arial" w:hAnsi="Arial"/>
                <w:snapToGrid w:val="0"/>
                <w:sz w:val="18"/>
              </w:rPr>
            </w:pPr>
            <w:r>
              <w:rPr>
                <w:rFonts w:ascii="Arial" w:hAnsi="Arial"/>
                <w:snapToGrid w:val="0"/>
                <w:sz w:val="18"/>
              </w:rPr>
              <w:t>a. Implementation of rotating basin watershed management cycle for assessing the state’s river basins</w:t>
            </w:r>
          </w:p>
          <w:p w:rsidR="00485094" w:rsidRDefault="00485094" w:rsidP="00394CAD">
            <w:pPr>
              <w:ind w:left="243" w:hanging="243"/>
              <w:rPr>
                <w:rFonts w:ascii="Arial" w:hAnsi="Arial"/>
                <w:snapToGrid w:val="0"/>
                <w:sz w:val="18"/>
              </w:rPr>
            </w:pPr>
            <w:r>
              <w:rPr>
                <w:rFonts w:ascii="Arial" w:hAnsi="Arial"/>
                <w:snapToGrid w:val="0"/>
                <w:sz w:val="18"/>
              </w:rPr>
              <w:t>b. Process for verifying impaired waterbodies in each basin</w:t>
            </w:r>
          </w:p>
          <w:p w:rsidR="00485094" w:rsidRDefault="00485094" w:rsidP="00394CAD">
            <w:pPr>
              <w:ind w:left="243" w:hanging="243"/>
              <w:rPr>
                <w:rFonts w:ascii="Arial" w:hAnsi="Arial"/>
                <w:snapToGrid w:val="0"/>
                <w:sz w:val="18"/>
              </w:rPr>
            </w:pPr>
            <w:r>
              <w:rPr>
                <w:rFonts w:ascii="Arial" w:hAnsi="Arial"/>
                <w:snapToGrid w:val="0"/>
                <w:sz w:val="18"/>
              </w:rPr>
              <w:t>c. Development of total maximum daily loads (TMDLs) for verified impaired waters</w:t>
            </w:r>
          </w:p>
          <w:p w:rsidR="00485094" w:rsidRDefault="00485094" w:rsidP="00394CAD">
            <w:pPr>
              <w:rPr>
                <w:rFonts w:ascii="Arial" w:hAnsi="Arial"/>
                <w:snapToGrid w:val="0"/>
                <w:sz w:val="18"/>
              </w:rPr>
            </w:pPr>
            <w:r>
              <w:rPr>
                <w:rFonts w:ascii="Arial" w:hAnsi="Arial"/>
                <w:snapToGrid w:val="0"/>
                <w:sz w:val="18"/>
              </w:rPr>
              <w:t>d. Adaptive management</w:t>
            </w:r>
          </w:p>
        </w:tc>
      </w:tr>
      <w:tr w:rsidR="00485094" w:rsidTr="00394CAD">
        <w:trPr>
          <w:trHeight w:val="576"/>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 xml:space="preserve">State Comprehensive Plan </w:t>
            </w:r>
          </w:p>
          <w:p w:rsidR="00485094" w:rsidRDefault="00485094" w:rsidP="00394CAD">
            <w:pPr>
              <w:rPr>
                <w:rFonts w:ascii="Arial" w:hAnsi="Arial"/>
                <w:snapToGrid w:val="0"/>
                <w:sz w:val="18"/>
              </w:rPr>
            </w:pPr>
            <w:r>
              <w:rPr>
                <w:rFonts w:ascii="Arial" w:hAnsi="Arial"/>
                <w:snapToGrid w:val="0"/>
                <w:sz w:val="18"/>
              </w:rPr>
              <w:t>(Governor’s Office)</w:t>
            </w:r>
          </w:p>
        </w:tc>
        <w:tc>
          <w:tcPr>
            <w:tcW w:w="5571" w:type="dxa"/>
            <w:vAlign w:val="center"/>
          </w:tcPr>
          <w:p w:rsidR="00485094" w:rsidRDefault="00485094" w:rsidP="00394CAD">
            <w:pPr>
              <w:rPr>
                <w:rFonts w:ascii="Arial" w:hAnsi="Arial"/>
                <w:snapToGrid w:val="0"/>
                <w:sz w:val="18"/>
              </w:rPr>
            </w:pPr>
            <w:r>
              <w:rPr>
                <w:rFonts w:ascii="Arial" w:hAnsi="Arial"/>
                <w:snapToGrid w:val="0"/>
                <w:sz w:val="18"/>
              </w:rPr>
              <w:t>Overall coordination by Governor’s Office</w:t>
            </w:r>
          </w:p>
        </w:tc>
      </w:tr>
      <w:tr w:rsidR="00485094" w:rsidTr="00394CAD">
        <w:trPr>
          <w:trHeight w:val="720"/>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 xml:space="preserve">State Land Development Plan </w:t>
            </w:r>
          </w:p>
          <w:p w:rsidR="00485094" w:rsidRDefault="00485094" w:rsidP="00394CAD">
            <w:pPr>
              <w:rPr>
                <w:rFonts w:ascii="Arial" w:hAnsi="Arial"/>
                <w:snapToGrid w:val="0"/>
                <w:sz w:val="18"/>
              </w:rPr>
            </w:pPr>
            <w:r>
              <w:rPr>
                <w:rFonts w:ascii="Arial" w:hAnsi="Arial"/>
                <w:snapToGrid w:val="0"/>
                <w:sz w:val="18"/>
              </w:rPr>
              <w:t>(Florida Department of Community Affairs [FDCA])</w:t>
            </w:r>
          </w:p>
        </w:tc>
        <w:tc>
          <w:tcPr>
            <w:tcW w:w="5571" w:type="dxa"/>
            <w:vAlign w:val="center"/>
          </w:tcPr>
          <w:p w:rsidR="00485094" w:rsidRDefault="00485094" w:rsidP="00394CAD">
            <w:pPr>
              <w:rPr>
                <w:rFonts w:ascii="Arial" w:hAnsi="Arial"/>
                <w:snapToGrid w:val="0"/>
                <w:sz w:val="18"/>
              </w:rPr>
            </w:pPr>
            <w:r>
              <w:rPr>
                <w:rFonts w:ascii="Arial" w:hAnsi="Arial"/>
                <w:snapToGrid w:val="0"/>
                <w:sz w:val="18"/>
              </w:rPr>
              <w:t>Interagency Planning Committees</w:t>
            </w:r>
          </w:p>
        </w:tc>
      </w:tr>
      <w:tr w:rsidR="00485094" w:rsidTr="00394CAD">
        <w:trPr>
          <w:trHeight w:val="720"/>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 xml:space="preserve">Florida Transportation Plan </w:t>
            </w:r>
          </w:p>
          <w:p w:rsidR="00485094" w:rsidRDefault="00485094" w:rsidP="00394CAD">
            <w:pPr>
              <w:rPr>
                <w:rFonts w:ascii="Arial" w:hAnsi="Arial"/>
                <w:snapToGrid w:val="0"/>
                <w:sz w:val="18"/>
              </w:rPr>
            </w:pPr>
            <w:r>
              <w:rPr>
                <w:rFonts w:ascii="Arial" w:hAnsi="Arial"/>
                <w:snapToGrid w:val="0"/>
                <w:sz w:val="18"/>
              </w:rPr>
              <w:t>(Florida Department of Transportation [FDOT])</w:t>
            </w:r>
          </w:p>
        </w:tc>
        <w:tc>
          <w:tcPr>
            <w:tcW w:w="5571" w:type="dxa"/>
            <w:vAlign w:val="center"/>
          </w:tcPr>
          <w:p w:rsidR="00485094" w:rsidRDefault="00485094" w:rsidP="00394CAD">
            <w:pPr>
              <w:rPr>
                <w:rFonts w:ascii="Arial" w:hAnsi="Arial"/>
                <w:snapToGrid w:val="0"/>
                <w:sz w:val="18"/>
              </w:rPr>
            </w:pPr>
            <w:r>
              <w:rPr>
                <w:rFonts w:ascii="Arial" w:hAnsi="Arial"/>
                <w:snapToGrid w:val="0"/>
                <w:sz w:val="18"/>
              </w:rPr>
              <w:t>Interagency plan review process</w:t>
            </w:r>
          </w:p>
        </w:tc>
      </w:tr>
      <w:tr w:rsidR="00485094" w:rsidTr="00394CAD">
        <w:trPr>
          <w:trHeight w:val="864"/>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 xml:space="preserve">Strategic regional policy plans </w:t>
            </w:r>
          </w:p>
          <w:p w:rsidR="00485094" w:rsidRDefault="00485094" w:rsidP="00394CAD">
            <w:pPr>
              <w:rPr>
                <w:rFonts w:ascii="Arial" w:hAnsi="Arial"/>
                <w:snapToGrid w:val="0"/>
                <w:sz w:val="18"/>
              </w:rPr>
            </w:pPr>
            <w:r>
              <w:rPr>
                <w:rFonts w:ascii="Arial" w:hAnsi="Arial"/>
                <w:snapToGrid w:val="0"/>
                <w:sz w:val="18"/>
              </w:rPr>
              <w:t>(Regional Planning Councils)</w:t>
            </w:r>
          </w:p>
        </w:tc>
        <w:tc>
          <w:tcPr>
            <w:tcW w:w="5571" w:type="dxa"/>
            <w:vAlign w:val="center"/>
          </w:tcPr>
          <w:p w:rsidR="00485094" w:rsidRDefault="00485094" w:rsidP="00394CAD">
            <w:pPr>
              <w:rPr>
                <w:rFonts w:ascii="Arial" w:hAnsi="Arial"/>
                <w:snapToGrid w:val="0"/>
                <w:sz w:val="18"/>
              </w:rPr>
            </w:pPr>
            <w:r>
              <w:rPr>
                <w:rFonts w:ascii="Arial" w:hAnsi="Arial"/>
                <w:snapToGrid w:val="0"/>
                <w:sz w:val="18"/>
              </w:rPr>
              <w:t>a. Florida Water Plan/DWMP work group</w:t>
            </w:r>
          </w:p>
          <w:p w:rsidR="00485094" w:rsidRDefault="00485094" w:rsidP="00394CAD">
            <w:pPr>
              <w:ind w:left="243" w:hanging="243"/>
              <w:rPr>
                <w:rFonts w:ascii="Arial" w:hAnsi="Arial"/>
                <w:snapToGrid w:val="0"/>
                <w:sz w:val="18"/>
              </w:rPr>
            </w:pPr>
            <w:r>
              <w:rPr>
                <w:rFonts w:ascii="Arial" w:hAnsi="Arial"/>
                <w:snapToGrid w:val="0"/>
                <w:sz w:val="18"/>
              </w:rPr>
              <w:t>b. Plan review process (Subsection 186.507[2], F.S., and Chapter 27E-5, F.A.C.)</w:t>
            </w:r>
          </w:p>
        </w:tc>
      </w:tr>
      <w:tr w:rsidR="00485094" w:rsidTr="00394CAD">
        <w:trPr>
          <w:trHeight w:val="864"/>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 xml:space="preserve">Agricultural interests </w:t>
            </w:r>
          </w:p>
          <w:p w:rsidR="00485094" w:rsidRDefault="00485094" w:rsidP="00394CAD">
            <w:pPr>
              <w:rPr>
                <w:rFonts w:ascii="Arial" w:hAnsi="Arial"/>
                <w:snapToGrid w:val="0"/>
                <w:sz w:val="18"/>
              </w:rPr>
            </w:pPr>
            <w:r>
              <w:rPr>
                <w:rFonts w:ascii="Arial" w:hAnsi="Arial"/>
                <w:snapToGrid w:val="0"/>
                <w:sz w:val="18"/>
              </w:rPr>
              <w:t>(FDACS)</w:t>
            </w:r>
          </w:p>
        </w:tc>
        <w:tc>
          <w:tcPr>
            <w:tcW w:w="5571" w:type="dxa"/>
            <w:vAlign w:val="center"/>
          </w:tcPr>
          <w:p w:rsidR="00485094" w:rsidRDefault="00485094" w:rsidP="00394CAD">
            <w:pPr>
              <w:rPr>
                <w:rFonts w:ascii="Arial" w:hAnsi="Arial"/>
                <w:snapToGrid w:val="0"/>
                <w:sz w:val="18"/>
              </w:rPr>
            </w:pPr>
            <w:r>
              <w:rPr>
                <w:rFonts w:ascii="Arial" w:hAnsi="Arial"/>
                <w:snapToGrid w:val="0"/>
                <w:sz w:val="18"/>
              </w:rPr>
              <w:t>Agricultural Water Policy Committee</w:t>
            </w:r>
          </w:p>
        </w:tc>
      </w:tr>
      <w:tr w:rsidR="00485094" w:rsidTr="00394CAD">
        <w:trPr>
          <w:trHeight w:val="638"/>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 xml:space="preserve">Local comprehensive plans </w:t>
            </w:r>
          </w:p>
          <w:p w:rsidR="00485094" w:rsidRDefault="00485094" w:rsidP="00394CAD">
            <w:pPr>
              <w:rPr>
                <w:rFonts w:ascii="Arial" w:hAnsi="Arial"/>
                <w:snapToGrid w:val="0"/>
                <w:sz w:val="18"/>
              </w:rPr>
            </w:pPr>
            <w:r>
              <w:rPr>
                <w:rFonts w:ascii="Arial" w:hAnsi="Arial"/>
                <w:snapToGrid w:val="0"/>
                <w:sz w:val="18"/>
              </w:rPr>
              <w:t>(FDCA)</w:t>
            </w:r>
          </w:p>
        </w:tc>
        <w:tc>
          <w:tcPr>
            <w:tcW w:w="5571" w:type="dxa"/>
            <w:vAlign w:val="center"/>
          </w:tcPr>
          <w:p w:rsidR="00485094" w:rsidRDefault="00485094" w:rsidP="00394CAD">
            <w:pPr>
              <w:rPr>
                <w:rFonts w:ascii="Arial" w:hAnsi="Arial"/>
                <w:snapToGrid w:val="0"/>
                <w:sz w:val="18"/>
              </w:rPr>
            </w:pPr>
            <w:r>
              <w:rPr>
                <w:rFonts w:ascii="Arial" w:hAnsi="Arial"/>
                <w:snapToGrid w:val="0"/>
                <w:sz w:val="18"/>
              </w:rPr>
              <w:t>Plan review process</w:t>
            </w:r>
          </w:p>
          <w:p w:rsidR="00485094" w:rsidRDefault="00485094" w:rsidP="00394CAD">
            <w:pPr>
              <w:rPr>
                <w:rFonts w:ascii="Arial" w:hAnsi="Arial"/>
                <w:snapToGrid w:val="0"/>
                <w:sz w:val="18"/>
              </w:rPr>
            </w:pPr>
            <w:r>
              <w:rPr>
                <w:rFonts w:ascii="Arial" w:hAnsi="Arial"/>
                <w:snapToGrid w:val="0"/>
                <w:sz w:val="18"/>
              </w:rPr>
              <w:t>(Chapter 9J-5, F.A.C.)</w:t>
            </w:r>
          </w:p>
        </w:tc>
      </w:tr>
      <w:tr w:rsidR="00485094" w:rsidTr="00394CAD">
        <w:trPr>
          <w:trHeight w:val="1008"/>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Water supply planning, wastewater management, stormwater management, solid waste management</w:t>
            </w:r>
          </w:p>
          <w:p w:rsidR="00485094" w:rsidRDefault="00485094" w:rsidP="00394CAD">
            <w:pPr>
              <w:rPr>
                <w:rFonts w:ascii="Arial" w:hAnsi="Arial"/>
                <w:snapToGrid w:val="0"/>
                <w:sz w:val="18"/>
              </w:rPr>
            </w:pPr>
            <w:r>
              <w:rPr>
                <w:rFonts w:ascii="Arial" w:hAnsi="Arial"/>
                <w:snapToGrid w:val="0"/>
                <w:sz w:val="18"/>
              </w:rPr>
              <w:t>(Local governments)</w:t>
            </w:r>
          </w:p>
        </w:tc>
        <w:tc>
          <w:tcPr>
            <w:tcW w:w="5571" w:type="dxa"/>
            <w:vAlign w:val="center"/>
          </w:tcPr>
          <w:p w:rsidR="00485094" w:rsidRDefault="00485094" w:rsidP="00394CAD">
            <w:pPr>
              <w:rPr>
                <w:rFonts w:ascii="Arial" w:hAnsi="Arial"/>
                <w:snapToGrid w:val="0"/>
                <w:sz w:val="18"/>
              </w:rPr>
            </w:pPr>
            <w:r>
              <w:rPr>
                <w:rFonts w:ascii="Arial" w:hAnsi="Arial"/>
                <w:snapToGrid w:val="0"/>
                <w:sz w:val="18"/>
              </w:rPr>
              <w:t>FDEP and water management district programs for technical and financial assistance</w:t>
            </w:r>
          </w:p>
        </w:tc>
      </w:tr>
      <w:tr w:rsidR="00485094" w:rsidTr="00394CAD">
        <w:trPr>
          <w:trHeight w:val="864"/>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Reuse of reclaimed water</w:t>
            </w:r>
          </w:p>
          <w:p w:rsidR="00485094" w:rsidRDefault="00485094" w:rsidP="00394CAD">
            <w:pPr>
              <w:rPr>
                <w:rFonts w:ascii="Arial" w:hAnsi="Arial"/>
                <w:snapToGrid w:val="0"/>
                <w:sz w:val="18"/>
              </w:rPr>
            </w:pPr>
            <w:r>
              <w:rPr>
                <w:rFonts w:ascii="Arial" w:hAnsi="Arial"/>
                <w:snapToGrid w:val="0"/>
                <w:sz w:val="18"/>
              </w:rPr>
              <w:t>(FDEP, water management districts, FDCA, FDOT, Public Service Commission)</w:t>
            </w:r>
          </w:p>
        </w:tc>
        <w:tc>
          <w:tcPr>
            <w:tcW w:w="5571" w:type="dxa"/>
            <w:vAlign w:val="center"/>
          </w:tcPr>
          <w:p w:rsidR="00485094" w:rsidRDefault="00485094" w:rsidP="00394CAD">
            <w:pPr>
              <w:rPr>
                <w:rFonts w:ascii="Arial" w:hAnsi="Arial"/>
                <w:snapToGrid w:val="0"/>
                <w:sz w:val="18"/>
              </w:rPr>
            </w:pPr>
            <w:r>
              <w:rPr>
                <w:rFonts w:ascii="Arial" w:hAnsi="Arial"/>
                <w:snapToGrid w:val="0"/>
                <w:sz w:val="18"/>
              </w:rPr>
              <w:t>Reuse Coordinating Committee</w:t>
            </w:r>
          </w:p>
        </w:tc>
      </w:tr>
      <w:tr w:rsidR="00485094" w:rsidTr="00394CAD">
        <w:trPr>
          <w:trHeight w:val="1872"/>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U.S. Army Corps of Engineers</w:t>
            </w:r>
          </w:p>
        </w:tc>
        <w:tc>
          <w:tcPr>
            <w:tcW w:w="5571" w:type="dxa"/>
            <w:vAlign w:val="center"/>
          </w:tcPr>
          <w:p w:rsidR="00485094" w:rsidRDefault="00485094" w:rsidP="00394CAD">
            <w:pPr>
              <w:rPr>
                <w:rFonts w:ascii="Arial" w:hAnsi="Arial"/>
                <w:snapToGrid w:val="0"/>
                <w:sz w:val="18"/>
              </w:rPr>
            </w:pPr>
            <w:r>
              <w:rPr>
                <w:rFonts w:ascii="Arial" w:hAnsi="Arial"/>
                <w:snapToGrid w:val="0"/>
                <w:sz w:val="18"/>
              </w:rPr>
              <w:t>a. Public works program</w:t>
            </w:r>
          </w:p>
          <w:p w:rsidR="00485094" w:rsidRDefault="00485094" w:rsidP="00394CAD">
            <w:pPr>
              <w:rPr>
                <w:rFonts w:ascii="Arial" w:hAnsi="Arial"/>
                <w:snapToGrid w:val="0"/>
                <w:sz w:val="18"/>
              </w:rPr>
            </w:pPr>
            <w:r>
              <w:rPr>
                <w:rFonts w:ascii="Arial" w:hAnsi="Arial"/>
                <w:snapToGrid w:val="0"/>
                <w:sz w:val="18"/>
              </w:rPr>
              <w:t>b. State clearinghouse review process</w:t>
            </w:r>
          </w:p>
          <w:p w:rsidR="00485094" w:rsidRDefault="00485094" w:rsidP="00394CAD">
            <w:pPr>
              <w:rPr>
                <w:rFonts w:ascii="Arial" w:hAnsi="Arial"/>
                <w:snapToGrid w:val="0"/>
                <w:sz w:val="18"/>
              </w:rPr>
            </w:pPr>
            <w:r>
              <w:rPr>
                <w:rFonts w:ascii="Arial" w:hAnsi="Arial"/>
                <w:snapToGrid w:val="0"/>
                <w:sz w:val="18"/>
              </w:rPr>
              <w:t>c. Quarterly meetings between FDEP and the Corps</w:t>
            </w:r>
          </w:p>
          <w:p w:rsidR="00485094" w:rsidRDefault="00485094" w:rsidP="00394CAD">
            <w:pPr>
              <w:ind w:left="243" w:hanging="243"/>
              <w:rPr>
                <w:rFonts w:ascii="Arial" w:hAnsi="Arial"/>
                <w:snapToGrid w:val="0"/>
                <w:sz w:val="18"/>
              </w:rPr>
            </w:pPr>
            <w:r>
              <w:rPr>
                <w:rFonts w:ascii="Arial" w:hAnsi="Arial"/>
                <w:snapToGrid w:val="0"/>
                <w:sz w:val="18"/>
              </w:rPr>
              <w:t>d. Joint FDEP/Corps permit application process (CWA, Section 404)</w:t>
            </w:r>
          </w:p>
          <w:p w:rsidR="00485094" w:rsidRDefault="00485094" w:rsidP="00394CAD">
            <w:pPr>
              <w:rPr>
                <w:rFonts w:ascii="Arial" w:hAnsi="Arial"/>
                <w:snapToGrid w:val="0"/>
                <w:sz w:val="18"/>
              </w:rPr>
            </w:pPr>
            <w:r>
              <w:rPr>
                <w:rFonts w:ascii="Arial" w:hAnsi="Arial"/>
                <w:snapToGrid w:val="0"/>
                <w:sz w:val="18"/>
              </w:rPr>
              <w:t>e. Memoranda of understanding</w:t>
            </w:r>
          </w:p>
          <w:p w:rsidR="00485094" w:rsidRDefault="00485094" w:rsidP="00394CAD">
            <w:pPr>
              <w:rPr>
                <w:rFonts w:ascii="Arial" w:hAnsi="Arial"/>
                <w:snapToGrid w:val="0"/>
                <w:sz w:val="18"/>
              </w:rPr>
            </w:pPr>
            <w:r>
              <w:rPr>
                <w:rFonts w:ascii="Arial" w:hAnsi="Arial"/>
                <w:snapToGrid w:val="0"/>
                <w:sz w:val="18"/>
              </w:rPr>
              <w:t>f. Potential delegation of Section 404 permitting to FDEP</w:t>
            </w:r>
          </w:p>
        </w:tc>
      </w:tr>
      <w:tr w:rsidR="00485094" w:rsidTr="00394CAD">
        <w:trPr>
          <w:trHeight w:val="1152"/>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U.S. Environmental Protection Agency</w:t>
            </w:r>
          </w:p>
        </w:tc>
        <w:tc>
          <w:tcPr>
            <w:tcW w:w="5571" w:type="dxa"/>
            <w:vAlign w:val="center"/>
          </w:tcPr>
          <w:p w:rsidR="00485094" w:rsidRDefault="00485094" w:rsidP="00394CAD">
            <w:pPr>
              <w:ind w:left="243" w:hanging="243"/>
              <w:rPr>
                <w:rFonts w:ascii="Arial" w:hAnsi="Arial"/>
                <w:snapToGrid w:val="0"/>
                <w:sz w:val="18"/>
              </w:rPr>
            </w:pPr>
            <w:r>
              <w:rPr>
                <w:rFonts w:ascii="Arial" w:hAnsi="Arial"/>
                <w:snapToGrid w:val="0"/>
                <w:sz w:val="18"/>
              </w:rPr>
              <w:t>a. U. S. Environmental Protection Agency (EPA)/FDEP yearly work plans and grants</w:t>
            </w:r>
          </w:p>
          <w:p w:rsidR="00485094" w:rsidRDefault="00485094" w:rsidP="00394CAD">
            <w:pPr>
              <w:rPr>
                <w:rFonts w:ascii="Arial" w:hAnsi="Arial"/>
                <w:snapToGrid w:val="0"/>
                <w:sz w:val="18"/>
              </w:rPr>
            </w:pPr>
            <w:r>
              <w:rPr>
                <w:rFonts w:ascii="Arial" w:hAnsi="Arial"/>
                <w:snapToGrid w:val="0"/>
                <w:sz w:val="18"/>
              </w:rPr>
              <w:t>b. EPA technical assistance and special projects</w:t>
            </w:r>
          </w:p>
          <w:p w:rsidR="00485094" w:rsidRDefault="00485094" w:rsidP="00394CAD">
            <w:pPr>
              <w:rPr>
                <w:rFonts w:ascii="Arial" w:hAnsi="Arial"/>
                <w:snapToGrid w:val="0"/>
                <w:sz w:val="18"/>
              </w:rPr>
            </w:pPr>
            <w:r>
              <w:rPr>
                <w:rFonts w:ascii="Arial" w:hAnsi="Arial"/>
                <w:snapToGrid w:val="0"/>
                <w:sz w:val="18"/>
              </w:rPr>
              <w:t>c. Delegation of EPA/CWA programs to FDEP</w:t>
            </w:r>
          </w:p>
          <w:p w:rsidR="00485094" w:rsidRDefault="00485094" w:rsidP="00394CAD">
            <w:pPr>
              <w:rPr>
                <w:rFonts w:ascii="Arial" w:hAnsi="Arial"/>
                <w:snapToGrid w:val="0"/>
                <w:sz w:val="18"/>
              </w:rPr>
            </w:pPr>
            <w:r>
              <w:rPr>
                <w:rFonts w:ascii="Arial" w:hAnsi="Arial"/>
                <w:snapToGrid w:val="0"/>
                <w:sz w:val="18"/>
              </w:rPr>
              <w:t>d. National Estuary Program annual work plans and grants</w:t>
            </w:r>
          </w:p>
        </w:tc>
      </w:tr>
      <w:tr w:rsidR="00485094" w:rsidTr="00394CAD">
        <w:trPr>
          <w:trHeight w:val="720"/>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National Oceanic and Atmospheric Administration</w:t>
            </w:r>
          </w:p>
        </w:tc>
        <w:tc>
          <w:tcPr>
            <w:tcW w:w="5571" w:type="dxa"/>
            <w:vAlign w:val="center"/>
          </w:tcPr>
          <w:p w:rsidR="00485094" w:rsidRDefault="00485094" w:rsidP="00394CAD">
            <w:pPr>
              <w:rPr>
                <w:rFonts w:ascii="Arial" w:hAnsi="Arial"/>
                <w:snapToGrid w:val="0"/>
                <w:sz w:val="18"/>
              </w:rPr>
            </w:pPr>
            <w:r>
              <w:rPr>
                <w:rFonts w:ascii="Arial" w:hAnsi="Arial"/>
                <w:snapToGrid w:val="0"/>
                <w:sz w:val="18"/>
              </w:rPr>
              <w:t>a. Grants</w:t>
            </w:r>
          </w:p>
          <w:p w:rsidR="00485094" w:rsidRDefault="00485094" w:rsidP="00394CAD">
            <w:pPr>
              <w:rPr>
                <w:rFonts w:ascii="Arial" w:hAnsi="Arial"/>
                <w:snapToGrid w:val="0"/>
                <w:sz w:val="18"/>
              </w:rPr>
            </w:pPr>
            <w:r>
              <w:rPr>
                <w:rFonts w:ascii="Arial" w:hAnsi="Arial"/>
                <w:snapToGrid w:val="0"/>
                <w:sz w:val="18"/>
              </w:rPr>
              <w:t>b. Cooperative agreements and special projects</w:t>
            </w:r>
          </w:p>
        </w:tc>
      </w:tr>
      <w:tr w:rsidR="00485094" w:rsidTr="00394CAD">
        <w:trPr>
          <w:trHeight w:val="720"/>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U.S. Geological Survey</w:t>
            </w:r>
          </w:p>
        </w:tc>
        <w:tc>
          <w:tcPr>
            <w:tcW w:w="5571" w:type="dxa"/>
            <w:vAlign w:val="center"/>
          </w:tcPr>
          <w:p w:rsidR="00485094" w:rsidRDefault="00485094" w:rsidP="00394CAD">
            <w:pPr>
              <w:rPr>
                <w:rFonts w:ascii="Arial" w:hAnsi="Arial"/>
                <w:snapToGrid w:val="0"/>
                <w:sz w:val="18"/>
              </w:rPr>
            </w:pPr>
            <w:r>
              <w:rPr>
                <w:rFonts w:ascii="Arial" w:hAnsi="Arial"/>
                <w:snapToGrid w:val="0"/>
                <w:sz w:val="18"/>
              </w:rPr>
              <w:t>a. Contracts for technical services and data</w:t>
            </w:r>
          </w:p>
          <w:p w:rsidR="00485094" w:rsidRDefault="00485094" w:rsidP="00394CAD">
            <w:pPr>
              <w:rPr>
                <w:rFonts w:ascii="Arial" w:hAnsi="Arial"/>
                <w:snapToGrid w:val="0"/>
                <w:sz w:val="18"/>
              </w:rPr>
            </w:pPr>
            <w:r>
              <w:rPr>
                <w:rFonts w:ascii="Arial" w:hAnsi="Arial"/>
                <w:snapToGrid w:val="0"/>
                <w:sz w:val="18"/>
              </w:rPr>
              <w:t>b. Cooperative agreements</w:t>
            </w:r>
          </w:p>
        </w:tc>
      </w:tr>
      <w:tr w:rsidR="00485094" w:rsidTr="00394CAD">
        <w:trPr>
          <w:trHeight w:val="864"/>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U.S. Department of Agriculture Natural Resource</w:t>
            </w:r>
            <w:r w:rsidR="00E22C45">
              <w:rPr>
                <w:rFonts w:ascii="Arial" w:hAnsi="Arial"/>
                <w:snapToGrid w:val="0"/>
                <w:sz w:val="18"/>
              </w:rPr>
              <w:t>s</w:t>
            </w:r>
            <w:r>
              <w:rPr>
                <w:rFonts w:ascii="Arial" w:hAnsi="Arial"/>
                <w:snapToGrid w:val="0"/>
                <w:sz w:val="18"/>
              </w:rPr>
              <w:t xml:space="preserve"> Conservation Service (formerly Soil Conservation Service)</w:t>
            </w:r>
          </w:p>
        </w:tc>
        <w:tc>
          <w:tcPr>
            <w:tcW w:w="5571" w:type="dxa"/>
            <w:vAlign w:val="center"/>
          </w:tcPr>
          <w:p w:rsidR="00485094" w:rsidRDefault="00485094" w:rsidP="00394CAD">
            <w:pPr>
              <w:rPr>
                <w:rFonts w:ascii="Arial" w:hAnsi="Arial"/>
                <w:snapToGrid w:val="0"/>
                <w:sz w:val="18"/>
              </w:rPr>
            </w:pPr>
            <w:r>
              <w:rPr>
                <w:rFonts w:ascii="Arial" w:hAnsi="Arial"/>
                <w:snapToGrid w:val="0"/>
                <w:sz w:val="18"/>
              </w:rPr>
              <w:t>Contracts for technical services and data</w:t>
            </w:r>
          </w:p>
        </w:tc>
      </w:tr>
      <w:tr w:rsidR="00485094" w:rsidTr="00394CAD">
        <w:trPr>
          <w:trHeight w:val="432"/>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U.S. Forest Service</w:t>
            </w:r>
          </w:p>
        </w:tc>
        <w:tc>
          <w:tcPr>
            <w:tcW w:w="5571" w:type="dxa"/>
            <w:vAlign w:val="center"/>
          </w:tcPr>
          <w:p w:rsidR="00485094" w:rsidRDefault="00485094" w:rsidP="00394CAD">
            <w:pPr>
              <w:rPr>
                <w:rFonts w:ascii="Arial" w:hAnsi="Arial"/>
                <w:snapToGrid w:val="0"/>
                <w:sz w:val="18"/>
              </w:rPr>
            </w:pPr>
            <w:r>
              <w:rPr>
                <w:rFonts w:ascii="Arial" w:hAnsi="Arial"/>
                <w:snapToGrid w:val="0"/>
                <w:sz w:val="18"/>
              </w:rPr>
              <w:t>Ecosystem Management teams</w:t>
            </w:r>
          </w:p>
        </w:tc>
      </w:tr>
      <w:tr w:rsidR="00485094" w:rsidTr="00394CAD">
        <w:trPr>
          <w:trHeight w:val="864"/>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U.S. Fish and Wildlife Service</w:t>
            </w:r>
          </w:p>
        </w:tc>
        <w:tc>
          <w:tcPr>
            <w:tcW w:w="5571" w:type="dxa"/>
            <w:vAlign w:val="center"/>
          </w:tcPr>
          <w:p w:rsidR="00485094" w:rsidRDefault="00485094" w:rsidP="00394CAD">
            <w:pPr>
              <w:rPr>
                <w:rFonts w:ascii="Arial" w:hAnsi="Arial"/>
                <w:snapToGrid w:val="0"/>
                <w:sz w:val="18"/>
              </w:rPr>
            </w:pPr>
            <w:r>
              <w:rPr>
                <w:rFonts w:ascii="Arial" w:hAnsi="Arial"/>
                <w:snapToGrid w:val="0"/>
                <w:sz w:val="18"/>
              </w:rPr>
              <w:t>a. Acquisition programs</w:t>
            </w:r>
          </w:p>
          <w:p w:rsidR="00485094" w:rsidRDefault="00485094" w:rsidP="00394CAD">
            <w:pPr>
              <w:rPr>
                <w:rFonts w:ascii="Arial" w:hAnsi="Arial"/>
                <w:snapToGrid w:val="0"/>
                <w:sz w:val="18"/>
              </w:rPr>
            </w:pPr>
            <w:r>
              <w:rPr>
                <w:rFonts w:ascii="Arial" w:hAnsi="Arial"/>
                <w:snapToGrid w:val="0"/>
                <w:sz w:val="18"/>
              </w:rPr>
              <w:t>b. Ecosystem Management teams</w:t>
            </w:r>
          </w:p>
          <w:p w:rsidR="00485094" w:rsidRDefault="00485094" w:rsidP="00394CAD">
            <w:pPr>
              <w:rPr>
                <w:rFonts w:ascii="Arial" w:hAnsi="Arial"/>
                <w:snapToGrid w:val="0"/>
                <w:sz w:val="18"/>
              </w:rPr>
            </w:pPr>
            <w:r>
              <w:rPr>
                <w:rFonts w:ascii="Arial" w:hAnsi="Arial"/>
                <w:snapToGrid w:val="0"/>
                <w:sz w:val="18"/>
              </w:rPr>
              <w:t>c. Special projects</w:t>
            </w:r>
          </w:p>
        </w:tc>
      </w:tr>
      <w:tr w:rsidR="00485094" w:rsidTr="00394CAD">
        <w:trPr>
          <w:trHeight w:val="720"/>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National Park Service</w:t>
            </w:r>
          </w:p>
        </w:tc>
        <w:tc>
          <w:tcPr>
            <w:tcW w:w="5571" w:type="dxa"/>
            <w:vAlign w:val="center"/>
          </w:tcPr>
          <w:p w:rsidR="00485094" w:rsidRDefault="00485094" w:rsidP="00394CAD">
            <w:pPr>
              <w:rPr>
                <w:rFonts w:ascii="Arial" w:hAnsi="Arial"/>
                <w:snapToGrid w:val="0"/>
                <w:sz w:val="18"/>
              </w:rPr>
            </w:pPr>
            <w:r>
              <w:rPr>
                <w:rFonts w:ascii="Arial" w:hAnsi="Arial"/>
                <w:snapToGrid w:val="0"/>
                <w:sz w:val="18"/>
              </w:rPr>
              <w:t>a. Acquisition programs</w:t>
            </w:r>
          </w:p>
          <w:p w:rsidR="00485094" w:rsidRDefault="00485094" w:rsidP="00394CAD">
            <w:pPr>
              <w:rPr>
                <w:rFonts w:ascii="Arial" w:hAnsi="Arial"/>
                <w:snapToGrid w:val="0"/>
                <w:sz w:val="18"/>
              </w:rPr>
            </w:pPr>
            <w:r>
              <w:rPr>
                <w:rFonts w:ascii="Arial" w:hAnsi="Arial"/>
                <w:snapToGrid w:val="0"/>
                <w:sz w:val="18"/>
              </w:rPr>
              <w:t>b. Ecosystem Management teams</w:t>
            </w:r>
          </w:p>
        </w:tc>
      </w:tr>
      <w:tr w:rsidR="00485094" w:rsidTr="00394CAD">
        <w:trPr>
          <w:trHeight w:val="1484"/>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Alabama and Georgia</w:t>
            </w:r>
          </w:p>
        </w:tc>
        <w:tc>
          <w:tcPr>
            <w:tcW w:w="5571" w:type="dxa"/>
            <w:vAlign w:val="center"/>
          </w:tcPr>
          <w:p w:rsidR="00485094" w:rsidRDefault="00485094" w:rsidP="00394CAD">
            <w:pPr>
              <w:ind w:left="243" w:hanging="243"/>
              <w:rPr>
                <w:rFonts w:ascii="Arial" w:hAnsi="Arial"/>
                <w:snapToGrid w:val="0"/>
                <w:sz w:val="18"/>
              </w:rPr>
            </w:pPr>
            <w:r>
              <w:rPr>
                <w:rFonts w:ascii="Arial" w:hAnsi="Arial"/>
                <w:snapToGrid w:val="0"/>
                <w:sz w:val="18"/>
              </w:rPr>
              <w:t>a. Memorandum of Agreement for Apalachicola–Chattahoochee–Flint/Alabama–Coosa–Tallapoosa Rivers Comprehensive Study</w:t>
            </w:r>
          </w:p>
          <w:p w:rsidR="00485094" w:rsidRDefault="00485094" w:rsidP="00394CAD">
            <w:pPr>
              <w:rPr>
                <w:rFonts w:ascii="Arial" w:hAnsi="Arial"/>
                <w:snapToGrid w:val="0"/>
                <w:sz w:val="18"/>
              </w:rPr>
            </w:pPr>
            <w:r>
              <w:rPr>
                <w:rFonts w:ascii="Arial" w:hAnsi="Arial"/>
                <w:snapToGrid w:val="0"/>
                <w:sz w:val="18"/>
              </w:rPr>
              <w:t>b. Suwannee River Coordinating Committee</w:t>
            </w:r>
          </w:p>
          <w:p w:rsidR="00485094" w:rsidRDefault="00485094" w:rsidP="00394CAD">
            <w:pPr>
              <w:rPr>
                <w:rFonts w:ascii="Arial" w:hAnsi="Arial"/>
                <w:snapToGrid w:val="0"/>
                <w:sz w:val="18"/>
              </w:rPr>
            </w:pPr>
            <w:r>
              <w:rPr>
                <w:rFonts w:ascii="Arial" w:hAnsi="Arial"/>
                <w:snapToGrid w:val="0"/>
                <w:sz w:val="18"/>
              </w:rPr>
              <w:t>c. St. Marys River Management Committee</w:t>
            </w:r>
          </w:p>
          <w:p w:rsidR="00485094" w:rsidRDefault="00485094" w:rsidP="00394CAD">
            <w:pPr>
              <w:rPr>
                <w:rFonts w:ascii="Arial" w:hAnsi="Arial"/>
                <w:snapToGrid w:val="0"/>
                <w:sz w:val="18"/>
              </w:rPr>
            </w:pPr>
            <w:r>
              <w:rPr>
                <w:rFonts w:ascii="Arial" w:hAnsi="Arial"/>
                <w:snapToGrid w:val="0"/>
                <w:sz w:val="18"/>
              </w:rPr>
              <w:t>d. Florida–Alabama Water Resources Coordinating Council</w:t>
            </w:r>
          </w:p>
        </w:tc>
      </w:tr>
    </w:tbl>
    <w:p w:rsidR="00485094" w:rsidRDefault="00485094" w:rsidP="00B215C8">
      <w:pPr>
        <w:pStyle w:val="Bodytextreduced"/>
      </w:pPr>
    </w:p>
    <w:p w:rsidR="00485094" w:rsidRDefault="00485094" w:rsidP="00B215C8">
      <w:pPr>
        <w:pStyle w:val="Bodytextreduced"/>
      </w:pPr>
    </w:p>
    <w:p w:rsidR="00485094" w:rsidRDefault="00485094" w:rsidP="00B215C8">
      <w:pPr>
        <w:pStyle w:val="Bodytextreduced"/>
      </w:pPr>
      <w:r>
        <w:br w:type="page"/>
      </w:r>
    </w:p>
    <w:p w:rsidR="00485094" w:rsidRDefault="00485094" w:rsidP="00B215C8">
      <w:pPr>
        <w:pStyle w:val="Caption"/>
        <w:rPr>
          <w:snapToGrid w:val="0"/>
        </w:rPr>
      </w:pPr>
      <w:bookmarkStart w:id="762" w:name="_Toc271280190"/>
      <w:r>
        <w:rPr>
          <w:snapToGrid w:val="0"/>
        </w:rPr>
        <w:t>Figure 11.1.  Agencies Responsible for Water Resource Coordination and Management in Florida</w:t>
      </w:r>
      <w:bookmarkEnd w:id="762"/>
    </w:p>
    <w:p w:rsidR="00485094" w:rsidRPr="008E4963" w:rsidRDefault="00A74EF3" w:rsidP="00B215C8">
      <w:pPr>
        <w:pStyle w:val="Bodytextreduced"/>
      </w:pPr>
      <w:r>
        <w:rPr>
          <w:noProof/>
        </w:rPr>
        <w:pict>
          <v:shape id="_x0000_s1070" type="#_x0000_t75" alt="Figure 11.1.  Agencies Responsible for Water Resource Coordination and Management in Florida" style="position:absolute;margin-left:0;margin-top:99.35pt;width:519.1pt;height:370.3pt;z-index:-251647488;visibility:visible;mso-wrap-edited:f;mso-position-horizontal:center;mso-position-horizontal-relative:margin;mso-position-vertical-relative:page" fillcolor="window" stroked="t" strokeweight=".5pt">
            <v:imagedata r:id="rId193" o:title="" croptop="3273f"/>
            <w10:wrap type="square" anchorx="margin" anchory="page"/>
            <w10:anchorlock/>
          </v:shape>
          <o:OLEObject Type="Embed" ProgID="Word.Picture.8" ShapeID="_x0000_s1070" DrawAspect="Content" ObjectID="_1345471495" r:id="rId194"/>
        </w:pict>
      </w:r>
    </w:p>
    <w:p w:rsidR="00485094" w:rsidRDefault="00485094" w:rsidP="00B215C8">
      <w:pPr>
        <w:pStyle w:val="Bodytextreduced"/>
        <w:rPr>
          <w:snapToGrid w:val="0"/>
        </w:rPr>
      </w:pPr>
    </w:p>
    <w:p w:rsidR="00485094" w:rsidRDefault="00485094" w:rsidP="00B215C8">
      <w:pPr>
        <w:pStyle w:val="Bodytextreduced"/>
        <w:rPr>
          <w:snapToGrid w:val="0"/>
        </w:rPr>
      </w:pPr>
    </w:p>
    <w:p w:rsidR="00485094" w:rsidRPr="00D61F2C" w:rsidRDefault="00485094" w:rsidP="00B215C8">
      <w:pPr>
        <w:pStyle w:val="Heading5"/>
      </w:pPr>
      <w:r w:rsidRPr="00D61F2C">
        <w:t>Recommended Nonpoint Source Programs</w:t>
      </w:r>
    </w:p>
    <w:p w:rsidR="00485094" w:rsidRDefault="00485094" w:rsidP="00B215C8">
      <w:pPr>
        <w:pStyle w:val="Bodytext"/>
        <w:rPr>
          <w:szCs w:val="22"/>
        </w:rPr>
      </w:pPr>
      <w:r w:rsidRPr="00112598">
        <w:rPr>
          <w:szCs w:val="22"/>
        </w:rPr>
        <w:t xml:space="preserve">FDEP </w:t>
      </w:r>
      <w:r>
        <w:rPr>
          <w:szCs w:val="22"/>
        </w:rPr>
        <w:t xml:space="preserve">is </w:t>
      </w:r>
      <w:r w:rsidRPr="00112598">
        <w:rPr>
          <w:szCs w:val="22"/>
        </w:rPr>
        <w:t xml:space="preserve">currently </w:t>
      </w:r>
      <w:r>
        <w:rPr>
          <w:szCs w:val="22"/>
        </w:rPr>
        <w:t xml:space="preserve">developing a revised statewide stormwater treatment rule that will </w:t>
      </w:r>
      <w:r w:rsidRPr="00112598">
        <w:rPr>
          <w:szCs w:val="22"/>
        </w:rPr>
        <w:t>increase the minimum level of treatment of nutrients from stormwater discharges</w:t>
      </w:r>
      <w:r>
        <w:rPr>
          <w:szCs w:val="22"/>
        </w:rPr>
        <w:t xml:space="preserve">.  It </w:t>
      </w:r>
      <w:r w:rsidRPr="00112598">
        <w:rPr>
          <w:szCs w:val="22"/>
        </w:rPr>
        <w:t xml:space="preserve">is </w:t>
      </w:r>
      <w:r>
        <w:rPr>
          <w:szCs w:val="22"/>
        </w:rPr>
        <w:t xml:space="preserve">also </w:t>
      </w:r>
      <w:r w:rsidRPr="00112598">
        <w:rPr>
          <w:szCs w:val="22"/>
        </w:rPr>
        <w:t xml:space="preserve">working with the development community </w:t>
      </w:r>
      <w:r>
        <w:rPr>
          <w:szCs w:val="22"/>
        </w:rPr>
        <w:t xml:space="preserve">and local governments </w:t>
      </w:r>
      <w:r w:rsidRPr="00112598">
        <w:rPr>
          <w:szCs w:val="22"/>
        </w:rPr>
        <w:t>to promote low-impact development</w:t>
      </w:r>
      <w:r>
        <w:rPr>
          <w:szCs w:val="22"/>
        </w:rPr>
        <w:t xml:space="preserve"> and practices such as green roofs, pervious pavements, and stormwater harvesting.  </w:t>
      </w:r>
    </w:p>
    <w:p w:rsidR="00485094" w:rsidRDefault="00485094" w:rsidP="00B215C8">
      <w:pPr>
        <w:pStyle w:val="Bodytext"/>
        <w:rPr>
          <w:szCs w:val="22"/>
        </w:rPr>
      </w:pPr>
    </w:p>
    <w:p w:rsidR="00485094" w:rsidRDefault="00485094" w:rsidP="00B215C8">
      <w:pPr>
        <w:pStyle w:val="Bodytext"/>
        <w:rPr>
          <w:szCs w:val="22"/>
        </w:rPr>
      </w:pPr>
      <w:r>
        <w:rPr>
          <w:szCs w:val="22"/>
        </w:rPr>
        <w:t xml:space="preserve">Another major focus has been reducing potential nutrient impacts from the fertilization of urban landscapes.  This is being implemented through </w:t>
      </w:r>
      <w:r w:rsidRPr="00112598">
        <w:rPr>
          <w:szCs w:val="22"/>
        </w:rPr>
        <w:t xml:space="preserve">the </w:t>
      </w:r>
      <w:hyperlink r:id="rId195" w:history="1">
        <w:r w:rsidRPr="001936BF">
          <w:rPr>
            <w:rStyle w:val="Hyperlink"/>
            <w:szCs w:val="22"/>
          </w:rPr>
          <w:t>Florida Yards and Neighborhoods Program</w:t>
        </w:r>
      </w:hyperlink>
      <w:r w:rsidRPr="00112598">
        <w:rPr>
          <w:szCs w:val="22"/>
        </w:rPr>
        <w:t>,</w:t>
      </w:r>
      <w:r>
        <w:rPr>
          <w:szCs w:val="22"/>
        </w:rPr>
        <w:t xml:space="preserve"> the </w:t>
      </w:r>
      <w:hyperlink r:id="rId196" w:history="1">
        <w:r w:rsidRPr="001936BF">
          <w:rPr>
            <w:rStyle w:val="Hyperlink"/>
            <w:szCs w:val="22"/>
          </w:rPr>
          <w:t>Green Industries BMP Training and Certification Program</w:t>
        </w:r>
      </w:hyperlink>
      <w:r>
        <w:rPr>
          <w:szCs w:val="22"/>
        </w:rPr>
        <w:t>, the development of a Florida-Friendly Model Landscape Ordinance, and a change in Florida’s fertilizer labeling rules such that only “Florida-friendly fertilizers” with low or no phosphorus and slow-release nitrogen are sold in Florida.</w:t>
      </w:r>
      <w:r w:rsidRPr="00112598">
        <w:rPr>
          <w:szCs w:val="22"/>
        </w:rPr>
        <w:t xml:space="preserve"> </w:t>
      </w:r>
    </w:p>
    <w:p w:rsidR="00485094" w:rsidRPr="00112598" w:rsidRDefault="00485094" w:rsidP="00B215C8">
      <w:pPr>
        <w:pStyle w:val="Bodytext"/>
        <w:rPr>
          <w:szCs w:val="22"/>
        </w:rPr>
      </w:pPr>
    </w:p>
    <w:p w:rsidR="00485094" w:rsidRDefault="00485094" w:rsidP="00B215C8">
      <w:pPr>
        <w:rPr>
          <w:rFonts w:ascii="Arial" w:hAnsi="Arial"/>
          <w:b/>
        </w:rPr>
      </w:pPr>
      <w:r>
        <w:rPr>
          <w:i/>
        </w:rPr>
        <w:br w:type="page"/>
      </w:r>
    </w:p>
    <w:p w:rsidR="00485094" w:rsidRDefault="00485094">
      <w:pPr>
        <w:pStyle w:val="Heading4"/>
      </w:pPr>
      <w:r w:rsidRPr="00D41EB7">
        <w:t>Costs and Benefits of Implementing Florida’s Surface Water Protection Programs to Meet the Clean Water Act’s Objectives</w:t>
      </w:r>
    </w:p>
    <w:p w:rsidR="00485094" w:rsidRDefault="00485094" w:rsidP="00B215C8">
      <w:pPr>
        <w:pStyle w:val="Bodytext"/>
      </w:pPr>
      <w:r>
        <w:t xml:space="preserve">The EPA, in partnership with the states, conducts the Clean Watersheds Needs Survey (CWNS) to identify and document the cost of projects needed to address water quality and public health in all 50 states, the District of Columbia, and the U.S.-held territories.  The CWNS includes detailed estimates of the capital costs eligible for funding under the Clean Water State Revolving Fund (CWSRF) Program established by the 1987 Amendments to the CWA—that is, CWSRF-eligible costs.  The CWNS includes publicly owned municipal wastewater collection and treatment facilities, facilities for the control of combined sewer overflows (CSOs), activities designed to control stormwater runoff, activities designed to control nonpoint source pollution, and activities associated with implementing approved Comprehensive Conservation and Management Plans (CCMPs) under the National Estuary Program (NEP) established by Section 320 of the CWA. </w:t>
      </w:r>
    </w:p>
    <w:p w:rsidR="00485094" w:rsidRDefault="00485094" w:rsidP="00B215C8">
      <w:pPr>
        <w:pStyle w:val="Bodytext"/>
      </w:pPr>
    </w:p>
    <w:p w:rsidR="00485094" w:rsidRDefault="00485094" w:rsidP="00B215C8">
      <w:pPr>
        <w:pStyle w:val="Bodytext"/>
      </w:pPr>
      <w:r>
        <w:t>Key elements of the survey are as follows:</w:t>
      </w:r>
    </w:p>
    <w:p w:rsidR="00485094" w:rsidRDefault="00485094" w:rsidP="00B215C8">
      <w:pPr>
        <w:pStyle w:val="Bodytext"/>
      </w:pPr>
    </w:p>
    <w:p w:rsidR="00485094" w:rsidRPr="0069047F" w:rsidRDefault="00485094" w:rsidP="00B215C8">
      <w:pPr>
        <w:pStyle w:val="StyleListBullet11pt"/>
      </w:pPr>
      <w:r w:rsidRPr="0069047F">
        <w:t>Facilities must be publicly owned and operated,</w:t>
      </w:r>
    </w:p>
    <w:p w:rsidR="00485094" w:rsidRPr="0069047F" w:rsidRDefault="00485094" w:rsidP="00B215C8">
      <w:pPr>
        <w:pStyle w:val="StyleListBullet11pt"/>
      </w:pPr>
      <w:r w:rsidRPr="0069047F">
        <w:t>Costs represent capital needs (</w:t>
      </w:r>
      <w:r>
        <w:t>operating and maintenance</w:t>
      </w:r>
      <w:r w:rsidRPr="0069047F">
        <w:t xml:space="preserve"> costs are not represented), and</w:t>
      </w:r>
    </w:p>
    <w:p w:rsidR="00485094" w:rsidRPr="0069047F" w:rsidRDefault="00485094" w:rsidP="00B215C8">
      <w:pPr>
        <w:pStyle w:val="StyleListBullet11pt"/>
      </w:pPr>
      <w:r w:rsidRPr="0069047F">
        <w:t>Costs must be documented.</w:t>
      </w:r>
    </w:p>
    <w:p w:rsidR="00485094" w:rsidRDefault="00485094" w:rsidP="00B215C8">
      <w:pPr>
        <w:pStyle w:val="Bodytextreduced"/>
      </w:pPr>
    </w:p>
    <w:p w:rsidR="00485094" w:rsidRDefault="00485094" w:rsidP="00B215C8">
      <w:pPr>
        <w:pStyle w:val="Bodytext"/>
      </w:pPr>
      <w:r>
        <w:t>Historically, the costs have been interpreted as representing 20-year design needs, but since the 1996 survey, costs have been documented by planning and design documents representing horizons of 10 years or less.</w:t>
      </w:r>
    </w:p>
    <w:p w:rsidR="00485094" w:rsidRDefault="00485094" w:rsidP="00B215C8">
      <w:pPr>
        <w:pStyle w:val="Bodytext"/>
      </w:pPr>
    </w:p>
    <w:p w:rsidR="00485094" w:rsidRDefault="00485094" w:rsidP="00B215C8">
      <w:pPr>
        <w:pStyle w:val="Bodytext"/>
      </w:pPr>
      <w:r>
        <w:t xml:space="preserve">The survey is conducted every four years, and the results are published in the </w:t>
      </w:r>
      <w:r w:rsidRPr="007E7807">
        <w:rPr>
          <w:i/>
        </w:rPr>
        <w:t>Clean Watersheds Needs Survey Report to Congress</w:t>
      </w:r>
      <w:r>
        <w:t xml:space="preserve">.  While the 2008 survey results are not available, the 2004 survey results are available on the </w:t>
      </w:r>
      <w:hyperlink r:id="rId197" w:history="1">
        <w:r>
          <w:rPr>
            <w:rStyle w:val="Hyperlink"/>
          </w:rPr>
          <w:t>EPA C</w:t>
        </w:r>
        <w:r w:rsidRPr="00084DB2">
          <w:rPr>
            <w:rStyle w:val="Hyperlink"/>
          </w:rPr>
          <w:t>lean Watershed Needs Survey website</w:t>
        </w:r>
      </w:hyperlink>
      <w:r>
        <w:t xml:space="preserve">.  </w:t>
      </w:r>
      <w:r w:rsidRPr="009F64A1">
        <w:rPr>
          <w:b/>
          <w:i/>
        </w:rPr>
        <w:t xml:space="preserve">Table </w:t>
      </w:r>
      <w:r>
        <w:rPr>
          <w:b/>
          <w:i/>
        </w:rPr>
        <w:t>11.</w:t>
      </w:r>
      <w:r w:rsidR="00EB08C5">
        <w:rPr>
          <w:b/>
          <w:i/>
        </w:rPr>
        <w:t>3</w:t>
      </w:r>
      <w:r>
        <w:t xml:space="preserve"> summarizes the most recent survey results for Florida.</w:t>
      </w:r>
    </w:p>
    <w:p w:rsidR="00485094" w:rsidRDefault="00485094" w:rsidP="00B215C8">
      <w:pPr>
        <w:pStyle w:val="Bodytext"/>
      </w:pPr>
    </w:p>
    <w:p w:rsidR="00485094" w:rsidRDefault="00485094" w:rsidP="00B215C8">
      <w:pPr>
        <w:pStyle w:val="Bodytext"/>
      </w:pPr>
      <w:r>
        <w:t xml:space="preserve">These needs are being addressed by several funding mechanisms, most notably the CWA State Revolving Fund (SRF) Program; direct congressional appropriations through the State and Tribal Assistance Grant (STAG) Program; state appropriations through the Community Budget Initiative Request (CBIR) Program; the </w:t>
      </w:r>
      <w:hyperlink r:id="rId198" w:history="1">
        <w:r w:rsidRPr="0054522E">
          <w:rPr>
            <w:rStyle w:val="Hyperlink"/>
          </w:rPr>
          <w:t>Comprehensive Everglades Restoration Plan</w:t>
        </w:r>
      </w:hyperlink>
      <w:r>
        <w:t xml:space="preserve"> (CERP) (a joint 50/50 program funded by Florida and the EPA); Section 319 nonpoint source grants; TMDL Water Quality Restoration Grants; and local county, municipal, and water management district programs. </w:t>
      </w:r>
    </w:p>
    <w:p w:rsidR="00485094" w:rsidRDefault="00485094" w:rsidP="00B215C8">
      <w:pPr>
        <w:pStyle w:val="Bodytext"/>
      </w:pPr>
    </w:p>
    <w:p w:rsidR="00485094" w:rsidRPr="00FD3B2E" w:rsidRDefault="00485094" w:rsidP="00B215C8">
      <w:pPr>
        <w:pStyle w:val="Heading5"/>
        <w:rPr>
          <w:snapToGrid w:val="0"/>
        </w:rPr>
      </w:pPr>
      <w:r w:rsidRPr="00595B30">
        <w:rPr>
          <w:snapToGrid w:val="0"/>
        </w:rPr>
        <w:t>Dedicated Funding</w:t>
      </w:r>
    </w:p>
    <w:p w:rsidR="00485094" w:rsidRPr="00FD3B2E" w:rsidRDefault="00485094" w:rsidP="00B215C8">
      <w:pPr>
        <w:pStyle w:val="BodyText0"/>
        <w:rPr>
          <w:snapToGrid w:val="0"/>
          <w:sz w:val="22"/>
          <w:szCs w:val="22"/>
        </w:rPr>
      </w:pPr>
      <w:r w:rsidRPr="00595B30">
        <w:rPr>
          <w:snapToGrid w:val="0"/>
          <w:sz w:val="22"/>
          <w:szCs w:val="22"/>
        </w:rPr>
        <w:t xml:space="preserve">Dedicated funding for nonpoint source management programs is crucial to their success.  In 1986, legislation was passed that authorized local governments to implement stormwater utility fees to provide funding for stormwater treatment and infrastructure.  Today, over 140 of Florida’s local governments have implemented a stormwater utility fee, with the average fee for a single-family homeowner of $3.50.  These dedicated local stormwater funds open the door for cost-sharing from FDEP and the water management districts for stormwater retrofitting projects.  </w:t>
      </w:r>
    </w:p>
    <w:p w:rsidR="00485094" w:rsidRPr="00FD3B2E" w:rsidRDefault="00485094" w:rsidP="00B215C8">
      <w:pPr>
        <w:pStyle w:val="BodyText0"/>
        <w:rPr>
          <w:snapToGrid w:val="0"/>
          <w:sz w:val="22"/>
          <w:szCs w:val="22"/>
        </w:rPr>
      </w:pPr>
    </w:p>
    <w:p w:rsidR="00485094" w:rsidRPr="00FD3B2E" w:rsidRDefault="00485094" w:rsidP="00B215C8">
      <w:pPr>
        <w:pStyle w:val="BodyText0"/>
        <w:rPr>
          <w:snapToGrid w:val="0"/>
          <w:sz w:val="22"/>
          <w:szCs w:val="22"/>
        </w:rPr>
      </w:pPr>
      <w:r w:rsidRPr="00595B30">
        <w:rPr>
          <w:snapToGrid w:val="0"/>
          <w:sz w:val="22"/>
          <w:szCs w:val="22"/>
        </w:rPr>
        <w:t xml:space="preserve">In 1994 the </w:t>
      </w:r>
      <w:r>
        <w:rPr>
          <w:snapToGrid w:val="0"/>
          <w:sz w:val="22"/>
          <w:szCs w:val="22"/>
        </w:rPr>
        <w:t>Legislature</w:t>
      </w:r>
      <w:r w:rsidRPr="00595B30">
        <w:rPr>
          <w:snapToGrid w:val="0"/>
          <w:sz w:val="22"/>
          <w:szCs w:val="22"/>
        </w:rPr>
        <w:t xml:space="preserve"> adopted the Nitrate Bill, which imposed a small fee on nitrogen fertilizers.  These funds are used to fund research to develop BMPs to reduce the leaching of nitrogen into ground water, especially from agricultural producers.  In 2004, the Nitrate Bill was expanded to add a fee for phosphorus fertilizers and also to address the eutrophication of surface waters.  </w:t>
      </w:r>
    </w:p>
    <w:p w:rsidR="00485094" w:rsidRPr="00FD3B2E" w:rsidRDefault="00485094" w:rsidP="00B215C8">
      <w:pPr>
        <w:pStyle w:val="BodyText0"/>
        <w:rPr>
          <w:snapToGrid w:val="0"/>
          <w:sz w:val="22"/>
          <w:szCs w:val="22"/>
        </w:rPr>
      </w:pPr>
    </w:p>
    <w:p w:rsidR="00485094" w:rsidRPr="00FD3B2E" w:rsidRDefault="00485094" w:rsidP="00B215C8">
      <w:pPr>
        <w:pStyle w:val="BodyText0"/>
        <w:rPr>
          <w:snapToGrid w:val="0"/>
          <w:sz w:val="22"/>
          <w:szCs w:val="22"/>
        </w:rPr>
      </w:pPr>
      <w:r w:rsidRPr="00595B30">
        <w:rPr>
          <w:snapToGrid w:val="0"/>
          <w:sz w:val="22"/>
          <w:szCs w:val="22"/>
        </w:rPr>
        <w:t xml:space="preserve">In 1997, legislation expanded the scope of the State Revolving Loan Fund Program to provide funding for stormwater retrofitting projects and for agricultural BMP implementation.  With the passage of the FWRA in 1999, FDEP and FDACS were authorized to receive documentary stamp funding for the research and demonstration of urban and agricultural BMPs.  Funding has varied from $2.8 million to $9.2 million per year.  </w:t>
      </w:r>
    </w:p>
    <w:p w:rsidR="00485094" w:rsidRPr="00FD3B2E" w:rsidRDefault="00485094" w:rsidP="00B215C8">
      <w:pPr>
        <w:pStyle w:val="BodyText0"/>
        <w:rPr>
          <w:snapToGrid w:val="0"/>
          <w:sz w:val="22"/>
          <w:szCs w:val="22"/>
        </w:rPr>
      </w:pPr>
    </w:p>
    <w:p w:rsidR="00485094" w:rsidRDefault="00485094" w:rsidP="00B215C8">
      <w:pPr>
        <w:pStyle w:val="BodyText0"/>
        <w:rPr>
          <w:snapToGrid w:val="0"/>
          <w:sz w:val="22"/>
          <w:szCs w:val="22"/>
        </w:rPr>
      </w:pPr>
      <w:r w:rsidRPr="00595B30">
        <w:rPr>
          <w:snapToGrid w:val="0"/>
          <w:sz w:val="22"/>
          <w:szCs w:val="22"/>
        </w:rPr>
        <w:t>Finally, as discussed ea</w:t>
      </w:r>
      <w:r>
        <w:rPr>
          <w:snapToGrid w:val="0"/>
          <w:sz w:val="22"/>
          <w:szCs w:val="22"/>
        </w:rPr>
        <w:t>rlier, in 2005 the L</w:t>
      </w:r>
      <w:r w:rsidRPr="00595B30">
        <w:rPr>
          <w:snapToGrid w:val="0"/>
          <w:sz w:val="22"/>
          <w:szCs w:val="22"/>
        </w:rPr>
        <w:t>egislature established a new funding source that will provide FDEP with about $2 million per year for the TMDL Water Quality Restoration Grant Program, allowing FDEP to partner with local governments on urban stormwater retrofitting projects.</w:t>
      </w:r>
    </w:p>
    <w:p w:rsidR="00485094" w:rsidRDefault="00485094" w:rsidP="00B215C8">
      <w:pPr>
        <w:pStyle w:val="BodyText0"/>
        <w:rPr>
          <w:snapToGrid w:val="0"/>
          <w:sz w:val="22"/>
          <w:szCs w:val="22"/>
        </w:rPr>
      </w:pPr>
    </w:p>
    <w:p w:rsidR="00485094" w:rsidRPr="00FF4CBF" w:rsidRDefault="00485094" w:rsidP="00B215C8">
      <w:pPr>
        <w:pStyle w:val="Tableheading"/>
      </w:pPr>
      <w:bookmarkStart w:id="763" w:name="_Toc271280134"/>
      <w:r w:rsidRPr="00FF4CBF">
        <w:t xml:space="preserve">Table </w:t>
      </w:r>
      <w:r>
        <w:t>11</w:t>
      </w:r>
      <w:r w:rsidRPr="00FF4CBF">
        <w:t>.</w:t>
      </w:r>
      <w:r w:rsidR="00EB08C5">
        <w:t>3</w:t>
      </w:r>
      <w:r w:rsidRPr="00FF4CBF">
        <w:t>.  Results of the 2004 Clean Watersheds Needs Survey for Florida</w:t>
      </w:r>
      <w:bookmarkEnd w:id="763"/>
    </w:p>
    <w:p w:rsidR="00485094" w:rsidRDefault="00550C22" w:rsidP="00B215C8">
      <w:pPr>
        <w:pStyle w:val="TabledescriptionBF"/>
      </w:pPr>
      <w:r>
        <w:t xml:space="preserve">This is a two-column table.  </w:t>
      </w:r>
      <w:r w:rsidR="00485094">
        <w:t>Column 1 lists the category of need, and Column 2 lists the dollar amount needed.</w:t>
      </w:r>
    </w:p>
    <w:p w:rsidR="00485094" w:rsidRPr="00C04E26" w:rsidRDefault="00485094" w:rsidP="00C04E26">
      <w:pPr>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90"/>
        <w:gridCol w:w="1726"/>
      </w:tblGrid>
      <w:tr w:rsidR="00485094" w:rsidRPr="00E76B4B" w:rsidTr="00394CAD">
        <w:trPr>
          <w:trHeight w:val="288"/>
          <w:jc w:val="center"/>
        </w:trPr>
        <w:tc>
          <w:tcPr>
            <w:tcW w:w="5690" w:type="dxa"/>
            <w:tcBorders>
              <w:bottom w:val="double" w:sz="4" w:space="0" w:color="auto"/>
            </w:tcBorders>
            <w:shd w:val="clear" w:color="auto" w:fill="BDFFFF"/>
            <w:vAlign w:val="center"/>
          </w:tcPr>
          <w:p w:rsidR="00485094" w:rsidRPr="00E76B4B" w:rsidRDefault="00485094" w:rsidP="00394CAD">
            <w:pPr>
              <w:pStyle w:val="TableText"/>
              <w:jc w:val="center"/>
              <w:rPr>
                <w:b/>
                <w:i/>
              </w:rPr>
            </w:pPr>
            <w:r w:rsidRPr="00E76B4B">
              <w:rPr>
                <w:b/>
                <w:i/>
              </w:rPr>
              <w:t>Category of Need</w:t>
            </w:r>
          </w:p>
        </w:tc>
        <w:tc>
          <w:tcPr>
            <w:tcW w:w="1726" w:type="dxa"/>
            <w:tcBorders>
              <w:bottom w:val="double" w:sz="4" w:space="0" w:color="auto"/>
            </w:tcBorders>
            <w:shd w:val="clear" w:color="auto" w:fill="BDFFFF"/>
            <w:vAlign w:val="center"/>
          </w:tcPr>
          <w:p w:rsidR="00485094" w:rsidRPr="00E76B4B" w:rsidRDefault="00485094" w:rsidP="00394CAD">
            <w:pPr>
              <w:pStyle w:val="TableText"/>
              <w:jc w:val="center"/>
              <w:rPr>
                <w:b/>
                <w:i/>
              </w:rPr>
            </w:pPr>
            <w:r w:rsidRPr="00E76B4B">
              <w:rPr>
                <w:b/>
                <w:i/>
              </w:rPr>
              <w:t>Needs ($000)</w:t>
            </w:r>
          </w:p>
        </w:tc>
      </w:tr>
      <w:tr w:rsidR="00485094" w:rsidTr="00394CAD">
        <w:trPr>
          <w:trHeight w:val="288"/>
          <w:jc w:val="center"/>
        </w:trPr>
        <w:tc>
          <w:tcPr>
            <w:tcW w:w="5690" w:type="dxa"/>
            <w:tcBorders>
              <w:top w:val="double" w:sz="4" w:space="0" w:color="auto"/>
            </w:tcBorders>
            <w:shd w:val="clear" w:color="auto" w:fill="FFFFCC"/>
            <w:vAlign w:val="center"/>
          </w:tcPr>
          <w:p w:rsidR="00485094" w:rsidRDefault="00485094" w:rsidP="00394CAD">
            <w:pPr>
              <w:pStyle w:val="TableText"/>
              <w:ind w:left="738"/>
            </w:pPr>
            <w:r>
              <w:t>Category I – Secondary Treatment</w:t>
            </w:r>
          </w:p>
        </w:tc>
        <w:tc>
          <w:tcPr>
            <w:tcW w:w="1726" w:type="dxa"/>
            <w:tcBorders>
              <w:top w:val="double" w:sz="4" w:space="0" w:color="auto"/>
            </w:tcBorders>
            <w:vAlign w:val="center"/>
          </w:tcPr>
          <w:p w:rsidR="00485094" w:rsidRDefault="00485094" w:rsidP="00394CAD">
            <w:pPr>
              <w:pStyle w:val="TableText"/>
              <w:jc w:val="center"/>
            </w:pPr>
            <w:r>
              <w:t>$       33,611</w:t>
            </w:r>
          </w:p>
        </w:tc>
      </w:tr>
      <w:tr w:rsidR="00485094" w:rsidTr="00394CAD">
        <w:trPr>
          <w:trHeight w:val="288"/>
          <w:jc w:val="center"/>
        </w:trPr>
        <w:tc>
          <w:tcPr>
            <w:tcW w:w="5690" w:type="dxa"/>
            <w:shd w:val="clear" w:color="auto" w:fill="FFFFCC"/>
            <w:vAlign w:val="center"/>
          </w:tcPr>
          <w:p w:rsidR="00485094" w:rsidRDefault="00485094" w:rsidP="00394CAD">
            <w:pPr>
              <w:pStyle w:val="TableText"/>
              <w:ind w:left="738"/>
            </w:pPr>
            <w:r>
              <w:t>Category II – Advanced Treatment</w:t>
            </w:r>
          </w:p>
        </w:tc>
        <w:tc>
          <w:tcPr>
            <w:tcW w:w="1726" w:type="dxa"/>
            <w:vAlign w:val="center"/>
          </w:tcPr>
          <w:p w:rsidR="00485094" w:rsidRDefault="00485094" w:rsidP="00394CAD">
            <w:pPr>
              <w:pStyle w:val="TableText"/>
              <w:jc w:val="center"/>
            </w:pPr>
            <w:r>
              <w:t>$  4,595,918</w:t>
            </w:r>
          </w:p>
        </w:tc>
      </w:tr>
      <w:tr w:rsidR="00485094" w:rsidTr="00394CAD">
        <w:trPr>
          <w:trHeight w:val="288"/>
          <w:jc w:val="center"/>
        </w:trPr>
        <w:tc>
          <w:tcPr>
            <w:tcW w:w="5690" w:type="dxa"/>
            <w:shd w:val="clear" w:color="auto" w:fill="FFFFCC"/>
            <w:vAlign w:val="center"/>
          </w:tcPr>
          <w:p w:rsidR="00485094" w:rsidRDefault="00485094" w:rsidP="00394CAD">
            <w:pPr>
              <w:pStyle w:val="TableText"/>
              <w:ind w:left="738"/>
            </w:pPr>
            <w:r>
              <w:t>Category III-A – Inflow/Infiltration Correction</w:t>
            </w:r>
          </w:p>
        </w:tc>
        <w:tc>
          <w:tcPr>
            <w:tcW w:w="1726" w:type="dxa"/>
            <w:vAlign w:val="center"/>
          </w:tcPr>
          <w:p w:rsidR="00485094" w:rsidRDefault="00485094" w:rsidP="00394CAD">
            <w:pPr>
              <w:pStyle w:val="TableText"/>
              <w:jc w:val="center"/>
            </w:pPr>
            <w:r>
              <w:t>$     310,526</w:t>
            </w:r>
          </w:p>
        </w:tc>
      </w:tr>
      <w:tr w:rsidR="00485094" w:rsidTr="00394CAD">
        <w:trPr>
          <w:trHeight w:val="288"/>
          <w:jc w:val="center"/>
        </w:trPr>
        <w:tc>
          <w:tcPr>
            <w:tcW w:w="5690" w:type="dxa"/>
            <w:shd w:val="clear" w:color="auto" w:fill="FFFFCC"/>
            <w:vAlign w:val="center"/>
          </w:tcPr>
          <w:p w:rsidR="00485094" w:rsidRDefault="00485094" w:rsidP="00394CAD">
            <w:pPr>
              <w:pStyle w:val="TableText"/>
              <w:ind w:left="738"/>
            </w:pPr>
            <w:r>
              <w:t>Category III-B – Major Sewer Rehabilitation</w:t>
            </w:r>
          </w:p>
        </w:tc>
        <w:tc>
          <w:tcPr>
            <w:tcW w:w="1726" w:type="dxa"/>
            <w:vAlign w:val="center"/>
          </w:tcPr>
          <w:p w:rsidR="00485094" w:rsidRDefault="00485094" w:rsidP="00394CAD">
            <w:pPr>
              <w:pStyle w:val="TableText"/>
              <w:jc w:val="center"/>
            </w:pPr>
            <w:r>
              <w:t>$     960,088</w:t>
            </w:r>
          </w:p>
        </w:tc>
      </w:tr>
      <w:tr w:rsidR="00485094" w:rsidTr="00394CAD">
        <w:trPr>
          <w:trHeight w:val="288"/>
          <w:jc w:val="center"/>
        </w:trPr>
        <w:tc>
          <w:tcPr>
            <w:tcW w:w="5690" w:type="dxa"/>
            <w:shd w:val="clear" w:color="auto" w:fill="FFFFCC"/>
            <w:vAlign w:val="center"/>
          </w:tcPr>
          <w:p w:rsidR="00485094" w:rsidRDefault="00485094" w:rsidP="00394CAD">
            <w:pPr>
              <w:pStyle w:val="TableText"/>
              <w:ind w:left="738"/>
            </w:pPr>
            <w:r>
              <w:t>Category IV-A – New Collector Sewers</w:t>
            </w:r>
          </w:p>
        </w:tc>
        <w:tc>
          <w:tcPr>
            <w:tcW w:w="1726" w:type="dxa"/>
            <w:vAlign w:val="center"/>
          </w:tcPr>
          <w:p w:rsidR="00485094" w:rsidRDefault="00485094" w:rsidP="00394CAD">
            <w:pPr>
              <w:pStyle w:val="TableText"/>
              <w:jc w:val="center"/>
            </w:pPr>
            <w:r>
              <w:t>$  1,752,257</w:t>
            </w:r>
          </w:p>
        </w:tc>
      </w:tr>
      <w:tr w:rsidR="00485094" w:rsidTr="00394CAD">
        <w:trPr>
          <w:trHeight w:val="288"/>
          <w:jc w:val="center"/>
        </w:trPr>
        <w:tc>
          <w:tcPr>
            <w:tcW w:w="5690" w:type="dxa"/>
            <w:shd w:val="clear" w:color="auto" w:fill="FFFFCC"/>
            <w:vAlign w:val="center"/>
          </w:tcPr>
          <w:p w:rsidR="00485094" w:rsidRDefault="00485094" w:rsidP="00394CAD">
            <w:pPr>
              <w:pStyle w:val="TableText"/>
              <w:ind w:left="738"/>
            </w:pPr>
            <w:r>
              <w:t>Category IV-B – New Transmission Facilities</w:t>
            </w:r>
          </w:p>
        </w:tc>
        <w:tc>
          <w:tcPr>
            <w:tcW w:w="1726" w:type="dxa"/>
            <w:vAlign w:val="center"/>
          </w:tcPr>
          <w:p w:rsidR="00485094" w:rsidRDefault="00485094" w:rsidP="00394CAD">
            <w:pPr>
              <w:pStyle w:val="TableText"/>
              <w:jc w:val="center"/>
            </w:pPr>
            <w:r>
              <w:t>$  1,392,458</w:t>
            </w:r>
          </w:p>
        </w:tc>
      </w:tr>
      <w:tr w:rsidR="00485094" w:rsidTr="00394CAD">
        <w:trPr>
          <w:trHeight w:val="288"/>
          <w:jc w:val="center"/>
        </w:trPr>
        <w:tc>
          <w:tcPr>
            <w:tcW w:w="5690" w:type="dxa"/>
            <w:shd w:val="clear" w:color="auto" w:fill="FFFFCC"/>
            <w:vAlign w:val="center"/>
          </w:tcPr>
          <w:p w:rsidR="00485094" w:rsidRDefault="00485094" w:rsidP="00394CAD">
            <w:pPr>
              <w:pStyle w:val="TableText"/>
              <w:ind w:left="738"/>
            </w:pPr>
            <w:r>
              <w:t>Category V – Combined Sewer Overflow Correction</w:t>
            </w:r>
          </w:p>
        </w:tc>
        <w:tc>
          <w:tcPr>
            <w:tcW w:w="1726" w:type="dxa"/>
            <w:vAlign w:val="center"/>
          </w:tcPr>
          <w:p w:rsidR="00485094" w:rsidRDefault="00485094" w:rsidP="00394CAD">
            <w:pPr>
              <w:pStyle w:val="TableText"/>
              <w:jc w:val="center"/>
            </w:pPr>
            <w:r>
              <w:t>0</w:t>
            </w:r>
          </w:p>
        </w:tc>
      </w:tr>
      <w:tr w:rsidR="00485094" w:rsidTr="00394CAD">
        <w:trPr>
          <w:trHeight w:val="288"/>
          <w:jc w:val="center"/>
        </w:trPr>
        <w:tc>
          <w:tcPr>
            <w:tcW w:w="5690" w:type="dxa"/>
            <w:shd w:val="clear" w:color="auto" w:fill="FFFFCC"/>
            <w:vAlign w:val="center"/>
          </w:tcPr>
          <w:p w:rsidR="00485094" w:rsidRDefault="00485094" w:rsidP="00394CAD">
            <w:pPr>
              <w:pStyle w:val="TableText"/>
              <w:ind w:left="738"/>
            </w:pPr>
            <w:r>
              <w:t>Category VI – MS4 Permitted Stormwater Management</w:t>
            </w:r>
          </w:p>
        </w:tc>
        <w:tc>
          <w:tcPr>
            <w:tcW w:w="1726" w:type="dxa"/>
            <w:vAlign w:val="center"/>
          </w:tcPr>
          <w:p w:rsidR="00485094" w:rsidRDefault="00485094" w:rsidP="00394CAD">
            <w:pPr>
              <w:pStyle w:val="TableText"/>
              <w:jc w:val="center"/>
            </w:pPr>
            <w:r>
              <w:t>$  2,182,750</w:t>
            </w:r>
          </w:p>
        </w:tc>
      </w:tr>
      <w:tr w:rsidR="00485094" w:rsidTr="00394CAD">
        <w:trPr>
          <w:trHeight w:val="288"/>
          <w:jc w:val="center"/>
        </w:trPr>
        <w:tc>
          <w:tcPr>
            <w:tcW w:w="5690" w:type="dxa"/>
            <w:shd w:val="clear" w:color="auto" w:fill="FFFFCC"/>
            <w:vAlign w:val="center"/>
          </w:tcPr>
          <w:p w:rsidR="00485094" w:rsidRDefault="00485094" w:rsidP="00394CAD">
            <w:pPr>
              <w:pStyle w:val="TableText"/>
              <w:ind w:left="738"/>
            </w:pPr>
            <w:r>
              <w:t>Category VII – Nonpoint Source BMPs</w:t>
            </w:r>
          </w:p>
        </w:tc>
        <w:tc>
          <w:tcPr>
            <w:tcW w:w="1726" w:type="dxa"/>
            <w:vAlign w:val="center"/>
          </w:tcPr>
          <w:p w:rsidR="00485094" w:rsidRDefault="00485094" w:rsidP="00394CAD">
            <w:pPr>
              <w:pStyle w:val="TableText"/>
              <w:jc w:val="center"/>
            </w:pPr>
            <w:r>
              <w:t>$  9,285,007</w:t>
            </w:r>
          </w:p>
        </w:tc>
      </w:tr>
      <w:tr w:rsidR="00485094" w:rsidTr="00394CAD">
        <w:trPr>
          <w:trHeight w:val="288"/>
          <w:jc w:val="center"/>
        </w:trPr>
        <w:tc>
          <w:tcPr>
            <w:tcW w:w="5690" w:type="dxa"/>
            <w:shd w:val="clear" w:color="auto" w:fill="FFFFCC"/>
            <w:vAlign w:val="center"/>
          </w:tcPr>
          <w:p w:rsidR="00485094" w:rsidRDefault="00485094" w:rsidP="00394CAD">
            <w:pPr>
              <w:pStyle w:val="TableText"/>
              <w:ind w:left="738"/>
            </w:pPr>
            <w:r>
              <w:t>Category VIII – Confined Animals Point Source</w:t>
            </w:r>
          </w:p>
        </w:tc>
        <w:tc>
          <w:tcPr>
            <w:tcW w:w="1726" w:type="dxa"/>
            <w:vAlign w:val="center"/>
          </w:tcPr>
          <w:p w:rsidR="00485094" w:rsidRDefault="00485094" w:rsidP="00394CAD">
            <w:pPr>
              <w:pStyle w:val="TableText"/>
              <w:jc w:val="center"/>
            </w:pPr>
            <w:r>
              <w:t>0</w:t>
            </w:r>
          </w:p>
        </w:tc>
      </w:tr>
      <w:tr w:rsidR="00485094" w:rsidTr="00394CAD">
        <w:trPr>
          <w:trHeight w:val="288"/>
          <w:jc w:val="center"/>
        </w:trPr>
        <w:tc>
          <w:tcPr>
            <w:tcW w:w="5690" w:type="dxa"/>
            <w:shd w:val="clear" w:color="auto" w:fill="FFFFCC"/>
            <w:vAlign w:val="center"/>
          </w:tcPr>
          <w:p w:rsidR="00485094" w:rsidRDefault="00485094" w:rsidP="00394CAD">
            <w:pPr>
              <w:pStyle w:val="TableText"/>
              <w:ind w:left="738"/>
            </w:pPr>
            <w:r>
              <w:t>Category IX – Mining Point Source</w:t>
            </w:r>
          </w:p>
        </w:tc>
        <w:tc>
          <w:tcPr>
            <w:tcW w:w="1726" w:type="dxa"/>
            <w:vAlign w:val="center"/>
          </w:tcPr>
          <w:p w:rsidR="00485094" w:rsidRDefault="00485094" w:rsidP="00394CAD">
            <w:pPr>
              <w:pStyle w:val="TableText"/>
              <w:jc w:val="center"/>
            </w:pPr>
            <w:r>
              <w:t>0</w:t>
            </w:r>
          </w:p>
        </w:tc>
      </w:tr>
      <w:tr w:rsidR="00485094" w:rsidTr="00394CAD">
        <w:trPr>
          <w:trHeight w:val="288"/>
          <w:jc w:val="center"/>
        </w:trPr>
        <w:tc>
          <w:tcPr>
            <w:tcW w:w="5690" w:type="dxa"/>
            <w:shd w:val="clear" w:color="auto" w:fill="FFFFCC"/>
            <w:vAlign w:val="center"/>
          </w:tcPr>
          <w:p w:rsidR="00485094" w:rsidRDefault="00485094" w:rsidP="00394CAD">
            <w:pPr>
              <w:pStyle w:val="TableText"/>
              <w:ind w:left="738"/>
            </w:pPr>
            <w:r>
              <w:t>Category X – Recycled Reclaimed Water Distribution</w:t>
            </w:r>
          </w:p>
        </w:tc>
        <w:tc>
          <w:tcPr>
            <w:tcW w:w="1726" w:type="dxa"/>
            <w:vAlign w:val="center"/>
          </w:tcPr>
          <w:p w:rsidR="00485094" w:rsidRDefault="00485094" w:rsidP="00394CAD">
            <w:pPr>
              <w:pStyle w:val="TableText"/>
              <w:jc w:val="center"/>
            </w:pPr>
            <w:r>
              <w:t>$  1,672,115</w:t>
            </w:r>
          </w:p>
        </w:tc>
      </w:tr>
      <w:tr w:rsidR="00485094" w:rsidTr="00394CAD">
        <w:trPr>
          <w:trHeight w:val="288"/>
          <w:jc w:val="center"/>
        </w:trPr>
        <w:tc>
          <w:tcPr>
            <w:tcW w:w="5690" w:type="dxa"/>
            <w:shd w:val="clear" w:color="auto" w:fill="FFFFCC"/>
            <w:vAlign w:val="center"/>
          </w:tcPr>
          <w:p w:rsidR="00485094" w:rsidRDefault="00485094" w:rsidP="00394CAD">
            <w:pPr>
              <w:pStyle w:val="TableText"/>
              <w:ind w:left="738"/>
            </w:pPr>
            <w:r>
              <w:t>Category XI – Estuary Management</w:t>
            </w:r>
          </w:p>
        </w:tc>
        <w:tc>
          <w:tcPr>
            <w:tcW w:w="1726" w:type="dxa"/>
            <w:vAlign w:val="center"/>
          </w:tcPr>
          <w:p w:rsidR="00485094" w:rsidRDefault="00485094" w:rsidP="00394CAD">
            <w:pPr>
              <w:pStyle w:val="TableText"/>
              <w:jc w:val="center"/>
            </w:pPr>
            <w:r>
              <w:t>$       63,073</w:t>
            </w:r>
          </w:p>
        </w:tc>
      </w:tr>
      <w:tr w:rsidR="00485094" w:rsidRPr="00E76B4B" w:rsidTr="00394CAD">
        <w:trPr>
          <w:trHeight w:val="288"/>
          <w:jc w:val="center"/>
        </w:trPr>
        <w:tc>
          <w:tcPr>
            <w:tcW w:w="5690" w:type="dxa"/>
            <w:shd w:val="clear" w:color="auto" w:fill="FFD9FF"/>
            <w:vAlign w:val="center"/>
          </w:tcPr>
          <w:p w:rsidR="00485094" w:rsidRPr="00E76B4B" w:rsidRDefault="00485094" w:rsidP="00394CAD">
            <w:pPr>
              <w:pStyle w:val="TableText"/>
              <w:jc w:val="center"/>
              <w:rPr>
                <w:b/>
              </w:rPr>
            </w:pPr>
            <w:r w:rsidRPr="00E76B4B">
              <w:rPr>
                <w:b/>
              </w:rPr>
              <w:t>Florida’s Total Needs</w:t>
            </w:r>
          </w:p>
        </w:tc>
        <w:tc>
          <w:tcPr>
            <w:tcW w:w="1726" w:type="dxa"/>
            <w:shd w:val="clear" w:color="auto" w:fill="FFD9FF"/>
            <w:vAlign w:val="center"/>
          </w:tcPr>
          <w:p w:rsidR="00485094" w:rsidRPr="00E76B4B" w:rsidRDefault="00A74EF3" w:rsidP="00394CAD">
            <w:pPr>
              <w:pStyle w:val="TableText"/>
              <w:jc w:val="center"/>
              <w:rPr>
                <w:b/>
              </w:rPr>
            </w:pPr>
            <w:r w:rsidRPr="00E76B4B">
              <w:rPr>
                <w:b/>
              </w:rPr>
              <w:fldChar w:fldCharType="begin"/>
            </w:r>
            <w:r w:rsidR="00485094" w:rsidRPr="00E76B4B">
              <w:rPr>
                <w:b/>
              </w:rPr>
              <w:instrText xml:space="preserve"> =SUM(ABOVE) \# "$#,##0;($#,##0)" </w:instrText>
            </w:r>
            <w:r w:rsidRPr="00E76B4B">
              <w:rPr>
                <w:b/>
              </w:rPr>
              <w:fldChar w:fldCharType="separate"/>
            </w:r>
            <w:r w:rsidR="00485094" w:rsidRPr="00E76B4B">
              <w:rPr>
                <w:b/>
                <w:noProof/>
              </w:rPr>
              <w:t>$22,247,803</w:t>
            </w:r>
            <w:r w:rsidRPr="00E76B4B">
              <w:rPr>
                <w:b/>
              </w:rPr>
              <w:fldChar w:fldCharType="end"/>
            </w:r>
          </w:p>
        </w:tc>
      </w:tr>
    </w:tbl>
    <w:p w:rsidR="00485094" w:rsidRDefault="00485094" w:rsidP="00B215C8">
      <w:pPr>
        <w:pStyle w:val="Bodytextreduced"/>
      </w:pPr>
    </w:p>
    <w:p w:rsidR="00485094" w:rsidRDefault="00485094" w:rsidP="00B215C8">
      <w:pPr>
        <w:pStyle w:val="Bodytextreduced"/>
      </w:pPr>
    </w:p>
    <w:p w:rsidR="00485094" w:rsidRDefault="00485094" w:rsidP="00B215C8">
      <w:pPr>
        <w:pStyle w:val="Heading5"/>
      </w:pPr>
      <w:r w:rsidRPr="00313FDB">
        <w:t>Clean Water State Revolving Fund Program</w:t>
      </w:r>
    </w:p>
    <w:p w:rsidR="00485094" w:rsidRDefault="00485094" w:rsidP="00B215C8">
      <w:pPr>
        <w:pStyle w:val="Bodytext"/>
      </w:pPr>
      <w:r w:rsidRPr="00D55129">
        <w:t xml:space="preserve">The </w:t>
      </w:r>
      <w:r>
        <w:t xml:space="preserve">CWSRF </w:t>
      </w:r>
      <w:r w:rsidRPr="00D55129">
        <w:t>Program provides low</w:t>
      </w:r>
      <w:r>
        <w:t>-</w:t>
      </w:r>
      <w:r w:rsidRPr="00D55129">
        <w:t xml:space="preserve">interest loans for water pollution control activities and facilities.  Water pollution </w:t>
      </w:r>
      <w:r>
        <w:t>sources</w:t>
      </w:r>
      <w:r w:rsidRPr="00D55129">
        <w:t xml:space="preserve"> </w:t>
      </w:r>
      <w:r>
        <w:t>ar</w:t>
      </w:r>
      <w:r w:rsidRPr="00D55129">
        <w:t>e divided into point source</w:t>
      </w:r>
      <w:r>
        <w:t>s (typically domestic and industrial wastewater discharges)</w:t>
      </w:r>
      <w:r w:rsidRPr="00D55129">
        <w:t xml:space="preserve"> and nonpoint source</w:t>
      </w:r>
      <w:r>
        <w:t>s</w:t>
      </w:r>
      <w:r w:rsidRPr="00D55129">
        <w:t xml:space="preserve"> (</w:t>
      </w:r>
      <w:r>
        <w:t>generally related to leaching or runoff associated with rainfall events from various land uses</w:t>
      </w:r>
      <w:r w:rsidRPr="00D55129">
        <w:t xml:space="preserve">).  </w:t>
      </w:r>
      <w:r>
        <w:t>Since the program</w:t>
      </w:r>
      <w:r w:rsidRPr="00D55129">
        <w:t xml:space="preserve"> began in 1989</w:t>
      </w:r>
      <w:r>
        <w:t>,</w:t>
      </w:r>
      <w:r w:rsidRPr="00D55129">
        <w:t xml:space="preserve"> </w:t>
      </w:r>
      <w:r>
        <w:t xml:space="preserve">FDEP has made </w:t>
      </w:r>
      <w:r w:rsidRPr="00D55129">
        <w:t xml:space="preserve">over </w:t>
      </w:r>
      <w:r>
        <w:t>$2</w:t>
      </w:r>
      <w:r w:rsidRPr="00D55129">
        <w:t xml:space="preserve"> billion</w:t>
      </w:r>
      <w:r>
        <w:t xml:space="preserve"> in loans</w:t>
      </w:r>
      <w:r w:rsidRPr="00D55129">
        <w:t xml:space="preserve">.  The </w:t>
      </w:r>
      <w:r>
        <w:t>p</w:t>
      </w:r>
      <w:r w:rsidRPr="00D55129">
        <w:t>rogram revolves in perpetuity</w:t>
      </w:r>
      <w:r>
        <w:t>,</w:t>
      </w:r>
      <w:r w:rsidRPr="00D55129">
        <w:t xml:space="preserve"> using state and federal appropriations, loan repayments, investme</w:t>
      </w:r>
      <w:r>
        <w:t>nt earnings, and bond proceeds.</w:t>
      </w:r>
    </w:p>
    <w:p w:rsidR="00485094" w:rsidRDefault="00485094" w:rsidP="00B215C8">
      <w:pPr>
        <w:pStyle w:val="Bodytext"/>
      </w:pPr>
    </w:p>
    <w:p w:rsidR="00485094" w:rsidRPr="00532CE3" w:rsidRDefault="00485094" w:rsidP="00B215C8">
      <w:pPr>
        <w:pStyle w:val="Bodytext"/>
      </w:pPr>
      <w:r>
        <w:t>This program evolved from the federal Construction Grants Program as a result of the 1988 a</w:t>
      </w:r>
      <w:r w:rsidRPr="00532CE3">
        <w:t xml:space="preserve">mendments to the CWA.  </w:t>
      </w:r>
      <w:r>
        <w:t xml:space="preserve">Between 1958 and 1988, almost $2 billion was disbursed from the Construction Grants Program </w:t>
      </w:r>
      <w:r w:rsidRPr="00D55129">
        <w:t xml:space="preserve">to </w:t>
      </w:r>
      <w:r>
        <w:t>help</w:t>
      </w:r>
      <w:r w:rsidRPr="00D55129">
        <w:t xml:space="preserve"> municipalities meet </w:t>
      </w:r>
      <w:r>
        <w:t xml:space="preserve">the </w:t>
      </w:r>
      <w:r w:rsidRPr="00D55129">
        <w:t>enforceable requirements of the C</w:t>
      </w:r>
      <w:r>
        <w:t xml:space="preserve">WA, particularly applicable NPDES </w:t>
      </w:r>
      <w:r w:rsidRPr="00D55129">
        <w:t>permit requirements</w:t>
      </w:r>
      <w:r>
        <w:t xml:space="preserve">.  </w:t>
      </w:r>
      <w:r w:rsidRPr="00532CE3">
        <w:t>Only a few federal construction grants were awarded after 1988, with the last grant awarded in 1994 to Marathon.</w:t>
      </w:r>
    </w:p>
    <w:p w:rsidR="00485094" w:rsidRDefault="00485094" w:rsidP="00B215C8">
      <w:pPr>
        <w:pStyle w:val="Bodytext"/>
      </w:pPr>
    </w:p>
    <w:p w:rsidR="00485094" w:rsidRPr="00D55129" w:rsidRDefault="00485094" w:rsidP="00B215C8">
      <w:pPr>
        <w:pStyle w:val="Bodytext"/>
      </w:pPr>
      <w:r w:rsidRPr="00D55129">
        <w:t xml:space="preserve">Projects eligible for </w:t>
      </w:r>
      <w:r>
        <w:t>CW</w:t>
      </w:r>
      <w:r w:rsidRPr="00D55129">
        <w:t xml:space="preserve">SRF loans include wastewater management facilities, reclaimed wastewater reuse facilities, stormwater management facilities, widely accepted pollution control practices (sometimes called </w:t>
      </w:r>
      <w:r>
        <w:t>BMPs</w:t>
      </w:r>
      <w:r w:rsidRPr="00D55129">
        <w:t xml:space="preserve">) associated with agricultural stormwater runoff pollution control activities, brownfields associated with </w:t>
      </w:r>
      <w:r>
        <w:t xml:space="preserve">the </w:t>
      </w:r>
      <w:r w:rsidRPr="00D55129">
        <w:t xml:space="preserve">contamination of ground </w:t>
      </w:r>
      <w:r>
        <w:t xml:space="preserve">water </w:t>
      </w:r>
      <w:r w:rsidRPr="00D55129">
        <w:t>or surface water</w:t>
      </w:r>
      <w:r>
        <w:t>,</w:t>
      </w:r>
      <w:r w:rsidRPr="00D55129">
        <w:t xml:space="preserve"> and estuary protection activities and facilities.</w:t>
      </w:r>
    </w:p>
    <w:p w:rsidR="00485094" w:rsidRPr="00532CE3" w:rsidRDefault="00485094" w:rsidP="00B215C8">
      <w:pPr>
        <w:pStyle w:val="Bodytext"/>
      </w:pPr>
    </w:p>
    <w:p w:rsidR="00485094" w:rsidRPr="00AD4612" w:rsidRDefault="00485094" w:rsidP="00B215C8">
      <w:pPr>
        <w:pStyle w:val="Bodytext"/>
      </w:pPr>
      <w:r w:rsidRPr="00AD4612">
        <w:t>For the SRF Program, a total of $2.43 billion has been disbursed to date from funds awarded to the following sources:</w:t>
      </w:r>
    </w:p>
    <w:p w:rsidR="00485094" w:rsidRPr="00AD4612" w:rsidRDefault="00485094" w:rsidP="00B215C8">
      <w:pPr>
        <w:pStyle w:val="Bodytext"/>
      </w:pPr>
    </w:p>
    <w:p w:rsidR="00485094" w:rsidRPr="00AD4612" w:rsidRDefault="00485094" w:rsidP="00B215C8">
      <w:pPr>
        <w:pStyle w:val="ListBullet"/>
      </w:pPr>
      <w:r w:rsidRPr="00AD4612">
        <w:t xml:space="preserve">Wastewater:  </w:t>
      </w:r>
      <w:r w:rsidRPr="00AD4612">
        <w:rPr>
          <w:szCs w:val="20"/>
        </w:rPr>
        <w:t>$2,766,361,590</w:t>
      </w:r>
    </w:p>
    <w:p w:rsidR="00485094" w:rsidRPr="00AD4612" w:rsidRDefault="00485094" w:rsidP="00B215C8">
      <w:pPr>
        <w:pStyle w:val="ListBullet"/>
      </w:pPr>
      <w:r w:rsidRPr="00AD4612">
        <w:t xml:space="preserve">Stormwater:  </w:t>
      </w:r>
      <w:r w:rsidRPr="00AD4612">
        <w:rPr>
          <w:szCs w:val="20"/>
        </w:rPr>
        <w:t>$105,901,550</w:t>
      </w:r>
    </w:p>
    <w:p w:rsidR="00485094" w:rsidRPr="00AD4612" w:rsidRDefault="00485094" w:rsidP="00B215C8">
      <w:pPr>
        <w:pStyle w:val="ListBullet"/>
      </w:pPr>
      <w:r w:rsidRPr="00AD4612">
        <w:t xml:space="preserve">Nonpoint sources:  </w:t>
      </w:r>
      <w:r w:rsidRPr="00AD4612">
        <w:rPr>
          <w:szCs w:val="20"/>
        </w:rPr>
        <w:t>$5,353,699</w:t>
      </w:r>
    </w:p>
    <w:p w:rsidR="00485094" w:rsidRPr="00AD4612" w:rsidRDefault="00485094" w:rsidP="00B215C8">
      <w:pPr>
        <w:pStyle w:val="Bodytextreduced"/>
      </w:pPr>
    </w:p>
    <w:p w:rsidR="00485094" w:rsidRDefault="00485094" w:rsidP="00B215C8">
      <w:pPr>
        <w:pStyle w:val="Heading5"/>
      </w:pPr>
      <w:r w:rsidRPr="00AD4612">
        <w:t>Section 319(h) Grant Funds</w:t>
      </w:r>
    </w:p>
    <w:p w:rsidR="00485094" w:rsidRDefault="00485094" w:rsidP="00B215C8">
      <w:pPr>
        <w:pStyle w:val="Bodytext"/>
      </w:pPr>
      <w:r>
        <w:t>FDEP’s</w:t>
      </w:r>
      <w:r w:rsidRPr="00B670C6">
        <w:t xml:space="preserve"> Nonpoint Source Management Section administers grant money it receives from </w:t>
      </w:r>
      <w:r>
        <w:t xml:space="preserve">the </w:t>
      </w:r>
      <w:r w:rsidRPr="00B670C6">
        <w:t xml:space="preserve">EPA through Section 319(h) of the </w:t>
      </w:r>
      <w:r>
        <w:t xml:space="preserve">federal </w:t>
      </w:r>
      <w:r w:rsidRPr="00B670C6">
        <w:t>C</w:t>
      </w:r>
      <w:r>
        <w:t>WA</w:t>
      </w:r>
      <w:r w:rsidRPr="00B670C6">
        <w:t xml:space="preserve">. </w:t>
      </w:r>
      <w:r>
        <w:t xml:space="preserve"> </w:t>
      </w:r>
      <w:r w:rsidRPr="00B670C6">
        <w:t xml:space="preserve">These grant funds can be used to implement projects or programs that will help to reduce nonpoint sources of pollution. </w:t>
      </w:r>
      <w:r>
        <w:t xml:space="preserve"> </w:t>
      </w:r>
      <w:r w:rsidRPr="00B670C6">
        <w:t xml:space="preserve">Projects or programs are targeted toward the state's </w:t>
      </w:r>
      <w:r>
        <w:t xml:space="preserve">nonpoint source </w:t>
      </w:r>
      <w:r w:rsidRPr="00B670C6">
        <w:t>priority watersheds, which are the verified impaired waters</w:t>
      </w:r>
      <w:r>
        <w:t xml:space="preserve"> on the </w:t>
      </w:r>
      <w:r w:rsidRPr="00B670C6">
        <w:t xml:space="preserve">303(d) </w:t>
      </w:r>
      <w:r>
        <w:t>list</w:t>
      </w:r>
      <w:r w:rsidRPr="00B670C6">
        <w:t>, the state's SWIM watersheds</w:t>
      </w:r>
      <w:r>
        <w:t>,</w:t>
      </w:r>
      <w:r w:rsidRPr="00B670C6">
        <w:t xml:space="preserve"> and N</w:t>
      </w:r>
      <w:r>
        <w:t>EP</w:t>
      </w:r>
      <w:r w:rsidRPr="00B670C6">
        <w:t xml:space="preserve"> waters. </w:t>
      </w:r>
      <w:r>
        <w:t xml:space="preserve"> </w:t>
      </w:r>
      <w:r w:rsidRPr="00B670C6">
        <w:t xml:space="preserve">All projects must include at least a 40% nonfederal match.  </w:t>
      </w:r>
    </w:p>
    <w:p w:rsidR="00485094" w:rsidRDefault="00485094" w:rsidP="00B215C8">
      <w:pPr>
        <w:pStyle w:val="Bodytext"/>
        <w:rPr>
          <w:rFonts w:cs="Arial"/>
          <w:bCs/>
          <w:szCs w:val="22"/>
        </w:rPr>
      </w:pPr>
    </w:p>
    <w:p w:rsidR="00485094" w:rsidRDefault="00485094" w:rsidP="00B215C8">
      <w:pPr>
        <w:pStyle w:val="Bodytext"/>
        <w:rPr>
          <w:rFonts w:cs="Arial"/>
          <w:bCs/>
          <w:szCs w:val="22"/>
        </w:rPr>
      </w:pPr>
      <w:r w:rsidRPr="007B6680">
        <w:rPr>
          <w:rFonts w:cs="Arial"/>
          <w:bCs/>
          <w:szCs w:val="22"/>
        </w:rPr>
        <w:t xml:space="preserve">Examples of fundable projects include the demonstration and evaluation of BMPs, nonpoint pollution reduction in priority watersheds, ground water protection from nonpoint sources, and public education programs on nonpoint source management.  Section 319 funding </w:t>
      </w:r>
      <w:r>
        <w:rPr>
          <w:rFonts w:cs="Arial"/>
          <w:bCs/>
          <w:szCs w:val="22"/>
        </w:rPr>
        <w:t xml:space="preserve">from fiscal year (FY) </w:t>
      </w:r>
      <w:r w:rsidRPr="007B6680">
        <w:rPr>
          <w:rFonts w:cs="Arial"/>
          <w:bCs/>
          <w:szCs w:val="22"/>
        </w:rPr>
        <w:t>1988 through FY 200</w:t>
      </w:r>
      <w:r>
        <w:rPr>
          <w:rFonts w:cs="Arial"/>
          <w:bCs/>
          <w:szCs w:val="22"/>
        </w:rPr>
        <w:t>7 totaled $117 million.</w:t>
      </w:r>
      <w:r w:rsidRPr="007B6680">
        <w:rPr>
          <w:rFonts w:cs="Arial"/>
          <w:bCs/>
          <w:szCs w:val="22"/>
        </w:rPr>
        <w:t xml:space="preserve">  Approximately 70% of these funds have been used to partner with local governments and water management districts on urban stormwater retrofitting projects to reduce stormwater pollutant loadings to priority waterbodies such as the Indian River Lagoon and Tampa Bay.</w:t>
      </w:r>
    </w:p>
    <w:p w:rsidR="00485094" w:rsidRPr="00B670C6" w:rsidRDefault="00485094" w:rsidP="00B215C8">
      <w:pPr>
        <w:pStyle w:val="Bodytext"/>
        <w:rPr>
          <w:rFonts w:cs="Arial"/>
          <w:bCs/>
          <w:szCs w:val="22"/>
        </w:rPr>
      </w:pPr>
    </w:p>
    <w:p w:rsidR="00485094" w:rsidRDefault="00485094" w:rsidP="00B215C8">
      <w:pPr>
        <w:pStyle w:val="Heading5"/>
      </w:pPr>
      <w:r w:rsidRPr="00313FDB">
        <w:t>TMDL Water Quality Restoration Grants</w:t>
      </w:r>
    </w:p>
    <w:p w:rsidR="00485094" w:rsidRDefault="00485094" w:rsidP="00B215C8">
      <w:pPr>
        <w:pStyle w:val="Bodytext"/>
        <w:rPr>
          <w:rFonts w:cs="Arial"/>
          <w:bCs/>
          <w:szCs w:val="22"/>
        </w:rPr>
      </w:pPr>
      <w:r>
        <w:rPr>
          <w:rFonts w:cs="Arial"/>
          <w:bCs/>
          <w:szCs w:val="22"/>
        </w:rPr>
        <w:t xml:space="preserve">With the passage of the 1999 FWRA, FDEP and FDACS also began receiving funds generated by documentary stamps to conduct urban BMP research or to reduce nonpoint source pollution discharged to impaired waterbodies.  The funding amount has varied from $1 million to $9.2 million per year, with the agencies receiving a total of $52 million since the program began.  Since 1999, FDEP has also received additional funds for the TMDL Program from the Florida Legislature both for program operations and for TMDL Water Quality Grants to reduce pollutant loads from urban stormwater discharges.  In 2005, the Legislature enacted Senate Bill (SB) 444, creating a new funding source for the TMDL Program that provides $20 million annually to FDEP, with 7.5% going to FDACS.  </w:t>
      </w:r>
    </w:p>
    <w:p w:rsidR="00485094" w:rsidRDefault="00485094" w:rsidP="00B215C8">
      <w:pPr>
        <w:pStyle w:val="Bodytext"/>
        <w:rPr>
          <w:rFonts w:cs="Arial"/>
          <w:bCs/>
          <w:szCs w:val="22"/>
        </w:rPr>
      </w:pPr>
    </w:p>
    <w:p w:rsidR="00485094" w:rsidRPr="00172A13" w:rsidRDefault="00485094" w:rsidP="00B215C8">
      <w:pPr>
        <w:pStyle w:val="Bodytext"/>
        <w:rPr>
          <w:rFonts w:cs="Arial"/>
          <w:bCs/>
          <w:szCs w:val="22"/>
        </w:rPr>
      </w:pPr>
      <w:r>
        <w:rPr>
          <w:rFonts w:cs="Arial"/>
          <w:bCs/>
          <w:szCs w:val="22"/>
        </w:rPr>
        <w:t xml:space="preserve">In 2008, FDEP adopted </w:t>
      </w:r>
      <w:r w:rsidRPr="002B7AD6">
        <w:t xml:space="preserve">Chapter </w:t>
      </w:r>
      <w:r>
        <w:rPr>
          <w:rFonts w:cs="Arial"/>
          <w:bCs/>
          <w:szCs w:val="22"/>
        </w:rPr>
        <w:t>62-305, F.A.C. (TMDL Water Quality Grants), to set forth the procedures for administering these grant funds.  Since the program began, FDEP has issued over $48 million in TMDL grants to local governments and water management districts.  These grants require at least a 50% match from grant recipients.  In addition, FDEP has issued over $11 million in contracts for urban BMP research, with the results of these projects being integrated into the revised statewide stormwater treatment rule, which is currently under development.</w:t>
      </w:r>
      <w:r w:rsidRPr="007F7BB4">
        <w:rPr>
          <w:rFonts w:cs="Arial"/>
          <w:bCs/>
          <w:szCs w:val="22"/>
        </w:rPr>
        <w:t xml:space="preserve"> </w:t>
      </w:r>
      <w:r>
        <w:rPr>
          <w:rFonts w:cs="Arial"/>
          <w:bCs/>
          <w:szCs w:val="22"/>
        </w:rPr>
        <w:t xml:space="preserve"> Unfortunately, the 2009 economic crisis led the Legislature to eliminate this funding source; however, some limited funding was provided for the 2010–11 fiscal year.  </w:t>
      </w:r>
    </w:p>
    <w:p w:rsidR="00485094" w:rsidRDefault="00485094" w:rsidP="00B215C8">
      <w:pPr>
        <w:pStyle w:val="Bodytext"/>
        <w:rPr>
          <w:rFonts w:cs="Arial"/>
          <w:bCs/>
          <w:szCs w:val="22"/>
        </w:rPr>
      </w:pPr>
    </w:p>
    <w:p w:rsidR="00485094" w:rsidRPr="003A4461" w:rsidRDefault="00485094" w:rsidP="00B215C8">
      <w:pPr>
        <w:pStyle w:val="Heading4"/>
      </w:pPr>
      <w:r w:rsidRPr="00A85041">
        <w:t>Wetlands Program</w:t>
      </w:r>
    </w:p>
    <w:p w:rsidR="00485094" w:rsidRDefault="00485094" w:rsidP="00B215C8">
      <w:pPr>
        <w:pStyle w:val="Heading5"/>
      </w:pPr>
      <w:r w:rsidRPr="00313FDB">
        <w:t>Wetlands Inventory and Wetlands Protection</w:t>
      </w:r>
    </w:p>
    <w:p w:rsidR="00485094" w:rsidRDefault="00485094" w:rsidP="00B215C8">
      <w:pPr>
        <w:pStyle w:val="Bodytext"/>
        <w:rPr>
          <w:snapToGrid w:val="0"/>
        </w:rPr>
      </w:pPr>
      <w:r>
        <w:rPr>
          <w:snapToGrid w:val="0"/>
        </w:rPr>
        <w:t>This section provides an inventory of the major wetlands and historical coverage of wetlands in the state, the development of wetlands water quality standards, and management and protection efforts for wetlands and other surface waters.</w:t>
      </w:r>
      <w:r w:rsidRPr="002F6CA4">
        <w:rPr>
          <w:snapToGrid w:val="0"/>
        </w:rPr>
        <w:t xml:space="preserve"> </w:t>
      </w:r>
      <w:r>
        <w:rPr>
          <w:snapToGrid w:val="0"/>
        </w:rPr>
        <w:t xml:space="preserve"> Due to a lack of sufficient funding and resources, Florida does not have a program to comprehensively monitor the areal extent (gains or losses of wetland acreage) or health (water quality and functions) of wetlands on a statewide basis.  Some monitoring is required in the process of reviewing and granting permits for dredging and filling in wetlands and other surface waters, particularly when the permit authorizes mitigation for work in wetlands or other surface waters, and for activities that discharge wastewater to wetlands. </w:t>
      </w:r>
    </w:p>
    <w:p w:rsidR="00485094" w:rsidRDefault="00485094" w:rsidP="00B215C8">
      <w:pPr>
        <w:pStyle w:val="Bodytext"/>
        <w:rPr>
          <w:snapToGrid w:val="0"/>
        </w:rPr>
      </w:pPr>
    </w:p>
    <w:p w:rsidR="00485094" w:rsidRDefault="00485094" w:rsidP="00B215C8">
      <w:pPr>
        <w:pStyle w:val="Heading5"/>
      </w:pPr>
      <w:r w:rsidRPr="00313FDB">
        <w:t>Historical Wetlands Coverage in Florida</w:t>
      </w:r>
    </w:p>
    <w:p w:rsidR="00485094" w:rsidRDefault="00485094" w:rsidP="00B215C8">
      <w:pPr>
        <w:pStyle w:val="Bodytext"/>
        <w:rPr>
          <w:snapToGrid w:val="0"/>
        </w:rPr>
      </w:pPr>
      <w:r>
        <w:rPr>
          <w:snapToGrid w:val="0"/>
        </w:rPr>
        <w:t xml:space="preserve">Although information on the historical extent of Florida’s wetlands is limited, one researcher estimates that the state lost as many as 46% of its original wetlands between the 1780s and the 1980s.  </w:t>
      </w:r>
      <w:r w:rsidRPr="00894582">
        <w:rPr>
          <w:b/>
          <w:i/>
          <w:snapToGrid w:val="0"/>
        </w:rPr>
        <w:t xml:space="preserve">Table </w:t>
      </w:r>
      <w:r>
        <w:rPr>
          <w:b/>
          <w:i/>
          <w:snapToGrid w:val="0"/>
        </w:rPr>
        <w:t>11.</w:t>
      </w:r>
      <w:r w:rsidR="00EB08C5">
        <w:rPr>
          <w:b/>
          <w:i/>
          <w:snapToGrid w:val="0"/>
        </w:rPr>
        <w:t>4</w:t>
      </w:r>
      <w:r>
        <w:rPr>
          <w:b/>
          <w:i/>
          <w:snapToGrid w:val="0"/>
        </w:rPr>
        <w:t xml:space="preserve"> </w:t>
      </w:r>
      <w:r>
        <w:rPr>
          <w:snapToGrid w:val="0"/>
        </w:rPr>
        <w:t>contains estimates of Florida’s historical wetlands at a number of different points in time.</w:t>
      </w:r>
    </w:p>
    <w:p w:rsidR="00485094" w:rsidRDefault="00485094" w:rsidP="00B215C8">
      <w:pPr>
        <w:pStyle w:val="Bodytext"/>
        <w:rPr>
          <w:snapToGrid w:val="0"/>
        </w:rPr>
      </w:pPr>
    </w:p>
    <w:p w:rsidR="00485094" w:rsidRDefault="00485094" w:rsidP="00B215C8">
      <w:pPr>
        <w:pStyle w:val="Tableheading"/>
        <w:rPr>
          <w:snapToGrid w:val="0"/>
        </w:rPr>
      </w:pPr>
      <w:bookmarkStart w:id="764" w:name="_Toc271280135"/>
      <w:r>
        <w:rPr>
          <w:snapToGrid w:val="0"/>
        </w:rPr>
        <w:t>Table 11.</w:t>
      </w:r>
      <w:r w:rsidR="00EB08C5">
        <w:rPr>
          <w:snapToGrid w:val="0"/>
        </w:rPr>
        <w:t>4</w:t>
      </w:r>
      <w:r>
        <w:rPr>
          <w:snapToGrid w:val="0"/>
        </w:rPr>
        <w:t>.  Historical Estimates of Wetlands in Florida, 1780–1980</w:t>
      </w:r>
      <w:bookmarkEnd w:id="764"/>
    </w:p>
    <w:p w:rsidR="00485094" w:rsidRDefault="00485094" w:rsidP="00B215C8">
      <w:pPr>
        <w:pStyle w:val="TabledescriptionBF"/>
        <w:rPr>
          <w:snapToGrid w:val="0"/>
        </w:rPr>
      </w:pPr>
      <w:r>
        <w:rPr>
          <w:snapToGrid w:val="0"/>
        </w:rPr>
        <w:t>This is a three-column table.  Column 1 lists the period for the estimate, Column 2 lists the wetlands acreage during that period, and Column 3 lists the information source.</w:t>
      </w:r>
    </w:p>
    <w:p w:rsidR="00485094" w:rsidRDefault="00485094" w:rsidP="00B215C8">
      <w:pPr>
        <w:pStyle w:val="TabledescriptionBF"/>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24"/>
        <w:gridCol w:w="2250"/>
        <w:gridCol w:w="3073"/>
      </w:tblGrid>
      <w:tr w:rsidR="00485094" w:rsidTr="00394CAD">
        <w:trPr>
          <w:trHeight w:val="341"/>
          <w:jc w:val="center"/>
        </w:trPr>
        <w:tc>
          <w:tcPr>
            <w:tcW w:w="1724" w:type="dxa"/>
            <w:tcBorders>
              <w:bottom w:val="double" w:sz="4" w:space="0" w:color="auto"/>
            </w:tcBorders>
            <w:shd w:val="clear" w:color="auto" w:fill="BDFFFF"/>
            <w:vAlign w:val="center"/>
          </w:tcPr>
          <w:p w:rsidR="00485094" w:rsidRDefault="00485094" w:rsidP="00394CAD">
            <w:pPr>
              <w:jc w:val="center"/>
              <w:rPr>
                <w:rFonts w:ascii="Arial" w:hAnsi="Arial"/>
                <w:b/>
                <w:i/>
                <w:snapToGrid w:val="0"/>
                <w:sz w:val="18"/>
              </w:rPr>
            </w:pPr>
            <w:r>
              <w:rPr>
                <w:rFonts w:ascii="Arial" w:hAnsi="Arial"/>
                <w:b/>
                <w:i/>
                <w:snapToGrid w:val="0"/>
                <w:sz w:val="18"/>
              </w:rPr>
              <w:t>Period</w:t>
            </w:r>
          </w:p>
        </w:tc>
        <w:tc>
          <w:tcPr>
            <w:tcW w:w="2250" w:type="dxa"/>
            <w:tcBorders>
              <w:bottom w:val="double" w:sz="4" w:space="0" w:color="auto"/>
            </w:tcBorders>
            <w:shd w:val="clear" w:color="auto" w:fill="BDFFFF"/>
            <w:vAlign w:val="center"/>
          </w:tcPr>
          <w:p w:rsidR="00485094" w:rsidRDefault="00485094" w:rsidP="00394CAD">
            <w:pPr>
              <w:jc w:val="center"/>
              <w:rPr>
                <w:rFonts w:ascii="Arial" w:hAnsi="Arial"/>
                <w:b/>
                <w:i/>
                <w:snapToGrid w:val="0"/>
                <w:sz w:val="18"/>
              </w:rPr>
            </w:pPr>
            <w:r>
              <w:rPr>
                <w:rFonts w:ascii="Arial" w:hAnsi="Arial"/>
                <w:b/>
                <w:i/>
                <w:snapToGrid w:val="0"/>
                <w:sz w:val="18"/>
              </w:rPr>
              <w:t>Wetlands Acreage</w:t>
            </w:r>
          </w:p>
        </w:tc>
        <w:tc>
          <w:tcPr>
            <w:tcW w:w="3073" w:type="dxa"/>
            <w:tcBorders>
              <w:bottom w:val="double" w:sz="4" w:space="0" w:color="auto"/>
            </w:tcBorders>
            <w:shd w:val="clear" w:color="auto" w:fill="BDFFFF"/>
            <w:vAlign w:val="center"/>
          </w:tcPr>
          <w:p w:rsidR="00485094" w:rsidRDefault="00485094" w:rsidP="00394CAD">
            <w:pPr>
              <w:jc w:val="center"/>
              <w:rPr>
                <w:rFonts w:ascii="Arial" w:hAnsi="Arial"/>
                <w:b/>
                <w:i/>
                <w:snapToGrid w:val="0"/>
                <w:sz w:val="18"/>
              </w:rPr>
            </w:pPr>
            <w:r>
              <w:rPr>
                <w:rFonts w:ascii="Arial" w:hAnsi="Arial"/>
                <w:b/>
                <w:i/>
                <w:snapToGrid w:val="0"/>
                <w:sz w:val="18"/>
              </w:rPr>
              <w:t>Source</w:t>
            </w:r>
          </w:p>
        </w:tc>
      </w:tr>
      <w:tr w:rsidR="00485094" w:rsidTr="00394CAD">
        <w:trPr>
          <w:trHeight w:val="288"/>
          <w:jc w:val="center"/>
        </w:trPr>
        <w:tc>
          <w:tcPr>
            <w:tcW w:w="1724" w:type="dxa"/>
            <w:tcBorders>
              <w:top w:val="double" w:sz="4" w:space="0" w:color="auto"/>
            </w:tcBorders>
            <w:shd w:val="clear" w:color="auto" w:fill="FFFFCC"/>
            <w:vAlign w:val="center"/>
          </w:tcPr>
          <w:p w:rsidR="00485094" w:rsidRDefault="00485094" w:rsidP="00394CAD">
            <w:pPr>
              <w:jc w:val="center"/>
              <w:rPr>
                <w:rFonts w:ascii="Arial" w:hAnsi="Arial"/>
                <w:snapToGrid w:val="0"/>
                <w:sz w:val="18"/>
              </w:rPr>
            </w:pPr>
            <w:r>
              <w:rPr>
                <w:rFonts w:ascii="Arial" w:hAnsi="Arial"/>
                <w:snapToGrid w:val="0"/>
                <w:sz w:val="18"/>
              </w:rPr>
              <w:t>circa 1780</w:t>
            </w:r>
          </w:p>
        </w:tc>
        <w:tc>
          <w:tcPr>
            <w:tcW w:w="2250" w:type="dxa"/>
            <w:tcBorders>
              <w:top w:val="double" w:sz="4" w:space="0" w:color="auto"/>
            </w:tcBorders>
            <w:vAlign w:val="center"/>
          </w:tcPr>
          <w:p w:rsidR="00485094" w:rsidRDefault="00485094" w:rsidP="00394CAD">
            <w:pPr>
              <w:jc w:val="center"/>
              <w:rPr>
                <w:rFonts w:ascii="Arial" w:hAnsi="Arial"/>
                <w:snapToGrid w:val="0"/>
                <w:sz w:val="18"/>
              </w:rPr>
            </w:pPr>
            <w:r>
              <w:rPr>
                <w:rFonts w:ascii="Arial" w:hAnsi="Arial"/>
                <w:snapToGrid w:val="0"/>
                <w:sz w:val="18"/>
              </w:rPr>
              <w:t>approx. 200,000,000</w:t>
            </w:r>
          </w:p>
        </w:tc>
        <w:tc>
          <w:tcPr>
            <w:tcW w:w="3073" w:type="dxa"/>
            <w:tcBorders>
              <w:top w:val="double" w:sz="4" w:space="0" w:color="auto"/>
            </w:tcBorders>
            <w:vAlign w:val="center"/>
          </w:tcPr>
          <w:p w:rsidR="00485094" w:rsidRDefault="00485094" w:rsidP="00394CAD">
            <w:pPr>
              <w:jc w:val="center"/>
              <w:rPr>
                <w:rFonts w:ascii="Arial" w:hAnsi="Arial"/>
                <w:i/>
                <w:snapToGrid w:val="0"/>
                <w:sz w:val="18"/>
              </w:rPr>
            </w:pPr>
            <w:r>
              <w:rPr>
                <w:rFonts w:ascii="Arial" w:hAnsi="Arial"/>
                <w:i/>
                <w:snapToGrid w:val="0"/>
                <w:sz w:val="18"/>
              </w:rPr>
              <w:t>unknown</w:t>
            </w:r>
          </w:p>
        </w:tc>
      </w:tr>
      <w:tr w:rsidR="00485094" w:rsidTr="00394CAD">
        <w:trPr>
          <w:trHeight w:val="288"/>
          <w:jc w:val="center"/>
        </w:trPr>
        <w:tc>
          <w:tcPr>
            <w:tcW w:w="1724" w:type="dxa"/>
            <w:shd w:val="clear" w:color="auto" w:fill="FFFFCC"/>
            <w:vAlign w:val="center"/>
          </w:tcPr>
          <w:p w:rsidR="00485094" w:rsidRDefault="00485094" w:rsidP="00394CAD">
            <w:pPr>
              <w:jc w:val="center"/>
              <w:rPr>
                <w:rFonts w:ascii="Arial" w:hAnsi="Arial"/>
                <w:snapToGrid w:val="0"/>
                <w:sz w:val="18"/>
              </w:rPr>
            </w:pPr>
            <w:r>
              <w:rPr>
                <w:rFonts w:ascii="Arial" w:hAnsi="Arial"/>
                <w:snapToGrid w:val="0"/>
                <w:sz w:val="18"/>
              </w:rPr>
              <w:t>mid-1950s</w:t>
            </w:r>
          </w:p>
        </w:tc>
        <w:tc>
          <w:tcPr>
            <w:tcW w:w="2250" w:type="dxa"/>
            <w:vAlign w:val="center"/>
          </w:tcPr>
          <w:p w:rsidR="00485094" w:rsidRDefault="00485094" w:rsidP="00394CAD">
            <w:pPr>
              <w:jc w:val="center"/>
              <w:rPr>
                <w:rFonts w:ascii="Arial" w:hAnsi="Arial"/>
                <w:snapToGrid w:val="0"/>
                <w:sz w:val="18"/>
              </w:rPr>
            </w:pPr>
            <w:r>
              <w:rPr>
                <w:rFonts w:ascii="Arial" w:hAnsi="Arial"/>
                <w:snapToGrid w:val="0"/>
                <w:sz w:val="18"/>
              </w:rPr>
              <w:t>12,779,000</w:t>
            </w:r>
          </w:p>
        </w:tc>
        <w:tc>
          <w:tcPr>
            <w:tcW w:w="3073" w:type="dxa"/>
            <w:vAlign w:val="center"/>
          </w:tcPr>
          <w:p w:rsidR="00485094" w:rsidRDefault="00485094" w:rsidP="00394CAD">
            <w:pPr>
              <w:jc w:val="center"/>
              <w:rPr>
                <w:rFonts w:ascii="Arial" w:hAnsi="Arial"/>
                <w:i/>
                <w:snapToGrid w:val="0"/>
                <w:sz w:val="18"/>
              </w:rPr>
            </w:pPr>
            <w:r>
              <w:rPr>
                <w:rFonts w:ascii="Arial" w:hAnsi="Arial"/>
                <w:i/>
                <w:snapToGrid w:val="0"/>
                <w:sz w:val="18"/>
              </w:rPr>
              <w:t>Hefner, 1986</w:t>
            </w:r>
          </w:p>
        </w:tc>
      </w:tr>
      <w:tr w:rsidR="00485094" w:rsidTr="00394CAD">
        <w:trPr>
          <w:trHeight w:val="288"/>
          <w:jc w:val="center"/>
        </w:trPr>
        <w:tc>
          <w:tcPr>
            <w:tcW w:w="1724" w:type="dxa"/>
            <w:shd w:val="clear" w:color="auto" w:fill="FFFFCC"/>
            <w:vAlign w:val="center"/>
          </w:tcPr>
          <w:p w:rsidR="00485094" w:rsidRDefault="00485094" w:rsidP="00394CAD">
            <w:pPr>
              <w:jc w:val="center"/>
              <w:rPr>
                <w:rFonts w:ascii="Arial" w:hAnsi="Arial"/>
                <w:snapToGrid w:val="0"/>
                <w:sz w:val="18"/>
              </w:rPr>
            </w:pPr>
            <w:r>
              <w:rPr>
                <w:rFonts w:ascii="Arial" w:hAnsi="Arial"/>
                <w:snapToGrid w:val="0"/>
                <w:sz w:val="18"/>
              </w:rPr>
              <w:t>mid-1970s</w:t>
            </w:r>
          </w:p>
        </w:tc>
        <w:tc>
          <w:tcPr>
            <w:tcW w:w="2250" w:type="dxa"/>
            <w:vAlign w:val="center"/>
          </w:tcPr>
          <w:p w:rsidR="00485094" w:rsidRDefault="00485094" w:rsidP="00394CAD">
            <w:pPr>
              <w:jc w:val="center"/>
              <w:rPr>
                <w:rFonts w:ascii="Arial" w:hAnsi="Arial"/>
                <w:snapToGrid w:val="0"/>
                <w:sz w:val="18"/>
              </w:rPr>
            </w:pPr>
            <w:r>
              <w:rPr>
                <w:rFonts w:ascii="Arial" w:hAnsi="Arial"/>
                <w:snapToGrid w:val="0"/>
                <w:sz w:val="18"/>
              </w:rPr>
              <w:t>11,334,000</w:t>
            </w:r>
          </w:p>
        </w:tc>
        <w:tc>
          <w:tcPr>
            <w:tcW w:w="3073" w:type="dxa"/>
            <w:vAlign w:val="center"/>
          </w:tcPr>
          <w:p w:rsidR="00485094" w:rsidRDefault="00485094" w:rsidP="00394CAD">
            <w:pPr>
              <w:jc w:val="center"/>
              <w:rPr>
                <w:rFonts w:ascii="Arial" w:hAnsi="Arial"/>
                <w:i/>
                <w:snapToGrid w:val="0"/>
                <w:sz w:val="18"/>
              </w:rPr>
            </w:pPr>
            <w:r>
              <w:rPr>
                <w:rFonts w:ascii="Arial" w:hAnsi="Arial"/>
                <w:i/>
                <w:snapToGrid w:val="0"/>
                <w:sz w:val="18"/>
              </w:rPr>
              <w:t>Hefner, 1986</w:t>
            </w:r>
          </w:p>
        </w:tc>
      </w:tr>
      <w:tr w:rsidR="00485094" w:rsidTr="00394CAD">
        <w:trPr>
          <w:trHeight w:val="288"/>
          <w:jc w:val="center"/>
        </w:trPr>
        <w:tc>
          <w:tcPr>
            <w:tcW w:w="1724" w:type="dxa"/>
            <w:shd w:val="clear" w:color="auto" w:fill="FFFFCC"/>
            <w:vAlign w:val="center"/>
          </w:tcPr>
          <w:p w:rsidR="00485094" w:rsidRDefault="00485094" w:rsidP="00394CAD">
            <w:pPr>
              <w:jc w:val="center"/>
              <w:rPr>
                <w:rFonts w:ascii="Arial" w:hAnsi="Arial"/>
                <w:snapToGrid w:val="0"/>
                <w:sz w:val="18"/>
              </w:rPr>
            </w:pPr>
            <w:r>
              <w:rPr>
                <w:rFonts w:ascii="Arial" w:hAnsi="Arial"/>
                <w:snapToGrid w:val="0"/>
                <w:sz w:val="18"/>
              </w:rPr>
              <w:t>mid-1970s</w:t>
            </w:r>
          </w:p>
        </w:tc>
        <w:tc>
          <w:tcPr>
            <w:tcW w:w="2250" w:type="dxa"/>
            <w:vAlign w:val="center"/>
          </w:tcPr>
          <w:p w:rsidR="00485094" w:rsidRDefault="00485094" w:rsidP="00394CAD">
            <w:pPr>
              <w:jc w:val="center"/>
              <w:rPr>
                <w:rFonts w:ascii="Arial" w:hAnsi="Arial"/>
                <w:snapToGrid w:val="0"/>
                <w:sz w:val="18"/>
              </w:rPr>
            </w:pPr>
            <w:r>
              <w:rPr>
                <w:rFonts w:ascii="Arial" w:hAnsi="Arial"/>
                <w:snapToGrid w:val="0"/>
                <w:sz w:val="18"/>
              </w:rPr>
              <w:t>11,298,600</w:t>
            </w:r>
          </w:p>
        </w:tc>
        <w:tc>
          <w:tcPr>
            <w:tcW w:w="3073" w:type="dxa"/>
            <w:vAlign w:val="center"/>
          </w:tcPr>
          <w:p w:rsidR="00485094" w:rsidRDefault="00485094" w:rsidP="00394CAD">
            <w:pPr>
              <w:jc w:val="center"/>
              <w:rPr>
                <w:rFonts w:ascii="Arial" w:hAnsi="Arial"/>
                <w:i/>
                <w:snapToGrid w:val="0"/>
                <w:sz w:val="18"/>
              </w:rPr>
            </w:pPr>
            <w:r>
              <w:rPr>
                <w:rFonts w:ascii="Arial" w:hAnsi="Arial"/>
                <w:i/>
                <w:snapToGrid w:val="0"/>
                <w:sz w:val="18"/>
              </w:rPr>
              <w:t>Frayer and Hefner, 1991</w:t>
            </w:r>
          </w:p>
        </w:tc>
      </w:tr>
      <w:tr w:rsidR="00485094" w:rsidTr="00394CAD">
        <w:trPr>
          <w:trHeight w:val="288"/>
          <w:jc w:val="center"/>
        </w:trPr>
        <w:tc>
          <w:tcPr>
            <w:tcW w:w="1724" w:type="dxa"/>
            <w:shd w:val="clear" w:color="auto" w:fill="FFFFCC"/>
            <w:vAlign w:val="center"/>
          </w:tcPr>
          <w:p w:rsidR="00485094" w:rsidRDefault="00485094" w:rsidP="00394CAD">
            <w:pPr>
              <w:jc w:val="center"/>
              <w:rPr>
                <w:rFonts w:ascii="Arial" w:hAnsi="Arial"/>
                <w:snapToGrid w:val="0"/>
                <w:sz w:val="18"/>
              </w:rPr>
            </w:pPr>
            <w:r>
              <w:rPr>
                <w:rFonts w:ascii="Arial" w:hAnsi="Arial"/>
                <w:snapToGrid w:val="0"/>
                <w:sz w:val="18"/>
              </w:rPr>
              <w:t>1979–80</w:t>
            </w:r>
          </w:p>
        </w:tc>
        <w:tc>
          <w:tcPr>
            <w:tcW w:w="2250" w:type="dxa"/>
            <w:vAlign w:val="center"/>
          </w:tcPr>
          <w:p w:rsidR="00485094" w:rsidRDefault="00485094" w:rsidP="00394CAD">
            <w:pPr>
              <w:jc w:val="center"/>
              <w:rPr>
                <w:rFonts w:ascii="Arial" w:hAnsi="Arial"/>
                <w:snapToGrid w:val="0"/>
                <w:sz w:val="18"/>
              </w:rPr>
            </w:pPr>
            <w:r>
              <w:rPr>
                <w:rFonts w:ascii="Arial" w:hAnsi="Arial"/>
                <w:snapToGrid w:val="0"/>
                <w:sz w:val="18"/>
              </w:rPr>
              <w:t>11,854,822</w:t>
            </w:r>
          </w:p>
        </w:tc>
        <w:tc>
          <w:tcPr>
            <w:tcW w:w="3073" w:type="dxa"/>
            <w:vAlign w:val="center"/>
          </w:tcPr>
          <w:p w:rsidR="00485094" w:rsidRDefault="00485094" w:rsidP="00394CAD">
            <w:pPr>
              <w:jc w:val="center"/>
              <w:rPr>
                <w:rFonts w:ascii="Arial" w:hAnsi="Arial"/>
                <w:i/>
                <w:snapToGrid w:val="0"/>
                <w:sz w:val="18"/>
              </w:rPr>
            </w:pPr>
            <w:r>
              <w:rPr>
                <w:rFonts w:ascii="Arial" w:hAnsi="Arial"/>
                <w:i/>
                <w:snapToGrid w:val="0"/>
                <w:sz w:val="18"/>
              </w:rPr>
              <w:t>Tiner, 1984</w:t>
            </w:r>
          </w:p>
        </w:tc>
      </w:tr>
      <w:tr w:rsidR="00485094" w:rsidTr="00394CAD">
        <w:trPr>
          <w:trHeight w:val="288"/>
          <w:jc w:val="center"/>
        </w:trPr>
        <w:tc>
          <w:tcPr>
            <w:tcW w:w="1724" w:type="dxa"/>
            <w:shd w:val="clear" w:color="auto" w:fill="FFFFCC"/>
            <w:vAlign w:val="center"/>
          </w:tcPr>
          <w:p w:rsidR="00485094" w:rsidRDefault="00485094" w:rsidP="00394CAD">
            <w:pPr>
              <w:jc w:val="center"/>
              <w:rPr>
                <w:rFonts w:ascii="Arial" w:hAnsi="Arial"/>
                <w:snapToGrid w:val="0"/>
                <w:sz w:val="18"/>
              </w:rPr>
            </w:pPr>
            <w:r>
              <w:rPr>
                <w:rFonts w:ascii="Arial" w:hAnsi="Arial"/>
                <w:snapToGrid w:val="0"/>
                <w:sz w:val="18"/>
              </w:rPr>
              <w:t>circa 1980</w:t>
            </w:r>
          </w:p>
        </w:tc>
        <w:tc>
          <w:tcPr>
            <w:tcW w:w="2250" w:type="dxa"/>
            <w:vAlign w:val="center"/>
          </w:tcPr>
          <w:p w:rsidR="00485094" w:rsidRDefault="00485094" w:rsidP="00394CAD">
            <w:pPr>
              <w:jc w:val="center"/>
              <w:rPr>
                <w:rFonts w:ascii="Arial" w:hAnsi="Arial"/>
                <w:snapToGrid w:val="0"/>
                <w:sz w:val="18"/>
              </w:rPr>
            </w:pPr>
            <w:r>
              <w:rPr>
                <w:rFonts w:ascii="Arial" w:hAnsi="Arial"/>
                <w:snapToGrid w:val="0"/>
                <w:sz w:val="18"/>
              </w:rPr>
              <w:t>11,038,300</w:t>
            </w:r>
          </w:p>
        </w:tc>
        <w:tc>
          <w:tcPr>
            <w:tcW w:w="3073" w:type="dxa"/>
            <w:vAlign w:val="center"/>
          </w:tcPr>
          <w:p w:rsidR="00485094" w:rsidRDefault="00485094" w:rsidP="00394CAD">
            <w:pPr>
              <w:jc w:val="center"/>
              <w:rPr>
                <w:rFonts w:ascii="Arial" w:hAnsi="Arial"/>
                <w:i/>
                <w:snapToGrid w:val="0"/>
                <w:sz w:val="18"/>
              </w:rPr>
            </w:pPr>
            <w:r>
              <w:rPr>
                <w:rFonts w:ascii="Arial" w:hAnsi="Arial"/>
                <w:i/>
                <w:snapToGrid w:val="0"/>
                <w:sz w:val="18"/>
              </w:rPr>
              <w:t>Dahl, 1990</w:t>
            </w:r>
          </w:p>
        </w:tc>
      </w:tr>
    </w:tbl>
    <w:p w:rsidR="00485094" w:rsidRDefault="00485094" w:rsidP="00B215C8">
      <w:pPr>
        <w:pStyle w:val="Bodytextreduced"/>
      </w:pPr>
    </w:p>
    <w:p w:rsidR="00485094" w:rsidRDefault="00485094" w:rsidP="00B215C8">
      <w:pPr>
        <w:pStyle w:val="Bodytextreduced"/>
      </w:pPr>
    </w:p>
    <w:p w:rsidR="00485094" w:rsidRPr="00E316BE" w:rsidRDefault="00485094" w:rsidP="00B215C8">
      <w:pPr>
        <w:pStyle w:val="Bodytext"/>
      </w:pPr>
      <w:r w:rsidRPr="00E316BE">
        <w:t xml:space="preserve">What is notable about the </w:t>
      </w:r>
      <w:r>
        <w:t xml:space="preserve">table </w:t>
      </w:r>
      <w:r w:rsidRPr="00E316BE">
        <w:t>above is that the rate of wetland loss ha</w:t>
      </w:r>
      <w:r>
        <w:t xml:space="preserve">s </w:t>
      </w:r>
      <w:r w:rsidRPr="00E316BE">
        <w:t>significantly slowed since the mid</w:t>
      </w:r>
      <w:r>
        <w:t>-</w:t>
      </w:r>
      <w:r w:rsidRPr="00E316BE">
        <w:t>1970s</w:t>
      </w:r>
      <w:r>
        <w:t xml:space="preserve">, corresponding </w:t>
      </w:r>
      <w:r w:rsidRPr="00E316BE">
        <w:t xml:space="preserve">to when </w:t>
      </w:r>
      <w:r>
        <w:t>federal and state</w:t>
      </w:r>
      <w:r w:rsidRPr="00E316BE">
        <w:t xml:space="preserve"> dredge</w:t>
      </w:r>
      <w:r>
        <w:t>-</w:t>
      </w:r>
      <w:r w:rsidRPr="00E316BE">
        <w:t>and</w:t>
      </w:r>
      <w:r>
        <w:t>-</w:t>
      </w:r>
      <w:r w:rsidRPr="00E316BE">
        <w:t xml:space="preserve">fill regulatory programs were enacted.  </w:t>
      </w:r>
      <w:r>
        <w:t>T</w:t>
      </w:r>
      <w:r w:rsidRPr="00E316BE">
        <w:t xml:space="preserve">here is no single, current, comprehensive way to estimate the wetland acreage in Florida.  The </w:t>
      </w:r>
      <w:r>
        <w:t>s</w:t>
      </w:r>
      <w:r w:rsidRPr="00E316BE">
        <w:t xml:space="preserve">tate </w:t>
      </w:r>
      <w:r>
        <w:t xml:space="preserve">developed </w:t>
      </w:r>
      <w:r w:rsidRPr="00E316BE">
        <w:t xml:space="preserve">its own wetland delineation methodology, which has been adopted </w:t>
      </w:r>
      <w:r>
        <w:t xml:space="preserve">as Chapter </w:t>
      </w:r>
      <w:r w:rsidRPr="00E316BE">
        <w:t>62-340</w:t>
      </w:r>
      <w:r>
        <w:t>, F.A.C</w:t>
      </w:r>
      <w:r w:rsidRPr="00E316BE">
        <w:t>.  This methodology</w:t>
      </w:r>
      <w:r>
        <w:t>,</w:t>
      </w:r>
      <w:r w:rsidRPr="00E316BE">
        <w:t xml:space="preserve"> used by all state and local agencies throughout the state</w:t>
      </w:r>
      <w:r>
        <w:t>,</w:t>
      </w:r>
      <w:r w:rsidRPr="00E316BE">
        <w:t xml:space="preserve"> requires field-based, site-specific determinations on a case-by-case basis</w:t>
      </w:r>
      <w:r>
        <w:t xml:space="preserve">—including </w:t>
      </w:r>
      <w:r w:rsidRPr="00E316BE">
        <w:t>an assessment of on-site soils, hydrology, and vegetation</w:t>
      </w:r>
      <w:r>
        <w:t>.</w:t>
      </w:r>
      <w:r w:rsidRPr="00E316BE">
        <w:t xml:space="preserve"> </w:t>
      </w:r>
      <w:r>
        <w:t xml:space="preserve"> As such, wetland estimates using the Florida methodology can</w:t>
      </w:r>
      <w:r w:rsidRPr="00E316BE">
        <w:t>not be determined based on aerial surveys or mapping.</w:t>
      </w:r>
      <w:r>
        <w:t xml:space="preserve"> </w:t>
      </w:r>
      <w:r w:rsidRPr="00E316BE">
        <w:t xml:space="preserve"> </w:t>
      </w:r>
      <w:r>
        <w:t>The U.S. Fish and Wildlife Service have estimated wetlands coverage nationwide, including Florida, using the National Wetlands Inventory, and</w:t>
      </w:r>
      <w:r w:rsidRPr="00E316BE">
        <w:t xml:space="preserve"> many of the estimates </w:t>
      </w:r>
      <w:r>
        <w:t xml:space="preserve">in the table </w:t>
      </w:r>
      <w:r w:rsidRPr="00E316BE">
        <w:t xml:space="preserve">are based on </w:t>
      </w:r>
      <w:r>
        <w:t>that</w:t>
      </w:r>
      <w:r w:rsidRPr="00E316BE">
        <w:t xml:space="preserve"> </w:t>
      </w:r>
      <w:r>
        <w:t>i</w:t>
      </w:r>
      <w:r w:rsidRPr="00E316BE">
        <w:t>nventory</w:t>
      </w:r>
      <w:r>
        <w:t>.  However, wetlands mapped in the inventory have not been ground-truthed and maps produced using the inventory do not</w:t>
      </w:r>
      <w:r w:rsidRPr="00E316BE">
        <w:t xml:space="preserve"> directly correspond to either the </w:t>
      </w:r>
      <w:r>
        <w:t>s</w:t>
      </w:r>
      <w:r w:rsidRPr="00E316BE">
        <w:t>tate methodology</w:t>
      </w:r>
      <w:r>
        <w:t xml:space="preserve"> or the wetland mapping methodology used by the U.S. Army Corps of Engineers</w:t>
      </w:r>
      <w:r w:rsidRPr="00E316BE">
        <w:t>.</w:t>
      </w:r>
    </w:p>
    <w:p w:rsidR="00485094" w:rsidRDefault="00485094" w:rsidP="00B215C8">
      <w:pPr>
        <w:pStyle w:val="Bodytext"/>
      </w:pPr>
    </w:p>
    <w:p w:rsidR="00485094" w:rsidRDefault="00485094" w:rsidP="00B215C8">
      <w:pPr>
        <w:pStyle w:val="Heading5"/>
        <w:rPr>
          <w:snapToGrid w:val="0"/>
        </w:rPr>
      </w:pPr>
      <w:r w:rsidRPr="00313FDB">
        <w:rPr>
          <w:snapToGrid w:val="0"/>
        </w:rPr>
        <w:t>Development of Wetlands Water Quality Standards</w:t>
      </w:r>
    </w:p>
    <w:p w:rsidR="00485094" w:rsidRDefault="00485094" w:rsidP="00B215C8">
      <w:pPr>
        <w:pStyle w:val="Bodytext"/>
        <w:rPr>
          <w:snapToGrid w:val="0"/>
          <w:szCs w:val="22"/>
        </w:rPr>
      </w:pPr>
      <w:r>
        <w:rPr>
          <w:snapToGrid w:val="0"/>
          <w:szCs w:val="22"/>
        </w:rPr>
        <w:t>Florida does not have separate water quality standards for wetlands. W</w:t>
      </w:r>
      <w:r w:rsidRPr="00EB0FEB">
        <w:rPr>
          <w:snapToGrid w:val="0"/>
          <w:szCs w:val="22"/>
        </w:rPr>
        <w:t xml:space="preserve">etlands are considered </w:t>
      </w:r>
      <w:r>
        <w:rPr>
          <w:snapToGrid w:val="0"/>
          <w:szCs w:val="22"/>
        </w:rPr>
        <w:t xml:space="preserve">surface </w:t>
      </w:r>
      <w:r w:rsidRPr="00EB0FEB">
        <w:rPr>
          <w:snapToGrid w:val="0"/>
          <w:szCs w:val="22"/>
        </w:rPr>
        <w:t>waters of the state</w:t>
      </w:r>
      <w:r>
        <w:rPr>
          <w:snapToGrid w:val="0"/>
          <w:szCs w:val="22"/>
        </w:rPr>
        <w:t>, although water quality standards do not apply to wetlands that are wholly owned by one person other than the state, except with respect to discharges offsite and into ground water.</w:t>
      </w:r>
      <w:r w:rsidRPr="00EB0FEB">
        <w:rPr>
          <w:rStyle w:val="FootnoteReference"/>
          <w:snapToGrid w:val="0"/>
          <w:szCs w:val="22"/>
        </w:rPr>
        <w:footnoteReference w:id="8"/>
      </w:r>
      <w:r w:rsidRPr="00EB0FEB">
        <w:rPr>
          <w:snapToGrid w:val="0"/>
          <w:szCs w:val="22"/>
        </w:rPr>
        <w:t xml:space="preserve"> </w:t>
      </w:r>
      <w:r>
        <w:rPr>
          <w:snapToGrid w:val="0"/>
          <w:szCs w:val="22"/>
        </w:rPr>
        <w:t xml:space="preserve"> Wetlands in which water quality standards apply </w:t>
      </w:r>
      <w:r w:rsidRPr="00EB0FEB">
        <w:rPr>
          <w:snapToGrid w:val="0"/>
          <w:szCs w:val="22"/>
        </w:rPr>
        <w:t xml:space="preserve">are </w:t>
      </w:r>
      <w:r>
        <w:rPr>
          <w:snapToGrid w:val="0"/>
          <w:szCs w:val="22"/>
        </w:rPr>
        <w:t xml:space="preserve">subject to </w:t>
      </w:r>
      <w:r w:rsidRPr="00EB0FEB">
        <w:rPr>
          <w:snapToGrid w:val="0"/>
          <w:szCs w:val="22"/>
        </w:rPr>
        <w:t xml:space="preserve">the same </w:t>
      </w:r>
      <w:r>
        <w:rPr>
          <w:snapToGrid w:val="0"/>
          <w:szCs w:val="22"/>
        </w:rPr>
        <w:t xml:space="preserve">water quality </w:t>
      </w:r>
      <w:r w:rsidRPr="00EB0FEB">
        <w:rPr>
          <w:snapToGrid w:val="0"/>
          <w:szCs w:val="22"/>
        </w:rPr>
        <w:t>standards as other surface waters,</w:t>
      </w:r>
      <w:r w:rsidRPr="00EB0FEB">
        <w:rPr>
          <w:i/>
          <w:snapToGrid w:val="0"/>
          <w:szCs w:val="22"/>
        </w:rPr>
        <w:t xml:space="preserve"> </w:t>
      </w:r>
      <w:r w:rsidRPr="00EB0FEB">
        <w:rPr>
          <w:snapToGrid w:val="0"/>
          <w:szCs w:val="22"/>
        </w:rPr>
        <w:t xml:space="preserve">including the same five functional classifications described earlier and the state's anti-degradation rules (as set out in Sections 62-302.300 and 62-4.242, F.A.C.).  </w:t>
      </w:r>
      <w:r>
        <w:rPr>
          <w:snapToGrid w:val="0"/>
          <w:szCs w:val="22"/>
        </w:rPr>
        <w:t xml:space="preserve">Most wetlands, like most surface waters in Florida, are designated as Class III Waters, except where a wetland is part of the landward extent of another waterbody that is classified otherwise (as Class I, II, IV, or V waters), in which case the water quality standards that apply to the wetland are the same as the waterbody with which the wetlands are associated.  </w:t>
      </w:r>
    </w:p>
    <w:p w:rsidR="00485094" w:rsidRDefault="00485094" w:rsidP="00B215C8">
      <w:pPr>
        <w:pStyle w:val="Bodytext"/>
        <w:rPr>
          <w:snapToGrid w:val="0"/>
        </w:rPr>
      </w:pPr>
    </w:p>
    <w:p w:rsidR="00485094" w:rsidRPr="00562005" w:rsidRDefault="00485094" w:rsidP="00B215C8">
      <w:pPr>
        <w:pStyle w:val="Bodytext"/>
        <w:rPr>
          <w:snapToGrid w:val="0"/>
          <w:szCs w:val="22"/>
        </w:rPr>
      </w:pPr>
      <w:r>
        <w:rPr>
          <w:snapToGrid w:val="0"/>
        </w:rPr>
        <w:t xml:space="preserve">Florida’s rules already contain qualitative and quantitative biological criteria—for example, substances shall not be present in concentrations that will result in a dominance of nuisance species, and there is a maximum allowable degradation of biological integrity.  The state has developed procedures for assessing biological communities in streams and lakes, defining relevant ecoregions, and identifying relatively pristine reference sites.  Florida has also developed and implemented the toughest standards for phosphate loading in the country (for the Everglades (10 parts per billion [ppb]). </w:t>
      </w:r>
      <w:r>
        <w:rPr>
          <w:snapToGrid w:val="0"/>
          <w:szCs w:val="22"/>
        </w:rPr>
        <w:t xml:space="preserve"> Lake Apopka (in central Florida), a lake that had been long degraded by agricultural runoff and wastewater discharges, and its associated wetlands also has a special standard of 55 ppb for </w:t>
      </w:r>
      <w:r w:rsidR="008C37FA">
        <w:rPr>
          <w:snapToGrid w:val="0"/>
          <w:szCs w:val="22"/>
        </w:rPr>
        <w:t>TP</w:t>
      </w:r>
      <w:r>
        <w:rPr>
          <w:snapToGrid w:val="0"/>
          <w:szCs w:val="22"/>
        </w:rPr>
        <w:t>.</w:t>
      </w:r>
      <w:r>
        <w:rPr>
          <w:rStyle w:val="FootnoteReference"/>
          <w:snapToGrid w:val="0"/>
          <w:szCs w:val="22"/>
        </w:rPr>
        <w:footnoteReference w:id="9"/>
      </w:r>
    </w:p>
    <w:p w:rsidR="00485094" w:rsidRDefault="00485094" w:rsidP="00B215C8">
      <w:pPr>
        <w:pStyle w:val="Bodytext"/>
        <w:rPr>
          <w:snapToGrid w:val="0"/>
        </w:rPr>
      </w:pPr>
    </w:p>
    <w:p w:rsidR="00485094" w:rsidRDefault="00485094" w:rsidP="00B215C8">
      <w:pPr>
        <w:pStyle w:val="Heading5"/>
        <w:rPr>
          <w:snapToGrid w:val="0"/>
        </w:rPr>
      </w:pPr>
      <w:r w:rsidRPr="00313FDB">
        <w:rPr>
          <w:snapToGrid w:val="0"/>
        </w:rPr>
        <w:t>Wetlands Management and Protection</w:t>
      </w:r>
    </w:p>
    <w:p w:rsidR="00485094" w:rsidRDefault="00485094" w:rsidP="00B215C8">
      <w:pPr>
        <w:pStyle w:val="Bodytext"/>
        <w:rPr>
          <w:snapToGrid w:val="0"/>
          <w:szCs w:val="22"/>
        </w:rPr>
      </w:pPr>
      <w:r w:rsidRPr="00EB0FEB">
        <w:rPr>
          <w:snapToGrid w:val="0"/>
          <w:szCs w:val="22"/>
        </w:rPr>
        <w:t xml:space="preserve">Florida implements an independent </w:t>
      </w:r>
      <w:r>
        <w:rPr>
          <w:snapToGrid w:val="0"/>
          <w:szCs w:val="22"/>
        </w:rPr>
        <w:t xml:space="preserve">state regulatory </w:t>
      </w:r>
      <w:r w:rsidRPr="00EB0FEB">
        <w:rPr>
          <w:snapToGrid w:val="0"/>
          <w:szCs w:val="22"/>
        </w:rPr>
        <w:t xml:space="preserve">permitting program that operates </w:t>
      </w:r>
      <w:r w:rsidRPr="00EB0FEB">
        <w:rPr>
          <w:i/>
          <w:snapToGrid w:val="0"/>
          <w:szCs w:val="22"/>
        </w:rPr>
        <w:t>in addition to</w:t>
      </w:r>
      <w:r w:rsidRPr="00EB0FEB">
        <w:rPr>
          <w:snapToGrid w:val="0"/>
          <w:szCs w:val="22"/>
        </w:rPr>
        <w:t xml:space="preserve"> the federal dredge-and-fill permitting program.  </w:t>
      </w:r>
      <w:r>
        <w:rPr>
          <w:snapToGrid w:val="0"/>
          <w:szCs w:val="22"/>
        </w:rPr>
        <w:t>Under the authority of Part IV, Chapter 373, F.S.,</w:t>
      </w:r>
      <w:r w:rsidRPr="00EB0FEB">
        <w:rPr>
          <w:snapToGrid w:val="0"/>
          <w:szCs w:val="22"/>
        </w:rPr>
        <w:t xml:space="preserve"> </w:t>
      </w:r>
      <w:r>
        <w:rPr>
          <w:snapToGrid w:val="0"/>
          <w:szCs w:val="22"/>
        </w:rPr>
        <w:t>t</w:t>
      </w:r>
      <w:r w:rsidRPr="00EB0FEB">
        <w:rPr>
          <w:snapToGrid w:val="0"/>
          <w:szCs w:val="22"/>
        </w:rPr>
        <w:t>he state’s regulatory permit program</w:t>
      </w:r>
      <w:r>
        <w:rPr>
          <w:snapToGrid w:val="0"/>
          <w:szCs w:val="22"/>
        </w:rPr>
        <w:t>, known as the ERP Program,</w:t>
      </w:r>
      <w:r w:rsidRPr="00EB0FEB">
        <w:rPr>
          <w:snapToGrid w:val="0"/>
          <w:szCs w:val="22"/>
        </w:rPr>
        <w:t xml:space="preserve"> </w:t>
      </w:r>
      <w:r>
        <w:rPr>
          <w:snapToGrid w:val="0"/>
          <w:szCs w:val="22"/>
        </w:rPr>
        <w:t>governs the construction</w:t>
      </w:r>
      <w:r w:rsidRPr="004673B4">
        <w:rPr>
          <w:snapToGrid w:val="0"/>
          <w:szCs w:val="22"/>
        </w:rPr>
        <w:t xml:space="preserve">, alteration, operation, maintenance, abandonment or removal of any </w:t>
      </w:r>
      <w:r>
        <w:rPr>
          <w:snapToGrid w:val="0"/>
          <w:szCs w:val="22"/>
        </w:rPr>
        <w:t>surface water</w:t>
      </w:r>
      <w:r w:rsidRPr="004673B4">
        <w:rPr>
          <w:snapToGrid w:val="0"/>
          <w:szCs w:val="22"/>
        </w:rPr>
        <w:t xml:space="preserve"> management system</w:t>
      </w:r>
      <w:r>
        <w:rPr>
          <w:snapToGrid w:val="0"/>
          <w:szCs w:val="22"/>
        </w:rPr>
        <w:t xml:space="preserve"> (including stormwater management systems)</w:t>
      </w:r>
      <w:r w:rsidRPr="004673B4">
        <w:rPr>
          <w:snapToGrid w:val="0"/>
          <w:szCs w:val="22"/>
        </w:rPr>
        <w:t>, dam, impoundment, reservoir, appurtenant work or works, including dredging or filling</w:t>
      </w:r>
      <w:r>
        <w:rPr>
          <w:snapToGrid w:val="0"/>
          <w:szCs w:val="22"/>
        </w:rPr>
        <w:t xml:space="preserve"> in wetlands and other surface waters</w:t>
      </w:r>
      <w:r w:rsidRPr="004673B4">
        <w:rPr>
          <w:snapToGrid w:val="0"/>
          <w:szCs w:val="22"/>
        </w:rPr>
        <w:t xml:space="preserve">, and for the maintenance and operation of existing agricultural surface water management systems or the construction of new agricultural surface water management systems </w:t>
      </w:r>
      <w:r>
        <w:rPr>
          <w:snapToGrid w:val="0"/>
          <w:szCs w:val="22"/>
        </w:rPr>
        <w:t>dredging and filling.  A separate regulatory program under Sections 403.9321 through 403.9333, F.S., governs the trimming and alteration of mangroves, which consist of tropical to subtropical wetland swamp vegetation growing within tidal environments, primarily in south Florida.</w:t>
      </w:r>
    </w:p>
    <w:p w:rsidR="00485094" w:rsidRDefault="00485094" w:rsidP="00B215C8">
      <w:pPr>
        <w:pStyle w:val="Bodytext"/>
        <w:rPr>
          <w:snapToGrid w:val="0"/>
          <w:szCs w:val="22"/>
        </w:rPr>
      </w:pPr>
    </w:p>
    <w:p w:rsidR="00485094" w:rsidRPr="0001156C" w:rsidRDefault="00485094" w:rsidP="00B215C8">
      <w:pPr>
        <w:pStyle w:val="Bodytext"/>
        <w:rPr>
          <w:snapToGrid w:val="0"/>
          <w:szCs w:val="22"/>
        </w:rPr>
      </w:pPr>
      <w:r>
        <w:rPr>
          <w:snapToGrid w:val="0"/>
          <w:szCs w:val="22"/>
        </w:rPr>
        <w:t xml:space="preserve">As discussed below, Florida’s ERP Program </w:t>
      </w:r>
      <w:r w:rsidRPr="00EB0FEB">
        <w:rPr>
          <w:snapToGrid w:val="0"/>
          <w:szCs w:val="22"/>
        </w:rPr>
        <w:t xml:space="preserve">is implemented </w:t>
      </w:r>
      <w:r>
        <w:rPr>
          <w:snapToGrid w:val="0"/>
          <w:szCs w:val="22"/>
        </w:rPr>
        <w:t>jointly by FDEP and the five water management districts, as well as by one delegated local government.  As such, there are some differences in how the program is implemented statewide.</w:t>
      </w:r>
      <w:r w:rsidRPr="007318DE">
        <w:rPr>
          <w:snapToGrid w:val="0"/>
          <w:szCs w:val="22"/>
        </w:rPr>
        <w:t xml:space="preserve"> </w:t>
      </w:r>
      <w:r>
        <w:rPr>
          <w:snapToGrid w:val="0"/>
          <w:szCs w:val="22"/>
        </w:rPr>
        <w:t xml:space="preserve"> </w:t>
      </w:r>
      <w:r w:rsidRPr="00EB0FEB">
        <w:rPr>
          <w:snapToGrid w:val="0"/>
          <w:szCs w:val="22"/>
        </w:rPr>
        <w:t xml:space="preserve">Rules regulating impacts to wetlands and other surface waters have been adopted by FDEP and </w:t>
      </w:r>
      <w:r>
        <w:rPr>
          <w:snapToGrid w:val="0"/>
          <w:szCs w:val="22"/>
        </w:rPr>
        <w:t>each of the</w:t>
      </w:r>
      <w:r w:rsidRPr="00EB0FEB">
        <w:rPr>
          <w:snapToGrid w:val="0"/>
          <w:szCs w:val="22"/>
        </w:rPr>
        <w:t xml:space="preserve"> water management districts.  These include Chapter 62-312, F.A.C., which covers the Florida Panhandle, and Chapters 62-330, </w:t>
      </w:r>
      <w:r>
        <w:rPr>
          <w:snapToGrid w:val="0"/>
          <w:szCs w:val="22"/>
        </w:rPr>
        <w:t xml:space="preserve">62-340, </w:t>
      </w:r>
      <w:r w:rsidRPr="00EB0FEB">
        <w:rPr>
          <w:snapToGrid w:val="0"/>
          <w:szCs w:val="22"/>
        </w:rPr>
        <w:t xml:space="preserve">62-341, 62-343, </w:t>
      </w:r>
      <w:r>
        <w:rPr>
          <w:snapToGrid w:val="0"/>
          <w:szCs w:val="22"/>
        </w:rPr>
        <w:t xml:space="preserve">62-346, </w:t>
      </w:r>
      <w:r w:rsidRPr="00EB0FEB">
        <w:rPr>
          <w:snapToGrid w:val="0"/>
          <w:szCs w:val="22"/>
        </w:rPr>
        <w:t xml:space="preserve">40A-4, 40B-4, 40B-400, 40C-4, 40C-40, 40C-41, 40C-400, 40D-4, 40D-40, 40D-400, 40E-4, 40E-40, 40E-41, and 40E-400, F.A.C.  A requirement for </w:t>
      </w:r>
      <w:r>
        <w:rPr>
          <w:snapToGrid w:val="0"/>
          <w:szCs w:val="22"/>
        </w:rPr>
        <w:t>issuing</w:t>
      </w:r>
      <w:r w:rsidRPr="00EB0FEB">
        <w:rPr>
          <w:snapToGrid w:val="0"/>
          <w:szCs w:val="22"/>
        </w:rPr>
        <w:t xml:space="preserve"> a permit is that the activity must not be contrary to the public interest, or, if located </w:t>
      </w:r>
      <w:r w:rsidRPr="0001156C">
        <w:rPr>
          <w:snapToGrid w:val="0"/>
          <w:szCs w:val="22"/>
        </w:rPr>
        <w:t>in OFWs, the activity must be clearly in the public interest.</w:t>
      </w:r>
      <w:r w:rsidRPr="0001156C">
        <w:rPr>
          <w:rStyle w:val="FootnoteReference"/>
          <w:snapToGrid w:val="0"/>
          <w:szCs w:val="22"/>
        </w:rPr>
        <w:footnoteReference w:id="10"/>
      </w:r>
    </w:p>
    <w:p w:rsidR="00485094" w:rsidRPr="00943AF3" w:rsidRDefault="00485094" w:rsidP="00B215C8">
      <w:pPr>
        <w:pStyle w:val="Bodytext"/>
        <w:rPr>
          <w:snapToGrid w:val="0"/>
        </w:rPr>
      </w:pPr>
    </w:p>
    <w:p w:rsidR="00485094" w:rsidRDefault="00485094" w:rsidP="00B215C8">
      <w:pPr>
        <w:pStyle w:val="StyleListBullet11pt"/>
        <w:tabs>
          <w:tab w:val="clear" w:pos="630"/>
          <w:tab w:val="num" w:pos="720"/>
        </w:tabs>
        <w:ind w:left="720"/>
        <w:rPr>
          <w:snapToGrid w:val="0"/>
        </w:rPr>
      </w:pPr>
      <w:r w:rsidRPr="007A0693">
        <w:rPr>
          <w:snapToGrid w:val="0"/>
        </w:rPr>
        <w:t>In peninsular Florida (encompassing the geographic territory of four water management districts, beginning south and east of mid-Jefferson County):</w:t>
      </w:r>
    </w:p>
    <w:p w:rsidR="00485094" w:rsidRPr="00C16590" w:rsidRDefault="00485094" w:rsidP="00B215C8">
      <w:pPr>
        <w:pStyle w:val="Listbulletsub"/>
        <w:rPr>
          <w:szCs w:val="20"/>
        </w:rPr>
      </w:pPr>
      <w:r w:rsidRPr="00C16590">
        <w:t>The ERP Program regulates virtually all alterations to the landscape, including all tidal and freshwater wetlands and other surface waters (including isolated wetlands) and uplands.  The ERP addresses dredging and filling in wetlands and other surface waters, as well as stormwater runoff quality (i.e., stormwater treatment) and quantity (i.e., stormwater attenuation and flooding of other properties), including that resulting from alterations of uplands.  The program regulates everything from the construction of single-family residences in wetlands, to convenience stores in uplands, to dredging and filling for any purpose in wetlands and other surface waters (including maintenance dredging), to the construction of roads located in uplands and wetlands, to agricultural alterations that impede or divert the flow of surface waters.  Issuance of the ERP also constitutes a water quality certification or waiver under Section 401 of the CWA, 33 U.S.C. 1341.  In addition, the issuance of an ERP in coastal counties constitutes a finding of consistency under the Florida Coastal Zone Management Program under Section 307 (Coastal Zone Management Act).  The ERP Program is implemented jointly by FDEP, four water management districts, and one (as of 2009) delegated local government (Broward County), in accordance with operating agreements that identify the respective divisions of responsibilities.</w:t>
      </w:r>
    </w:p>
    <w:p w:rsidR="00485094" w:rsidRPr="00C1328F" w:rsidRDefault="00485094" w:rsidP="00B215C8">
      <w:pPr>
        <w:pStyle w:val="StyleListBullet11pt"/>
        <w:tabs>
          <w:tab w:val="clear" w:pos="630"/>
          <w:tab w:val="num" w:pos="720"/>
        </w:tabs>
        <w:ind w:left="720"/>
        <w:rPr>
          <w:snapToGrid w:val="0"/>
        </w:rPr>
      </w:pPr>
      <w:r w:rsidRPr="00C1328F">
        <w:rPr>
          <w:snapToGrid w:val="0"/>
        </w:rPr>
        <w:t xml:space="preserve">In the </w:t>
      </w:r>
      <w:r>
        <w:rPr>
          <w:snapToGrid w:val="0"/>
        </w:rPr>
        <w:t>P</w:t>
      </w:r>
      <w:r w:rsidRPr="00C1328F">
        <w:rPr>
          <w:snapToGrid w:val="0"/>
        </w:rPr>
        <w:t>anhandle (encompassing the geographic territory of the Northwest Florida Water Management District, west of and including mid-Jefferson County):</w:t>
      </w:r>
    </w:p>
    <w:p w:rsidR="00485094" w:rsidRPr="00C16590" w:rsidRDefault="00485094" w:rsidP="00B215C8">
      <w:pPr>
        <w:pStyle w:val="Listbulletsub"/>
      </w:pPr>
      <w:r w:rsidRPr="00C16590">
        <w:t>A Wetland Resource Permit Program under Chapter 62-312, F.A.C, regulates dredging and filling in all tidal and freshwater wetlands and other surface waters that are connected (by one or more natural or artificial waters) to other bays, bayous, streams, rivers, lakes, estuaries, or the Gulf of Mexico.  It does not regulate dredging or filling in isolated wetlands.  The issuance of a Wetland Resource Permit also constitutes a water quality certification or waiver under Section 401 of the CWA, 33 U.S.C. 1341, and a finding of consistency under the Florida Coastal Zone Management Program under Section 307 (Coastal Zone Management Act).  This program is implemented solely by FDEP.</w:t>
      </w:r>
    </w:p>
    <w:p w:rsidR="00485094" w:rsidRDefault="00485094" w:rsidP="00B215C8">
      <w:pPr>
        <w:pStyle w:val="Listbulletsub"/>
        <w:ind w:left="1008"/>
      </w:pPr>
      <w:r w:rsidRPr="00146EF5">
        <w:t xml:space="preserve">A separate stormwater permit program under </w:t>
      </w:r>
      <w:r>
        <w:t>Chapter</w:t>
      </w:r>
      <w:r w:rsidRPr="00146EF5">
        <w:t xml:space="preserve"> 62-346, F.A.C., regulates construction and land alterations (typically in uplands) that collect, convey, channel, hold, inhibit, or divert the movement of stormwater and that discharge into surface waters.  This rule addresses the quality and quantity (i.e.</w:t>
      </w:r>
      <w:r>
        <w:t>,</w:t>
      </w:r>
      <w:r w:rsidRPr="00146EF5">
        <w:t xml:space="preserve"> flooding) of water.  It became effective on October 1, 2007, replacing </w:t>
      </w:r>
      <w:r>
        <w:t>Chapter</w:t>
      </w:r>
      <w:r w:rsidRPr="00146EF5">
        <w:t xml:space="preserve"> 62-25, F.A.C., which only regulated the quality, not the quantity of stormwater.  </w:t>
      </w:r>
      <w:r>
        <w:t>Chapter</w:t>
      </w:r>
      <w:r w:rsidRPr="00146EF5">
        <w:t xml:space="preserve"> 62-346, F.A.C., is implemented jointly by FDEP and the Northwest Florida Water Management District in accordance with an activity-based division of responsibilities (</w:t>
      </w:r>
      <w:r>
        <w:t xml:space="preserve">for additional information, </w:t>
      </w:r>
      <w:r w:rsidRPr="00146EF5">
        <w:t xml:space="preserve">see </w:t>
      </w:r>
      <w:r>
        <w:t xml:space="preserve">the Northwest Florida Water Management District brochure, </w:t>
      </w:r>
      <w:hyperlink r:id="rId199" w:history="1">
        <w:r>
          <w:rPr>
            <w:rStyle w:val="Hyperlink"/>
          </w:rPr>
          <w:t>Environmental Resource Permitting in Florida’s Panhandle</w:t>
        </w:r>
      </w:hyperlink>
      <w:r>
        <w:t>).</w:t>
      </w:r>
      <w:r w:rsidRPr="00562005">
        <w:rPr>
          <w:sz w:val="22"/>
        </w:rPr>
        <w:t xml:space="preserve"> </w:t>
      </w:r>
      <w:r>
        <w:rPr>
          <w:sz w:val="22"/>
        </w:rPr>
        <w:t xml:space="preserve"> </w:t>
      </w:r>
      <w:r w:rsidR="00E22C45">
        <w:rPr>
          <w:szCs w:val="20"/>
        </w:rPr>
        <w:t>FDEP</w:t>
      </w:r>
      <w:r w:rsidRPr="00A67E6F">
        <w:rPr>
          <w:szCs w:val="20"/>
        </w:rPr>
        <w:t xml:space="preserve"> is the process of rulemaking under the authority of Section 373.4145(1),</w:t>
      </w:r>
      <w:r>
        <w:rPr>
          <w:szCs w:val="20"/>
        </w:rPr>
        <w:t xml:space="preserve"> F.S.,</w:t>
      </w:r>
      <w:r w:rsidRPr="00A67E6F">
        <w:rPr>
          <w:szCs w:val="20"/>
        </w:rPr>
        <w:t xml:space="preserve"> to expand Chapter 62-346, F.A.C., to also regulate management and storage of surface waters in the same manner as they are regulated in peninsular Florida.  Once adopted, Chapter 62-346, F.A.C., will also regulate dredging and filling in wetlands and other surface waters, including isolated wetlands, which will effectively replace the need for a separate wetland resource permit under Chapter 62-312, F.A.C.</w:t>
      </w:r>
    </w:p>
    <w:p w:rsidR="00485094" w:rsidRPr="00C16590" w:rsidRDefault="00485094" w:rsidP="00B215C8">
      <w:pPr>
        <w:pStyle w:val="Listbulletsub"/>
      </w:pPr>
      <w:r w:rsidRPr="00C16590">
        <w:t>An agricultural and dam safety program implemented by the Northwest Florida Water Management District under Chapters 40A-44 and 40A-4, F.A.C., respectively.  This includes regulating the management, storage, and drainage of surface waters associated with agricultural and forestry projects.  The program has jurisdiction over impacts to isolated wetlands in agricultural lands, and the issuance of this permit constitutes water quality certification under Section 401 of the CWA, 33 U.S.C. 1341.  The dam safety program regulates the construction, alteration, or abandonment of dams or levees used in nonagricultural settings.</w:t>
      </w:r>
    </w:p>
    <w:p w:rsidR="00485094" w:rsidRPr="00943AF3" w:rsidRDefault="00485094" w:rsidP="00B215C8">
      <w:pPr>
        <w:pStyle w:val="Bodytextreduced"/>
        <w:rPr>
          <w:snapToGrid w:val="0"/>
        </w:rPr>
      </w:pPr>
    </w:p>
    <w:p w:rsidR="00485094" w:rsidRPr="00E27CA2" w:rsidRDefault="00485094" w:rsidP="00B215C8">
      <w:pPr>
        <w:pStyle w:val="Bodytext"/>
        <w:rPr>
          <w:snapToGrid w:val="0"/>
        </w:rPr>
      </w:pPr>
      <w:r w:rsidRPr="00943AF3">
        <w:rPr>
          <w:snapToGrid w:val="0"/>
        </w:rPr>
        <w:t xml:space="preserve">In addition to the </w:t>
      </w:r>
      <w:r w:rsidRPr="00203C4C">
        <w:rPr>
          <w:i/>
          <w:snapToGrid w:val="0"/>
        </w:rPr>
        <w:t>regulatory</w:t>
      </w:r>
      <w:r w:rsidRPr="00943AF3">
        <w:rPr>
          <w:snapToGrid w:val="0"/>
        </w:rPr>
        <w:t xml:space="preserve"> permit programs</w:t>
      </w:r>
      <w:r>
        <w:rPr>
          <w:snapToGrid w:val="0"/>
        </w:rPr>
        <w:t xml:space="preserve"> described above</w:t>
      </w:r>
      <w:r w:rsidRPr="00943AF3">
        <w:rPr>
          <w:snapToGrid w:val="0"/>
        </w:rPr>
        <w:t xml:space="preserve">, activities that are located on submerged lands owned by the state (otherwise called sovereign submerged lands) also require a </w:t>
      </w:r>
      <w:r w:rsidRPr="00203C4C">
        <w:rPr>
          <w:i/>
          <w:snapToGrid w:val="0"/>
        </w:rPr>
        <w:t>proprietary</w:t>
      </w:r>
      <w:r w:rsidRPr="00943AF3">
        <w:rPr>
          <w:snapToGrid w:val="0"/>
        </w:rPr>
        <w:t xml:space="preserve"> authorization for such use under </w:t>
      </w:r>
      <w:r>
        <w:rPr>
          <w:snapToGrid w:val="0"/>
        </w:rPr>
        <w:t>C</w:t>
      </w:r>
      <w:r w:rsidRPr="00943AF3">
        <w:rPr>
          <w:snapToGrid w:val="0"/>
        </w:rPr>
        <w:t>hapter 253</w:t>
      </w:r>
      <w:r>
        <w:rPr>
          <w:snapToGrid w:val="0"/>
        </w:rPr>
        <w:t>, F</w:t>
      </w:r>
      <w:r w:rsidRPr="00E27CA2">
        <w:rPr>
          <w:snapToGrid w:val="0"/>
        </w:rPr>
        <w:t xml:space="preserve">.S., and Chapter 18-21, F.A.C.  Such lands generally extend waterward from the mean high water line (of tidal waters) or the ordinary high water line (of fresh waters) both inland and out to the state’s territorial limit (approximately 3 miles into the Atlantic Ocean, and 10 miles into the Gulf of Mexico).  </w:t>
      </w:r>
    </w:p>
    <w:p w:rsidR="00485094" w:rsidRPr="00E27CA2" w:rsidRDefault="00485094" w:rsidP="00B215C8">
      <w:pPr>
        <w:pStyle w:val="Bodytext"/>
        <w:rPr>
          <w:snapToGrid w:val="0"/>
        </w:rPr>
      </w:pPr>
    </w:p>
    <w:p w:rsidR="00485094" w:rsidRPr="00943AF3" w:rsidRDefault="00485094" w:rsidP="00B215C8">
      <w:pPr>
        <w:pStyle w:val="Bodytext"/>
        <w:rPr>
          <w:snapToGrid w:val="0"/>
        </w:rPr>
      </w:pPr>
      <w:r w:rsidRPr="00E27CA2">
        <w:rPr>
          <w:snapToGrid w:val="0"/>
        </w:rPr>
        <w:t>If such lands are located in certain designated Aquatic Preserves, the authorization also must meet the requirements of Chapter 258, F.S., and Chapter 18-18, F.A.C. (in the Biscayne Bay Aquatic Preserve)</w:t>
      </w:r>
      <w:r>
        <w:rPr>
          <w:snapToGrid w:val="0"/>
        </w:rPr>
        <w:t>,</w:t>
      </w:r>
      <w:r w:rsidRPr="00E27CA2">
        <w:rPr>
          <w:snapToGrid w:val="0"/>
        </w:rPr>
        <w:t xml:space="preserve"> and Chapt</w:t>
      </w:r>
      <w:r>
        <w:rPr>
          <w:snapToGrid w:val="0"/>
        </w:rPr>
        <w:t xml:space="preserve">er 18-20, F.A.C. (in all the other aquatic preserves).  </w:t>
      </w:r>
      <w:r w:rsidRPr="00943AF3">
        <w:rPr>
          <w:snapToGrid w:val="0"/>
        </w:rPr>
        <w:t xml:space="preserve">Such authorization considers issues such as riparian rights, impacts to submerged land resources, and </w:t>
      </w:r>
      <w:r>
        <w:rPr>
          <w:snapToGrid w:val="0"/>
        </w:rPr>
        <w:t xml:space="preserve">the </w:t>
      </w:r>
      <w:r w:rsidRPr="00943AF3">
        <w:rPr>
          <w:snapToGrid w:val="0"/>
        </w:rPr>
        <w:t xml:space="preserve">preemption of other uses of the water by the public.  Authorizations typically are in the form of consents of use, easements, and leases.  This program is implemented jointly by </w:t>
      </w:r>
      <w:r>
        <w:rPr>
          <w:snapToGrid w:val="0"/>
        </w:rPr>
        <w:t>FDEP</w:t>
      </w:r>
      <w:r w:rsidRPr="00943AF3">
        <w:rPr>
          <w:snapToGrid w:val="0"/>
        </w:rPr>
        <w:t xml:space="preserve"> and four of the state’s five water management districts</w:t>
      </w:r>
      <w:r>
        <w:rPr>
          <w:snapToGrid w:val="0"/>
        </w:rPr>
        <w:t>,</w:t>
      </w:r>
      <w:r w:rsidRPr="00943AF3">
        <w:rPr>
          <w:snapToGrid w:val="0"/>
        </w:rPr>
        <w:t xml:space="preserve"> in accordance with the same operating agreement that governs the ERP </w:t>
      </w:r>
      <w:r>
        <w:rPr>
          <w:snapToGrid w:val="0"/>
        </w:rPr>
        <w:t>P</w:t>
      </w:r>
      <w:r w:rsidRPr="00943AF3">
        <w:rPr>
          <w:snapToGrid w:val="0"/>
        </w:rPr>
        <w:t>rogram.  The program is structured s</w:t>
      </w:r>
      <w:r>
        <w:rPr>
          <w:snapToGrid w:val="0"/>
        </w:rPr>
        <w:t>o</w:t>
      </w:r>
      <w:r w:rsidRPr="00943AF3">
        <w:rPr>
          <w:snapToGrid w:val="0"/>
        </w:rPr>
        <w:t xml:space="preserve"> that applicants who do not qualify at the time of the permit application for both the regulatory permit and the proprietary authorization cannot receive either </w:t>
      </w:r>
      <w:r>
        <w:rPr>
          <w:snapToGrid w:val="0"/>
        </w:rPr>
        <w:t xml:space="preserve">a </w:t>
      </w:r>
      <w:r w:rsidRPr="00943AF3">
        <w:rPr>
          <w:snapToGrid w:val="0"/>
        </w:rPr>
        <w:t xml:space="preserve">permit or </w:t>
      </w:r>
      <w:r>
        <w:rPr>
          <w:snapToGrid w:val="0"/>
        </w:rPr>
        <w:t xml:space="preserve">an </w:t>
      </w:r>
      <w:r w:rsidRPr="00943AF3">
        <w:rPr>
          <w:snapToGrid w:val="0"/>
        </w:rPr>
        <w:t>authorization.</w:t>
      </w:r>
    </w:p>
    <w:p w:rsidR="00485094" w:rsidRPr="00943AF3" w:rsidRDefault="00485094" w:rsidP="00B215C8">
      <w:pPr>
        <w:pStyle w:val="Bodytext"/>
        <w:rPr>
          <w:snapToGrid w:val="0"/>
        </w:rPr>
      </w:pPr>
    </w:p>
    <w:p w:rsidR="00485094" w:rsidRPr="00943AF3" w:rsidRDefault="00485094" w:rsidP="00B215C8">
      <w:pPr>
        <w:pStyle w:val="Bodytext"/>
        <w:rPr>
          <w:snapToGrid w:val="0"/>
        </w:rPr>
      </w:pPr>
      <w:r w:rsidRPr="00943AF3">
        <w:rPr>
          <w:snapToGrid w:val="0"/>
        </w:rPr>
        <w:t xml:space="preserve">Although each </w:t>
      </w:r>
      <w:r>
        <w:rPr>
          <w:snapToGrid w:val="0"/>
        </w:rPr>
        <w:t>FDEP</w:t>
      </w:r>
      <w:r w:rsidRPr="00943AF3">
        <w:rPr>
          <w:snapToGrid w:val="0"/>
        </w:rPr>
        <w:t xml:space="preserve"> and water management district </w:t>
      </w:r>
      <w:r>
        <w:rPr>
          <w:snapToGrid w:val="0"/>
        </w:rPr>
        <w:t xml:space="preserve">office </w:t>
      </w:r>
      <w:r w:rsidRPr="00943AF3">
        <w:rPr>
          <w:snapToGrid w:val="0"/>
        </w:rPr>
        <w:t>has its own enforcement officers, the public reports many violations.  Public education occurs through several state pamphlets and documents, technical and regulatory workshops, and newspaper coverage.  The press has done a good job of reporting on wetlands issues.</w:t>
      </w:r>
    </w:p>
    <w:p w:rsidR="00485094" w:rsidRPr="00943AF3" w:rsidRDefault="00485094" w:rsidP="00B215C8">
      <w:pPr>
        <w:pStyle w:val="Bodytext"/>
        <w:rPr>
          <w:snapToGrid w:val="0"/>
        </w:rPr>
      </w:pPr>
    </w:p>
    <w:p w:rsidR="00485094" w:rsidRPr="00943AF3" w:rsidRDefault="00485094" w:rsidP="00B215C8">
      <w:pPr>
        <w:pStyle w:val="Bodytext"/>
        <w:rPr>
          <w:snapToGrid w:val="0"/>
        </w:rPr>
      </w:pPr>
      <w:r w:rsidRPr="00943AF3">
        <w:rPr>
          <w:snapToGrid w:val="0"/>
        </w:rPr>
        <w:t>As discussed above, Florida uses its own methodology (</w:t>
      </w:r>
      <w:r>
        <w:rPr>
          <w:snapToGrid w:val="0"/>
        </w:rPr>
        <w:t>Chapter</w:t>
      </w:r>
      <w:r w:rsidRPr="00943AF3">
        <w:rPr>
          <w:snapToGrid w:val="0"/>
        </w:rPr>
        <w:t xml:space="preserve"> 62-340, F.A.C.), rather than the federal methodology, to </w:t>
      </w:r>
      <w:r>
        <w:rPr>
          <w:snapToGrid w:val="0"/>
        </w:rPr>
        <w:t>delineate</w:t>
      </w:r>
      <w:r w:rsidRPr="00943AF3">
        <w:rPr>
          <w:snapToGrid w:val="0"/>
        </w:rPr>
        <w:t xml:space="preserve"> the boundaries of wetlands and other surface waters.  This approach, designed specifically for Florida</w:t>
      </w:r>
      <w:r>
        <w:rPr>
          <w:snapToGrid w:val="0"/>
        </w:rPr>
        <w:t xml:space="preserve"> wetland</w:t>
      </w:r>
      <w:r w:rsidRPr="00943AF3">
        <w:rPr>
          <w:snapToGrid w:val="0"/>
        </w:rPr>
        <w:t xml:space="preserve"> communities, determines the landward extent of wetlands and other surface waters.  It applies to both isolated and contiguous wetlands, with some exceptions in northwest Florida, and must be used by all local, state, and regional governments.</w:t>
      </w:r>
    </w:p>
    <w:p w:rsidR="00485094" w:rsidRPr="00943AF3" w:rsidRDefault="00485094" w:rsidP="00B215C8">
      <w:pPr>
        <w:pStyle w:val="Bodytext"/>
        <w:rPr>
          <w:snapToGrid w:val="0"/>
        </w:rPr>
      </w:pPr>
    </w:p>
    <w:p w:rsidR="00485094" w:rsidRPr="00943AF3" w:rsidRDefault="00485094" w:rsidP="00B215C8">
      <w:pPr>
        <w:pStyle w:val="Bodytext"/>
        <w:rPr>
          <w:snapToGrid w:val="0"/>
        </w:rPr>
      </w:pPr>
      <w:r w:rsidRPr="00943AF3">
        <w:rPr>
          <w:snapToGrid w:val="0"/>
        </w:rPr>
        <w:t xml:space="preserve">Numerous programs are working to restore both freshwater and estuarine wetlands—most notably the Everglades system.  Over 60,000 acres of filtration marshes, known as stormwater treatment areas, </w:t>
      </w:r>
      <w:r>
        <w:rPr>
          <w:snapToGrid w:val="0"/>
        </w:rPr>
        <w:t xml:space="preserve">or STAs, </w:t>
      </w:r>
      <w:r w:rsidRPr="00943AF3">
        <w:rPr>
          <w:snapToGrid w:val="0"/>
        </w:rPr>
        <w:t>are being built to reduce the phosphorus in agricultural r</w:t>
      </w:r>
      <w:r>
        <w:rPr>
          <w:snapToGrid w:val="0"/>
        </w:rPr>
        <w:t>unoff entering the Everglades.</w:t>
      </w:r>
    </w:p>
    <w:p w:rsidR="00485094" w:rsidRPr="00943AF3" w:rsidRDefault="00485094" w:rsidP="00B215C8">
      <w:pPr>
        <w:pStyle w:val="Bodytext"/>
        <w:rPr>
          <w:snapToGrid w:val="0"/>
        </w:rPr>
      </w:pPr>
    </w:p>
    <w:p w:rsidR="00485094" w:rsidRPr="00943AF3" w:rsidRDefault="00485094" w:rsidP="00B215C8">
      <w:pPr>
        <w:pStyle w:val="Bodytext"/>
        <w:rPr>
          <w:snapToGrid w:val="0"/>
        </w:rPr>
      </w:pPr>
      <w:r w:rsidRPr="00943AF3">
        <w:rPr>
          <w:snapToGrid w:val="0"/>
        </w:rPr>
        <w:t xml:space="preserve">Land acquisition is crucial to wetlands preservation.  The state has bought </w:t>
      </w:r>
      <w:r>
        <w:rPr>
          <w:snapToGrid w:val="0"/>
        </w:rPr>
        <w:t>thousands of acres of</w:t>
      </w:r>
      <w:r w:rsidRPr="00943AF3">
        <w:rPr>
          <w:snapToGrid w:val="0"/>
        </w:rPr>
        <w:t xml:space="preserve"> wetlands and other environmentally sensitive lands since 1963, mainly through the Florida Forever and Conservation and Recreation Lands (CARL) Programs, administered by FDEP, and the Save Our Rivers (SOR) Program, administered by the water management districts.  Both are funded primarily by the documentary stamp tax on the transfer of property.  Additional funding comes from the Preservation 2000 (P-2000) Trust Fund.  In addition to outright land purchases, the state and water management districts can enter into agreements where the owner retains use of the property with certain restrictions such as conservation easements, the purchase of development rights, leasebacks, and sale with reserved life estates.</w:t>
      </w:r>
    </w:p>
    <w:p w:rsidR="00485094" w:rsidRPr="00943AF3" w:rsidRDefault="00485094" w:rsidP="00B215C8">
      <w:pPr>
        <w:pStyle w:val="Bodytext"/>
        <w:rPr>
          <w:snapToGrid w:val="0"/>
        </w:rPr>
      </w:pPr>
    </w:p>
    <w:p w:rsidR="00485094" w:rsidRPr="00943AF3" w:rsidRDefault="00485094" w:rsidP="00B215C8">
      <w:pPr>
        <w:pStyle w:val="Bodytext"/>
        <w:rPr>
          <w:snapToGrid w:val="0"/>
        </w:rPr>
      </w:pPr>
      <w:r w:rsidRPr="00943AF3">
        <w:rPr>
          <w:snapToGrid w:val="0"/>
        </w:rPr>
        <w:t xml:space="preserve">Florida’s five water management districts regulate agriculture and silviculture under </w:t>
      </w:r>
      <w:r>
        <w:rPr>
          <w:snapToGrid w:val="0"/>
        </w:rPr>
        <w:t xml:space="preserve">Part IV, </w:t>
      </w:r>
      <w:r w:rsidRPr="00943AF3">
        <w:rPr>
          <w:snapToGrid w:val="0"/>
        </w:rPr>
        <w:t xml:space="preserve">Chapter 373, F.S.  Permit applicants must show that they will not harm wetlands (including isolated wetlands) of five acres or larger.  </w:t>
      </w:r>
      <w:r>
        <w:rPr>
          <w:snapToGrid w:val="0"/>
        </w:rPr>
        <w:t>FDACS a</w:t>
      </w:r>
      <w:r w:rsidRPr="00943AF3">
        <w:rPr>
          <w:snapToGrid w:val="0"/>
        </w:rPr>
        <w:t xml:space="preserve">lso has developed and advises the districts on agricultural and silvicultural BMPs in hardwood forested wetlands.  </w:t>
      </w:r>
      <w:r>
        <w:rPr>
          <w:snapToGrid w:val="0"/>
        </w:rPr>
        <w:t>In addition, t</w:t>
      </w:r>
      <w:r w:rsidRPr="00943AF3">
        <w:rPr>
          <w:snapToGrid w:val="0"/>
        </w:rPr>
        <w:t>he districts administer permits for surface water and ground water withdrawals (consumptive use permitting) under Part II, Chapter 373, F.S.</w:t>
      </w:r>
    </w:p>
    <w:p w:rsidR="00485094" w:rsidRPr="00943AF3" w:rsidRDefault="00485094" w:rsidP="00B215C8">
      <w:pPr>
        <w:pStyle w:val="Bodytext"/>
        <w:rPr>
          <w:snapToGrid w:val="0"/>
        </w:rPr>
      </w:pPr>
    </w:p>
    <w:p w:rsidR="00485094" w:rsidRDefault="00485094" w:rsidP="00B215C8">
      <w:pPr>
        <w:pStyle w:val="Bodytext"/>
        <w:rPr>
          <w:snapToGrid w:val="0"/>
        </w:rPr>
      </w:pPr>
      <w:r w:rsidRPr="00943AF3">
        <w:rPr>
          <w:snapToGrid w:val="0"/>
        </w:rPr>
        <w:t>Mitigation</w:t>
      </w:r>
      <w:r>
        <w:rPr>
          <w:snapToGrid w:val="0"/>
        </w:rPr>
        <w:t>, which</w:t>
      </w:r>
      <w:r w:rsidRPr="00943AF3">
        <w:rPr>
          <w:snapToGrid w:val="0"/>
        </w:rPr>
        <w:t xml:space="preserve"> is often used to offset otherwise unpermittable wetlands impacts</w:t>
      </w:r>
      <w:r>
        <w:rPr>
          <w:snapToGrid w:val="0"/>
        </w:rPr>
        <w:t xml:space="preserve">, </w:t>
      </w:r>
      <w:r w:rsidRPr="00943AF3">
        <w:rPr>
          <w:snapToGrid w:val="0"/>
        </w:rPr>
        <w:t>may include the restoration, enhancement, creation, or preservation of wetlands, other surface waters, or upland</w:t>
      </w:r>
      <w:r>
        <w:rPr>
          <w:snapToGrid w:val="0"/>
        </w:rPr>
        <w:t xml:space="preserve">s.  Before 2004, the recommended </w:t>
      </w:r>
      <w:r w:rsidRPr="00943AF3">
        <w:rPr>
          <w:snapToGrid w:val="0"/>
        </w:rPr>
        <w:t xml:space="preserve">ranges of ratios for offsetting wetland impacts through mitigation generally ranged from 1.5:1 to 4:1 for created or restored marshes, 2:1 to 5:1 for created or restored swamps, 4:1 to 20:1 for wetlands enhancement, 10:1 to 60:1 for wetlands preservation, and 3:1 to </w:t>
      </w:r>
      <w:r>
        <w:rPr>
          <w:snapToGrid w:val="0"/>
        </w:rPr>
        <w:t>20:1 for uplands preservation.</w:t>
      </w:r>
    </w:p>
    <w:p w:rsidR="00485094" w:rsidRDefault="00485094" w:rsidP="00B215C8">
      <w:pPr>
        <w:pStyle w:val="Bodytext"/>
        <w:rPr>
          <w:snapToGrid w:val="0"/>
        </w:rPr>
      </w:pPr>
    </w:p>
    <w:p w:rsidR="00485094" w:rsidRPr="00943AF3" w:rsidRDefault="00485094" w:rsidP="00B215C8">
      <w:pPr>
        <w:pStyle w:val="Bodytext"/>
        <w:rPr>
          <w:snapToGrid w:val="0"/>
        </w:rPr>
      </w:pPr>
      <w:r w:rsidRPr="00943AF3">
        <w:rPr>
          <w:snapToGrid w:val="0"/>
        </w:rPr>
        <w:t xml:space="preserve">In 2004, </w:t>
      </w:r>
      <w:r>
        <w:rPr>
          <w:snapToGrid w:val="0"/>
        </w:rPr>
        <w:t>FDEP</w:t>
      </w:r>
      <w:r w:rsidRPr="00943AF3">
        <w:rPr>
          <w:snapToGrid w:val="0"/>
        </w:rPr>
        <w:t xml:space="preserve">, in consultation with the water management districts, adopted a statewide Uniform Mitigation Assessment Method (UMAM) in </w:t>
      </w:r>
      <w:r>
        <w:rPr>
          <w:snapToGrid w:val="0"/>
        </w:rPr>
        <w:t>Chapter</w:t>
      </w:r>
      <w:r w:rsidRPr="00943AF3">
        <w:rPr>
          <w:snapToGrid w:val="0"/>
        </w:rPr>
        <w:t xml:space="preserve"> 62-345, F.A.C.  </w:t>
      </w:r>
      <w:r>
        <w:rPr>
          <w:snapToGrid w:val="0"/>
        </w:rPr>
        <w:t>A</w:t>
      </w:r>
      <w:r w:rsidRPr="00943AF3">
        <w:rPr>
          <w:snapToGrid w:val="0"/>
        </w:rPr>
        <w:t xml:space="preserve">ll state, regional, and local agencies in the state </w:t>
      </w:r>
      <w:r>
        <w:rPr>
          <w:snapToGrid w:val="0"/>
        </w:rPr>
        <w:t xml:space="preserve">use UMAM </w:t>
      </w:r>
      <w:r w:rsidRPr="00943AF3">
        <w:rPr>
          <w:snapToGrid w:val="0"/>
        </w:rPr>
        <w:t>to determine the amount of mitigation required to offset impacts to wetlands and other surface waters.  As of August 2005, the U.S. Army Corps of Engineers, Jacksonville District</w:t>
      </w:r>
      <w:r>
        <w:rPr>
          <w:snapToGrid w:val="0"/>
        </w:rPr>
        <w:t>, also began using this method</w:t>
      </w:r>
      <w:r w:rsidRPr="00943AF3">
        <w:rPr>
          <w:snapToGrid w:val="0"/>
        </w:rPr>
        <w:t>.</w:t>
      </w:r>
      <w:r>
        <w:rPr>
          <w:snapToGrid w:val="0"/>
        </w:rPr>
        <w:t xml:space="preserve">  </w:t>
      </w:r>
      <w:r w:rsidRPr="00943AF3">
        <w:rPr>
          <w:snapToGrid w:val="0"/>
        </w:rPr>
        <w:t>It is used to determine the amount of functional loss caused by a proposed project, and the amount of “lift” need to</w:t>
      </w:r>
      <w:r>
        <w:rPr>
          <w:snapToGrid w:val="0"/>
        </w:rPr>
        <w:t xml:space="preserve"> offset that loss of function.</w:t>
      </w:r>
    </w:p>
    <w:p w:rsidR="00485094" w:rsidRPr="00943AF3" w:rsidRDefault="00485094" w:rsidP="00B215C8">
      <w:pPr>
        <w:pStyle w:val="Bodytext"/>
        <w:rPr>
          <w:snapToGrid w:val="0"/>
        </w:rPr>
      </w:pPr>
    </w:p>
    <w:p w:rsidR="00485094" w:rsidRDefault="00485094" w:rsidP="00B215C8">
      <w:pPr>
        <w:pStyle w:val="Bodytext"/>
        <w:rPr>
          <w:snapToGrid w:val="0"/>
        </w:rPr>
      </w:pPr>
      <w:r w:rsidRPr="00943AF3">
        <w:rPr>
          <w:snapToGrid w:val="0"/>
        </w:rPr>
        <w:t>FDEP and the water management districts adopted rules governing mitigation banks in 1994 (</w:t>
      </w:r>
      <w:r>
        <w:rPr>
          <w:snapToGrid w:val="0"/>
        </w:rPr>
        <w:t>Chapter</w:t>
      </w:r>
      <w:r w:rsidRPr="00943AF3">
        <w:rPr>
          <w:snapToGrid w:val="0"/>
        </w:rPr>
        <w:t xml:space="preserve"> 62-342, F.A.C.</w:t>
      </w:r>
      <w:r w:rsidRPr="00DA2DFA">
        <w:rPr>
          <w:snapToGrid w:val="0"/>
        </w:rPr>
        <w:t>).</w:t>
      </w:r>
      <w:r>
        <w:rPr>
          <w:snapToGrid w:val="0"/>
        </w:rPr>
        <w:t xml:space="preserve">  </w:t>
      </w:r>
      <w:r w:rsidRPr="00943AF3">
        <w:rPr>
          <w:snapToGrid w:val="0"/>
        </w:rPr>
        <w:t>A mitigation bank is a large area set aside for enhancement, restoration</w:t>
      </w:r>
      <w:r>
        <w:rPr>
          <w:snapToGrid w:val="0"/>
        </w:rPr>
        <w:t>,</w:t>
      </w:r>
      <w:r w:rsidRPr="00943AF3">
        <w:rPr>
          <w:snapToGrid w:val="0"/>
        </w:rPr>
        <w:t xml:space="preserve"> and preservation.  Mitigation credits are the increase in ecological value from restoring, creating, enhan</w:t>
      </w:r>
      <w:r>
        <w:rPr>
          <w:snapToGrid w:val="0"/>
        </w:rPr>
        <w:t xml:space="preserve">cing, or preserving wetlands.  </w:t>
      </w:r>
      <w:r w:rsidRPr="00943AF3">
        <w:rPr>
          <w:snapToGrid w:val="0"/>
        </w:rPr>
        <w:t xml:space="preserve">Permit applicants can use mitigation credits to offset </w:t>
      </w:r>
      <w:r>
        <w:rPr>
          <w:snapToGrid w:val="0"/>
        </w:rPr>
        <w:t xml:space="preserve">damage to wetlands functions.  </w:t>
      </w:r>
      <w:r w:rsidRPr="005A668C">
        <w:rPr>
          <w:b/>
          <w:i/>
          <w:snapToGrid w:val="0"/>
        </w:rPr>
        <w:t xml:space="preserve">Table </w:t>
      </w:r>
      <w:r>
        <w:rPr>
          <w:b/>
          <w:i/>
          <w:snapToGrid w:val="0"/>
        </w:rPr>
        <w:t>11.</w:t>
      </w:r>
      <w:r w:rsidR="00EB08C5">
        <w:rPr>
          <w:b/>
          <w:i/>
          <w:snapToGrid w:val="0"/>
        </w:rPr>
        <w:t>5</w:t>
      </w:r>
      <w:r>
        <w:rPr>
          <w:b/>
          <w:i/>
          <w:snapToGrid w:val="0"/>
        </w:rPr>
        <w:t xml:space="preserve"> </w:t>
      </w:r>
      <w:r w:rsidRPr="00943AF3">
        <w:rPr>
          <w:snapToGrid w:val="0"/>
        </w:rPr>
        <w:t xml:space="preserve">lists all </w:t>
      </w:r>
      <w:r>
        <w:rPr>
          <w:snapToGrid w:val="0"/>
        </w:rPr>
        <w:t xml:space="preserve">open </w:t>
      </w:r>
      <w:r w:rsidRPr="00943AF3">
        <w:rPr>
          <w:snapToGrid w:val="0"/>
        </w:rPr>
        <w:t>mitigation banks in the state</w:t>
      </w:r>
      <w:r>
        <w:rPr>
          <w:snapToGrid w:val="0"/>
        </w:rPr>
        <w:t xml:space="preserve"> and </w:t>
      </w:r>
      <w:r w:rsidRPr="00943AF3">
        <w:rPr>
          <w:snapToGrid w:val="0"/>
        </w:rPr>
        <w:t xml:space="preserve">the </w:t>
      </w:r>
      <w:r w:rsidRPr="00084DB2">
        <w:rPr>
          <w:snapToGrid w:val="0"/>
        </w:rPr>
        <w:t xml:space="preserve">agency administering each of them.  </w:t>
      </w:r>
    </w:p>
    <w:p w:rsidR="00485094" w:rsidRPr="00F62FCA" w:rsidRDefault="00485094" w:rsidP="00B215C8">
      <w:pPr>
        <w:pStyle w:val="Bodytextreduced"/>
      </w:pPr>
    </w:p>
    <w:p w:rsidR="00657C91" w:rsidRDefault="00485094">
      <w:pPr>
        <w:pStyle w:val="Bodytextreduced"/>
      </w:pPr>
      <w:r>
        <w:br w:type="page"/>
      </w:r>
    </w:p>
    <w:p w:rsidR="00485094" w:rsidRDefault="00485094" w:rsidP="00B215C8">
      <w:pPr>
        <w:pStyle w:val="Tableheading"/>
        <w:rPr>
          <w:vertAlign w:val="superscript"/>
        </w:rPr>
      </w:pPr>
      <w:bookmarkStart w:id="765" w:name="_Toc271280136"/>
      <w:r>
        <w:t>Table 11.</w:t>
      </w:r>
      <w:r w:rsidR="00EB08C5">
        <w:t>5</w:t>
      </w:r>
      <w:r>
        <w:t>.  Open Mitigation Banks in Florida</w:t>
      </w:r>
      <w:r w:rsidRPr="000C3F88">
        <w:rPr>
          <w:vertAlign w:val="superscript"/>
        </w:rPr>
        <w:t>1</w:t>
      </w:r>
      <w:bookmarkEnd w:id="765"/>
    </w:p>
    <w:p w:rsidR="00485094" w:rsidRPr="00146EF5" w:rsidRDefault="00550C22" w:rsidP="00B215C8">
      <w:pPr>
        <w:pStyle w:val="TabledescriptionBF"/>
      </w:pPr>
      <w:r>
        <w:t xml:space="preserve">This is a six-column table.  </w:t>
      </w:r>
      <w:r w:rsidR="00485094" w:rsidRPr="00146EF5">
        <w:t>Column 1 lists the bank name, Column 2 the administrative agency, Column 3 the acreage, Column 4 the potential credits, Column 5 the credits released, and Column 6 the credits used.</w:t>
      </w:r>
    </w:p>
    <w:p w:rsidR="00485094" w:rsidRPr="00146EF5" w:rsidRDefault="00485094" w:rsidP="00B215C8">
      <w:pPr>
        <w:pStyle w:val="TabledescriptionBF"/>
      </w:pPr>
    </w:p>
    <w:p w:rsidR="00485094" w:rsidRPr="00516383" w:rsidRDefault="00485094" w:rsidP="00B215C8">
      <w:pPr>
        <w:pStyle w:val="TableText"/>
        <w:ind w:left="90"/>
        <w:rPr>
          <w:rFonts w:cs="Arial"/>
          <w:sz w:val="16"/>
          <w:szCs w:val="16"/>
        </w:rPr>
      </w:pPr>
      <w:r w:rsidRPr="00516383">
        <w:rPr>
          <w:rFonts w:cs="Arial"/>
          <w:snapToGrid w:val="0"/>
          <w:sz w:val="16"/>
          <w:szCs w:val="16"/>
          <w:vertAlign w:val="superscript"/>
        </w:rPr>
        <w:t>1</w:t>
      </w:r>
      <w:r>
        <w:rPr>
          <w:rFonts w:cs="Arial"/>
          <w:sz w:val="16"/>
          <w:szCs w:val="16"/>
        </w:rPr>
        <w:t xml:space="preserve"> C</w:t>
      </w:r>
      <w:r w:rsidRPr="00516383">
        <w:rPr>
          <w:rFonts w:cs="Arial"/>
          <w:sz w:val="16"/>
          <w:szCs w:val="16"/>
        </w:rPr>
        <w:t xml:space="preserve">urrent data </w:t>
      </w:r>
      <w:r>
        <w:rPr>
          <w:rFonts w:cs="Arial"/>
          <w:sz w:val="16"/>
          <w:szCs w:val="16"/>
        </w:rPr>
        <w:t>were</w:t>
      </w:r>
      <w:r w:rsidRPr="00516383">
        <w:rPr>
          <w:rFonts w:cs="Arial"/>
          <w:sz w:val="16"/>
          <w:szCs w:val="16"/>
        </w:rPr>
        <w:t xml:space="preserve"> updated December 2008</w:t>
      </w:r>
      <w:r w:rsidRPr="00516383">
        <w:rPr>
          <w:rFonts w:cs="Arial"/>
          <w:snapToGrid w:val="0"/>
          <w:sz w:val="16"/>
          <w:szCs w:val="16"/>
        </w:rPr>
        <w:t>.</w:t>
      </w:r>
    </w:p>
    <w:p w:rsidR="00485094" w:rsidRDefault="00485094" w:rsidP="00B215C8">
      <w:pPr>
        <w:pStyle w:val="TableText"/>
        <w:ind w:left="180" w:hanging="90"/>
        <w:rPr>
          <w:rFonts w:cs="Arial"/>
          <w:sz w:val="16"/>
          <w:szCs w:val="16"/>
        </w:rPr>
      </w:pPr>
      <w:r w:rsidRPr="00516383">
        <w:rPr>
          <w:rFonts w:cs="Arial"/>
          <w:sz w:val="16"/>
          <w:szCs w:val="16"/>
          <w:vertAlign w:val="superscript"/>
        </w:rPr>
        <w:t>2</w:t>
      </w:r>
      <w:r>
        <w:rPr>
          <w:rFonts w:cs="Arial"/>
          <w:sz w:val="16"/>
          <w:szCs w:val="16"/>
          <w:vertAlign w:val="superscript"/>
        </w:rPr>
        <w:t xml:space="preserve"> </w:t>
      </w:r>
      <w:r w:rsidRPr="00516383">
        <w:rPr>
          <w:rFonts w:cs="Arial"/>
          <w:sz w:val="16"/>
          <w:szCs w:val="16"/>
        </w:rPr>
        <w:t xml:space="preserve">SFWMD </w:t>
      </w:r>
      <w:r>
        <w:rPr>
          <w:rFonts w:cs="Arial"/>
          <w:sz w:val="16"/>
          <w:szCs w:val="16"/>
        </w:rPr>
        <w:t>=</w:t>
      </w:r>
      <w:r w:rsidRPr="00516383">
        <w:rPr>
          <w:rFonts w:cs="Arial"/>
          <w:sz w:val="16"/>
          <w:szCs w:val="16"/>
        </w:rPr>
        <w:t xml:space="preserve"> South Florida Water Manag</w:t>
      </w:r>
      <w:r>
        <w:rPr>
          <w:rFonts w:cs="Arial"/>
          <w:sz w:val="16"/>
          <w:szCs w:val="16"/>
        </w:rPr>
        <w:t>ement District</w:t>
      </w:r>
    </w:p>
    <w:p w:rsidR="00485094" w:rsidRDefault="00485094" w:rsidP="00B215C8">
      <w:pPr>
        <w:pStyle w:val="TableText"/>
        <w:ind w:left="180"/>
        <w:rPr>
          <w:rFonts w:cs="Arial"/>
          <w:sz w:val="16"/>
          <w:szCs w:val="16"/>
        </w:rPr>
      </w:pPr>
      <w:r w:rsidRPr="00516383">
        <w:rPr>
          <w:rFonts w:cs="Arial"/>
          <w:sz w:val="16"/>
          <w:szCs w:val="16"/>
        </w:rPr>
        <w:t xml:space="preserve">SJRWMD – St. Johns </w:t>
      </w:r>
      <w:r>
        <w:rPr>
          <w:rFonts w:cs="Arial"/>
          <w:sz w:val="16"/>
          <w:szCs w:val="16"/>
        </w:rPr>
        <w:t>River Water Management District</w:t>
      </w:r>
    </w:p>
    <w:p w:rsidR="00485094" w:rsidRDefault="00485094" w:rsidP="00B215C8">
      <w:pPr>
        <w:ind w:left="180"/>
        <w:rPr>
          <w:rFonts w:ascii="Arial" w:hAnsi="Arial" w:cs="Arial"/>
          <w:sz w:val="16"/>
          <w:szCs w:val="16"/>
        </w:rPr>
      </w:pPr>
      <w:r w:rsidRPr="00516383">
        <w:rPr>
          <w:rFonts w:ascii="Arial" w:hAnsi="Arial" w:cs="Arial"/>
          <w:sz w:val="16"/>
          <w:szCs w:val="16"/>
        </w:rPr>
        <w:t xml:space="preserve">SWFWMD </w:t>
      </w:r>
      <w:r>
        <w:rPr>
          <w:rFonts w:ascii="Arial" w:hAnsi="Arial" w:cs="Arial"/>
          <w:sz w:val="16"/>
          <w:szCs w:val="16"/>
        </w:rPr>
        <w:t>=</w:t>
      </w:r>
      <w:r w:rsidRPr="00516383">
        <w:rPr>
          <w:rFonts w:ascii="Arial" w:hAnsi="Arial" w:cs="Arial"/>
          <w:sz w:val="16"/>
          <w:szCs w:val="16"/>
        </w:rPr>
        <w:t xml:space="preserve"> Southwest Fl</w:t>
      </w:r>
      <w:r>
        <w:rPr>
          <w:rFonts w:ascii="Arial" w:hAnsi="Arial" w:cs="Arial"/>
          <w:sz w:val="16"/>
          <w:szCs w:val="16"/>
        </w:rPr>
        <w:t>orida Water Management District</w:t>
      </w:r>
    </w:p>
    <w:p w:rsidR="00485094" w:rsidRDefault="00485094" w:rsidP="00B215C8">
      <w:pPr>
        <w:tabs>
          <w:tab w:val="left" w:pos="4107"/>
        </w:tabs>
        <w:ind w:left="180"/>
      </w:pPr>
      <w:r>
        <w:rPr>
          <w:rFonts w:ascii="Arial" w:hAnsi="Arial" w:cs="Arial"/>
          <w:sz w:val="16"/>
          <w:szCs w:val="16"/>
        </w:rPr>
        <w:t>- = Empty cell/no data</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2268"/>
        <w:gridCol w:w="1446"/>
        <w:gridCol w:w="1374"/>
        <w:gridCol w:w="1350"/>
        <w:gridCol w:w="1350"/>
        <w:gridCol w:w="1350"/>
      </w:tblGrid>
      <w:tr w:rsidR="00485094" w:rsidRPr="003A02D8" w:rsidTr="00394CAD">
        <w:trPr>
          <w:trHeight w:val="288"/>
          <w:tblHeader/>
          <w:jc w:val="center"/>
        </w:trPr>
        <w:tc>
          <w:tcPr>
            <w:tcW w:w="2268" w:type="dxa"/>
            <w:tcBorders>
              <w:bottom w:val="double" w:sz="4" w:space="0" w:color="auto"/>
            </w:tcBorders>
            <w:shd w:val="clear" w:color="auto" w:fill="BDFFFF"/>
            <w:vAlign w:val="bottom"/>
          </w:tcPr>
          <w:p w:rsidR="00485094" w:rsidRPr="003A02D8" w:rsidRDefault="00485094" w:rsidP="00394CAD">
            <w:pPr>
              <w:pStyle w:val="TableText"/>
              <w:jc w:val="center"/>
              <w:rPr>
                <w:b/>
                <w:i/>
              </w:rPr>
            </w:pPr>
            <w:r w:rsidRPr="003A02D8">
              <w:rPr>
                <w:b/>
                <w:i/>
              </w:rPr>
              <w:t>Bank Name</w:t>
            </w:r>
          </w:p>
        </w:tc>
        <w:tc>
          <w:tcPr>
            <w:tcW w:w="1446" w:type="dxa"/>
            <w:tcBorders>
              <w:bottom w:val="double" w:sz="4" w:space="0" w:color="auto"/>
            </w:tcBorders>
            <w:shd w:val="clear" w:color="auto" w:fill="BDFFFF"/>
            <w:vAlign w:val="bottom"/>
          </w:tcPr>
          <w:p w:rsidR="00485094" w:rsidRPr="003A02D8" w:rsidRDefault="00485094" w:rsidP="00394CAD">
            <w:pPr>
              <w:pStyle w:val="TableText"/>
              <w:jc w:val="center"/>
              <w:rPr>
                <w:b/>
                <w:i/>
              </w:rPr>
            </w:pPr>
            <w:r w:rsidRPr="003A02D8">
              <w:rPr>
                <w:b/>
                <w:i/>
              </w:rPr>
              <w:t>Administrative Agency</w:t>
            </w:r>
            <w:r w:rsidRPr="001F00C8">
              <w:rPr>
                <w:b/>
                <w:i/>
                <w:vertAlign w:val="superscript"/>
              </w:rPr>
              <w:t>2</w:t>
            </w:r>
          </w:p>
        </w:tc>
        <w:tc>
          <w:tcPr>
            <w:tcW w:w="1374" w:type="dxa"/>
            <w:tcBorders>
              <w:bottom w:val="double" w:sz="4" w:space="0" w:color="auto"/>
            </w:tcBorders>
            <w:shd w:val="clear" w:color="auto" w:fill="BDFFFF"/>
            <w:vAlign w:val="bottom"/>
          </w:tcPr>
          <w:p w:rsidR="00485094" w:rsidRPr="003A02D8" w:rsidRDefault="00485094" w:rsidP="00394CAD">
            <w:pPr>
              <w:pStyle w:val="TableText"/>
              <w:jc w:val="center"/>
              <w:rPr>
                <w:b/>
                <w:i/>
              </w:rPr>
            </w:pPr>
            <w:r w:rsidRPr="003A02D8">
              <w:rPr>
                <w:b/>
                <w:i/>
              </w:rPr>
              <w:t>Acres</w:t>
            </w:r>
          </w:p>
        </w:tc>
        <w:tc>
          <w:tcPr>
            <w:tcW w:w="1350" w:type="dxa"/>
            <w:tcBorders>
              <w:bottom w:val="double" w:sz="4" w:space="0" w:color="auto"/>
            </w:tcBorders>
            <w:shd w:val="clear" w:color="auto" w:fill="BDFFFF"/>
            <w:vAlign w:val="bottom"/>
          </w:tcPr>
          <w:p w:rsidR="00485094" w:rsidRPr="003A02D8" w:rsidRDefault="00485094" w:rsidP="00394CAD">
            <w:pPr>
              <w:pStyle w:val="TableText"/>
              <w:jc w:val="center"/>
              <w:rPr>
                <w:b/>
                <w:i/>
              </w:rPr>
            </w:pPr>
            <w:r w:rsidRPr="003A02D8">
              <w:rPr>
                <w:b/>
                <w:i/>
              </w:rPr>
              <w:t>Potential Credits</w:t>
            </w:r>
          </w:p>
        </w:tc>
        <w:tc>
          <w:tcPr>
            <w:tcW w:w="1350" w:type="dxa"/>
            <w:tcBorders>
              <w:bottom w:val="double" w:sz="4" w:space="0" w:color="auto"/>
            </w:tcBorders>
            <w:shd w:val="clear" w:color="auto" w:fill="BDFFFF"/>
            <w:vAlign w:val="bottom"/>
          </w:tcPr>
          <w:p w:rsidR="00485094" w:rsidRPr="003A02D8" w:rsidRDefault="00485094" w:rsidP="00394CAD">
            <w:pPr>
              <w:pStyle w:val="TableText"/>
              <w:jc w:val="center"/>
              <w:rPr>
                <w:b/>
                <w:i/>
              </w:rPr>
            </w:pPr>
            <w:r w:rsidRPr="003A02D8">
              <w:rPr>
                <w:b/>
                <w:i/>
              </w:rPr>
              <w:t>Credits Released</w:t>
            </w:r>
          </w:p>
        </w:tc>
        <w:tc>
          <w:tcPr>
            <w:tcW w:w="1350" w:type="dxa"/>
            <w:tcBorders>
              <w:bottom w:val="double" w:sz="4" w:space="0" w:color="auto"/>
            </w:tcBorders>
            <w:shd w:val="clear" w:color="auto" w:fill="BDFFFF"/>
            <w:vAlign w:val="bottom"/>
          </w:tcPr>
          <w:p w:rsidR="00485094" w:rsidRPr="003A02D8" w:rsidRDefault="00485094" w:rsidP="00394CAD">
            <w:pPr>
              <w:pStyle w:val="TableText"/>
              <w:jc w:val="center"/>
              <w:rPr>
                <w:b/>
                <w:i/>
              </w:rPr>
            </w:pPr>
            <w:r w:rsidRPr="003A02D8">
              <w:rPr>
                <w:b/>
                <w:i/>
              </w:rPr>
              <w:t>Credits</w:t>
            </w:r>
          </w:p>
          <w:p w:rsidR="00485094" w:rsidRPr="003A02D8" w:rsidRDefault="00485094" w:rsidP="00394CAD">
            <w:pPr>
              <w:pStyle w:val="TableText"/>
              <w:jc w:val="center"/>
              <w:rPr>
                <w:b/>
                <w:i/>
              </w:rPr>
            </w:pPr>
            <w:r w:rsidRPr="003A02D8">
              <w:rPr>
                <w:b/>
                <w:i/>
              </w:rPr>
              <w:t>Used</w:t>
            </w:r>
          </w:p>
        </w:tc>
      </w:tr>
      <w:tr w:rsidR="00485094" w:rsidTr="00394CAD">
        <w:trPr>
          <w:trHeight w:val="288"/>
          <w:jc w:val="center"/>
        </w:trPr>
        <w:tc>
          <w:tcPr>
            <w:tcW w:w="2268" w:type="dxa"/>
            <w:tcBorders>
              <w:top w:val="double" w:sz="4" w:space="0" w:color="auto"/>
            </w:tcBorders>
            <w:shd w:val="clear" w:color="auto" w:fill="FFFFCC"/>
            <w:vAlign w:val="center"/>
          </w:tcPr>
          <w:p w:rsidR="00485094" w:rsidRDefault="00485094" w:rsidP="00394CAD">
            <w:pPr>
              <w:pStyle w:val="TableText"/>
              <w:jc w:val="center"/>
            </w:pPr>
            <w:r w:rsidRPr="0043602E">
              <w:t>B</w:t>
            </w:r>
            <w:r>
              <w:t>ear Point</w:t>
            </w:r>
          </w:p>
        </w:tc>
        <w:tc>
          <w:tcPr>
            <w:tcW w:w="1446" w:type="dxa"/>
            <w:tcBorders>
              <w:top w:val="double" w:sz="4" w:space="0" w:color="auto"/>
            </w:tcBorders>
            <w:vAlign w:val="center"/>
          </w:tcPr>
          <w:p w:rsidR="00485094" w:rsidRDefault="00485094" w:rsidP="00394CAD">
            <w:pPr>
              <w:pStyle w:val="TableText"/>
              <w:jc w:val="center"/>
            </w:pPr>
            <w:r>
              <w:t>F</w:t>
            </w:r>
            <w:r w:rsidRPr="0043602E">
              <w:t>DEP</w:t>
            </w:r>
          </w:p>
        </w:tc>
        <w:tc>
          <w:tcPr>
            <w:tcW w:w="1374" w:type="dxa"/>
            <w:tcBorders>
              <w:top w:val="double" w:sz="4" w:space="0" w:color="auto"/>
            </w:tcBorders>
            <w:vAlign w:val="center"/>
          </w:tcPr>
          <w:p w:rsidR="00485094" w:rsidRDefault="00485094" w:rsidP="00394CAD">
            <w:pPr>
              <w:pStyle w:val="TableText"/>
              <w:jc w:val="center"/>
            </w:pPr>
            <w:r w:rsidRPr="0043602E">
              <w:t>317.00</w:t>
            </w:r>
          </w:p>
        </w:tc>
        <w:tc>
          <w:tcPr>
            <w:tcW w:w="1350" w:type="dxa"/>
            <w:tcBorders>
              <w:top w:val="double" w:sz="4" w:space="0" w:color="auto"/>
            </w:tcBorders>
            <w:vAlign w:val="center"/>
          </w:tcPr>
          <w:p w:rsidR="00485094" w:rsidRDefault="00485094" w:rsidP="00394CAD">
            <w:pPr>
              <w:pStyle w:val="TableText"/>
              <w:jc w:val="center"/>
            </w:pPr>
            <w:r w:rsidRPr="0043602E">
              <w:t>49.80</w:t>
            </w:r>
          </w:p>
        </w:tc>
        <w:tc>
          <w:tcPr>
            <w:tcW w:w="1350" w:type="dxa"/>
            <w:tcBorders>
              <w:top w:val="double" w:sz="4" w:space="0" w:color="auto"/>
            </w:tcBorders>
            <w:vAlign w:val="center"/>
          </w:tcPr>
          <w:p w:rsidR="00485094" w:rsidRDefault="00485094" w:rsidP="00394CAD">
            <w:pPr>
              <w:pStyle w:val="TableText"/>
              <w:jc w:val="center"/>
            </w:pPr>
            <w:r>
              <w:t>45.00</w:t>
            </w:r>
          </w:p>
        </w:tc>
        <w:tc>
          <w:tcPr>
            <w:tcW w:w="1350" w:type="dxa"/>
            <w:tcBorders>
              <w:top w:val="double" w:sz="4" w:space="0" w:color="auto"/>
            </w:tcBorders>
            <w:vAlign w:val="center"/>
          </w:tcPr>
          <w:p w:rsidR="00485094" w:rsidRDefault="00485094" w:rsidP="00394CAD">
            <w:pPr>
              <w:pStyle w:val="TableText"/>
              <w:jc w:val="center"/>
            </w:pPr>
            <w:r>
              <w:t>3.9</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rsidRPr="0043602E">
              <w:t>B</w:t>
            </w:r>
            <w:r>
              <w:t>reakfast Point</w:t>
            </w:r>
          </w:p>
        </w:tc>
        <w:tc>
          <w:tcPr>
            <w:tcW w:w="1446" w:type="dxa"/>
            <w:vAlign w:val="center"/>
          </w:tcPr>
          <w:p w:rsidR="00485094" w:rsidRDefault="00485094" w:rsidP="00394CAD">
            <w:pPr>
              <w:pStyle w:val="TableText"/>
              <w:jc w:val="center"/>
            </w:pPr>
            <w:r>
              <w:t>F</w:t>
            </w:r>
            <w:r w:rsidRPr="0043602E">
              <w:t>DEP</w:t>
            </w:r>
          </w:p>
        </w:tc>
        <w:tc>
          <w:tcPr>
            <w:tcW w:w="1374" w:type="dxa"/>
            <w:vAlign w:val="center"/>
          </w:tcPr>
          <w:p w:rsidR="00485094" w:rsidRDefault="00485094" w:rsidP="00394CAD">
            <w:pPr>
              <w:pStyle w:val="TableText"/>
              <w:jc w:val="center"/>
            </w:pPr>
            <w:r w:rsidRPr="0043602E">
              <w:t>4,637.00</w:t>
            </w:r>
          </w:p>
        </w:tc>
        <w:tc>
          <w:tcPr>
            <w:tcW w:w="1350" w:type="dxa"/>
            <w:vAlign w:val="center"/>
          </w:tcPr>
          <w:p w:rsidR="00485094" w:rsidRDefault="00485094" w:rsidP="00394CAD">
            <w:pPr>
              <w:pStyle w:val="TableText"/>
              <w:jc w:val="center"/>
            </w:pPr>
            <w:r w:rsidRPr="0043602E">
              <w:t>1,051.66</w:t>
            </w:r>
          </w:p>
        </w:tc>
        <w:tc>
          <w:tcPr>
            <w:tcW w:w="1350" w:type="dxa"/>
            <w:vAlign w:val="center"/>
          </w:tcPr>
          <w:p w:rsidR="00485094" w:rsidRDefault="00485094" w:rsidP="00394CAD">
            <w:pPr>
              <w:pStyle w:val="TableText"/>
              <w:jc w:val="center"/>
            </w:pPr>
            <w:r>
              <w:t>151.50</w:t>
            </w:r>
          </w:p>
        </w:tc>
        <w:tc>
          <w:tcPr>
            <w:tcW w:w="1350" w:type="dxa"/>
            <w:vAlign w:val="center"/>
          </w:tcPr>
          <w:p w:rsidR="00485094" w:rsidRDefault="00485094" w:rsidP="00394CAD">
            <w:pPr>
              <w:pStyle w:val="TableText"/>
              <w:jc w:val="center"/>
            </w:pPr>
            <w:r>
              <w:t>29.50</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Corkscrew</w:t>
            </w:r>
          </w:p>
        </w:tc>
        <w:tc>
          <w:tcPr>
            <w:tcW w:w="1446" w:type="dxa"/>
            <w:vAlign w:val="center"/>
          </w:tcPr>
          <w:p w:rsidR="00485094" w:rsidRDefault="00485094" w:rsidP="00394CAD">
            <w:pPr>
              <w:pStyle w:val="TableText"/>
              <w:jc w:val="center"/>
            </w:pPr>
            <w:r w:rsidRPr="009A2E4B">
              <w:t>FDEP</w:t>
            </w:r>
          </w:p>
        </w:tc>
        <w:tc>
          <w:tcPr>
            <w:tcW w:w="1374" w:type="dxa"/>
            <w:vAlign w:val="center"/>
          </w:tcPr>
          <w:p w:rsidR="00485094" w:rsidRDefault="00485094" w:rsidP="00394CAD">
            <w:pPr>
              <w:pStyle w:val="TableText"/>
              <w:jc w:val="center"/>
            </w:pPr>
            <w:r w:rsidRPr="0043602E">
              <w:t>635.00</w:t>
            </w:r>
          </w:p>
        </w:tc>
        <w:tc>
          <w:tcPr>
            <w:tcW w:w="1350" w:type="dxa"/>
            <w:vAlign w:val="center"/>
          </w:tcPr>
          <w:p w:rsidR="00485094" w:rsidRDefault="00485094" w:rsidP="00394CAD">
            <w:pPr>
              <w:pStyle w:val="TableText"/>
              <w:jc w:val="center"/>
            </w:pPr>
            <w:r w:rsidRPr="0043602E">
              <w:t>351.80</w:t>
            </w:r>
          </w:p>
        </w:tc>
        <w:tc>
          <w:tcPr>
            <w:tcW w:w="1350" w:type="dxa"/>
            <w:vAlign w:val="center"/>
          </w:tcPr>
          <w:p w:rsidR="00485094" w:rsidRDefault="00485094" w:rsidP="00394CAD">
            <w:pPr>
              <w:pStyle w:val="TableText"/>
              <w:jc w:val="center"/>
            </w:pPr>
            <w:r>
              <w:t>144.73</w:t>
            </w:r>
          </w:p>
        </w:tc>
        <w:tc>
          <w:tcPr>
            <w:tcW w:w="1350" w:type="dxa"/>
            <w:vAlign w:val="center"/>
          </w:tcPr>
          <w:p w:rsidR="00485094" w:rsidRDefault="00485094" w:rsidP="00394CAD">
            <w:pPr>
              <w:pStyle w:val="TableText"/>
              <w:jc w:val="center"/>
            </w:pPr>
            <w:r>
              <w:t>18.70</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rsidRPr="0043602E">
              <w:t>D</w:t>
            </w:r>
            <w:r>
              <w:t>evils Swamp</w:t>
            </w:r>
          </w:p>
        </w:tc>
        <w:tc>
          <w:tcPr>
            <w:tcW w:w="1446" w:type="dxa"/>
            <w:vAlign w:val="center"/>
          </w:tcPr>
          <w:p w:rsidR="00485094" w:rsidRDefault="00485094" w:rsidP="00394CAD">
            <w:pPr>
              <w:pStyle w:val="TableText"/>
              <w:jc w:val="center"/>
            </w:pPr>
            <w:r w:rsidRPr="009A2E4B">
              <w:t>FDEP</w:t>
            </w:r>
          </w:p>
        </w:tc>
        <w:tc>
          <w:tcPr>
            <w:tcW w:w="1374" w:type="dxa"/>
            <w:vAlign w:val="center"/>
          </w:tcPr>
          <w:p w:rsidR="00485094" w:rsidRDefault="00485094" w:rsidP="00394CAD">
            <w:pPr>
              <w:pStyle w:val="TableText"/>
              <w:jc w:val="center"/>
            </w:pPr>
            <w:r w:rsidRPr="0043602E">
              <w:t>3,049.20</w:t>
            </w:r>
          </w:p>
        </w:tc>
        <w:tc>
          <w:tcPr>
            <w:tcW w:w="1350" w:type="dxa"/>
            <w:vAlign w:val="center"/>
          </w:tcPr>
          <w:p w:rsidR="00485094" w:rsidRDefault="00485094" w:rsidP="00394CAD">
            <w:pPr>
              <w:pStyle w:val="TableText"/>
              <w:jc w:val="center"/>
            </w:pPr>
            <w:r w:rsidRPr="0043602E">
              <w:t>526.80</w:t>
            </w:r>
          </w:p>
        </w:tc>
        <w:tc>
          <w:tcPr>
            <w:tcW w:w="1350" w:type="dxa"/>
            <w:vAlign w:val="center"/>
          </w:tcPr>
          <w:p w:rsidR="00485094" w:rsidRDefault="00485094" w:rsidP="00394CAD">
            <w:pPr>
              <w:pStyle w:val="TableText"/>
              <w:jc w:val="center"/>
            </w:pPr>
            <w:r>
              <w:t>208.20</w:t>
            </w:r>
          </w:p>
        </w:tc>
        <w:tc>
          <w:tcPr>
            <w:tcW w:w="1350" w:type="dxa"/>
            <w:vAlign w:val="center"/>
          </w:tcPr>
          <w:p w:rsidR="00485094" w:rsidRDefault="00485094" w:rsidP="00394CAD">
            <w:pPr>
              <w:pStyle w:val="TableText"/>
              <w:jc w:val="center"/>
            </w:pPr>
            <w:r>
              <w:t>1.57</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rsidRPr="0043602E">
              <w:t>FMB</w:t>
            </w:r>
          </w:p>
        </w:tc>
        <w:tc>
          <w:tcPr>
            <w:tcW w:w="1446" w:type="dxa"/>
            <w:vAlign w:val="center"/>
          </w:tcPr>
          <w:p w:rsidR="00485094" w:rsidRDefault="00485094" w:rsidP="00394CAD">
            <w:pPr>
              <w:pStyle w:val="TableText"/>
              <w:jc w:val="center"/>
            </w:pPr>
            <w:r w:rsidRPr="009A2E4B">
              <w:t>FDEP</w:t>
            </w:r>
          </w:p>
        </w:tc>
        <w:tc>
          <w:tcPr>
            <w:tcW w:w="1374" w:type="dxa"/>
            <w:vAlign w:val="center"/>
          </w:tcPr>
          <w:p w:rsidR="00485094" w:rsidRDefault="00485094" w:rsidP="00394CAD">
            <w:pPr>
              <w:pStyle w:val="TableText"/>
              <w:jc w:val="center"/>
            </w:pPr>
            <w:r w:rsidRPr="0043602E">
              <w:t>1,582.00</w:t>
            </w:r>
          </w:p>
        </w:tc>
        <w:tc>
          <w:tcPr>
            <w:tcW w:w="1350" w:type="dxa"/>
            <w:vAlign w:val="center"/>
          </w:tcPr>
          <w:p w:rsidR="00485094" w:rsidRDefault="00485094" w:rsidP="00394CAD">
            <w:pPr>
              <w:pStyle w:val="TableText"/>
              <w:jc w:val="center"/>
            </w:pPr>
            <w:r w:rsidRPr="0043602E">
              <w:t>847.50</w:t>
            </w:r>
          </w:p>
        </w:tc>
        <w:tc>
          <w:tcPr>
            <w:tcW w:w="1350" w:type="dxa"/>
            <w:vAlign w:val="center"/>
          </w:tcPr>
          <w:p w:rsidR="00485094" w:rsidRDefault="00485094" w:rsidP="00394CAD">
            <w:pPr>
              <w:pStyle w:val="TableText"/>
              <w:jc w:val="center"/>
            </w:pPr>
            <w:r w:rsidRPr="0043602E">
              <w:t>847.50</w:t>
            </w:r>
          </w:p>
        </w:tc>
        <w:tc>
          <w:tcPr>
            <w:tcW w:w="1350" w:type="dxa"/>
            <w:vAlign w:val="center"/>
          </w:tcPr>
          <w:p w:rsidR="00485094" w:rsidRDefault="00485094" w:rsidP="00394CAD">
            <w:pPr>
              <w:pStyle w:val="TableText"/>
              <w:jc w:val="center"/>
            </w:pPr>
            <w:r>
              <w:t>799.90</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rsidRPr="0043602E">
              <w:t>FPL/EMB I</w:t>
            </w:r>
          </w:p>
        </w:tc>
        <w:tc>
          <w:tcPr>
            <w:tcW w:w="1446" w:type="dxa"/>
            <w:vAlign w:val="center"/>
          </w:tcPr>
          <w:p w:rsidR="00485094" w:rsidRDefault="00485094" w:rsidP="00394CAD">
            <w:pPr>
              <w:pStyle w:val="TableText"/>
              <w:jc w:val="center"/>
            </w:pPr>
            <w:r w:rsidRPr="009A2E4B">
              <w:t>FDEP</w:t>
            </w:r>
          </w:p>
        </w:tc>
        <w:tc>
          <w:tcPr>
            <w:tcW w:w="1374" w:type="dxa"/>
            <w:vAlign w:val="center"/>
          </w:tcPr>
          <w:p w:rsidR="00485094" w:rsidRDefault="00485094" w:rsidP="00394CAD">
            <w:pPr>
              <w:pStyle w:val="TableText"/>
              <w:jc w:val="center"/>
            </w:pPr>
            <w:r w:rsidRPr="0043602E">
              <w:t>4,12</w:t>
            </w:r>
            <w:r>
              <w:t>5.00</w:t>
            </w:r>
          </w:p>
        </w:tc>
        <w:tc>
          <w:tcPr>
            <w:tcW w:w="1350" w:type="dxa"/>
            <w:vAlign w:val="center"/>
          </w:tcPr>
          <w:p w:rsidR="00485094" w:rsidRDefault="00485094" w:rsidP="00394CAD">
            <w:pPr>
              <w:pStyle w:val="TableText"/>
              <w:jc w:val="center"/>
            </w:pPr>
            <w:r w:rsidRPr="0043602E">
              <w:t>424.50</w:t>
            </w:r>
          </w:p>
        </w:tc>
        <w:tc>
          <w:tcPr>
            <w:tcW w:w="1350" w:type="dxa"/>
            <w:vAlign w:val="center"/>
          </w:tcPr>
          <w:p w:rsidR="00485094" w:rsidRDefault="00485094" w:rsidP="00394CAD">
            <w:pPr>
              <w:pStyle w:val="TableText"/>
              <w:jc w:val="center"/>
            </w:pPr>
            <w:r w:rsidRPr="0043602E">
              <w:t>382.00</w:t>
            </w:r>
          </w:p>
        </w:tc>
        <w:tc>
          <w:tcPr>
            <w:tcW w:w="1350" w:type="dxa"/>
            <w:vAlign w:val="center"/>
          </w:tcPr>
          <w:p w:rsidR="00485094" w:rsidRDefault="00485094" w:rsidP="00394CAD">
            <w:pPr>
              <w:pStyle w:val="TableText"/>
              <w:jc w:val="center"/>
            </w:pPr>
            <w:r>
              <w:t>270.27</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rsidRPr="0043602E">
              <w:t>FPL/EMB II</w:t>
            </w:r>
          </w:p>
        </w:tc>
        <w:tc>
          <w:tcPr>
            <w:tcW w:w="1446" w:type="dxa"/>
            <w:vAlign w:val="center"/>
          </w:tcPr>
          <w:p w:rsidR="00485094" w:rsidRDefault="00485094" w:rsidP="00394CAD">
            <w:pPr>
              <w:pStyle w:val="TableText"/>
              <w:jc w:val="center"/>
            </w:pPr>
            <w:r w:rsidRPr="009A2E4B">
              <w:t>FDEP</w:t>
            </w:r>
          </w:p>
        </w:tc>
        <w:tc>
          <w:tcPr>
            <w:tcW w:w="1374" w:type="dxa"/>
            <w:vAlign w:val="center"/>
          </w:tcPr>
          <w:p w:rsidR="00485094" w:rsidRDefault="00485094" w:rsidP="00394CAD">
            <w:pPr>
              <w:pStyle w:val="TableText"/>
              <w:jc w:val="center"/>
            </w:pPr>
            <w:r w:rsidRPr="0043602E">
              <w:t>9,026.00</w:t>
            </w:r>
          </w:p>
        </w:tc>
        <w:tc>
          <w:tcPr>
            <w:tcW w:w="1350" w:type="dxa"/>
            <w:vAlign w:val="center"/>
          </w:tcPr>
          <w:p w:rsidR="00485094" w:rsidRDefault="00485094" w:rsidP="00394CAD">
            <w:pPr>
              <w:pStyle w:val="TableText"/>
              <w:jc w:val="center"/>
            </w:pPr>
            <w:r w:rsidRPr="0043602E">
              <w:t>1,769.53</w:t>
            </w:r>
          </w:p>
        </w:tc>
        <w:tc>
          <w:tcPr>
            <w:tcW w:w="1350" w:type="dxa"/>
            <w:vAlign w:val="center"/>
          </w:tcPr>
          <w:p w:rsidR="00485094" w:rsidRDefault="00485094" w:rsidP="00394CAD">
            <w:pPr>
              <w:pStyle w:val="TableText"/>
              <w:jc w:val="center"/>
            </w:pPr>
            <w:r>
              <w:t>547.27</w:t>
            </w:r>
          </w:p>
        </w:tc>
        <w:tc>
          <w:tcPr>
            <w:tcW w:w="1350" w:type="dxa"/>
            <w:vAlign w:val="center"/>
          </w:tcPr>
          <w:p w:rsidR="00485094" w:rsidRDefault="00485094" w:rsidP="00394CAD">
            <w:pPr>
              <w:pStyle w:val="TableText"/>
              <w:jc w:val="center"/>
            </w:pPr>
            <w:r>
              <w:t>139.35</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Garcon</w:t>
            </w:r>
          </w:p>
        </w:tc>
        <w:tc>
          <w:tcPr>
            <w:tcW w:w="1446" w:type="dxa"/>
            <w:vAlign w:val="center"/>
          </w:tcPr>
          <w:p w:rsidR="00485094" w:rsidRDefault="00485094" w:rsidP="00394CAD">
            <w:pPr>
              <w:pStyle w:val="TableText"/>
              <w:jc w:val="center"/>
            </w:pPr>
            <w:r w:rsidRPr="009A2E4B">
              <w:t>FDEP</w:t>
            </w:r>
          </w:p>
        </w:tc>
        <w:tc>
          <w:tcPr>
            <w:tcW w:w="1374" w:type="dxa"/>
            <w:vAlign w:val="center"/>
          </w:tcPr>
          <w:p w:rsidR="00485094" w:rsidRDefault="00485094" w:rsidP="00394CAD">
            <w:pPr>
              <w:pStyle w:val="TableText"/>
              <w:jc w:val="center"/>
            </w:pPr>
            <w:r w:rsidRPr="0043602E">
              <w:t>337.00</w:t>
            </w:r>
          </w:p>
        </w:tc>
        <w:tc>
          <w:tcPr>
            <w:tcW w:w="1350" w:type="dxa"/>
            <w:vAlign w:val="center"/>
          </w:tcPr>
          <w:p w:rsidR="00485094" w:rsidRDefault="00485094" w:rsidP="00394CAD">
            <w:pPr>
              <w:pStyle w:val="TableText"/>
              <w:jc w:val="center"/>
            </w:pPr>
            <w:r w:rsidRPr="0043602E">
              <w:t>172.39</w:t>
            </w:r>
          </w:p>
        </w:tc>
        <w:tc>
          <w:tcPr>
            <w:tcW w:w="1350" w:type="dxa"/>
            <w:vAlign w:val="center"/>
          </w:tcPr>
          <w:p w:rsidR="00485094" w:rsidRDefault="00485094" w:rsidP="00394CAD">
            <w:pPr>
              <w:pStyle w:val="TableText"/>
              <w:jc w:val="center"/>
            </w:pPr>
            <w:r w:rsidRPr="0043602E">
              <w:t>77.40</w:t>
            </w:r>
          </w:p>
        </w:tc>
        <w:tc>
          <w:tcPr>
            <w:tcW w:w="1350" w:type="dxa"/>
            <w:vAlign w:val="center"/>
          </w:tcPr>
          <w:p w:rsidR="00485094" w:rsidRDefault="00485094" w:rsidP="00394CAD">
            <w:pPr>
              <w:pStyle w:val="TableText"/>
              <w:jc w:val="center"/>
            </w:pPr>
            <w:r>
              <w:t>16.10</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Graham</w:t>
            </w:r>
          </w:p>
        </w:tc>
        <w:tc>
          <w:tcPr>
            <w:tcW w:w="1446" w:type="dxa"/>
            <w:vAlign w:val="center"/>
          </w:tcPr>
          <w:p w:rsidR="00485094" w:rsidRDefault="00485094" w:rsidP="00394CAD">
            <w:pPr>
              <w:pStyle w:val="TableText"/>
              <w:jc w:val="center"/>
            </w:pPr>
            <w:r w:rsidRPr="009A2E4B">
              <w:t>FDEP</w:t>
            </w:r>
          </w:p>
        </w:tc>
        <w:tc>
          <w:tcPr>
            <w:tcW w:w="1374" w:type="dxa"/>
            <w:vAlign w:val="center"/>
          </w:tcPr>
          <w:p w:rsidR="00485094" w:rsidRDefault="00485094" w:rsidP="00394CAD">
            <w:pPr>
              <w:pStyle w:val="TableText"/>
              <w:jc w:val="center"/>
            </w:pPr>
            <w:r>
              <w:t>66.00</w:t>
            </w:r>
          </w:p>
        </w:tc>
        <w:tc>
          <w:tcPr>
            <w:tcW w:w="1350" w:type="dxa"/>
            <w:vAlign w:val="center"/>
          </w:tcPr>
          <w:p w:rsidR="00485094" w:rsidRDefault="00485094" w:rsidP="00394CAD">
            <w:pPr>
              <w:pStyle w:val="TableText"/>
              <w:jc w:val="center"/>
            </w:pPr>
            <w:r w:rsidRPr="0043602E">
              <w:t>32.50</w:t>
            </w:r>
          </w:p>
        </w:tc>
        <w:tc>
          <w:tcPr>
            <w:tcW w:w="1350" w:type="dxa"/>
            <w:vAlign w:val="center"/>
          </w:tcPr>
          <w:p w:rsidR="00485094" w:rsidRDefault="00485094" w:rsidP="00394CAD">
            <w:pPr>
              <w:pStyle w:val="TableText"/>
              <w:jc w:val="center"/>
            </w:pPr>
            <w:r w:rsidRPr="0043602E">
              <w:t>29.25</w:t>
            </w:r>
          </w:p>
        </w:tc>
        <w:tc>
          <w:tcPr>
            <w:tcW w:w="1350" w:type="dxa"/>
            <w:vAlign w:val="center"/>
          </w:tcPr>
          <w:p w:rsidR="00485094" w:rsidRDefault="00485094" w:rsidP="00394CAD">
            <w:pPr>
              <w:pStyle w:val="TableText"/>
              <w:jc w:val="center"/>
            </w:pPr>
            <w:r w:rsidRPr="0043602E">
              <w:t>5.50</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rsidRPr="0043602E">
              <w:t>L</w:t>
            </w:r>
            <w:r>
              <w:t>ox</w:t>
            </w:r>
          </w:p>
        </w:tc>
        <w:tc>
          <w:tcPr>
            <w:tcW w:w="1446" w:type="dxa"/>
            <w:vAlign w:val="center"/>
          </w:tcPr>
          <w:p w:rsidR="00485094" w:rsidRDefault="00485094" w:rsidP="00394CAD">
            <w:pPr>
              <w:pStyle w:val="TableText"/>
              <w:jc w:val="center"/>
            </w:pPr>
            <w:r w:rsidRPr="009A2E4B">
              <w:t>FDEP</w:t>
            </w:r>
          </w:p>
        </w:tc>
        <w:tc>
          <w:tcPr>
            <w:tcW w:w="1374" w:type="dxa"/>
            <w:vAlign w:val="center"/>
          </w:tcPr>
          <w:p w:rsidR="00485094" w:rsidRDefault="00485094" w:rsidP="00394CAD">
            <w:pPr>
              <w:pStyle w:val="TableText"/>
              <w:jc w:val="center"/>
            </w:pPr>
            <w:r w:rsidRPr="0043602E">
              <w:t>1,264.00</w:t>
            </w:r>
          </w:p>
        </w:tc>
        <w:tc>
          <w:tcPr>
            <w:tcW w:w="1350" w:type="dxa"/>
            <w:vAlign w:val="center"/>
          </w:tcPr>
          <w:p w:rsidR="00485094" w:rsidRDefault="00485094" w:rsidP="00394CAD">
            <w:pPr>
              <w:pStyle w:val="TableText"/>
              <w:jc w:val="center"/>
            </w:pPr>
            <w:r w:rsidRPr="0043602E">
              <w:t>641.60</w:t>
            </w:r>
          </w:p>
        </w:tc>
        <w:tc>
          <w:tcPr>
            <w:tcW w:w="1350" w:type="dxa"/>
            <w:vAlign w:val="center"/>
          </w:tcPr>
          <w:p w:rsidR="00485094" w:rsidRDefault="00485094" w:rsidP="00394CAD">
            <w:pPr>
              <w:pStyle w:val="TableText"/>
              <w:jc w:val="center"/>
            </w:pPr>
            <w:r>
              <w:t>385.00</w:t>
            </w:r>
          </w:p>
        </w:tc>
        <w:tc>
          <w:tcPr>
            <w:tcW w:w="1350" w:type="dxa"/>
            <w:vAlign w:val="center"/>
          </w:tcPr>
          <w:p w:rsidR="00485094" w:rsidRDefault="00485094" w:rsidP="00394CAD">
            <w:pPr>
              <w:pStyle w:val="TableText"/>
              <w:jc w:val="center"/>
            </w:pPr>
            <w:r>
              <w:t>319.80</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rsidRPr="0043602E">
              <w:t>LPI</w:t>
            </w:r>
          </w:p>
        </w:tc>
        <w:tc>
          <w:tcPr>
            <w:tcW w:w="1446" w:type="dxa"/>
            <w:vAlign w:val="center"/>
          </w:tcPr>
          <w:p w:rsidR="00485094" w:rsidRDefault="00485094" w:rsidP="00394CAD">
            <w:pPr>
              <w:pStyle w:val="TableText"/>
              <w:jc w:val="center"/>
            </w:pPr>
            <w:r w:rsidRPr="009A2E4B">
              <w:t>FDEP</w:t>
            </w:r>
          </w:p>
        </w:tc>
        <w:tc>
          <w:tcPr>
            <w:tcW w:w="1374" w:type="dxa"/>
            <w:vAlign w:val="center"/>
          </w:tcPr>
          <w:p w:rsidR="00485094" w:rsidRDefault="00485094" w:rsidP="00394CAD">
            <w:pPr>
              <w:pStyle w:val="TableText"/>
              <w:jc w:val="center"/>
            </w:pPr>
            <w:r w:rsidRPr="0043602E">
              <w:t>1,264.00</w:t>
            </w:r>
          </w:p>
        </w:tc>
        <w:tc>
          <w:tcPr>
            <w:tcW w:w="1350" w:type="dxa"/>
            <w:vAlign w:val="center"/>
          </w:tcPr>
          <w:p w:rsidR="00485094" w:rsidRDefault="00485094" w:rsidP="00394CAD">
            <w:pPr>
              <w:pStyle w:val="TableText"/>
              <w:jc w:val="center"/>
            </w:pPr>
            <w:r w:rsidRPr="0043602E">
              <w:t>807.00</w:t>
            </w:r>
          </w:p>
        </w:tc>
        <w:tc>
          <w:tcPr>
            <w:tcW w:w="1350" w:type="dxa"/>
            <w:vAlign w:val="center"/>
          </w:tcPr>
          <w:p w:rsidR="00485094" w:rsidRDefault="00485094" w:rsidP="00394CAD">
            <w:pPr>
              <w:pStyle w:val="TableText"/>
              <w:jc w:val="center"/>
            </w:pPr>
            <w:r>
              <w:t>330.60</w:t>
            </w:r>
          </w:p>
        </w:tc>
        <w:tc>
          <w:tcPr>
            <w:tcW w:w="1350" w:type="dxa"/>
            <w:vAlign w:val="center"/>
          </w:tcPr>
          <w:p w:rsidR="00485094" w:rsidRDefault="00485094" w:rsidP="00394CAD">
            <w:pPr>
              <w:pStyle w:val="TableText"/>
              <w:jc w:val="center"/>
            </w:pPr>
            <w:r>
              <w:t>199.18</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NOKUSE</w:t>
            </w:r>
          </w:p>
        </w:tc>
        <w:tc>
          <w:tcPr>
            <w:tcW w:w="1446" w:type="dxa"/>
            <w:vAlign w:val="center"/>
          </w:tcPr>
          <w:p w:rsidR="00485094" w:rsidRPr="009A2E4B" w:rsidRDefault="00485094" w:rsidP="00394CAD">
            <w:pPr>
              <w:pStyle w:val="TableText"/>
              <w:jc w:val="center"/>
            </w:pPr>
            <w:r>
              <w:t>FDEP</w:t>
            </w:r>
          </w:p>
        </w:tc>
        <w:tc>
          <w:tcPr>
            <w:tcW w:w="1374" w:type="dxa"/>
            <w:vAlign w:val="center"/>
          </w:tcPr>
          <w:p w:rsidR="00485094" w:rsidRPr="0043602E" w:rsidRDefault="00485094" w:rsidP="00394CAD">
            <w:pPr>
              <w:pStyle w:val="TableText"/>
              <w:jc w:val="center"/>
            </w:pPr>
            <w:r>
              <w:t>2220.00</w:t>
            </w:r>
          </w:p>
        </w:tc>
        <w:tc>
          <w:tcPr>
            <w:tcW w:w="1350" w:type="dxa"/>
            <w:vAlign w:val="center"/>
          </w:tcPr>
          <w:p w:rsidR="00485094" w:rsidRPr="0043602E" w:rsidRDefault="00485094" w:rsidP="00394CAD">
            <w:pPr>
              <w:pStyle w:val="TableText"/>
              <w:jc w:val="center"/>
            </w:pPr>
            <w:r>
              <w:t>248.50</w:t>
            </w:r>
          </w:p>
        </w:tc>
        <w:tc>
          <w:tcPr>
            <w:tcW w:w="1350" w:type="dxa"/>
            <w:vAlign w:val="center"/>
          </w:tcPr>
          <w:p w:rsidR="00485094" w:rsidRDefault="00485094" w:rsidP="00394CAD">
            <w:pPr>
              <w:pStyle w:val="TableText"/>
              <w:jc w:val="center"/>
            </w:pPr>
            <w:r>
              <w:t>-</w:t>
            </w:r>
          </w:p>
        </w:tc>
        <w:tc>
          <w:tcPr>
            <w:tcW w:w="1350" w:type="dxa"/>
            <w:vAlign w:val="center"/>
          </w:tcPr>
          <w:p w:rsidR="00485094" w:rsidRDefault="00485094" w:rsidP="00394CAD">
            <w:pPr>
              <w:pStyle w:val="TableText"/>
              <w:jc w:val="center"/>
            </w:pPr>
            <w:r>
              <w:t>-</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San Pedro</w:t>
            </w:r>
          </w:p>
        </w:tc>
        <w:tc>
          <w:tcPr>
            <w:tcW w:w="1446" w:type="dxa"/>
            <w:vAlign w:val="center"/>
          </w:tcPr>
          <w:p w:rsidR="00485094" w:rsidRDefault="00485094" w:rsidP="00394CAD">
            <w:pPr>
              <w:pStyle w:val="TableText"/>
              <w:jc w:val="center"/>
            </w:pPr>
            <w:r w:rsidRPr="009A2E4B">
              <w:t>FDEP</w:t>
            </w:r>
          </w:p>
        </w:tc>
        <w:tc>
          <w:tcPr>
            <w:tcW w:w="1374" w:type="dxa"/>
            <w:vAlign w:val="center"/>
          </w:tcPr>
          <w:p w:rsidR="00485094" w:rsidRDefault="00485094" w:rsidP="00394CAD">
            <w:pPr>
              <w:pStyle w:val="TableText"/>
              <w:jc w:val="center"/>
            </w:pPr>
            <w:r w:rsidRPr="0043602E">
              <w:t>6,748.00</w:t>
            </w:r>
          </w:p>
        </w:tc>
        <w:tc>
          <w:tcPr>
            <w:tcW w:w="1350" w:type="dxa"/>
            <w:vAlign w:val="center"/>
          </w:tcPr>
          <w:p w:rsidR="00485094" w:rsidRDefault="00485094" w:rsidP="00394CAD">
            <w:pPr>
              <w:pStyle w:val="TableText"/>
              <w:jc w:val="center"/>
            </w:pPr>
            <w:r w:rsidRPr="0043602E">
              <w:t>1,083.00</w:t>
            </w:r>
          </w:p>
        </w:tc>
        <w:tc>
          <w:tcPr>
            <w:tcW w:w="1350" w:type="dxa"/>
            <w:vAlign w:val="center"/>
          </w:tcPr>
          <w:p w:rsidR="00485094" w:rsidRDefault="00485094" w:rsidP="00394CAD">
            <w:pPr>
              <w:pStyle w:val="TableText"/>
              <w:jc w:val="center"/>
            </w:pPr>
            <w:r>
              <w:t>282.10</w:t>
            </w:r>
          </w:p>
        </w:tc>
        <w:tc>
          <w:tcPr>
            <w:tcW w:w="1350" w:type="dxa"/>
            <w:vAlign w:val="center"/>
          </w:tcPr>
          <w:p w:rsidR="00485094" w:rsidRDefault="00485094" w:rsidP="00394CAD">
            <w:pPr>
              <w:pStyle w:val="TableText"/>
              <w:jc w:val="center"/>
            </w:pPr>
            <w:r>
              <w:t>10.77</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rsidRPr="0043602E">
              <w:t>S</w:t>
            </w:r>
            <w:r>
              <w:t>and Hill Lakes</w:t>
            </w:r>
          </w:p>
        </w:tc>
        <w:tc>
          <w:tcPr>
            <w:tcW w:w="1446" w:type="dxa"/>
            <w:vAlign w:val="center"/>
          </w:tcPr>
          <w:p w:rsidR="00485094" w:rsidRDefault="00485094" w:rsidP="00394CAD">
            <w:pPr>
              <w:pStyle w:val="TableText"/>
              <w:jc w:val="center"/>
            </w:pPr>
            <w:r w:rsidRPr="00E8085C">
              <w:t>FDEP</w:t>
            </w:r>
          </w:p>
        </w:tc>
        <w:tc>
          <w:tcPr>
            <w:tcW w:w="1374" w:type="dxa"/>
            <w:vAlign w:val="center"/>
          </w:tcPr>
          <w:p w:rsidR="00485094" w:rsidRDefault="00485094" w:rsidP="00394CAD">
            <w:pPr>
              <w:pStyle w:val="TableText"/>
              <w:jc w:val="center"/>
            </w:pPr>
            <w:r w:rsidRPr="0043602E">
              <w:t>2,155.00</w:t>
            </w:r>
          </w:p>
        </w:tc>
        <w:tc>
          <w:tcPr>
            <w:tcW w:w="1350" w:type="dxa"/>
            <w:vAlign w:val="center"/>
          </w:tcPr>
          <w:p w:rsidR="00485094" w:rsidRDefault="00485094" w:rsidP="00394CAD">
            <w:pPr>
              <w:pStyle w:val="TableText"/>
              <w:jc w:val="center"/>
            </w:pPr>
            <w:r w:rsidRPr="0043602E">
              <w:t>298.40</w:t>
            </w:r>
          </w:p>
        </w:tc>
        <w:tc>
          <w:tcPr>
            <w:tcW w:w="1350" w:type="dxa"/>
            <w:vAlign w:val="center"/>
          </w:tcPr>
          <w:p w:rsidR="00485094" w:rsidRDefault="00485094" w:rsidP="00394CAD">
            <w:pPr>
              <w:pStyle w:val="TableText"/>
              <w:jc w:val="center"/>
            </w:pPr>
            <w:r>
              <w:t>148</w:t>
            </w:r>
          </w:p>
        </w:tc>
        <w:tc>
          <w:tcPr>
            <w:tcW w:w="1350" w:type="dxa"/>
            <w:vAlign w:val="center"/>
          </w:tcPr>
          <w:p w:rsidR="00485094" w:rsidRDefault="00485094" w:rsidP="00394CAD">
            <w:pPr>
              <w:pStyle w:val="TableText"/>
              <w:jc w:val="center"/>
            </w:pPr>
            <w:r>
              <w:t>69.96</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rsidRPr="0043602E">
              <w:t>W</w:t>
            </w:r>
            <w:r>
              <w:t>ekiva River</w:t>
            </w:r>
          </w:p>
        </w:tc>
        <w:tc>
          <w:tcPr>
            <w:tcW w:w="1446" w:type="dxa"/>
            <w:vAlign w:val="center"/>
          </w:tcPr>
          <w:p w:rsidR="00485094" w:rsidRDefault="00485094" w:rsidP="00394CAD">
            <w:pPr>
              <w:pStyle w:val="TableText"/>
              <w:jc w:val="center"/>
            </w:pPr>
            <w:r w:rsidRPr="00E8085C">
              <w:t>FDEP</w:t>
            </w:r>
          </w:p>
        </w:tc>
        <w:tc>
          <w:tcPr>
            <w:tcW w:w="1374" w:type="dxa"/>
            <w:vAlign w:val="center"/>
          </w:tcPr>
          <w:p w:rsidR="00485094" w:rsidRDefault="00485094" w:rsidP="00394CAD">
            <w:pPr>
              <w:pStyle w:val="TableText"/>
              <w:jc w:val="center"/>
            </w:pPr>
            <w:r w:rsidRPr="0043602E">
              <w:t>1,643.00</w:t>
            </w:r>
          </w:p>
        </w:tc>
        <w:tc>
          <w:tcPr>
            <w:tcW w:w="1350" w:type="dxa"/>
            <w:vAlign w:val="center"/>
          </w:tcPr>
          <w:p w:rsidR="00485094" w:rsidRDefault="00485094" w:rsidP="00394CAD">
            <w:pPr>
              <w:pStyle w:val="TableText"/>
              <w:jc w:val="center"/>
            </w:pPr>
            <w:r>
              <w:t>258.24</w:t>
            </w:r>
          </w:p>
        </w:tc>
        <w:tc>
          <w:tcPr>
            <w:tcW w:w="1350" w:type="dxa"/>
            <w:vAlign w:val="center"/>
          </w:tcPr>
          <w:p w:rsidR="00485094" w:rsidRDefault="00485094" w:rsidP="00394CAD">
            <w:pPr>
              <w:pStyle w:val="TableText"/>
              <w:jc w:val="center"/>
            </w:pPr>
            <w:r>
              <w:t>97.53</w:t>
            </w:r>
          </w:p>
        </w:tc>
        <w:tc>
          <w:tcPr>
            <w:tcW w:w="1350" w:type="dxa"/>
            <w:vAlign w:val="center"/>
          </w:tcPr>
          <w:p w:rsidR="00485094" w:rsidRDefault="00485094" w:rsidP="00394CAD">
            <w:pPr>
              <w:pStyle w:val="TableText"/>
              <w:jc w:val="center"/>
            </w:pPr>
            <w:r>
              <w:t>26.51</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rsidRPr="0043602E">
              <w:t>B</w:t>
            </w:r>
            <w:r>
              <w:t>ig Cypress</w:t>
            </w:r>
          </w:p>
        </w:tc>
        <w:tc>
          <w:tcPr>
            <w:tcW w:w="1446" w:type="dxa"/>
            <w:vAlign w:val="center"/>
          </w:tcPr>
          <w:p w:rsidR="00485094" w:rsidRDefault="00485094" w:rsidP="00394CAD">
            <w:pPr>
              <w:pStyle w:val="TableText"/>
              <w:jc w:val="center"/>
            </w:pPr>
            <w:r>
              <w:t>S</w:t>
            </w:r>
            <w:r w:rsidRPr="0043602E">
              <w:t>FWMD</w:t>
            </w:r>
          </w:p>
        </w:tc>
        <w:tc>
          <w:tcPr>
            <w:tcW w:w="1374" w:type="dxa"/>
            <w:vAlign w:val="center"/>
          </w:tcPr>
          <w:p w:rsidR="00485094" w:rsidRDefault="00485094" w:rsidP="00394CAD">
            <w:pPr>
              <w:pStyle w:val="TableText"/>
              <w:jc w:val="center"/>
            </w:pPr>
            <w:r w:rsidRPr="0043602E">
              <w:t>1,280.00</w:t>
            </w:r>
          </w:p>
        </w:tc>
        <w:tc>
          <w:tcPr>
            <w:tcW w:w="1350" w:type="dxa"/>
            <w:vAlign w:val="center"/>
          </w:tcPr>
          <w:p w:rsidR="00485094" w:rsidRDefault="00485094" w:rsidP="00394CAD">
            <w:pPr>
              <w:pStyle w:val="TableText"/>
              <w:jc w:val="center"/>
            </w:pPr>
            <w:r w:rsidRPr="0043602E">
              <w:t>1,001.78</w:t>
            </w:r>
          </w:p>
        </w:tc>
        <w:tc>
          <w:tcPr>
            <w:tcW w:w="1350" w:type="dxa"/>
            <w:vAlign w:val="center"/>
          </w:tcPr>
          <w:p w:rsidR="00485094" w:rsidRDefault="00485094" w:rsidP="00394CAD">
            <w:pPr>
              <w:pStyle w:val="TableText"/>
              <w:jc w:val="center"/>
            </w:pPr>
            <w:r>
              <w:t>641.19</w:t>
            </w:r>
          </w:p>
        </w:tc>
        <w:tc>
          <w:tcPr>
            <w:tcW w:w="1350" w:type="dxa"/>
            <w:vAlign w:val="center"/>
          </w:tcPr>
          <w:p w:rsidR="00485094" w:rsidRDefault="00485094" w:rsidP="00394CAD">
            <w:pPr>
              <w:pStyle w:val="TableText"/>
              <w:jc w:val="center"/>
            </w:pPr>
            <w:r>
              <w:t>246.23</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Bluefield</w:t>
            </w:r>
          </w:p>
        </w:tc>
        <w:tc>
          <w:tcPr>
            <w:tcW w:w="1446" w:type="dxa"/>
            <w:vAlign w:val="center"/>
          </w:tcPr>
          <w:p w:rsidR="00485094" w:rsidRDefault="00485094" w:rsidP="00394CAD">
            <w:pPr>
              <w:pStyle w:val="TableText"/>
              <w:jc w:val="center"/>
            </w:pPr>
            <w:r w:rsidRPr="0043602E">
              <w:t>SFWMD</w:t>
            </w:r>
          </w:p>
        </w:tc>
        <w:tc>
          <w:tcPr>
            <w:tcW w:w="1374" w:type="dxa"/>
            <w:vAlign w:val="center"/>
          </w:tcPr>
          <w:p w:rsidR="00485094" w:rsidRDefault="00485094" w:rsidP="00394CAD">
            <w:pPr>
              <w:pStyle w:val="TableText"/>
              <w:jc w:val="center"/>
            </w:pPr>
            <w:r w:rsidRPr="0043602E">
              <w:t>2,6</w:t>
            </w:r>
            <w:r>
              <w:t>9</w:t>
            </w:r>
            <w:r w:rsidRPr="0043602E">
              <w:t>5.00</w:t>
            </w:r>
          </w:p>
        </w:tc>
        <w:tc>
          <w:tcPr>
            <w:tcW w:w="1350" w:type="dxa"/>
            <w:vAlign w:val="center"/>
          </w:tcPr>
          <w:p w:rsidR="00485094" w:rsidRDefault="00485094" w:rsidP="00394CAD">
            <w:pPr>
              <w:pStyle w:val="TableText"/>
              <w:jc w:val="center"/>
            </w:pPr>
            <w:r w:rsidRPr="0043602E">
              <w:t>1,240.00</w:t>
            </w:r>
          </w:p>
        </w:tc>
        <w:tc>
          <w:tcPr>
            <w:tcW w:w="1350" w:type="dxa"/>
            <w:vAlign w:val="center"/>
          </w:tcPr>
          <w:p w:rsidR="00485094" w:rsidRDefault="00485094" w:rsidP="00394CAD">
            <w:pPr>
              <w:pStyle w:val="TableText"/>
              <w:jc w:val="center"/>
            </w:pPr>
            <w:r>
              <w:t>686.00</w:t>
            </w:r>
          </w:p>
        </w:tc>
        <w:tc>
          <w:tcPr>
            <w:tcW w:w="1350" w:type="dxa"/>
            <w:vAlign w:val="center"/>
          </w:tcPr>
          <w:p w:rsidR="00485094" w:rsidRDefault="00485094" w:rsidP="00394CAD">
            <w:pPr>
              <w:pStyle w:val="TableText"/>
              <w:jc w:val="center"/>
            </w:pPr>
            <w:r>
              <w:t>331.00</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Panther</w:t>
            </w:r>
          </w:p>
        </w:tc>
        <w:tc>
          <w:tcPr>
            <w:tcW w:w="1446" w:type="dxa"/>
            <w:vAlign w:val="center"/>
          </w:tcPr>
          <w:p w:rsidR="00485094" w:rsidRDefault="00485094" w:rsidP="00394CAD">
            <w:pPr>
              <w:pStyle w:val="TableText"/>
              <w:jc w:val="center"/>
            </w:pPr>
            <w:r w:rsidRPr="0043602E">
              <w:t>SFWMD</w:t>
            </w:r>
          </w:p>
        </w:tc>
        <w:tc>
          <w:tcPr>
            <w:tcW w:w="1374" w:type="dxa"/>
            <w:vAlign w:val="center"/>
          </w:tcPr>
          <w:p w:rsidR="00485094" w:rsidRDefault="00485094" w:rsidP="00394CAD">
            <w:pPr>
              <w:pStyle w:val="TableText"/>
              <w:jc w:val="center"/>
            </w:pPr>
            <w:r w:rsidRPr="0043602E">
              <w:t>2,788.</w:t>
            </w:r>
            <w:r>
              <w:t>00</w:t>
            </w:r>
          </w:p>
        </w:tc>
        <w:tc>
          <w:tcPr>
            <w:tcW w:w="1350" w:type="dxa"/>
            <w:vAlign w:val="center"/>
          </w:tcPr>
          <w:p w:rsidR="00485094" w:rsidRDefault="00485094" w:rsidP="00394CAD">
            <w:pPr>
              <w:pStyle w:val="TableText"/>
              <w:jc w:val="center"/>
            </w:pPr>
            <w:r w:rsidRPr="0043602E">
              <w:t>934.64</w:t>
            </w:r>
          </w:p>
        </w:tc>
        <w:tc>
          <w:tcPr>
            <w:tcW w:w="1350" w:type="dxa"/>
            <w:vAlign w:val="center"/>
          </w:tcPr>
          <w:p w:rsidR="00485094" w:rsidRDefault="00485094" w:rsidP="00394CAD">
            <w:pPr>
              <w:pStyle w:val="TableText"/>
              <w:jc w:val="center"/>
            </w:pPr>
            <w:r>
              <w:t>880.85</w:t>
            </w:r>
          </w:p>
        </w:tc>
        <w:tc>
          <w:tcPr>
            <w:tcW w:w="1350" w:type="dxa"/>
            <w:vAlign w:val="center"/>
          </w:tcPr>
          <w:p w:rsidR="00485094" w:rsidRDefault="00485094" w:rsidP="00394CAD">
            <w:pPr>
              <w:pStyle w:val="TableText"/>
              <w:jc w:val="center"/>
            </w:pPr>
            <w:r>
              <w:t>851.63</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rsidRPr="0043602E">
              <w:t>R</w:t>
            </w:r>
            <w:r>
              <w:t>eedy Creek</w:t>
            </w:r>
          </w:p>
        </w:tc>
        <w:tc>
          <w:tcPr>
            <w:tcW w:w="1446" w:type="dxa"/>
            <w:vAlign w:val="center"/>
          </w:tcPr>
          <w:p w:rsidR="00485094" w:rsidRDefault="00485094" w:rsidP="00394CAD">
            <w:pPr>
              <w:pStyle w:val="TableText"/>
              <w:jc w:val="center"/>
            </w:pPr>
            <w:r w:rsidRPr="0043602E">
              <w:t>SFWMD</w:t>
            </w:r>
          </w:p>
        </w:tc>
        <w:tc>
          <w:tcPr>
            <w:tcW w:w="1374" w:type="dxa"/>
            <w:vAlign w:val="center"/>
          </w:tcPr>
          <w:p w:rsidR="00485094" w:rsidRDefault="00485094" w:rsidP="00394CAD">
            <w:pPr>
              <w:pStyle w:val="TableText"/>
              <w:jc w:val="center"/>
            </w:pPr>
            <w:r w:rsidRPr="0043602E">
              <w:t>2,99</w:t>
            </w:r>
            <w:r>
              <w:t>3.00</w:t>
            </w:r>
          </w:p>
        </w:tc>
        <w:tc>
          <w:tcPr>
            <w:tcW w:w="1350" w:type="dxa"/>
            <w:vAlign w:val="center"/>
          </w:tcPr>
          <w:p w:rsidR="00485094" w:rsidRDefault="00485094" w:rsidP="00394CAD">
            <w:pPr>
              <w:pStyle w:val="TableText"/>
              <w:jc w:val="center"/>
            </w:pPr>
            <w:r>
              <w:t>627</w:t>
            </w:r>
          </w:p>
        </w:tc>
        <w:tc>
          <w:tcPr>
            <w:tcW w:w="1350" w:type="dxa"/>
            <w:vAlign w:val="center"/>
          </w:tcPr>
          <w:p w:rsidR="00485094" w:rsidRDefault="00485094" w:rsidP="00394CAD">
            <w:pPr>
              <w:pStyle w:val="TableText"/>
              <w:jc w:val="center"/>
            </w:pPr>
            <w:r>
              <w:t>590.13</w:t>
            </w:r>
          </w:p>
        </w:tc>
        <w:tc>
          <w:tcPr>
            <w:tcW w:w="1350" w:type="dxa"/>
            <w:vAlign w:val="center"/>
          </w:tcPr>
          <w:p w:rsidR="00485094" w:rsidRDefault="00485094" w:rsidP="00394CAD">
            <w:pPr>
              <w:pStyle w:val="TableText"/>
              <w:jc w:val="center"/>
            </w:pPr>
            <w:r>
              <w:t>416.00</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rsidRPr="0043602E">
              <w:t xml:space="preserve">RG </w:t>
            </w:r>
            <w:r>
              <w:t>Reserve</w:t>
            </w:r>
          </w:p>
        </w:tc>
        <w:tc>
          <w:tcPr>
            <w:tcW w:w="1446" w:type="dxa"/>
            <w:vAlign w:val="center"/>
          </w:tcPr>
          <w:p w:rsidR="00485094" w:rsidRDefault="00485094" w:rsidP="00394CAD">
            <w:pPr>
              <w:pStyle w:val="TableText"/>
              <w:jc w:val="center"/>
            </w:pPr>
            <w:r w:rsidRPr="0043602E">
              <w:t>SFWMD</w:t>
            </w:r>
          </w:p>
        </w:tc>
        <w:tc>
          <w:tcPr>
            <w:tcW w:w="1374" w:type="dxa"/>
            <w:vAlign w:val="center"/>
          </w:tcPr>
          <w:p w:rsidR="00485094" w:rsidRDefault="00485094" w:rsidP="00394CAD">
            <w:pPr>
              <w:pStyle w:val="TableText"/>
              <w:jc w:val="center"/>
            </w:pPr>
            <w:r w:rsidRPr="0043602E">
              <w:t>638.00</w:t>
            </w:r>
          </w:p>
        </w:tc>
        <w:tc>
          <w:tcPr>
            <w:tcW w:w="1350" w:type="dxa"/>
            <w:vAlign w:val="center"/>
          </w:tcPr>
          <w:p w:rsidR="00485094" w:rsidRDefault="00485094" w:rsidP="00394CAD">
            <w:pPr>
              <w:pStyle w:val="TableText"/>
              <w:jc w:val="center"/>
            </w:pPr>
            <w:r w:rsidRPr="0043602E">
              <w:t>32.48</w:t>
            </w:r>
          </w:p>
        </w:tc>
        <w:tc>
          <w:tcPr>
            <w:tcW w:w="1350" w:type="dxa"/>
            <w:vAlign w:val="center"/>
          </w:tcPr>
          <w:p w:rsidR="00485094" w:rsidRDefault="00485094" w:rsidP="00394CAD">
            <w:pPr>
              <w:pStyle w:val="TableText"/>
              <w:jc w:val="center"/>
            </w:pPr>
            <w:r>
              <w:t>10.00</w:t>
            </w:r>
          </w:p>
        </w:tc>
        <w:tc>
          <w:tcPr>
            <w:tcW w:w="1350" w:type="dxa"/>
            <w:vAlign w:val="center"/>
          </w:tcPr>
          <w:p w:rsidR="00485094" w:rsidRDefault="00485094" w:rsidP="00394CAD">
            <w:pPr>
              <w:pStyle w:val="TableText"/>
              <w:jc w:val="center"/>
            </w:pPr>
            <w:r>
              <w:t>2.55</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Treasure Coast</w:t>
            </w:r>
          </w:p>
        </w:tc>
        <w:tc>
          <w:tcPr>
            <w:tcW w:w="1446" w:type="dxa"/>
            <w:vAlign w:val="center"/>
          </w:tcPr>
          <w:p w:rsidR="00485094" w:rsidRDefault="00485094" w:rsidP="00394CAD">
            <w:pPr>
              <w:pStyle w:val="TableText"/>
              <w:jc w:val="center"/>
            </w:pPr>
            <w:r w:rsidRPr="0043602E">
              <w:t>SFWMD</w:t>
            </w:r>
          </w:p>
        </w:tc>
        <w:tc>
          <w:tcPr>
            <w:tcW w:w="1374" w:type="dxa"/>
            <w:vAlign w:val="center"/>
          </w:tcPr>
          <w:p w:rsidR="00485094" w:rsidRDefault="00485094" w:rsidP="00394CAD">
            <w:pPr>
              <w:pStyle w:val="TableText"/>
              <w:jc w:val="center"/>
            </w:pPr>
            <w:r w:rsidRPr="0043602E">
              <w:t>2,545.14</w:t>
            </w:r>
          </w:p>
        </w:tc>
        <w:tc>
          <w:tcPr>
            <w:tcW w:w="1350" w:type="dxa"/>
            <w:vAlign w:val="center"/>
          </w:tcPr>
          <w:p w:rsidR="00485094" w:rsidRDefault="00485094" w:rsidP="00394CAD">
            <w:pPr>
              <w:pStyle w:val="TableText"/>
              <w:jc w:val="center"/>
            </w:pPr>
            <w:r w:rsidRPr="0043602E">
              <w:t>1,033.43</w:t>
            </w:r>
          </w:p>
        </w:tc>
        <w:tc>
          <w:tcPr>
            <w:tcW w:w="1350" w:type="dxa"/>
            <w:vAlign w:val="center"/>
          </w:tcPr>
          <w:p w:rsidR="00485094" w:rsidRDefault="00485094" w:rsidP="00394CAD">
            <w:pPr>
              <w:pStyle w:val="TableText"/>
              <w:jc w:val="center"/>
            </w:pPr>
            <w:r>
              <w:t>-</w:t>
            </w:r>
          </w:p>
        </w:tc>
        <w:tc>
          <w:tcPr>
            <w:tcW w:w="1350" w:type="dxa"/>
            <w:vAlign w:val="center"/>
          </w:tcPr>
          <w:p w:rsidR="00485094" w:rsidRDefault="00485094" w:rsidP="00394CAD">
            <w:pPr>
              <w:pStyle w:val="TableText"/>
              <w:jc w:val="center"/>
            </w:pPr>
            <w:r>
              <w:t>-</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Barberville</w:t>
            </w:r>
          </w:p>
        </w:tc>
        <w:tc>
          <w:tcPr>
            <w:tcW w:w="1446" w:type="dxa"/>
            <w:vAlign w:val="center"/>
          </w:tcPr>
          <w:p w:rsidR="00485094" w:rsidRDefault="00485094" w:rsidP="00394CAD">
            <w:pPr>
              <w:pStyle w:val="TableText"/>
              <w:jc w:val="center"/>
            </w:pPr>
            <w:r w:rsidRPr="0043602E">
              <w:t>SJRWMD</w:t>
            </w:r>
          </w:p>
        </w:tc>
        <w:tc>
          <w:tcPr>
            <w:tcW w:w="1374" w:type="dxa"/>
            <w:vAlign w:val="center"/>
          </w:tcPr>
          <w:p w:rsidR="00485094" w:rsidRDefault="00485094" w:rsidP="00394CAD">
            <w:pPr>
              <w:pStyle w:val="TableText"/>
              <w:jc w:val="center"/>
            </w:pPr>
            <w:r w:rsidRPr="0043602E">
              <w:t>36</w:t>
            </w:r>
            <w:r>
              <w:t>6</w:t>
            </w:r>
          </w:p>
        </w:tc>
        <w:tc>
          <w:tcPr>
            <w:tcW w:w="1350" w:type="dxa"/>
            <w:vAlign w:val="center"/>
          </w:tcPr>
          <w:p w:rsidR="00485094" w:rsidRDefault="00485094" w:rsidP="00394CAD">
            <w:pPr>
              <w:pStyle w:val="TableText"/>
              <w:jc w:val="center"/>
            </w:pPr>
            <w:r w:rsidRPr="0043602E">
              <w:t>84.30</w:t>
            </w:r>
          </w:p>
        </w:tc>
        <w:tc>
          <w:tcPr>
            <w:tcW w:w="1350" w:type="dxa"/>
            <w:vAlign w:val="center"/>
          </w:tcPr>
          <w:p w:rsidR="00485094" w:rsidRDefault="00485094" w:rsidP="00394CAD">
            <w:pPr>
              <w:pStyle w:val="TableText"/>
              <w:jc w:val="center"/>
            </w:pPr>
            <w:r w:rsidRPr="0043602E">
              <w:t>5</w:t>
            </w:r>
            <w:r>
              <w:t>8.30</w:t>
            </w:r>
          </w:p>
        </w:tc>
        <w:tc>
          <w:tcPr>
            <w:tcW w:w="1350" w:type="dxa"/>
            <w:vAlign w:val="center"/>
          </w:tcPr>
          <w:p w:rsidR="00485094" w:rsidRDefault="00485094" w:rsidP="00394CAD">
            <w:pPr>
              <w:pStyle w:val="TableText"/>
              <w:jc w:val="center"/>
            </w:pPr>
            <w:r>
              <w:t>57.42</w:t>
            </w:r>
          </w:p>
        </w:tc>
      </w:tr>
      <w:tr w:rsidR="00485094" w:rsidTr="00394CAD">
        <w:trPr>
          <w:trHeight w:val="288"/>
          <w:jc w:val="center"/>
        </w:trPr>
        <w:tc>
          <w:tcPr>
            <w:tcW w:w="2268" w:type="dxa"/>
            <w:shd w:val="clear" w:color="auto" w:fill="FFFFCC"/>
            <w:vAlign w:val="center"/>
          </w:tcPr>
          <w:p w:rsidR="00485094" w:rsidRPr="0043602E" w:rsidRDefault="00485094" w:rsidP="00394CAD">
            <w:pPr>
              <w:pStyle w:val="TableText"/>
              <w:jc w:val="center"/>
            </w:pPr>
            <w:r>
              <w:t>Blackwater</w:t>
            </w:r>
          </w:p>
        </w:tc>
        <w:tc>
          <w:tcPr>
            <w:tcW w:w="1446" w:type="dxa"/>
            <w:vAlign w:val="center"/>
          </w:tcPr>
          <w:p w:rsidR="00485094" w:rsidRDefault="00485094" w:rsidP="00394CAD">
            <w:pPr>
              <w:pStyle w:val="TableText"/>
              <w:jc w:val="center"/>
            </w:pPr>
            <w:r w:rsidRPr="0043602E">
              <w:t>SJRWMD</w:t>
            </w:r>
          </w:p>
        </w:tc>
        <w:tc>
          <w:tcPr>
            <w:tcW w:w="1374" w:type="dxa"/>
            <w:vAlign w:val="center"/>
          </w:tcPr>
          <w:p w:rsidR="00485094" w:rsidRPr="0043602E" w:rsidRDefault="00485094" w:rsidP="00394CAD">
            <w:pPr>
              <w:pStyle w:val="TableText"/>
              <w:jc w:val="center"/>
            </w:pPr>
            <w:r>
              <w:t>347.00</w:t>
            </w:r>
          </w:p>
        </w:tc>
        <w:tc>
          <w:tcPr>
            <w:tcW w:w="1350" w:type="dxa"/>
            <w:vAlign w:val="center"/>
          </w:tcPr>
          <w:p w:rsidR="00485094" w:rsidRPr="0043602E" w:rsidDel="00D62642" w:rsidRDefault="00485094" w:rsidP="00394CAD">
            <w:pPr>
              <w:pStyle w:val="TableText"/>
              <w:jc w:val="center"/>
            </w:pPr>
            <w:r>
              <w:t>152.13</w:t>
            </w:r>
          </w:p>
        </w:tc>
        <w:tc>
          <w:tcPr>
            <w:tcW w:w="1350" w:type="dxa"/>
            <w:vAlign w:val="center"/>
          </w:tcPr>
          <w:p w:rsidR="00485094" w:rsidRPr="0043602E" w:rsidDel="00D62642" w:rsidRDefault="00485094" w:rsidP="00394CAD">
            <w:pPr>
              <w:pStyle w:val="TableText"/>
              <w:jc w:val="center"/>
            </w:pPr>
            <w:r>
              <w:t>15.31</w:t>
            </w:r>
          </w:p>
        </w:tc>
        <w:tc>
          <w:tcPr>
            <w:tcW w:w="1350" w:type="dxa"/>
            <w:vAlign w:val="center"/>
          </w:tcPr>
          <w:p w:rsidR="00485094" w:rsidRPr="0043602E" w:rsidDel="00D62642" w:rsidRDefault="00485094" w:rsidP="00394CAD">
            <w:pPr>
              <w:pStyle w:val="TableText"/>
              <w:jc w:val="center"/>
            </w:pPr>
            <w:r>
              <w:t>2.01</w:t>
            </w:r>
          </w:p>
        </w:tc>
      </w:tr>
      <w:tr w:rsidR="00485094" w:rsidTr="00394CAD">
        <w:trPr>
          <w:trHeight w:val="288"/>
          <w:jc w:val="center"/>
        </w:trPr>
        <w:tc>
          <w:tcPr>
            <w:tcW w:w="2268" w:type="dxa"/>
            <w:shd w:val="clear" w:color="auto" w:fill="FFFFCC"/>
            <w:vAlign w:val="center"/>
          </w:tcPr>
          <w:p w:rsidR="00485094" w:rsidRPr="0043602E" w:rsidRDefault="00485094" w:rsidP="00394CAD">
            <w:pPr>
              <w:pStyle w:val="TableText"/>
              <w:jc w:val="center"/>
            </w:pPr>
            <w:r>
              <w:t>Brick Road</w:t>
            </w:r>
          </w:p>
        </w:tc>
        <w:tc>
          <w:tcPr>
            <w:tcW w:w="1446" w:type="dxa"/>
            <w:vAlign w:val="center"/>
          </w:tcPr>
          <w:p w:rsidR="00485094" w:rsidRDefault="00485094" w:rsidP="00394CAD">
            <w:pPr>
              <w:pStyle w:val="TableText"/>
              <w:jc w:val="center"/>
            </w:pPr>
            <w:r w:rsidRPr="0043602E">
              <w:t>SJRWMD</w:t>
            </w:r>
          </w:p>
        </w:tc>
        <w:tc>
          <w:tcPr>
            <w:tcW w:w="1374" w:type="dxa"/>
            <w:vAlign w:val="center"/>
          </w:tcPr>
          <w:p w:rsidR="00485094" w:rsidRPr="0043602E" w:rsidRDefault="00485094" w:rsidP="00394CAD">
            <w:pPr>
              <w:pStyle w:val="TableText"/>
              <w:jc w:val="center"/>
            </w:pPr>
            <w:r>
              <w:t>2945.00</w:t>
            </w:r>
          </w:p>
        </w:tc>
        <w:tc>
          <w:tcPr>
            <w:tcW w:w="1350" w:type="dxa"/>
            <w:vAlign w:val="center"/>
          </w:tcPr>
          <w:p w:rsidR="00485094" w:rsidRPr="0043602E" w:rsidDel="00D62642" w:rsidRDefault="00485094" w:rsidP="00394CAD">
            <w:pPr>
              <w:pStyle w:val="TableText"/>
              <w:jc w:val="center"/>
            </w:pPr>
            <w:r>
              <w:t>451.41</w:t>
            </w:r>
          </w:p>
        </w:tc>
        <w:tc>
          <w:tcPr>
            <w:tcW w:w="1350" w:type="dxa"/>
            <w:vAlign w:val="center"/>
          </w:tcPr>
          <w:p w:rsidR="00485094" w:rsidRPr="0043602E" w:rsidDel="00D62642" w:rsidRDefault="00485094" w:rsidP="00394CAD">
            <w:pPr>
              <w:pStyle w:val="TableText"/>
              <w:jc w:val="center"/>
            </w:pPr>
            <w:r>
              <w:t>-</w:t>
            </w:r>
          </w:p>
        </w:tc>
        <w:tc>
          <w:tcPr>
            <w:tcW w:w="1350" w:type="dxa"/>
            <w:vAlign w:val="center"/>
          </w:tcPr>
          <w:p w:rsidR="00485094" w:rsidRPr="0043602E" w:rsidDel="00D62642" w:rsidRDefault="00485094" w:rsidP="00394CAD">
            <w:pPr>
              <w:pStyle w:val="TableText"/>
              <w:jc w:val="center"/>
            </w:pPr>
            <w:r>
              <w:t>-</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rsidRPr="0043602E">
              <w:t>CGW</w:t>
            </w:r>
          </w:p>
        </w:tc>
        <w:tc>
          <w:tcPr>
            <w:tcW w:w="1446" w:type="dxa"/>
            <w:vAlign w:val="center"/>
          </w:tcPr>
          <w:p w:rsidR="00485094" w:rsidRDefault="00485094" w:rsidP="00394CAD">
            <w:pPr>
              <w:pStyle w:val="TableText"/>
              <w:jc w:val="center"/>
            </w:pPr>
            <w:r>
              <w:t>S</w:t>
            </w:r>
            <w:r w:rsidRPr="0043602E">
              <w:t>JRWMD</w:t>
            </w:r>
          </w:p>
        </w:tc>
        <w:tc>
          <w:tcPr>
            <w:tcW w:w="1374" w:type="dxa"/>
            <w:vAlign w:val="center"/>
          </w:tcPr>
          <w:p w:rsidR="00485094" w:rsidRDefault="00485094" w:rsidP="00394CAD">
            <w:pPr>
              <w:pStyle w:val="TableText"/>
              <w:jc w:val="center"/>
            </w:pPr>
            <w:r w:rsidRPr="0043602E">
              <w:t>150.00</w:t>
            </w:r>
          </w:p>
        </w:tc>
        <w:tc>
          <w:tcPr>
            <w:tcW w:w="1350" w:type="dxa"/>
            <w:vAlign w:val="center"/>
          </w:tcPr>
          <w:p w:rsidR="00485094" w:rsidRDefault="00485094" w:rsidP="00394CAD">
            <w:pPr>
              <w:pStyle w:val="TableText"/>
              <w:jc w:val="center"/>
            </w:pPr>
            <w:r>
              <w:t>66.20</w:t>
            </w:r>
          </w:p>
        </w:tc>
        <w:tc>
          <w:tcPr>
            <w:tcW w:w="1350" w:type="dxa"/>
            <w:vAlign w:val="center"/>
          </w:tcPr>
          <w:p w:rsidR="00485094" w:rsidRDefault="00485094" w:rsidP="00394CAD">
            <w:pPr>
              <w:pStyle w:val="TableText"/>
              <w:jc w:val="center"/>
            </w:pPr>
            <w:r>
              <w:t>54.60</w:t>
            </w:r>
          </w:p>
        </w:tc>
        <w:tc>
          <w:tcPr>
            <w:tcW w:w="1350" w:type="dxa"/>
            <w:vAlign w:val="center"/>
          </w:tcPr>
          <w:p w:rsidR="00485094" w:rsidRDefault="00485094" w:rsidP="00394CAD">
            <w:pPr>
              <w:pStyle w:val="TableText"/>
              <w:jc w:val="center"/>
            </w:pPr>
            <w:r>
              <w:t>42.70</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Colbert</w:t>
            </w:r>
          </w:p>
        </w:tc>
        <w:tc>
          <w:tcPr>
            <w:tcW w:w="1446" w:type="dxa"/>
            <w:vAlign w:val="center"/>
          </w:tcPr>
          <w:p w:rsidR="00485094" w:rsidRDefault="00485094" w:rsidP="00394CAD">
            <w:pPr>
              <w:pStyle w:val="TableText"/>
              <w:jc w:val="center"/>
            </w:pPr>
            <w:r w:rsidRPr="0043602E">
              <w:t>SJRWMD</w:t>
            </w:r>
          </w:p>
        </w:tc>
        <w:tc>
          <w:tcPr>
            <w:tcW w:w="1374" w:type="dxa"/>
            <w:vAlign w:val="center"/>
          </w:tcPr>
          <w:p w:rsidR="00485094" w:rsidRDefault="00485094" w:rsidP="00394CAD">
            <w:pPr>
              <w:pStyle w:val="TableText"/>
              <w:jc w:val="center"/>
            </w:pPr>
            <w:r w:rsidRPr="0043602E">
              <w:t>2,604.00</w:t>
            </w:r>
          </w:p>
        </w:tc>
        <w:tc>
          <w:tcPr>
            <w:tcW w:w="1350" w:type="dxa"/>
            <w:vAlign w:val="center"/>
          </w:tcPr>
          <w:p w:rsidR="00485094" w:rsidRDefault="00485094" w:rsidP="00394CAD">
            <w:pPr>
              <w:pStyle w:val="TableText"/>
              <w:jc w:val="center"/>
            </w:pPr>
            <w:r w:rsidRPr="0043602E">
              <w:t>718.80</w:t>
            </w:r>
          </w:p>
        </w:tc>
        <w:tc>
          <w:tcPr>
            <w:tcW w:w="1350" w:type="dxa"/>
            <w:vAlign w:val="center"/>
          </w:tcPr>
          <w:p w:rsidR="00485094" w:rsidRDefault="00485094" w:rsidP="00394CAD">
            <w:pPr>
              <w:pStyle w:val="TableText"/>
              <w:jc w:val="center"/>
            </w:pPr>
            <w:r>
              <w:t>560.30</w:t>
            </w:r>
          </w:p>
        </w:tc>
        <w:tc>
          <w:tcPr>
            <w:tcW w:w="1350" w:type="dxa"/>
            <w:vAlign w:val="center"/>
          </w:tcPr>
          <w:p w:rsidR="00485094" w:rsidRDefault="00485094" w:rsidP="00394CAD">
            <w:pPr>
              <w:pStyle w:val="TableText"/>
              <w:jc w:val="center"/>
            </w:pPr>
            <w:r>
              <w:t>515.90</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East Central</w:t>
            </w:r>
          </w:p>
        </w:tc>
        <w:tc>
          <w:tcPr>
            <w:tcW w:w="1446" w:type="dxa"/>
            <w:vAlign w:val="center"/>
          </w:tcPr>
          <w:p w:rsidR="00485094" w:rsidRDefault="00485094" w:rsidP="00394CAD">
            <w:pPr>
              <w:pStyle w:val="TableText"/>
              <w:jc w:val="center"/>
            </w:pPr>
            <w:r w:rsidRPr="0043602E">
              <w:t>SJRWMD</w:t>
            </w:r>
          </w:p>
        </w:tc>
        <w:tc>
          <w:tcPr>
            <w:tcW w:w="1374" w:type="dxa"/>
            <w:vAlign w:val="center"/>
          </w:tcPr>
          <w:p w:rsidR="00485094" w:rsidRDefault="00485094" w:rsidP="00394CAD">
            <w:pPr>
              <w:pStyle w:val="TableText"/>
              <w:jc w:val="center"/>
            </w:pPr>
            <w:r w:rsidRPr="0043602E">
              <w:t>1,061.00</w:t>
            </w:r>
          </w:p>
        </w:tc>
        <w:tc>
          <w:tcPr>
            <w:tcW w:w="1350" w:type="dxa"/>
            <w:vAlign w:val="center"/>
          </w:tcPr>
          <w:p w:rsidR="00485094" w:rsidRDefault="00485094" w:rsidP="00394CAD">
            <w:pPr>
              <w:pStyle w:val="TableText"/>
              <w:jc w:val="center"/>
            </w:pPr>
            <w:r w:rsidRPr="0043602E">
              <w:t>286.30</w:t>
            </w:r>
          </w:p>
        </w:tc>
        <w:tc>
          <w:tcPr>
            <w:tcW w:w="1350" w:type="dxa"/>
            <w:vAlign w:val="center"/>
          </w:tcPr>
          <w:p w:rsidR="00485094" w:rsidRDefault="00485094" w:rsidP="00394CAD">
            <w:pPr>
              <w:pStyle w:val="TableText"/>
              <w:jc w:val="center"/>
            </w:pPr>
            <w:r w:rsidRPr="0043602E">
              <w:t>286.30</w:t>
            </w:r>
          </w:p>
        </w:tc>
        <w:tc>
          <w:tcPr>
            <w:tcW w:w="1350" w:type="dxa"/>
            <w:vAlign w:val="center"/>
          </w:tcPr>
          <w:p w:rsidR="00485094" w:rsidRDefault="00485094" w:rsidP="00394CAD">
            <w:pPr>
              <w:pStyle w:val="TableText"/>
              <w:jc w:val="center"/>
            </w:pPr>
            <w:r>
              <w:t>286.04</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Farmton</w:t>
            </w:r>
          </w:p>
        </w:tc>
        <w:tc>
          <w:tcPr>
            <w:tcW w:w="1446" w:type="dxa"/>
            <w:vAlign w:val="center"/>
          </w:tcPr>
          <w:p w:rsidR="00485094" w:rsidRDefault="00485094" w:rsidP="00394CAD">
            <w:pPr>
              <w:pStyle w:val="TableText"/>
              <w:jc w:val="center"/>
            </w:pPr>
            <w:r w:rsidRPr="0043602E">
              <w:t>SJRWMD</w:t>
            </w:r>
          </w:p>
        </w:tc>
        <w:tc>
          <w:tcPr>
            <w:tcW w:w="1374" w:type="dxa"/>
            <w:vAlign w:val="center"/>
          </w:tcPr>
          <w:p w:rsidR="00485094" w:rsidRDefault="00485094" w:rsidP="00394CAD">
            <w:pPr>
              <w:pStyle w:val="TableText"/>
              <w:jc w:val="center"/>
            </w:pPr>
            <w:r w:rsidRPr="0043602E">
              <w:t>23,992.00</w:t>
            </w:r>
          </w:p>
        </w:tc>
        <w:tc>
          <w:tcPr>
            <w:tcW w:w="1350" w:type="dxa"/>
            <w:vAlign w:val="center"/>
          </w:tcPr>
          <w:p w:rsidR="00485094" w:rsidRDefault="00485094" w:rsidP="00394CAD">
            <w:pPr>
              <w:pStyle w:val="TableText"/>
              <w:jc w:val="center"/>
            </w:pPr>
            <w:r w:rsidRPr="0043602E">
              <w:t>4,585.00</w:t>
            </w:r>
          </w:p>
        </w:tc>
        <w:tc>
          <w:tcPr>
            <w:tcW w:w="1350" w:type="dxa"/>
            <w:vAlign w:val="center"/>
          </w:tcPr>
          <w:p w:rsidR="00485094" w:rsidRDefault="00485094" w:rsidP="00394CAD">
            <w:pPr>
              <w:pStyle w:val="TableText"/>
              <w:jc w:val="center"/>
            </w:pPr>
            <w:r>
              <w:t>783.20</w:t>
            </w:r>
          </w:p>
        </w:tc>
        <w:tc>
          <w:tcPr>
            <w:tcW w:w="1350" w:type="dxa"/>
            <w:vAlign w:val="center"/>
          </w:tcPr>
          <w:p w:rsidR="00485094" w:rsidRDefault="00485094" w:rsidP="00394CAD">
            <w:pPr>
              <w:pStyle w:val="TableText"/>
              <w:jc w:val="center"/>
            </w:pPr>
            <w:r>
              <w:t>720.87</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Lake Louisa</w:t>
            </w:r>
          </w:p>
        </w:tc>
        <w:tc>
          <w:tcPr>
            <w:tcW w:w="1446" w:type="dxa"/>
            <w:vAlign w:val="center"/>
          </w:tcPr>
          <w:p w:rsidR="00485094" w:rsidRDefault="00485094" w:rsidP="00394CAD">
            <w:pPr>
              <w:pStyle w:val="TableText"/>
              <w:jc w:val="center"/>
            </w:pPr>
            <w:r w:rsidRPr="0043602E">
              <w:t>SJRWMD</w:t>
            </w:r>
          </w:p>
        </w:tc>
        <w:tc>
          <w:tcPr>
            <w:tcW w:w="1374" w:type="dxa"/>
            <w:vAlign w:val="center"/>
          </w:tcPr>
          <w:p w:rsidR="00485094" w:rsidRDefault="00485094" w:rsidP="00394CAD">
            <w:pPr>
              <w:pStyle w:val="TableText"/>
              <w:jc w:val="center"/>
            </w:pPr>
            <w:r w:rsidRPr="0043602E">
              <w:t>1,007.00</w:t>
            </w:r>
          </w:p>
        </w:tc>
        <w:tc>
          <w:tcPr>
            <w:tcW w:w="1350" w:type="dxa"/>
            <w:vAlign w:val="center"/>
          </w:tcPr>
          <w:p w:rsidR="00485094" w:rsidRDefault="00485094" w:rsidP="00394CAD">
            <w:pPr>
              <w:pStyle w:val="TableText"/>
              <w:jc w:val="center"/>
            </w:pPr>
            <w:r w:rsidRPr="0043602E">
              <w:t>297.90</w:t>
            </w:r>
          </w:p>
        </w:tc>
        <w:tc>
          <w:tcPr>
            <w:tcW w:w="1350" w:type="dxa"/>
            <w:vAlign w:val="center"/>
          </w:tcPr>
          <w:p w:rsidR="00485094" w:rsidRDefault="00485094" w:rsidP="00394CAD">
            <w:pPr>
              <w:pStyle w:val="TableText"/>
              <w:jc w:val="center"/>
            </w:pPr>
            <w:r>
              <w:t>246.00</w:t>
            </w:r>
          </w:p>
        </w:tc>
        <w:tc>
          <w:tcPr>
            <w:tcW w:w="1350" w:type="dxa"/>
            <w:vAlign w:val="center"/>
          </w:tcPr>
          <w:p w:rsidR="00485094" w:rsidRDefault="00485094" w:rsidP="00394CAD">
            <w:pPr>
              <w:pStyle w:val="TableText"/>
              <w:jc w:val="center"/>
            </w:pPr>
            <w:r>
              <w:t>245.90</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Lake Monroe</w:t>
            </w:r>
          </w:p>
        </w:tc>
        <w:tc>
          <w:tcPr>
            <w:tcW w:w="1446" w:type="dxa"/>
            <w:vAlign w:val="center"/>
          </w:tcPr>
          <w:p w:rsidR="00485094" w:rsidRDefault="00485094" w:rsidP="00394CAD">
            <w:pPr>
              <w:pStyle w:val="TableText"/>
              <w:jc w:val="center"/>
            </w:pPr>
            <w:r w:rsidRPr="0043602E">
              <w:t>SJRWMD</w:t>
            </w:r>
          </w:p>
        </w:tc>
        <w:tc>
          <w:tcPr>
            <w:tcW w:w="1374" w:type="dxa"/>
            <w:vAlign w:val="center"/>
          </w:tcPr>
          <w:p w:rsidR="00485094" w:rsidRDefault="00485094" w:rsidP="00394CAD">
            <w:pPr>
              <w:pStyle w:val="TableText"/>
              <w:jc w:val="center"/>
            </w:pPr>
            <w:r w:rsidRPr="0043602E">
              <w:t>603.00</w:t>
            </w:r>
          </w:p>
        </w:tc>
        <w:tc>
          <w:tcPr>
            <w:tcW w:w="1350" w:type="dxa"/>
            <w:vAlign w:val="center"/>
          </w:tcPr>
          <w:p w:rsidR="00485094" w:rsidRDefault="00485094" w:rsidP="00394CAD">
            <w:pPr>
              <w:pStyle w:val="TableText"/>
              <w:jc w:val="center"/>
            </w:pPr>
            <w:r w:rsidRPr="0043602E">
              <w:t>199.90</w:t>
            </w:r>
          </w:p>
        </w:tc>
        <w:tc>
          <w:tcPr>
            <w:tcW w:w="1350" w:type="dxa"/>
            <w:vAlign w:val="center"/>
          </w:tcPr>
          <w:p w:rsidR="00485094" w:rsidRDefault="00485094" w:rsidP="00394CAD">
            <w:pPr>
              <w:pStyle w:val="TableText"/>
              <w:jc w:val="center"/>
            </w:pPr>
            <w:r w:rsidRPr="0043602E">
              <w:t>130.00</w:t>
            </w:r>
          </w:p>
        </w:tc>
        <w:tc>
          <w:tcPr>
            <w:tcW w:w="1350" w:type="dxa"/>
            <w:vAlign w:val="center"/>
          </w:tcPr>
          <w:p w:rsidR="00485094" w:rsidRDefault="00485094" w:rsidP="00394CAD">
            <w:pPr>
              <w:pStyle w:val="TableText"/>
              <w:jc w:val="center"/>
            </w:pPr>
            <w:r>
              <w:t>114.58</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Loblolly</w:t>
            </w:r>
          </w:p>
        </w:tc>
        <w:tc>
          <w:tcPr>
            <w:tcW w:w="1446" w:type="dxa"/>
            <w:vAlign w:val="center"/>
          </w:tcPr>
          <w:p w:rsidR="00485094" w:rsidRDefault="00485094" w:rsidP="00394CAD">
            <w:pPr>
              <w:pStyle w:val="TableText"/>
              <w:jc w:val="center"/>
            </w:pPr>
            <w:r w:rsidRPr="0043602E">
              <w:t>SJRWMD</w:t>
            </w:r>
          </w:p>
        </w:tc>
        <w:tc>
          <w:tcPr>
            <w:tcW w:w="1374" w:type="dxa"/>
            <w:vAlign w:val="center"/>
          </w:tcPr>
          <w:p w:rsidR="00485094" w:rsidRDefault="00485094" w:rsidP="00394CAD">
            <w:pPr>
              <w:pStyle w:val="TableText"/>
              <w:jc w:val="center"/>
            </w:pPr>
            <w:r w:rsidRPr="0043602E">
              <w:t>6,24</w:t>
            </w:r>
            <w:r>
              <w:t>7.00</w:t>
            </w:r>
          </w:p>
        </w:tc>
        <w:tc>
          <w:tcPr>
            <w:tcW w:w="1350" w:type="dxa"/>
            <w:vAlign w:val="center"/>
          </w:tcPr>
          <w:p w:rsidR="00485094" w:rsidRDefault="00485094" w:rsidP="00394CAD">
            <w:pPr>
              <w:pStyle w:val="TableText"/>
              <w:jc w:val="center"/>
            </w:pPr>
            <w:r w:rsidRPr="0043602E">
              <w:t>2,03</w:t>
            </w:r>
            <w:r>
              <w:t>1.80</w:t>
            </w:r>
          </w:p>
        </w:tc>
        <w:tc>
          <w:tcPr>
            <w:tcW w:w="1350" w:type="dxa"/>
            <w:vAlign w:val="center"/>
          </w:tcPr>
          <w:p w:rsidR="00485094" w:rsidRDefault="00485094" w:rsidP="00394CAD">
            <w:pPr>
              <w:pStyle w:val="TableText"/>
              <w:jc w:val="center"/>
            </w:pPr>
            <w:r>
              <w:t>1074.51</w:t>
            </w:r>
          </w:p>
        </w:tc>
        <w:tc>
          <w:tcPr>
            <w:tcW w:w="1350" w:type="dxa"/>
            <w:vAlign w:val="center"/>
          </w:tcPr>
          <w:p w:rsidR="00485094" w:rsidRDefault="00485094" w:rsidP="00394CAD">
            <w:pPr>
              <w:pStyle w:val="TableText"/>
              <w:jc w:val="center"/>
            </w:pPr>
            <w:r>
              <w:t>1008.50</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Longleaf</w:t>
            </w:r>
          </w:p>
        </w:tc>
        <w:tc>
          <w:tcPr>
            <w:tcW w:w="1446" w:type="dxa"/>
            <w:vAlign w:val="center"/>
          </w:tcPr>
          <w:p w:rsidR="00485094" w:rsidRDefault="00485094" w:rsidP="00394CAD">
            <w:pPr>
              <w:pStyle w:val="TableText"/>
              <w:jc w:val="center"/>
            </w:pPr>
            <w:r w:rsidRPr="0043602E">
              <w:t>SJRWMD</w:t>
            </w:r>
          </w:p>
        </w:tc>
        <w:tc>
          <w:tcPr>
            <w:tcW w:w="1374" w:type="dxa"/>
            <w:vAlign w:val="center"/>
          </w:tcPr>
          <w:p w:rsidR="00485094" w:rsidRDefault="00485094" w:rsidP="00394CAD">
            <w:pPr>
              <w:pStyle w:val="TableText"/>
              <w:jc w:val="center"/>
            </w:pPr>
            <w:r w:rsidRPr="0043602E">
              <w:t>3,02</w:t>
            </w:r>
            <w:r>
              <w:t>1.00</w:t>
            </w:r>
          </w:p>
        </w:tc>
        <w:tc>
          <w:tcPr>
            <w:tcW w:w="1350" w:type="dxa"/>
            <w:vAlign w:val="center"/>
          </w:tcPr>
          <w:p w:rsidR="00485094" w:rsidRDefault="00485094" w:rsidP="00394CAD">
            <w:pPr>
              <w:pStyle w:val="TableText"/>
              <w:jc w:val="center"/>
            </w:pPr>
            <w:r>
              <w:t>808.30</w:t>
            </w:r>
          </w:p>
        </w:tc>
        <w:tc>
          <w:tcPr>
            <w:tcW w:w="1350" w:type="dxa"/>
            <w:vAlign w:val="center"/>
          </w:tcPr>
          <w:p w:rsidR="00485094" w:rsidRDefault="00485094" w:rsidP="00394CAD">
            <w:pPr>
              <w:pStyle w:val="TableText"/>
              <w:jc w:val="center"/>
            </w:pPr>
            <w:r>
              <w:t>444.58</w:t>
            </w:r>
          </w:p>
        </w:tc>
        <w:tc>
          <w:tcPr>
            <w:tcW w:w="1350" w:type="dxa"/>
            <w:vAlign w:val="center"/>
          </w:tcPr>
          <w:p w:rsidR="00485094" w:rsidRDefault="00485094" w:rsidP="00394CAD">
            <w:pPr>
              <w:pStyle w:val="TableText"/>
              <w:jc w:val="center"/>
            </w:pPr>
            <w:r>
              <w:t>169.13</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Mary</w:t>
            </w:r>
            <w:r w:rsidRPr="0043602E">
              <w:t xml:space="preserve"> A</w:t>
            </w:r>
          </w:p>
        </w:tc>
        <w:tc>
          <w:tcPr>
            <w:tcW w:w="1446" w:type="dxa"/>
            <w:vAlign w:val="center"/>
          </w:tcPr>
          <w:p w:rsidR="00485094" w:rsidRDefault="00485094" w:rsidP="00394CAD">
            <w:pPr>
              <w:pStyle w:val="TableText"/>
              <w:jc w:val="center"/>
            </w:pPr>
            <w:r w:rsidRPr="0043602E">
              <w:t>SJRWMD</w:t>
            </w:r>
          </w:p>
        </w:tc>
        <w:tc>
          <w:tcPr>
            <w:tcW w:w="1374" w:type="dxa"/>
            <w:vAlign w:val="center"/>
          </w:tcPr>
          <w:p w:rsidR="00485094" w:rsidRDefault="00485094" w:rsidP="00394CAD">
            <w:pPr>
              <w:pStyle w:val="TableText"/>
              <w:jc w:val="center"/>
            </w:pPr>
            <w:r w:rsidRPr="0043602E">
              <w:t>2,06</w:t>
            </w:r>
            <w:r>
              <w:t>9.00</w:t>
            </w:r>
          </w:p>
        </w:tc>
        <w:tc>
          <w:tcPr>
            <w:tcW w:w="1350" w:type="dxa"/>
            <w:vAlign w:val="center"/>
          </w:tcPr>
          <w:p w:rsidR="00485094" w:rsidRDefault="00485094" w:rsidP="00394CAD">
            <w:pPr>
              <w:pStyle w:val="TableText"/>
              <w:jc w:val="center"/>
            </w:pPr>
            <w:r w:rsidRPr="0043602E">
              <w:t>1,252.80</w:t>
            </w:r>
          </w:p>
        </w:tc>
        <w:tc>
          <w:tcPr>
            <w:tcW w:w="1350" w:type="dxa"/>
            <w:vAlign w:val="center"/>
          </w:tcPr>
          <w:p w:rsidR="00485094" w:rsidRDefault="00485094" w:rsidP="00394CAD">
            <w:pPr>
              <w:pStyle w:val="TableText"/>
              <w:jc w:val="center"/>
            </w:pPr>
            <w:r>
              <w:t>707.29</w:t>
            </w:r>
          </w:p>
        </w:tc>
        <w:tc>
          <w:tcPr>
            <w:tcW w:w="1350" w:type="dxa"/>
            <w:vAlign w:val="center"/>
          </w:tcPr>
          <w:p w:rsidR="00485094" w:rsidRDefault="00485094" w:rsidP="00394CAD">
            <w:pPr>
              <w:pStyle w:val="TableText"/>
              <w:jc w:val="center"/>
            </w:pPr>
            <w:r>
              <w:t>394.92</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rsidRPr="0043602E">
              <w:t xml:space="preserve">NE </w:t>
            </w:r>
            <w:r>
              <w:t>Florida</w:t>
            </w:r>
          </w:p>
        </w:tc>
        <w:tc>
          <w:tcPr>
            <w:tcW w:w="1446" w:type="dxa"/>
            <w:vAlign w:val="center"/>
          </w:tcPr>
          <w:p w:rsidR="00485094" w:rsidRDefault="00485094" w:rsidP="00394CAD">
            <w:pPr>
              <w:pStyle w:val="TableText"/>
              <w:jc w:val="center"/>
            </w:pPr>
            <w:r w:rsidRPr="0043602E">
              <w:t>SJRWMD</w:t>
            </w:r>
          </w:p>
        </w:tc>
        <w:tc>
          <w:tcPr>
            <w:tcW w:w="1374" w:type="dxa"/>
            <w:vAlign w:val="center"/>
          </w:tcPr>
          <w:p w:rsidR="00485094" w:rsidRDefault="00485094" w:rsidP="00394CAD">
            <w:pPr>
              <w:pStyle w:val="TableText"/>
              <w:jc w:val="center"/>
            </w:pPr>
            <w:r w:rsidRPr="0043602E">
              <w:t>779.00</w:t>
            </w:r>
          </w:p>
        </w:tc>
        <w:tc>
          <w:tcPr>
            <w:tcW w:w="1350" w:type="dxa"/>
            <w:vAlign w:val="center"/>
          </w:tcPr>
          <w:p w:rsidR="00485094" w:rsidRDefault="00485094" w:rsidP="00394CAD">
            <w:pPr>
              <w:pStyle w:val="TableText"/>
              <w:jc w:val="center"/>
            </w:pPr>
            <w:r w:rsidRPr="0043602E">
              <w:t>407.30</w:t>
            </w:r>
          </w:p>
        </w:tc>
        <w:tc>
          <w:tcPr>
            <w:tcW w:w="1350" w:type="dxa"/>
            <w:vAlign w:val="center"/>
          </w:tcPr>
          <w:p w:rsidR="00485094" w:rsidRDefault="00485094" w:rsidP="00394CAD">
            <w:pPr>
              <w:pStyle w:val="TableText"/>
              <w:jc w:val="center"/>
            </w:pPr>
            <w:r>
              <w:t>393.90</w:t>
            </w:r>
          </w:p>
        </w:tc>
        <w:tc>
          <w:tcPr>
            <w:tcW w:w="1350" w:type="dxa"/>
            <w:vAlign w:val="center"/>
          </w:tcPr>
          <w:p w:rsidR="00485094" w:rsidRDefault="00485094" w:rsidP="00394CAD">
            <w:pPr>
              <w:pStyle w:val="TableText"/>
              <w:jc w:val="center"/>
            </w:pPr>
            <w:r w:rsidRPr="0043602E">
              <w:t>376.9</w:t>
            </w:r>
            <w:r>
              <w:t>8</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Port Orange</w:t>
            </w:r>
          </w:p>
        </w:tc>
        <w:tc>
          <w:tcPr>
            <w:tcW w:w="1446" w:type="dxa"/>
            <w:vAlign w:val="center"/>
          </w:tcPr>
          <w:p w:rsidR="00485094" w:rsidRDefault="00485094" w:rsidP="00394CAD">
            <w:pPr>
              <w:pStyle w:val="TableText"/>
              <w:jc w:val="center"/>
            </w:pPr>
            <w:r w:rsidRPr="0043602E">
              <w:t>SJRWMD</w:t>
            </w:r>
          </w:p>
        </w:tc>
        <w:tc>
          <w:tcPr>
            <w:tcW w:w="1374" w:type="dxa"/>
            <w:vAlign w:val="center"/>
          </w:tcPr>
          <w:p w:rsidR="00485094" w:rsidRDefault="00485094" w:rsidP="00394CAD">
            <w:pPr>
              <w:pStyle w:val="TableText"/>
              <w:jc w:val="center"/>
            </w:pPr>
            <w:r w:rsidRPr="0043602E">
              <w:t>5,719.00</w:t>
            </w:r>
          </w:p>
        </w:tc>
        <w:tc>
          <w:tcPr>
            <w:tcW w:w="1350" w:type="dxa"/>
            <w:vAlign w:val="center"/>
          </w:tcPr>
          <w:p w:rsidR="00485094" w:rsidRDefault="00485094" w:rsidP="00394CAD">
            <w:pPr>
              <w:pStyle w:val="TableText"/>
              <w:jc w:val="center"/>
            </w:pPr>
            <w:r w:rsidRPr="0043602E">
              <w:t>1,176.30</w:t>
            </w:r>
          </w:p>
        </w:tc>
        <w:tc>
          <w:tcPr>
            <w:tcW w:w="1350" w:type="dxa"/>
            <w:vAlign w:val="center"/>
          </w:tcPr>
          <w:p w:rsidR="00485094" w:rsidRDefault="00485094" w:rsidP="00394CAD">
            <w:pPr>
              <w:pStyle w:val="TableText"/>
              <w:jc w:val="center"/>
            </w:pPr>
            <w:r w:rsidRPr="0043602E">
              <w:t>237.90</w:t>
            </w:r>
          </w:p>
        </w:tc>
        <w:tc>
          <w:tcPr>
            <w:tcW w:w="1350" w:type="dxa"/>
            <w:vAlign w:val="center"/>
          </w:tcPr>
          <w:p w:rsidR="00485094" w:rsidRDefault="00485094" w:rsidP="00394CAD">
            <w:pPr>
              <w:pStyle w:val="TableText"/>
              <w:jc w:val="center"/>
            </w:pPr>
            <w:r>
              <w:t>112.10</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Sundew</w:t>
            </w:r>
          </w:p>
        </w:tc>
        <w:tc>
          <w:tcPr>
            <w:tcW w:w="1446" w:type="dxa"/>
            <w:vAlign w:val="center"/>
          </w:tcPr>
          <w:p w:rsidR="00485094" w:rsidRDefault="00485094" w:rsidP="00394CAD">
            <w:pPr>
              <w:pStyle w:val="TableText"/>
              <w:jc w:val="center"/>
            </w:pPr>
            <w:r w:rsidRPr="0043602E">
              <w:t>SJRWMD</w:t>
            </w:r>
          </w:p>
        </w:tc>
        <w:tc>
          <w:tcPr>
            <w:tcW w:w="1374" w:type="dxa"/>
            <w:vAlign w:val="center"/>
          </w:tcPr>
          <w:p w:rsidR="00485094" w:rsidRDefault="00485094" w:rsidP="00394CAD">
            <w:pPr>
              <w:pStyle w:val="TableText"/>
              <w:jc w:val="center"/>
            </w:pPr>
            <w:r w:rsidRPr="0043602E">
              <w:t>2,107.</w:t>
            </w:r>
            <w:r>
              <w:t>00</w:t>
            </w:r>
          </w:p>
        </w:tc>
        <w:tc>
          <w:tcPr>
            <w:tcW w:w="1350" w:type="dxa"/>
            <w:vAlign w:val="center"/>
          </w:tcPr>
          <w:p w:rsidR="00485094" w:rsidRDefault="00485094" w:rsidP="00394CAD">
            <w:pPr>
              <w:pStyle w:val="TableText"/>
              <w:jc w:val="center"/>
            </w:pPr>
            <w:r w:rsidRPr="0043602E">
              <w:t>698.30</w:t>
            </w:r>
          </w:p>
        </w:tc>
        <w:tc>
          <w:tcPr>
            <w:tcW w:w="1350" w:type="dxa"/>
            <w:vAlign w:val="center"/>
          </w:tcPr>
          <w:p w:rsidR="00485094" w:rsidRDefault="00485094" w:rsidP="00394CAD">
            <w:pPr>
              <w:pStyle w:val="TableText"/>
              <w:jc w:val="center"/>
            </w:pPr>
            <w:r>
              <w:t>192.01</w:t>
            </w:r>
          </w:p>
        </w:tc>
        <w:tc>
          <w:tcPr>
            <w:tcW w:w="1350" w:type="dxa"/>
            <w:vAlign w:val="center"/>
          </w:tcPr>
          <w:p w:rsidR="00485094" w:rsidRDefault="00485094" w:rsidP="00394CAD">
            <w:pPr>
              <w:pStyle w:val="TableText"/>
              <w:jc w:val="center"/>
            </w:pPr>
            <w:r>
              <w:t>129.85</w:t>
            </w:r>
          </w:p>
        </w:tc>
      </w:tr>
      <w:tr w:rsidR="00485094" w:rsidTr="00394CAD">
        <w:trPr>
          <w:trHeight w:val="288"/>
          <w:jc w:val="center"/>
        </w:trPr>
        <w:tc>
          <w:tcPr>
            <w:tcW w:w="2268" w:type="dxa"/>
            <w:shd w:val="clear" w:color="auto" w:fill="FFFFCC"/>
            <w:vAlign w:val="center"/>
          </w:tcPr>
          <w:p w:rsidR="00485094" w:rsidRPr="0043602E" w:rsidRDefault="00485094" w:rsidP="00394CAD">
            <w:pPr>
              <w:pStyle w:val="TableText"/>
              <w:jc w:val="center"/>
            </w:pPr>
            <w:r>
              <w:t>Thomas Creek</w:t>
            </w:r>
          </w:p>
        </w:tc>
        <w:tc>
          <w:tcPr>
            <w:tcW w:w="1446" w:type="dxa"/>
            <w:vAlign w:val="center"/>
          </w:tcPr>
          <w:p w:rsidR="00485094" w:rsidRPr="0043602E" w:rsidRDefault="00485094" w:rsidP="00394CAD">
            <w:pPr>
              <w:pStyle w:val="TableText"/>
              <w:jc w:val="center"/>
            </w:pPr>
            <w:r w:rsidRPr="0043602E">
              <w:t>SJRWMD</w:t>
            </w:r>
          </w:p>
        </w:tc>
        <w:tc>
          <w:tcPr>
            <w:tcW w:w="1374" w:type="dxa"/>
            <w:vAlign w:val="center"/>
          </w:tcPr>
          <w:p w:rsidR="00485094" w:rsidRPr="0043602E" w:rsidRDefault="00485094" w:rsidP="00394CAD">
            <w:pPr>
              <w:pStyle w:val="TableText"/>
              <w:jc w:val="center"/>
            </w:pPr>
            <w:r>
              <w:t>594.00</w:t>
            </w:r>
          </w:p>
        </w:tc>
        <w:tc>
          <w:tcPr>
            <w:tcW w:w="1350" w:type="dxa"/>
            <w:vAlign w:val="center"/>
          </w:tcPr>
          <w:p w:rsidR="00485094" w:rsidRPr="0043602E" w:rsidRDefault="00485094" w:rsidP="00394CAD">
            <w:pPr>
              <w:pStyle w:val="TableText"/>
              <w:jc w:val="center"/>
            </w:pPr>
            <w:r>
              <w:t>72.48</w:t>
            </w:r>
          </w:p>
        </w:tc>
        <w:tc>
          <w:tcPr>
            <w:tcW w:w="1350" w:type="dxa"/>
            <w:vAlign w:val="center"/>
          </w:tcPr>
          <w:p w:rsidR="00485094" w:rsidRPr="0043602E" w:rsidRDefault="00485094" w:rsidP="00394CAD">
            <w:pPr>
              <w:pStyle w:val="TableText"/>
              <w:jc w:val="center"/>
            </w:pPr>
            <w:r>
              <w:t>20.91</w:t>
            </w:r>
          </w:p>
        </w:tc>
        <w:tc>
          <w:tcPr>
            <w:tcW w:w="1350" w:type="dxa"/>
            <w:vAlign w:val="center"/>
          </w:tcPr>
          <w:p w:rsidR="00485094" w:rsidRPr="0043602E" w:rsidRDefault="00485094" w:rsidP="00394CAD">
            <w:pPr>
              <w:pStyle w:val="TableText"/>
              <w:jc w:val="center"/>
            </w:pPr>
            <w:r>
              <w:t>-</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rsidRPr="0043602E">
              <w:t>TM-</w:t>
            </w:r>
            <w:r>
              <w:t>Econ</w:t>
            </w:r>
          </w:p>
        </w:tc>
        <w:tc>
          <w:tcPr>
            <w:tcW w:w="1446" w:type="dxa"/>
            <w:vAlign w:val="center"/>
          </w:tcPr>
          <w:p w:rsidR="00485094" w:rsidRDefault="00485094" w:rsidP="00394CAD">
            <w:pPr>
              <w:pStyle w:val="TableText"/>
              <w:jc w:val="center"/>
            </w:pPr>
            <w:r w:rsidRPr="0043602E">
              <w:t>SJRWMD</w:t>
            </w:r>
          </w:p>
        </w:tc>
        <w:tc>
          <w:tcPr>
            <w:tcW w:w="1374" w:type="dxa"/>
            <w:vAlign w:val="center"/>
          </w:tcPr>
          <w:p w:rsidR="00485094" w:rsidRDefault="00485094" w:rsidP="00394CAD">
            <w:pPr>
              <w:pStyle w:val="TableText"/>
              <w:jc w:val="center"/>
            </w:pPr>
            <w:r w:rsidRPr="0043602E">
              <w:t>5,19</w:t>
            </w:r>
            <w:r>
              <w:t>9.00</w:t>
            </w:r>
          </w:p>
        </w:tc>
        <w:tc>
          <w:tcPr>
            <w:tcW w:w="1350" w:type="dxa"/>
            <w:vAlign w:val="center"/>
          </w:tcPr>
          <w:p w:rsidR="00485094" w:rsidRDefault="00485094" w:rsidP="00394CAD">
            <w:pPr>
              <w:pStyle w:val="TableText"/>
              <w:jc w:val="center"/>
            </w:pPr>
            <w:r w:rsidRPr="0043602E">
              <w:t>1,568.60</w:t>
            </w:r>
          </w:p>
        </w:tc>
        <w:tc>
          <w:tcPr>
            <w:tcW w:w="1350" w:type="dxa"/>
            <w:vAlign w:val="center"/>
          </w:tcPr>
          <w:p w:rsidR="00485094" w:rsidRDefault="00485094" w:rsidP="00394CAD">
            <w:pPr>
              <w:pStyle w:val="TableText"/>
              <w:jc w:val="center"/>
            </w:pPr>
            <w:r>
              <w:t>879.46</w:t>
            </w:r>
          </w:p>
        </w:tc>
        <w:tc>
          <w:tcPr>
            <w:tcW w:w="1350" w:type="dxa"/>
            <w:vAlign w:val="center"/>
          </w:tcPr>
          <w:p w:rsidR="00485094" w:rsidRDefault="00485094" w:rsidP="00394CAD">
            <w:pPr>
              <w:pStyle w:val="TableText"/>
              <w:jc w:val="center"/>
            </w:pPr>
            <w:r>
              <w:t>538.94</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Toso</w:t>
            </w:r>
          </w:p>
        </w:tc>
        <w:tc>
          <w:tcPr>
            <w:tcW w:w="1446" w:type="dxa"/>
            <w:vAlign w:val="center"/>
          </w:tcPr>
          <w:p w:rsidR="00485094" w:rsidRDefault="00485094" w:rsidP="00394CAD">
            <w:pPr>
              <w:pStyle w:val="TableText"/>
              <w:jc w:val="center"/>
            </w:pPr>
            <w:r w:rsidRPr="0043602E">
              <w:t>SJRWMD</w:t>
            </w:r>
          </w:p>
        </w:tc>
        <w:tc>
          <w:tcPr>
            <w:tcW w:w="1374" w:type="dxa"/>
            <w:vAlign w:val="center"/>
          </w:tcPr>
          <w:p w:rsidR="00485094" w:rsidRDefault="00485094" w:rsidP="00394CAD">
            <w:pPr>
              <w:pStyle w:val="TableText"/>
              <w:jc w:val="center"/>
            </w:pPr>
            <w:r w:rsidRPr="0043602E">
              <w:t>1,312.00</w:t>
            </w:r>
          </w:p>
        </w:tc>
        <w:tc>
          <w:tcPr>
            <w:tcW w:w="1350" w:type="dxa"/>
            <w:vAlign w:val="center"/>
          </w:tcPr>
          <w:p w:rsidR="00485094" w:rsidRDefault="00485094" w:rsidP="00394CAD">
            <w:pPr>
              <w:pStyle w:val="TableText"/>
              <w:jc w:val="center"/>
            </w:pPr>
            <w:r w:rsidRPr="0043602E">
              <w:t>185.00</w:t>
            </w:r>
          </w:p>
        </w:tc>
        <w:tc>
          <w:tcPr>
            <w:tcW w:w="1350" w:type="dxa"/>
            <w:vAlign w:val="center"/>
          </w:tcPr>
          <w:p w:rsidR="00485094" w:rsidRDefault="00485094" w:rsidP="00394CAD">
            <w:pPr>
              <w:pStyle w:val="TableText"/>
              <w:jc w:val="center"/>
            </w:pPr>
            <w:r>
              <w:t>185.00</w:t>
            </w:r>
          </w:p>
        </w:tc>
        <w:tc>
          <w:tcPr>
            <w:tcW w:w="1350" w:type="dxa"/>
            <w:vAlign w:val="center"/>
          </w:tcPr>
          <w:p w:rsidR="00485094" w:rsidRDefault="00485094" w:rsidP="00394CAD">
            <w:pPr>
              <w:pStyle w:val="TableText"/>
              <w:jc w:val="center"/>
            </w:pPr>
            <w:r>
              <w:t>152.90</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Tupelo</w:t>
            </w:r>
          </w:p>
        </w:tc>
        <w:tc>
          <w:tcPr>
            <w:tcW w:w="1446" w:type="dxa"/>
            <w:vAlign w:val="center"/>
          </w:tcPr>
          <w:p w:rsidR="00485094" w:rsidRDefault="00485094" w:rsidP="00394CAD">
            <w:pPr>
              <w:pStyle w:val="TableText"/>
              <w:jc w:val="center"/>
            </w:pPr>
            <w:r w:rsidRPr="0043602E">
              <w:t>SJRWMD</w:t>
            </w:r>
          </w:p>
        </w:tc>
        <w:tc>
          <w:tcPr>
            <w:tcW w:w="1374" w:type="dxa"/>
            <w:vAlign w:val="center"/>
          </w:tcPr>
          <w:p w:rsidR="00485094" w:rsidRDefault="00485094" w:rsidP="00394CAD">
            <w:pPr>
              <w:pStyle w:val="TableText"/>
              <w:jc w:val="center"/>
            </w:pPr>
            <w:r w:rsidRPr="0043602E">
              <w:t>1,524.80</w:t>
            </w:r>
          </w:p>
        </w:tc>
        <w:tc>
          <w:tcPr>
            <w:tcW w:w="1350" w:type="dxa"/>
            <w:vAlign w:val="center"/>
          </w:tcPr>
          <w:p w:rsidR="00485094" w:rsidRDefault="00485094" w:rsidP="00394CAD">
            <w:pPr>
              <w:pStyle w:val="TableText"/>
              <w:jc w:val="center"/>
            </w:pPr>
            <w:r w:rsidRPr="0043602E">
              <w:t>459.70</w:t>
            </w:r>
          </w:p>
        </w:tc>
        <w:tc>
          <w:tcPr>
            <w:tcW w:w="1350" w:type="dxa"/>
            <w:vAlign w:val="center"/>
          </w:tcPr>
          <w:p w:rsidR="00485094" w:rsidRDefault="00485094" w:rsidP="00394CAD">
            <w:pPr>
              <w:pStyle w:val="TableText"/>
              <w:jc w:val="center"/>
            </w:pPr>
            <w:r>
              <w:t>258.76</w:t>
            </w:r>
          </w:p>
        </w:tc>
        <w:tc>
          <w:tcPr>
            <w:tcW w:w="1350" w:type="dxa"/>
            <w:vAlign w:val="center"/>
          </w:tcPr>
          <w:p w:rsidR="00485094" w:rsidRDefault="00485094" w:rsidP="00394CAD">
            <w:pPr>
              <w:pStyle w:val="TableText"/>
              <w:jc w:val="center"/>
            </w:pPr>
            <w:r>
              <w:t>209.37</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Boran</w:t>
            </w:r>
          </w:p>
        </w:tc>
        <w:tc>
          <w:tcPr>
            <w:tcW w:w="1446" w:type="dxa"/>
            <w:vAlign w:val="center"/>
          </w:tcPr>
          <w:p w:rsidR="00485094" w:rsidRDefault="00485094" w:rsidP="00394CAD">
            <w:pPr>
              <w:pStyle w:val="TableText"/>
              <w:jc w:val="center"/>
            </w:pPr>
            <w:r w:rsidRPr="0043602E">
              <w:t>SWFWMD</w:t>
            </w:r>
          </w:p>
        </w:tc>
        <w:tc>
          <w:tcPr>
            <w:tcW w:w="1374" w:type="dxa"/>
            <w:vAlign w:val="center"/>
          </w:tcPr>
          <w:p w:rsidR="00485094" w:rsidRDefault="00485094" w:rsidP="00394CAD">
            <w:pPr>
              <w:pStyle w:val="TableText"/>
              <w:jc w:val="center"/>
            </w:pPr>
            <w:r w:rsidRPr="0043602E">
              <w:t>23</w:t>
            </w:r>
            <w:r>
              <w:t>7.00</w:t>
            </w:r>
          </w:p>
        </w:tc>
        <w:tc>
          <w:tcPr>
            <w:tcW w:w="1350" w:type="dxa"/>
            <w:vAlign w:val="center"/>
          </w:tcPr>
          <w:p w:rsidR="00485094" w:rsidRDefault="00485094" w:rsidP="00394CAD">
            <w:pPr>
              <w:pStyle w:val="TableText"/>
              <w:jc w:val="center"/>
            </w:pPr>
            <w:r w:rsidRPr="0043602E">
              <w:t>108.59</w:t>
            </w:r>
          </w:p>
        </w:tc>
        <w:tc>
          <w:tcPr>
            <w:tcW w:w="1350" w:type="dxa"/>
            <w:vAlign w:val="center"/>
          </w:tcPr>
          <w:p w:rsidR="00485094" w:rsidRDefault="00485094" w:rsidP="00394CAD">
            <w:pPr>
              <w:pStyle w:val="TableText"/>
              <w:jc w:val="center"/>
            </w:pPr>
            <w:r>
              <w:t>108.59</w:t>
            </w:r>
          </w:p>
        </w:tc>
        <w:tc>
          <w:tcPr>
            <w:tcW w:w="1350" w:type="dxa"/>
            <w:vAlign w:val="center"/>
          </w:tcPr>
          <w:p w:rsidR="00485094" w:rsidRDefault="00485094" w:rsidP="00394CAD">
            <w:pPr>
              <w:pStyle w:val="TableText"/>
              <w:jc w:val="center"/>
            </w:pPr>
            <w:r>
              <w:t>100.70</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Hammock Lakes</w:t>
            </w:r>
          </w:p>
        </w:tc>
        <w:tc>
          <w:tcPr>
            <w:tcW w:w="1446" w:type="dxa"/>
            <w:vAlign w:val="center"/>
          </w:tcPr>
          <w:p w:rsidR="00485094" w:rsidRPr="0043602E" w:rsidRDefault="00485094" w:rsidP="00394CAD">
            <w:pPr>
              <w:pStyle w:val="TableText"/>
              <w:jc w:val="center"/>
            </w:pPr>
            <w:r w:rsidRPr="0043602E">
              <w:t>SWFWMD</w:t>
            </w:r>
          </w:p>
        </w:tc>
        <w:tc>
          <w:tcPr>
            <w:tcW w:w="1374" w:type="dxa"/>
            <w:vAlign w:val="center"/>
          </w:tcPr>
          <w:p w:rsidR="00485094" w:rsidRPr="0043602E" w:rsidRDefault="00485094" w:rsidP="00394CAD">
            <w:pPr>
              <w:pStyle w:val="TableText"/>
              <w:jc w:val="center"/>
            </w:pPr>
            <w:r>
              <w:t>819.00</w:t>
            </w:r>
          </w:p>
        </w:tc>
        <w:tc>
          <w:tcPr>
            <w:tcW w:w="1350" w:type="dxa"/>
            <w:vAlign w:val="center"/>
          </w:tcPr>
          <w:p w:rsidR="00485094" w:rsidRPr="0043602E" w:rsidRDefault="00485094" w:rsidP="00394CAD">
            <w:pPr>
              <w:pStyle w:val="TableText"/>
              <w:jc w:val="center"/>
            </w:pPr>
            <w:r>
              <w:t>58.04</w:t>
            </w:r>
          </w:p>
        </w:tc>
        <w:tc>
          <w:tcPr>
            <w:tcW w:w="1350" w:type="dxa"/>
            <w:vAlign w:val="center"/>
          </w:tcPr>
          <w:p w:rsidR="00485094" w:rsidRDefault="00485094" w:rsidP="00394CAD">
            <w:pPr>
              <w:pStyle w:val="TableText"/>
              <w:jc w:val="center"/>
            </w:pPr>
            <w:r>
              <w:t>-</w:t>
            </w:r>
          </w:p>
        </w:tc>
        <w:tc>
          <w:tcPr>
            <w:tcW w:w="1350" w:type="dxa"/>
            <w:vAlign w:val="center"/>
          </w:tcPr>
          <w:p w:rsidR="00485094" w:rsidRDefault="00485094" w:rsidP="00394CAD">
            <w:pPr>
              <w:pStyle w:val="TableText"/>
              <w:jc w:val="center"/>
            </w:pPr>
            <w:r>
              <w:t>-</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Myakka</w:t>
            </w:r>
          </w:p>
        </w:tc>
        <w:tc>
          <w:tcPr>
            <w:tcW w:w="1446" w:type="dxa"/>
            <w:vAlign w:val="center"/>
          </w:tcPr>
          <w:p w:rsidR="00485094" w:rsidRDefault="00485094" w:rsidP="00394CAD">
            <w:pPr>
              <w:pStyle w:val="TableText"/>
              <w:jc w:val="center"/>
            </w:pPr>
            <w:r w:rsidRPr="0043602E">
              <w:t>SWFWMD</w:t>
            </w:r>
          </w:p>
        </w:tc>
        <w:tc>
          <w:tcPr>
            <w:tcW w:w="1374" w:type="dxa"/>
            <w:vAlign w:val="center"/>
          </w:tcPr>
          <w:p w:rsidR="00485094" w:rsidRDefault="00485094" w:rsidP="00394CAD">
            <w:pPr>
              <w:pStyle w:val="TableText"/>
              <w:jc w:val="center"/>
            </w:pPr>
            <w:r w:rsidRPr="0043602E">
              <w:t>380.00</w:t>
            </w:r>
          </w:p>
        </w:tc>
        <w:tc>
          <w:tcPr>
            <w:tcW w:w="1350" w:type="dxa"/>
            <w:vAlign w:val="center"/>
          </w:tcPr>
          <w:p w:rsidR="00485094" w:rsidRDefault="00485094" w:rsidP="00394CAD">
            <w:pPr>
              <w:pStyle w:val="TableText"/>
              <w:jc w:val="center"/>
            </w:pPr>
            <w:r w:rsidRPr="0043602E">
              <w:t>224.60</w:t>
            </w:r>
          </w:p>
        </w:tc>
        <w:tc>
          <w:tcPr>
            <w:tcW w:w="1350" w:type="dxa"/>
            <w:vAlign w:val="center"/>
          </w:tcPr>
          <w:p w:rsidR="00485094" w:rsidRDefault="00485094" w:rsidP="00394CAD">
            <w:pPr>
              <w:pStyle w:val="TableText"/>
              <w:jc w:val="center"/>
            </w:pPr>
            <w:r>
              <w:t>38.20</w:t>
            </w:r>
          </w:p>
        </w:tc>
        <w:tc>
          <w:tcPr>
            <w:tcW w:w="1350" w:type="dxa"/>
            <w:vAlign w:val="center"/>
          </w:tcPr>
          <w:p w:rsidR="00485094" w:rsidRDefault="00485094" w:rsidP="00394CAD">
            <w:pPr>
              <w:pStyle w:val="TableText"/>
              <w:jc w:val="center"/>
            </w:pPr>
            <w:r>
              <w:t>12.09</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Tampa Bay</w:t>
            </w:r>
          </w:p>
        </w:tc>
        <w:tc>
          <w:tcPr>
            <w:tcW w:w="1446" w:type="dxa"/>
            <w:vAlign w:val="center"/>
          </w:tcPr>
          <w:p w:rsidR="00485094" w:rsidRDefault="00485094" w:rsidP="00394CAD">
            <w:pPr>
              <w:pStyle w:val="TableText"/>
              <w:jc w:val="center"/>
            </w:pPr>
            <w:r w:rsidRPr="0043602E">
              <w:t>SWFWMD</w:t>
            </w:r>
          </w:p>
        </w:tc>
        <w:tc>
          <w:tcPr>
            <w:tcW w:w="1374" w:type="dxa"/>
            <w:vAlign w:val="center"/>
          </w:tcPr>
          <w:p w:rsidR="00485094" w:rsidRDefault="00485094" w:rsidP="00394CAD">
            <w:pPr>
              <w:pStyle w:val="TableText"/>
              <w:jc w:val="center"/>
            </w:pPr>
            <w:r w:rsidRPr="0043602E">
              <w:t>161.2</w:t>
            </w:r>
            <w:r>
              <w:t>00</w:t>
            </w:r>
          </w:p>
        </w:tc>
        <w:tc>
          <w:tcPr>
            <w:tcW w:w="1350" w:type="dxa"/>
            <w:vAlign w:val="center"/>
          </w:tcPr>
          <w:p w:rsidR="00485094" w:rsidRDefault="00485094" w:rsidP="00394CAD">
            <w:pPr>
              <w:pStyle w:val="TableText"/>
              <w:jc w:val="center"/>
            </w:pPr>
            <w:r w:rsidRPr="0043602E">
              <w:t>111.55</w:t>
            </w:r>
          </w:p>
        </w:tc>
        <w:tc>
          <w:tcPr>
            <w:tcW w:w="1350" w:type="dxa"/>
            <w:vAlign w:val="center"/>
          </w:tcPr>
          <w:p w:rsidR="00485094" w:rsidRDefault="00485094" w:rsidP="00394CAD">
            <w:pPr>
              <w:pStyle w:val="TableText"/>
              <w:jc w:val="center"/>
            </w:pPr>
            <w:r>
              <w:t>-</w:t>
            </w:r>
          </w:p>
        </w:tc>
        <w:tc>
          <w:tcPr>
            <w:tcW w:w="1350" w:type="dxa"/>
            <w:vAlign w:val="center"/>
          </w:tcPr>
          <w:p w:rsidR="00485094" w:rsidRDefault="00485094" w:rsidP="00394CAD">
            <w:pPr>
              <w:pStyle w:val="TableText"/>
              <w:jc w:val="center"/>
            </w:pPr>
            <w:r>
              <w:t>-</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Upper Coastal</w:t>
            </w:r>
          </w:p>
        </w:tc>
        <w:tc>
          <w:tcPr>
            <w:tcW w:w="1446" w:type="dxa"/>
            <w:vAlign w:val="center"/>
          </w:tcPr>
          <w:p w:rsidR="00485094" w:rsidRPr="0043602E" w:rsidRDefault="00485094" w:rsidP="00394CAD">
            <w:pPr>
              <w:pStyle w:val="TableText"/>
              <w:jc w:val="center"/>
            </w:pPr>
            <w:r w:rsidRPr="0043602E">
              <w:t>SWFWMD</w:t>
            </w:r>
          </w:p>
        </w:tc>
        <w:tc>
          <w:tcPr>
            <w:tcW w:w="1374" w:type="dxa"/>
            <w:vAlign w:val="center"/>
          </w:tcPr>
          <w:p w:rsidR="00485094" w:rsidRPr="0043602E" w:rsidRDefault="00485094" w:rsidP="00394CAD">
            <w:pPr>
              <w:pStyle w:val="TableText"/>
              <w:jc w:val="center"/>
            </w:pPr>
            <w:r>
              <w:t>149.00</w:t>
            </w:r>
          </w:p>
        </w:tc>
        <w:tc>
          <w:tcPr>
            <w:tcW w:w="1350" w:type="dxa"/>
            <w:vAlign w:val="center"/>
          </w:tcPr>
          <w:p w:rsidR="00485094" w:rsidRPr="0043602E" w:rsidRDefault="00485094" w:rsidP="00394CAD">
            <w:pPr>
              <w:pStyle w:val="TableText"/>
              <w:jc w:val="center"/>
            </w:pPr>
            <w:r>
              <w:t>47.62</w:t>
            </w:r>
          </w:p>
        </w:tc>
        <w:tc>
          <w:tcPr>
            <w:tcW w:w="1350" w:type="dxa"/>
            <w:vAlign w:val="center"/>
          </w:tcPr>
          <w:p w:rsidR="00485094" w:rsidRDefault="00485094" w:rsidP="00394CAD">
            <w:pPr>
              <w:pStyle w:val="TableText"/>
              <w:jc w:val="center"/>
            </w:pPr>
            <w:r>
              <w:t>-</w:t>
            </w:r>
          </w:p>
        </w:tc>
        <w:tc>
          <w:tcPr>
            <w:tcW w:w="1350" w:type="dxa"/>
            <w:vAlign w:val="center"/>
          </w:tcPr>
          <w:p w:rsidR="00485094" w:rsidRDefault="00485094" w:rsidP="00394CAD">
            <w:pPr>
              <w:pStyle w:val="TableText"/>
              <w:jc w:val="center"/>
            </w:pPr>
            <w:r>
              <w:t>-</w:t>
            </w:r>
          </w:p>
        </w:tc>
      </w:tr>
      <w:tr w:rsidR="00485094" w:rsidRPr="00146EF5" w:rsidTr="00394CAD">
        <w:trPr>
          <w:trHeight w:val="288"/>
          <w:jc w:val="center"/>
        </w:trPr>
        <w:tc>
          <w:tcPr>
            <w:tcW w:w="2268" w:type="dxa"/>
            <w:shd w:val="clear" w:color="auto" w:fill="FFFFCC"/>
            <w:vAlign w:val="center"/>
          </w:tcPr>
          <w:p w:rsidR="00485094" w:rsidRPr="00146EF5" w:rsidRDefault="00485094" w:rsidP="00394CAD">
            <w:pPr>
              <w:pStyle w:val="TableText"/>
              <w:jc w:val="center"/>
              <w:rPr>
                <w:szCs w:val="18"/>
              </w:rPr>
            </w:pPr>
            <w:r w:rsidRPr="00146EF5">
              <w:rPr>
                <w:szCs w:val="18"/>
              </w:rPr>
              <w:t>Wetlandsbank</w:t>
            </w:r>
          </w:p>
        </w:tc>
        <w:tc>
          <w:tcPr>
            <w:tcW w:w="1446" w:type="dxa"/>
            <w:vAlign w:val="center"/>
          </w:tcPr>
          <w:p w:rsidR="00485094" w:rsidRPr="00146EF5" w:rsidRDefault="00485094" w:rsidP="00394CAD">
            <w:pPr>
              <w:pStyle w:val="TableText"/>
              <w:jc w:val="center"/>
              <w:rPr>
                <w:szCs w:val="18"/>
              </w:rPr>
            </w:pPr>
            <w:r w:rsidRPr="00146EF5">
              <w:rPr>
                <w:szCs w:val="18"/>
              </w:rPr>
              <w:t>SFWMD</w:t>
            </w:r>
          </w:p>
        </w:tc>
        <w:tc>
          <w:tcPr>
            <w:tcW w:w="1374" w:type="dxa"/>
            <w:vAlign w:val="center"/>
          </w:tcPr>
          <w:p w:rsidR="00485094" w:rsidRPr="00146EF5" w:rsidRDefault="00485094" w:rsidP="00394CAD">
            <w:pPr>
              <w:pStyle w:val="TableText"/>
              <w:jc w:val="center"/>
              <w:rPr>
                <w:szCs w:val="18"/>
              </w:rPr>
            </w:pPr>
            <w:r w:rsidRPr="00146EF5">
              <w:rPr>
                <w:rFonts w:cs="Arial"/>
                <w:szCs w:val="18"/>
              </w:rPr>
              <w:t>420.00</w:t>
            </w:r>
          </w:p>
        </w:tc>
        <w:tc>
          <w:tcPr>
            <w:tcW w:w="1350" w:type="dxa"/>
            <w:vAlign w:val="center"/>
          </w:tcPr>
          <w:p w:rsidR="00485094" w:rsidRPr="00146EF5" w:rsidRDefault="00485094" w:rsidP="00394CAD">
            <w:pPr>
              <w:pStyle w:val="TableText"/>
              <w:jc w:val="center"/>
              <w:rPr>
                <w:szCs w:val="18"/>
              </w:rPr>
            </w:pPr>
            <w:r w:rsidRPr="00146EF5">
              <w:rPr>
                <w:rFonts w:cs="Arial"/>
                <w:szCs w:val="18"/>
              </w:rPr>
              <w:t>370.00</w:t>
            </w:r>
          </w:p>
        </w:tc>
        <w:tc>
          <w:tcPr>
            <w:tcW w:w="1350" w:type="dxa"/>
            <w:vAlign w:val="center"/>
          </w:tcPr>
          <w:p w:rsidR="00485094" w:rsidRPr="00146EF5" w:rsidRDefault="00485094" w:rsidP="00394CAD">
            <w:pPr>
              <w:pStyle w:val="TableText"/>
              <w:jc w:val="center"/>
              <w:rPr>
                <w:szCs w:val="18"/>
              </w:rPr>
            </w:pPr>
            <w:r w:rsidRPr="00146EF5">
              <w:rPr>
                <w:rFonts w:cs="Arial"/>
                <w:szCs w:val="18"/>
              </w:rPr>
              <w:t>367.37</w:t>
            </w:r>
          </w:p>
        </w:tc>
        <w:tc>
          <w:tcPr>
            <w:tcW w:w="1350" w:type="dxa"/>
            <w:vAlign w:val="center"/>
          </w:tcPr>
          <w:p w:rsidR="00485094" w:rsidRPr="00146EF5" w:rsidRDefault="00485094" w:rsidP="00394CAD">
            <w:pPr>
              <w:pStyle w:val="TableText"/>
              <w:jc w:val="center"/>
              <w:rPr>
                <w:szCs w:val="18"/>
              </w:rPr>
            </w:pPr>
            <w:r w:rsidRPr="00146EF5">
              <w:rPr>
                <w:rFonts w:cs="Arial"/>
                <w:szCs w:val="18"/>
              </w:rPr>
              <w:t>367.37</w:t>
            </w:r>
          </w:p>
        </w:tc>
      </w:tr>
      <w:tr w:rsidR="00485094" w:rsidRPr="00146EF5" w:rsidTr="00394CAD">
        <w:trPr>
          <w:trHeight w:val="288"/>
          <w:jc w:val="center"/>
        </w:trPr>
        <w:tc>
          <w:tcPr>
            <w:tcW w:w="2268" w:type="dxa"/>
            <w:shd w:val="clear" w:color="auto" w:fill="FFFFCC"/>
            <w:vAlign w:val="center"/>
          </w:tcPr>
          <w:p w:rsidR="00485094" w:rsidRPr="00146EF5" w:rsidRDefault="00485094" w:rsidP="00394CAD">
            <w:pPr>
              <w:pStyle w:val="TableText"/>
              <w:jc w:val="center"/>
              <w:rPr>
                <w:szCs w:val="18"/>
              </w:rPr>
            </w:pPr>
            <w:r w:rsidRPr="00146EF5">
              <w:rPr>
                <w:szCs w:val="18"/>
              </w:rPr>
              <w:t>Split Oak</w:t>
            </w:r>
          </w:p>
        </w:tc>
        <w:tc>
          <w:tcPr>
            <w:tcW w:w="1446" w:type="dxa"/>
            <w:vAlign w:val="center"/>
          </w:tcPr>
          <w:p w:rsidR="00485094" w:rsidRPr="00146EF5" w:rsidRDefault="00485094" w:rsidP="00394CAD">
            <w:pPr>
              <w:pStyle w:val="TableText"/>
              <w:jc w:val="center"/>
              <w:rPr>
                <w:szCs w:val="18"/>
              </w:rPr>
            </w:pPr>
            <w:r w:rsidRPr="00146EF5">
              <w:rPr>
                <w:szCs w:val="18"/>
              </w:rPr>
              <w:t>SFWMD</w:t>
            </w:r>
          </w:p>
        </w:tc>
        <w:tc>
          <w:tcPr>
            <w:tcW w:w="1374" w:type="dxa"/>
            <w:vAlign w:val="center"/>
          </w:tcPr>
          <w:p w:rsidR="00485094" w:rsidRPr="00146EF5" w:rsidRDefault="00485094" w:rsidP="00394CAD">
            <w:pPr>
              <w:pStyle w:val="TableText"/>
              <w:jc w:val="center"/>
              <w:rPr>
                <w:szCs w:val="18"/>
              </w:rPr>
            </w:pPr>
            <w:r w:rsidRPr="00146EF5">
              <w:rPr>
                <w:rFonts w:cs="Arial"/>
                <w:szCs w:val="18"/>
              </w:rPr>
              <w:t>1,049.00</w:t>
            </w:r>
          </w:p>
        </w:tc>
        <w:tc>
          <w:tcPr>
            <w:tcW w:w="1350" w:type="dxa"/>
            <w:vAlign w:val="center"/>
          </w:tcPr>
          <w:p w:rsidR="00485094" w:rsidRPr="00146EF5" w:rsidRDefault="00485094" w:rsidP="00394CAD">
            <w:pPr>
              <w:pStyle w:val="TableText"/>
              <w:jc w:val="center"/>
              <w:rPr>
                <w:szCs w:val="18"/>
              </w:rPr>
            </w:pPr>
            <w:r w:rsidRPr="00146EF5">
              <w:rPr>
                <w:rFonts w:cs="Arial"/>
                <w:szCs w:val="18"/>
              </w:rPr>
              <w:t>206.50</w:t>
            </w:r>
          </w:p>
        </w:tc>
        <w:tc>
          <w:tcPr>
            <w:tcW w:w="1350" w:type="dxa"/>
            <w:vAlign w:val="center"/>
          </w:tcPr>
          <w:p w:rsidR="00485094" w:rsidRPr="00146EF5" w:rsidRDefault="00485094" w:rsidP="00394CAD">
            <w:pPr>
              <w:pStyle w:val="TableText"/>
              <w:jc w:val="center"/>
              <w:rPr>
                <w:szCs w:val="18"/>
              </w:rPr>
            </w:pPr>
            <w:r w:rsidRPr="00146EF5">
              <w:rPr>
                <w:rFonts w:cs="Arial"/>
                <w:szCs w:val="18"/>
              </w:rPr>
              <w:t>88.80</w:t>
            </w:r>
          </w:p>
        </w:tc>
        <w:tc>
          <w:tcPr>
            <w:tcW w:w="1350" w:type="dxa"/>
            <w:vAlign w:val="center"/>
          </w:tcPr>
          <w:p w:rsidR="00485094" w:rsidRPr="00146EF5" w:rsidRDefault="00485094" w:rsidP="00394CAD">
            <w:pPr>
              <w:pStyle w:val="TableText"/>
              <w:jc w:val="center"/>
              <w:rPr>
                <w:szCs w:val="18"/>
              </w:rPr>
            </w:pPr>
            <w:r w:rsidRPr="00146EF5">
              <w:rPr>
                <w:rFonts w:cs="Arial"/>
                <w:szCs w:val="18"/>
              </w:rPr>
              <w:t>88.80</w:t>
            </w:r>
          </w:p>
        </w:tc>
      </w:tr>
    </w:tbl>
    <w:p w:rsidR="00485094" w:rsidRDefault="00485094" w:rsidP="00B215C8">
      <w:pPr>
        <w:pStyle w:val="TableText"/>
        <w:rPr>
          <w:b/>
        </w:rPr>
      </w:pPr>
    </w:p>
    <w:p w:rsidR="00485094" w:rsidRDefault="00485094" w:rsidP="00B215C8">
      <w:pPr>
        <w:pStyle w:val="TableText"/>
        <w:rPr>
          <w:b/>
        </w:rPr>
      </w:pPr>
    </w:p>
    <w:p w:rsidR="00485094" w:rsidRDefault="00485094" w:rsidP="00B215C8">
      <w:pPr>
        <w:pStyle w:val="Heading5"/>
        <w:rPr>
          <w:snapToGrid w:val="0"/>
        </w:rPr>
      </w:pPr>
      <w:r w:rsidRPr="00313FDB">
        <w:rPr>
          <w:snapToGrid w:val="0"/>
        </w:rPr>
        <w:t>Integrity of Wetlands Resources</w:t>
      </w:r>
    </w:p>
    <w:p w:rsidR="00485094" w:rsidRPr="005E258C" w:rsidRDefault="00485094" w:rsidP="00B215C8">
      <w:pPr>
        <w:pStyle w:val="Bodytext"/>
        <w:rPr>
          <w:snapToGrid w:val="0"/>
        </w:rPr>
      </w:pPr>
      <w:r w:rsidRPr="005E258C">
        <w:rPr>
          <w:snapToGrid w:val="0"/>
          <w:szCs w:val="22"/>
        </w:rPr>
        <w:t xml:space="preserve">The acreage of wetlands that have been authorized to be dredged, filled, created, improved, and preserved as a result of ERP and wetland resource permits issued by FDEP and the water management districts from 2004 to 2009 is shown in </w:t>
      </w:r>
      <w:r w:rsidRPr="00EB0FEB">
        <w:rPr>
          <w:b/>
          <w:i/>
          <w:snapToGrid w:val="0"/>
          <w:szCs w:val="22"/>
        </w:rPr>
        <w:t xml:space="preserve">Table </w:t>
      </w:r>
      <w:r>
        <w:rPr>
          <w:b/>
          <w:i/>
          <w:snapToGrid w:val="0"/>
          <w:szCs w:val="22"/>
        </w:rPr>
        <w:t>11</w:t>
      </w:r>
      <w:r w:rsidRPr="00EB0FEB">
        <w:rPr>
          <w:b/>
          <w:i/>
          <w:snapToGrid w:val="0"/>
          <w:szCs w:val="22"/>
        </w:rPr>
        <w:t>.</w:t>
      </w:r>
      <w:r w:rsidR="00EB08C5">
        <w:rPr>
          <w:b/>
          <w:i/>
          <w:snapToGrid w:val="0"/>
          <w:szCs w:val="22"/>
        </w:rPr>
        <w:t>6</w:t>
      </w:r>
      <w:r>
        <w:rPr>
          <w:snapToGrid w:val="0"/>
          <w:szCs w:val="22"/>
        </w:rPr>
        <w:t>.</w:t>
      </w:r>
    </w:p>
    <w:p w:rsidR="00485094" w:rsidRDefault="00485094" w:rsidP="00B215C8">
      <w:pPr>
        <w:pStyle w:val="Bodytext"/>
        <w:rPr>
          <w:snapToGrid w:val="0"/>
        </w:rPr>
      </w:pPr>
    </w:p>
    <w:p w:rsidR="00485094" w:rsidRDefault="00485094" w:rsidP="00B215C8">
      <w:pPr>
        <w:pStyle w:val="Tableheading"/>
        <w:rPr>
          <w:snapToGrid w:val="0"/>
        </w:rPr>
      </w:pPr>
      <w:bookmarkStart w:id="766" w:name="_Toc271280137"/>
      <w:r>
        <w:rPr>
          <w:snapToGrid w:val="0"/>
        </w:rPr>
        <w:t>Table 11.</w:t>
      </w:r>
      <w:r w:rsidR="00EB08C5">
        <w:rPr>
          <w:snapToGrid w:val="0"/>
        </w:rPr>
        <w:t>6</w:t>
      </w:r>
      <w:r>
        <w:rPr>
          <w:snapToGrid w:val="0"/>
        </w:rPr>
        <w:t>.  Acreage of Affected Wetlands Regulated by FDEP and the Water Management Districts (2004–09)</w:t>
      </w:r>
      <w:bookmarkEnd w:id="766"/>
    </w:p>
    <w:p w:rsidR="00485094" w:rsidRDefault="00550C22" w:rsidP="00B215C8">
      <w:pPr>
        <w:pStyle w:val="TabledescriptionBF"/>
        <w:rPr>
          <w:snapToGrid w:val="0"/>
        </w:rPr>
      </w:pPr>
      <w:r>
        <w:rPr>
          <w:snapToGrid w:val="0"/>
        </w:rPr>
        <w:t xml:space="preserve">This is a five-column table.  </w:t>
      </w:r>
      <w:r w:rsidR="00485094">
        <w:rPr>
          <w:snapToGrid w:val="0"/>
        </w:rPr>
        <w:t>Column 1 lists the agency, Column 2 lists the wetlands acreage permanently lost, Column 3 lists the acreage created, Column 4 lists the acreage preserved, and Column 5 lists the acreage improved.</w:t>
      </w:r>
    </w:p>
    <w:p w:rsidR="00485094" w:rsidRDefault="00485094" w:rsidP="00B215C8">
      <w:pPr>
        <w:pStyle w:val="Bodytextreduced"/>
        <w:rPr>
          <w:snapToGrid w:val="0"/>
        </w:rPr>
      </w:pPr>
    </w:p>
    <w:p w:rsidR="00485094" w:rsidRPr="003421EC" w:rsidRDefault="00485094" w:rsidP="00B215C8">
      <w:pPr>
        <w:pStyle w:val="TableText"/>
        <w:rPr>
          <w:snapToGrid w:val="0"/>
          <w:sz w:val="16"/>
          <w:szCs w:val="16"/>
        </w:rPr>
      </w:pPr>
      <w:r w:rsidRPr="003421EC">
        <w:rPr>
          <w:snapToGrid w:val="0"/>
          <w:sz w:val="16"/>
          <w:szCs w:val="16"/>
          <w:vertAlign w:val="superscript"/>
        </w:rPr>
        <w:t>1</w:t>
      </w:r>
      <w:r w:rsidRPr="003421EC">
        <w:rPr>
          <w:snapToGrid w:val="0"/>
          <w:sz w:val="16"/>
          <w:szCs w:val="16"/>
        </w:rPr>
        <w:t xml:space="preserve"> </w:t>
      </w:r>
      <w:r>
        <w:rPr>
          <w:snapToGrid w:val="0"/>
          <w:sz w:val="16"/>
          <w:szCs w:val="16"/>
        </w:rPr>
        <w:t>FDEP</w:t>
      </w:r>
      <w:r w:rsidRPr="003421EC">
        <w:rPr>
          <w:snapToGrid w:val="0"/>
          <w:sz w:val="16"/>
          <w:szCs w:val="16"/>
        </w:rPr>
        <w:t xml:space="preserve"> data coverage is from </w:t>
      </w:r>
      <w:r>
        <w:rPr>
          <w:snapToGrid w:val="0"/>
          <w:sz w:val="16"/>
          <w:szCs w:val="16"/>
        </w:rPr>
        <w:t>October 2004</w:t>
      </w:r>
      <w:r w:rsidRPr="003421EC">
        <w:rPr>
          <w:snapToGrid w:val="0"/>
          <w:sz w:val="16"/>
          <w:szCs w:val="16"/>
        </w:rPr>
        <w:t xml:space="preserve"> to </w:t>
      </w:r>
      <w:r>
        <w:rPr>
          <w:snapToGrid w:val="0"/>
          <w:sz w:val="16"/>
          <w:szCs w:val="16"/>
        </w:rPr>
        <w:t>September 2009</w:t>
      </w:r>
      <w:r w:rsidRPr="003421EC">
        <w:rPr>
          <w:snapToGrid w:val="0"/>
          <w:sz w:val="16"/>
          <w:szCs w:val="16"/>
        </w:rPr>
        <w:t xml:space="preserve">.  </w:t>
      </w:r>
    </w:p>
    <w:p w:rsidR="00485094" w:rsidRPr="003421EC" w:rsidRDefault="00485094" w:rsidP="00B215C8">
      <w:pPr>
        <w:pStyle w:val="TableText"/>
        <w:rPr>
          <w:snapToGrid w:val="0"/>
          <w:sz w:val="16"/>
          <w:szCs w:val="16"/>
        </w:rPr>
      </w:pPr>
      <w:r w:rsidRPr="003421EC">
        <w:rPr>
          <w:snapToGrid w:val="0"/>
          <w:sz w:val="16"/>
          <w:szCs w:val="16"/>
          <w:vertAlign w:val="superscript"/>
        </w:rPr>
        <w:t>2</w:t>
      </w:r>
      <w:r w:rsidRPr="003421EC">
        <w:rPr>
          <w:snapToGrid w:val="0"/>
          <w:sz w:val="16"/>
          <w:szCs w:val="16"/>
        </w:rPr>
        <w:t xml:space="preserve"> Data do not represent impacts from nonregulated or unpermitted activities</w:t>
      </w:r>
      <w:r>
        <w:rPr>
          <w:snapToGrid w:val="0"/>
          <w:sz w:val="16"/>
          <w:szCs w:val="16"/>
        </w:rPr>
        <w:t>.</w:t>
      </w:r>
    </w:p>
    <w:p w:rsidR="00485094" w:rsidRPr="003421EC" w:rsidRDefault="00485094" w:rsidP="00B215C8">
      <w:pPr>
        <w:pStyle w:val="TableText"/>
        <w:rPr>
          <w:snapToGrid w:val="0"/>
          <w:sz w:val="16"/>
          <w:szCs w:val="16"/>
        </w:rPr>
      </w:pPr>
      <w:r w:rsidRPr="003421EC">
        <w:rPr>
          <w:snapToGrid w:val="0"/>
          <w:sz w:val="16"/>
          <w:szCs w:val="16"/>
          <w:vertAlign w:val="superscript"/>
        </w:rPr>
        <w:t>3</w:t>
      </w:r>
      <w:r w:rsidRPr="003421EC">
        <w:rPr>
          <w:snapToGrid w:val="0"/>
          <w:sz w:val="16"/>
          <w:szCs w:val="16"/>
        </w:rPr>
        <w:t xml:space="preserve"> Wetlands that have been destroyed</w:t>
      </w:r>
      <w:r>
        <w:rPr>
          <w:snapToGrid w:val="0"/>
          <w:sz w:val="16"/>
          <w:szCs w:val="16"/>
        </w:rPr>
        <w:t>.</w:t>
      </w:r>
    </w:p>
    <w:p w:rsidR="00485094" w:rsidRPr="003421EC" w:rsidRDefault="00485094" w:rsidP="00B215C8">
      <w:pPr>
        <w:pStyle w:val="TableText"/>
        <w:rPr>
          <w:snapToGrid w:val="0"/>
          <w:sz w:val="16"/>
          <w:szCs w:val="16"/>
        </w:rPr>
      </w:pPr>
      <w:r w:rsidRPr="003421EC">
        <w:rPr>
          <w:snapToGrid w:val="0"/>
          <w:sz w:val="16"/>
          <w:szCs w:val="16"/>
          <w:vertAlign w:val="superscript"/>
        </w:rPr>
        <w:t>4</w:t>
      </w:r>
      <w:r w:rsidRPr="003421EC">
        <w:rPr>
          <w:snapToGrid w:val="0"/>
          <w:sz w:val="16"/>
          <w:szCs w:val="16"/>
        </w:rPr>
        <w:t xml:space="preserve"> Wetlands created where non</w:t>
      </w:r>
      <w:r>
        <w:rPr>
          <w:snapToGrid w:val="0"/>
          <w:sz w:val="16"/>
          <w:szCs w:val="16"/>
        </w:rPr>
        <w:t>e</w:t>
      </w:r>
      <w:r w:rsidRPr="003421EC">
        <w:rPr>
          <w:snapToGrid w:val="0"/>
          <w:sz w:val="16"/>
          <w:szCs w:val="16"/>
        </w:rPr>
        <w:t xml:space="preserve"> existed</w:t>
      </w:r>
      <w:r>
        <w:rPr>
          <w:snapToGrid w:val="0"/>
          <w:sz w:val="16"/>
          <w:szCs w:val="16"/>
        </w:rPr>
        <w:t>.</w:t>
      </w:r>
    </w:p>
    <w:p w:rsidR="00485094" w:rsidRPr="003421EC" w:rsidRDefault="00485094" w:rsidP="00B215C8">
      <w:pPr>
        <w:pStyle w:val="TableText"/>
        <w:rPr>
          <w:snapToGrid w:val="0"/>
          <w:sz w:val="16"/>
          <w:szCs w:val="16"/>
        </w:rPr>
      </w:pPr>
      <w:r w:rsidRPr="003421EC">
        <w:rPr>
          <w:snapToGrid w:val="0"/>
          <w:sz w:val="16"/>
          <w:szCs w:val="16"/>
          <w:vertAlign w:val="superscript"/>
        </w:rPr>
        <w:t>5</w:t>
      </w:r>
      <w:r w:rsidRPr="003421EC">
        <w:rPr>
          <w:snapToGrid w:val="0"/>
          <w:sz w:val="16"/>
          <w:szCs w:val="16"/>
        </w:rPr>
        <w:t xml:space="preserve"> Wetlands having additional protective devices placed on them (i.e.</w:t>
      </w:r>
      <w:r>
        <w:rPr>
          <w:snapToGrid w:val="0"/>
          <w:sz w:val="16"/>
          <w:szCs w:val="16"/>
        </w:rPr>
        <w:t>,</w:t>
      </w:r>
      <w:r w:rsidRPr="003421EC">
        <w:rPr>
          <w:snapToGrid w:val="0"/>
          <w:sz w:val="16"/>
          <w:szCs w:val="16"/>
        </w:rPr>
        <w:t xml:space="preserve"> conservation easements)</w:t>
      </w:r>
      <w:r>
        <w:rPr>
          <w:snapToGrid w:val="0"/>
          <w:sz w:val="16"/>
          <w:szCs w:val="16"/>
        </w:rPr>
        <w:t>.</w:t>
      </w:r>
    </w:p>
    <w:p w:rsidR="00485094" w:rsidRDefault="00485094" w:rsidP="00B215C8">
      <w:pPr>
        <w:pStyle w:val="TableText"/>
        <w:rPr>
          <w:snapToGrid w:val="0"/>
          <w:sz w:val="16"/>
          <w:szCs w:val="16"/>
        </w:rPr>
      </w:pPr>
      <w:r w:rsidRPr="003421EC">
        <w:rPr>
          <w:snapToGrid w:val="0"/>
          <w:sz w:val="16"/>
          <w:szCs w:val="16"/>
          <w:vertAlign w:val="superscript"/>
        </w:rPr>
        <w:t>6</w:t>
      </w:r>
      <w:r w:rsidRPr="003421EC">
        <w:rPr>
          <w:snapToGrid w:val="0"/>
          <w:sz w:val="16"/>
          <w:szCs w:val="16"/>
        </w:rPr>
        <w:t xml:space="preserve"> Poor or lesser quality jurisdictional wetlands that have been enhanced through various activities (i.e.</w:t>
      </w:r>
      <w:r>
        <w:rPr>
          <w:snapToGrid w:val="0"/>
          <w:sz w:val="16"/>
          <w:szCs w:val="16"/>
        </w:rPr>
        <w:t>,</w:t>
      </w:r>
      <w:r w:rsidRPr="003421EC">
        <w:rPr>
          <w:snapToGrid w:val="0"/>
          <w:sz w:val="16"/>
          <w:szCs w:val="16"/>
        </w:rPr>
        <w:t xml:space="preserve"> improved hydrology; </w:t>
      </w:r>
    </w:p>
    <w:p w:rsidR="00485094" w:rsidRDefault="00485094" w:rsidP="00B215C8">
      <w:pPr>
        <w:pStyle w:val="TableText"/>
        <w:ind w:left="90" w:hanging="90"/>
        <w:rPr>
          <w:snapToGrid w:val="0"/>
        </w:rPr>
      </w:pPr>
      <w:r>
        <w:rPr>
          <w:snapToGrid w:val="0"/>
          <w:sz w:val="16"/>
          <w:szCs w:val="16"/>
        </w:rPr>
        <w:tab/>
      </w:r>
      <w:r w:rsidRPr="003421EC">
        <w:rPr>
          <w:snapToGrid w:val="0"/>
          <w:sz w:val="16"/>
          <w:szCs w:val="16"/>
        </w:rPr>
        <w:t>removal of exotics, re-establishment of native flora)</w:t>
      </w:r>
      <w:r>
        <w:rPr>
          <w:snapToGrid w:val="0"/>
          <w:sz w:val="16"/>
          <w:szCs w:val="16"/>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11"/>
        <w:gridCol w:w="1876"/>
        <w:gridCol w:w="1858"/>
        <w:gridCol w:w="1867"/>
        <w:gridCol w:w="1864"/>
      </w:tblGrid>
      <w:tr w:rsidR="00485094" w:rsidRPr="00562005" w:rsidTr="00550C22">
        <w:trPr>
          <w:trHeight w:val="288"/>
          <w:jc w:val="center"/>
        </w:trPr>
        <w:tc>
          <w:tcPr>
            <w:tcW w:w="2167" w:type="dxa"/>
            <w:tcBorders>
              <w:bottom w:val="double" w:sz="4" w:space="0" w:color="auto"/>
            </w:tcBorders>
            <w:shd w:val="clear" w:color="auto" w:fill="BDFFFF"/>
            <w:vAlign w:val="bottom"/>
          </w:tcPr>
          <w:p w:rsidR="00485094" w:rsidRPr="00562005" w:rsidRDefault="00485094" w:rsidP="00550C22">
            <w:pPr>
              <w:spacing w:before="100" w:beforeAutospacing="1" w:after="100" w:afterAutospacing="1"/>
              <w:jc w:val="center"/>
              <w:rPr>
                <w:rStyle w:val="msoins0"/>
                <w:rFonts w:ascii="Arial" w:hAnsi="Arial" w:cs="Arial"/>
                <w:b/>
                <w:i/>
                <w:sz w:val="18"/>
                <w:szCs w:val="18"/>
              </w:rPr>
            </w:pPr>
            <w:r w:rsidRPr="00562005">
              <w:rPr>
                <w:rStyle w:val="msoins0"/>
                <w:rFonts w:ascii="Arial" w:hAnsi="Arial" w:cs="Arial"/>
                <w:b/>
                <w:i/>
                <w:sz w:val="18"/>
                <w:szCs w:val="18"/>
              </w:rPr>
              <w:t>Agency</w:t>
            </w:r>
          </w:p>
        </w:tc>
        <w:tc>
          <w:tcPr>
            <w:tcW w:w="1915" w:type="dxa"/>
            <w:tcBorders>
              <w:bottom w:val="double" w:sz="4" w:space="0" w:color="auto"/>
            </w:tcBorders>
            <w:shd w:val="clear" w:color="auto" w:fill="BDFFFF"/>
            <w:vAlign w:val="bottom"/>
          </w:tcPr>
          <w:p w:rsidR="0064329B" w:rsidRDefault="00485094">
            <w:pPr>
              <w:spacing w:before="100" w:beforeAutospacing="1" w:after="100" w:afterAutospacing="1"/>
              <w:jc w:val="center"/>
              <w:rPr>
                <w:rStyle w:val="msoins0"/>
                <w:rFonts w:ascii="Arial" w:hAnsi="Arial" w:cs="Arial"/>
                <w:sz w:val="18"/>
                <w:szCs w:val="18"/>
              </w:rPr>
            </w:pPr>
            <w:r w:rsidRPr="00562005">
              <w:rPr>
                <w:rStyle w:val="msoins0"/>
                <w:rFonts w:ascii="Arial" w:hAnsi="Arial" w:cs="Arial"/>
                <w:b/>
                <w:i/>
                <w:sz w:val="18"/>
                <w:szCs w:val="18"/>
              </w:rPr>
              <w:t>Wetlands Acreage Permanently Lost</w:t>
            </w:r>
            <w:r w:rsidRPr="00A67E6F">
              <w:rPr>
                <w:rStyle w:val="msoins0"/>
                <w:rFonts w:ascii="Arial" w:hAnsi="Arial" w:cs="Arial"/>
                <w:b/>
                <w:i/>
                <w:sz w:val="18"/>
                <w:szCs w:val="18"/>
                <w:vertAlign w:val="superscript"/>
              </w:rPr>
              <w:t>3</w:t>
            </w:r>
          </w:p>
        </w:tc>
        <w:tc>
          <w:tcPr>
            <w:tcW w:w="1915" w:type="dxa"/>
            <w:tcBorders>
              <w:bottom w:val="double" w:sz="4" w:space="0" w:color="auto"/>
            </w:tcBorders>
            <w:shd w:val="clear" w:color="auto" w:fill="BDFFFF"/>
            <w:vAlign w:val="bottom"/>
          </w:tcPr>
          <w:p w:rsidR="0064329B" w:rsidRDefault="00485094">
            <w:pPr>
              <w:spacing w:before="100" w:beforeAutospacing="1" w:after="100" w:afterAutospacing="1"/>
              <w:jc w:val="center"/>
              <w:rPr>
                <w:rStyle w:val="msoins0"/>
                <w:rFonts w:ascii="Arial" w:hAnsi="Arial" w:cs="Arial"/>
                <w:sz w:val="18"/>
                <w:szCs w:val="18"/>
              </w:rPr>
            </w:pPr>
            <w:r w:rsidRPr="00562005">
              <w:rPr>
                <w:rStyle w:val="msoins0"/>
                <w:rFonts w:ascii="Arial" w:hAnsi="Arial" w:cs="Arial"/>
                <w:b/>
                <w:i/>
                <w:sz w:val="18"/>
                <w:szCs w:val="18"/>
              </w:rPr>
              <w:t>Wetlands Acreage Created</w:t>
            </w:r>
            <w:r w:rsidRPr="00A67E6F">
              <w:rPr>
                <w:rStyle w:val="msoins0"/>
                <w:rFonts w:ascii="Arial" w:hAnsi="Arial" w:cs="Arial"/>
                <w:b/>
                <w:i/>
                <w:sz w:val="18"/>
                <w:szCs w:val="18"/>
                <w:vertAlign w:val="superscript"/>
              </w:rPr>
              <w:t>4</w:t>
            </w:r>
          </w:p>
        </w:tc>
        <w:tc>
          <w:tcPr>
            <w:tcW w:w="1915" w:type="dxa"/>
            <w:tcBorders>
              <w:bottom w:val="double" w:sz="4" w:space="0" w:color="auto"/>
            </w:tcBorders>
            <w:shd w:val="clear" w:color="auto" w:fill="BDFFFF"/>
            <w:vAlign w:val="bottom"/>
          </w:tcPr>
          <w:p w:rsidR="0064329B" w:rsidRDefault="00485094">
            <w:pPr>
              <w:spacing w:before="100" w:beforeAutospacing="1" w:after="100" w:afterAutospacing="1"/>
              <w:jc w:val="center"/>
              <w:rPr>
                <w:rStyle w:val="msoins0"/>
                <w:rFonts w:ascii="Arial" w:hAnsi="Arial" w:cs="Arial"/>
                <w:sz w:val="18"/>
                <w:szCs w:val="18"/>
              </w:rPr>
            </w:pPr>
            <w:r w:rsidRPr="00562005">
              <w:rPr>
                <w:rStyle w:val="msoins0"/>
                <w:rFonts w:ascii="Arial" w:hAnsi="Arial" w:cs="Arial"/>
                <w:b/>
                <w:i/>
                <w:sz w:val="18"/>
                <w:szCs w:val="18"/>
              </w:rPr>
              <w:t>Wetlands Acreage Preserved</w:t>
            </w:r>
            <w:r w:rsidRPr="00A67E6F">
              <w:rPr>
                <w:rStyle w:val="msoins0"/>
                <w:rFonts w:ascii="Arial" w:hAnsi="Arial" w:cs="Arial"/>
                <w:b/>
                <w:i/>
                <w:sz w:val="18"/>
                <w:szCs w:val="18"/>
                <w:vertAlign w:val="superscript"/>
              </w:rPr>
              <w:t>5</w:t>
            </w:r>
          </w:p>
        </w:tc>
        <w:tc>
          <w:tcPr>
            <w:tcW w:w="1916" w:type="dxa"/>
            <w:tcBorders>
              <w:bottom w:val="double" w:sz="4" w:space="0" w:color="auto"/>
            </w:tcBorders>
            <w:shd w:val="clear" w:color="auto" w:fill="BDFFFF"/>
            <w:vAlign w:val="bottom"/>
          </w:tcPr>
          <w:p w:rsidR="0064329B" w:rsidRDefault="00485094">
            <w:pPr>
              <w:spacing w:before="100" w:beforeAutospacing="1" w:after="100" w:afterAutospacing="1"/>
              <w:jc w:val="center"/>
              <w:rPr>
                <w:rStyle w:val="msoins0"/>
                <w:rFonts w:ascii="Arial" w:hAnsi="Arial" w:cs="Arial"/>
                <w:sz w:val="18"/>
                <w:szCs w:val="18"/>
              </w:rPr>
            </w:pPr>
            <w:r w:rsidRPr="00562005">
              <w:rPr>
                <w:rStyle w:val="msoins0"/>
                <w:rFonts w:ascii="Arial" w:hAnsi="Arial" w:cs="Arial"/>
                <w:b/>
                <w:i/>
                <w:sz w:val="18"/>
                <w:szCs w:val="18"/>
              </w:rPr>
              <w:t>Wetlands Acreage Improved</w:t>
            </w:r>
            <w:r w:rsidRPr="00A67E6F">
              <w:rPr>
                <w:rStyle w:val="msoins0"/>
                <w:rFonts w:ascii="Arial" w:hAnsi="Arial" w:cs="Arial"/>
                <w:b/>
                <w:i/>
                <w:sz w:val="18"/>
                <w:szCs w:val="18"/>
                <w:vertAlign w:val="superscript"/>
              </w:rPr>
              <w:t>6</w:t>
            </w:r>
          </w:p>
        </w:tc>
      </w:tr>
      <w:tr w:rsidR="00485094" w:rsidRPr="00562005" w:rsidTr="009C0237">
        <w:trPr>
          <w:trHeight w:val="288"/>
          <w:jc w:val="center"/>
        </w:trPr>
        <w:tc>
          <w:tcPr>
            <w:tcW w:w="2167" w:type="dxa"/>
            <w:tcBorders>
              <w:top w:val="double" w:sz="4" w:space="0" w:color="auto"/>
            </w:tcBorders>
            <w:shd w:val="clear" w:color="auto" w:fill="FFFFCC"/>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FDEP</w:t>
            </w:r>
            <w:r w:rsidRPr="00A67E6F">
              <w:rPr>
                <w:rStyle w:val="msoins0"/>
                <w:rFonts w:ascii="Arial" w:hAnsi="Arial" w:cs="Arial"/>
                <w:b/>
                <w:sz w:val="18"/>
                <w:szCs w:val="18"/>
                <w:vertAlign w:val="superscript"/>
              </w:rPr>
              <w:t>1</w:t>
            </w:r>
          </w:p>
        </w:tc>
        <w:tc>
          <w:tcPr>
            <w:tcW w:w="1915" w:type="dxa"/>
            <w:tcBorders>
              <w:top w:val="double" w:sz="4" w:space="0" w:color="auto"/>
            </w:tcBorders>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996.77</w:t>
            </w:r>
          </w:p>
        </w:tc>
        <w:tc>
          <w:tcPr>
            <w:tcW w:w="1915" w:type="dxa"/>
            <w:tcBorders>
              <w:top w:val="double" w:sz="4" w:space="0" w:color="auto"/>
            </w:tcBorders>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146.52</w:t>
            </w:r>
          </w:p>
        </w:tc>
        <w:tc>
          <w:tcPr>
            <w:tcW w:w="1915" w:type="dxa"/>
            <w:tcBorders>
              <w:top w:val="double" w:sz="4" w:space="0" w:color="auto"/>
            </w:tcBorders>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2,409.60</w:t>
            </w:r>
          </w:p>
        </w:tc>
        <w:tc>
          <w:tcPr>
            <w:tcW w:w="1916" w:type="dxa"/>
            <w:tcBorders>
              <w:top w:val="double" w:sz="4" w:space="0" w:color="auto"/>
            </w:tcBorders>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2,563.09</w:t>
            </w:r>
          </w:p>
        </w:tc>
      </w:tr>
      <w:tr w:rsidR="00485094" w:rsidRPr="00562005" w:rsidTr="009C0237">
        <w:trPr>
          <w:trHeight w:val="288"/>
          <w:jc w:val="center"/>
        </w:trPr>
        <w:tc>
          <w:tcPr>
            <w:tcW w:w="2167" w:type="dxa"/>
            <w:shd w:val="clear" w:color="auto" w:fill="FFFFCC"/>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Northwest Florida Water Management District</w:t>
            </w:r>
          </w:p>
        </w:tc>
        <w:tc>
          <w:tcPr>
            <w:tcW w:w="1915"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100.94</w:t>
            </w:r>
          </w:p>
        </w:tc>
        <w:tc>
          <w:tcPr>
            <w:tcW w:w="1915"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105.34</w:t>
            </w:r>
          </w:p>
        </w:tc>
        <w:tc>
          <w:tcPr>
            <w:tcW w:w="1915"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1,847.54</w:t>
            </w:r>
          </w:p>
        </w:tc>
        <w:tc>
          <w:tcPr>
            <w:tcW w:w="1916"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66.93</w:t>
            </w:r>
          </w:p>
        </w:tc>
      </w:tr>
      <w:tr w:rsidR="00485094" w:rsidRPr="00562005" w:rsidTr="009C0237">
        <w:trPr>
          <w:trHeight w:val="288"/>
          <w:jc w:val="center"/>
        </w:trPr>
        <w:tc>
          <w:tcPr>
            <w:tcW w:w="2167" w:type="dxa"/>
            <w:shd w:val="clear" w:color="auto" w:fill="FFFFCC"/>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Southwest Florida Water Management District</w:t>
            </w:r>
          </w:p>
        </w:tc>
        <w:tc>
          <w:tcPr>
            <w:tcW w:w="1915"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2,971.50</w:t>
            </w:r>
          </w:p>
        </w:tc>
        <w:tc>
          <w:tcPr>
            <w:tcW w:w="1915"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3,638.19</w:t>
            </w:r>
          </w:p>
        </w:tc>
        <w:tc>
          <w:tcPr>
            <w:tcW w:w="1915"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14,061.54</w:t>
            </w:r>
          </w:p>
        </w:tc>
        <w:tc>
          <w:tcPr>
            <w:tcW w:w="1916"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4,148.72</w:t>
            </w:r>
          </w:p>
        </w:tc>
      </w:tr>
      <w:tr w:rsidR="00485094" w:rsidRPr="00562005" w:rsidTr="009C0237">
        <w:trPr>
          <w:trHeight w:val="288"/>
          <w:jc w:val="center"/>
        </w:trPr>
        <w:tc>
          <w:tcPr>
            <w:tcW w:w="2167" w:type="dxa"/>
            <w:shd w:val="clear" w:color="auto" w:fill="FFFFCC"/>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St. Johns River Water Management District</w:t>
            </w:r>
          </w:p>
        </w:tc>
        <w:tc>
          <w:tcPr>
            <w:tcW w:w="1915"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8,305.69</w:t>
            </w:r>
          </w:p>
        </w:tc>
        <w:tc>
          <w:tcPr>
            <w:tcW w:w="1915"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762.01</w:t>
            </w:r>
          </w:p>
        </w:tc>
        <w:tc>
          <w:tcPr>
            <w:tcW w:w="1915"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48,593.66</w:t>
            </w:r>
          </w:p>
        </w:tc>
        <w:tc>
          <w:tcPr>
            <w:tcW w:w="1916"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6,317.77</w:t>
            </w:r>
          </w:p>
        </w:tc>
      </w:tr>
      <w:tr w:rsidR="00485094" w:rsidRPr="00562005" w:rsidTr="009C0237">
        <w:trPr>
          <w:trHeight w:val="288"/>
          <w:jc w:val="center"/>
        </w:trPr>
        <w:tc>
          <w:tcPr>
            <w:tcW w:w="2167" w:type="dxa"/>
            <w:shd w:val="clear" w:color="auto" w:fill="FFFFCC"/>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South Florida Water Management District</w:t>
            </w:r>
          </w:p>
        </w:tc>
        <w:tc>
          <w:tcPr>
            <w:tcW w:w="1915"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9,776.05</w:t>
            </w:r>
          </w:p>
        </w:tc>
        <w:tc>
          <w:tcPr>
            <w:tcW w:w="1915"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4,735.26</w:t>
            </w:r>
          </w:p>
        </w:tc>
        <w:tc>
          <w:tcPr>
            <w:tcW w:w="1915"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22,404.55</w:t>
            </w:r>
          </w:p>
        </w:tc>
        <w:tc>
          <w:tcPr>
            <w:tcW w:w="1916"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13,517.66</w:t>
            </w:r>
          </w:p>
        </w:tc>
      </w:tr>
      <w:tr w:rsidR="00485094" w:rsidRPr="00562005" w:rsidTr="009C0237">
        <w:trPr>
          <w:trHeight w:val="288"/>
          <w:jc w:val="center"/>
        </w:trPr>
        <w:tc>
          <w:tcPr>
            <w:tcW w:w="2167" w:type="dxa"/>
            <w:shd w:val="clear" w:color="auto" w:fill="FFFFCC"/>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Suwannee River Water Management District</w:t>
            </w:r>
          </w:p>
        </w:tc>
        <w:tc>
          <w:tcPr>
            <w:tcW w:w="1915"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36.71</w:t>
            </w:r>
          </w:p>
        </w:tc>
        <w:tc>
          <w:tcPr>
            <w:tcW w:w="1915"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25.26</w:t>
            </w:r>
          </w:p>
        </w:tc>
        <w:tc>
          <w:tcPr>
            <w:tcW w:w="1915"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276.34</w:t>
            </w:r>
          </w:p>
        </w:tc>
        <w:tc>
          <w:tcPr>
            <w:tcW w:w="1916"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235.08</w:t>
            </w:r>
          </w:p>
        </w:tc>
      </w:tr>
      <w:tr w:rsidR="00485094" w:rsidRPr="00562005" w:rsidTr="009C0237">
        <w:trPr>
          <w:trHeight w:val="288"/>
          <w:jc w:val="center"/>
        </w:trPr>
        <w:tc>
          <w:tcPr>
            <w:tcW w:w="2167" w:type="dxa"/>
            <w:shd w:val="clear" w:color="auto" w:fill="FFD9FF"/>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b/>
                <w:bCs/>
                <w:sz w:val="18"/>
                <w:szCs w:val="18"/>
              </w:rPr>
              <w:t>Totals</w:t>
            </w:r>
            <w:r w:rsidRPr="00A67E6F">
              <w:rPr>
                <w:rStyle w:val="msoins0"/>
                <w:rFonts w:ascii="Arial" w:hAnsi="Arial" w:cs="Arial"/>
                <w:b/>
                <w:bCs/>
                <w:sz w:val="18"/>
                <w:szCs w:val="18"/>
                <w:vertAlign w:val="superscript"/>
              </w:rPr>
              <w:t>2</w:t>
            </w:r>
          </w:p>
        </w:tc>
        <w:tc>
          <w:tcPr>
            <w:tcW w:w="1915" w:type="dxa"/>
            <w:shd w:val="clear" w:color="auto" w:fill="FFD9FF"/>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b/>
                <w:bCs/>
                <w:sz w:val="18"/>
                <w:szCs w:val="18"/>
              </w:rPr>
              <w:t>22,187.66</w:t>
            </w:r>
          </w:p>
        </w:tc>
        <w:tc>
          <w:tcPr>
            <w:tcW w:w="1915" w:type="dxa"/>
            <w:shd w:val="clear" w:color="auto" w:fill="FFD9FF"/>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b/>
                <w:bCs/>
                <w:sz w:val="18"/>
                <w:szCs w:val="18"/>
              </w:rPr>
              <w:t>9,412.58</w:t>
            </w:r>
          </w:p>
        </w:tc>
        <w:tc>
          <w:tcPr>
            <w:tcW w:w="1915" w:type="dxa"/>
            <w:shd w:val="clear" w:color="auto" w:fill="FFD9FF"/>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b/>
                <w:bCs/>
                <w:sz w:val="18"/>
                <w:szCs w:val="18"/>
              </w:rPr>
              <w:t>89,593.23</w:t>
            </w:r>
          </w:p>
        </w:tc>
        <w:tc>
          <w:tcPr>
            <w:tcW w:w="1916" w:type="dxa"/>
            <w:shd w:val="clear" w:color="auto" w:fill="FFD9FF"/>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b/>
                <w:bCs/>
                <w:sz w:val="18"/>
                <w:szCs w:val="18"/>
              </w:rPr>
              <w:t>26,849.25</w:t>
            </w:r>
          </w:p>
        </w:tc>
      </w:tr>
    </w:tbl>
    <w:p w:rsidR="00485094" w:rsidRPr="003421EC" w:rsidRDefault="00485094" w:rsidP="00B215C8">
      <w:pPr>
        <w:pStyle w:val="TableText"/>
        <w:rPr>
          <w:snapToGrid w:val="0"/>
          <w:sz w:val="16"/>
          <w:szCs w:val="16"/>
        </w:rPr>
      </w:pPr>
    </w:p>
    <w:p w:rsidR="00485094" w:rsidRDefault="00485094">
      <w:pPr>
        <w:pStyle w:val="Bodytextreduced"/>
      </w:pPr>
    </w:p>
    <w:p w:rsidR="00485094" w:rsidRDefault="00485094">
      <w:pPr>
        <w:pStyle w:val="Heading4"/>
      </w:pPr>
      <w:r w:rsidRPr="009C0237">
        <w:t>Results of Florida’s Surface Water Protection Programs</w:t>
      </w:r>
    </w:p>
    <w:p w:rsidR="00485094" w:rsidRDefault="00485094" w:rsidP="009C0237">
      <w:pPr>
        <w:pStyle w:val="Bodytext"/>
      </w:pPr>
      <w:r>
        <w:t xml:space="preserve">Despite the increase in Florida’s population over the past 35 years, from 6.8 million to more than 18 million, the state’s surface water management programs have been successful in preventing and minimizing pollution from new sources, especially from new nonpoint sources of pollution, and in reducing existing pollutant loadings, especially from point sources of pollution.  This has been accomplished by implementing new technologies, requiring better treatment of </w:t>
      </w:r>
      <w:r w:rsidRPr="00DA37AF">
        <w:t>waste</w:t>
      </w:r>
      <w:r>
        <w:t>water discharge</w:t>
      </w:r>
      <w:r w:rsidRPr="00DA37AF">
        <w:t>s, eliminating many surface water discha</w:t>
      </w:r>
      <w:r>
        <w:t>rges, and treating stormwater.</w:t>
      </w:r>
    </w:p>
    <w:p w:rsidR="00485094" w:rsidRPr="00B670C6" w:rsidRDefault="00485094" w:rsidP="009C0237">
      <w:pPr>
        <w:pStyle w:val="Bodytext"/>
        <w:rPr>
          <w:rFonts w:cs="Arial"/>
          <w:bCs/>
          <w:szCs w:val="22"/>
        </w:rPr>
      </w:pPr>
    </w:p>
    <w:p w:rsidR="00485094" w:rsidRPr="00513392" w:rsidRDefault="00485094" w:rsidP="00513392">
      <w:pPr>
        <w:pStyle w:val="Bodytextreduced"/>
      </w:pPr>
      <w:r w:rsidRPr="00CA461C">
        <w:br w:type="page"/>
      </w:r>
    </w:p>
    <w:p w:rsidR="00485094" w:rsidRDefault="00485094" w:rsidP="006313FD">
      <w:pPr>
        <w:pStyle w:val="Heading1"/>
      </w:pPr>
      <w:bookmarkStart w:id="767" w:name="_Toc255822587"/>
      <w:bookmarkStart w:id="768" w:name="_Toc271280036"/>
      <w:bookmarkEnd w:id="660"/>
      <w:bookmarkEnd w:id="661"/>
      <w:r w:rsidRPr="003A4461">
        <w:t>References</w:t>
      </w:r>
      <w:bookmarkEnd w:id="767"/>
      <w:bookmarkEnd w:id="768"/>
      <w:r w:rsidRPr="003A4461">
        <w:t xml:space="preserve"> </w:t>
      </w:r>
    </w:p>
    <w:p w:rsidR="00485094" w:rsidRDefault="00485094" w:rsidP="00FE7836">
      <w:pPr>
        <w:pStyle w:val="Bodytextreduced"/>
      </w:pPr>
    </w:p>
    <w:p w:rsidR="00485094" w:rsidRPr="00026328" w:rsidRDefault="00485094" w:rsidP="007A2902">
      <w:pPr>
        <w:pStyle w:val="References"/>
        <w:rPr>
          <w:szCs w:val="22"/>
        </w:rPr>
      </w:pPr>
      <w:r>
        <w:rPr>
          <w:szCs w:val="22"/>
        </w:rPr>
        <w:t>Abbott, J.</w:t>
      </w:r>
      <w:r w:rsidRPr="00026328">
        <w:rPr>
          <w:szCs w:val="22"/>
        </w:rPr>
        <w:t xml:space="preserve">P., </w:t>
      </w:r>
      <w:r>
        <w:rPr>
          <w:szCs w:val="22"/>
        </w:rPr>
        <w:t xml:space="preserve">L.J. </w:t>
      </w:r>
      <w:r w:rsidRPr="00026328">
        <w:rPr>
          <w:szCs w:val="22"/>
        </w:rPr>
        <w:t xml:space="preserve">Flewelling, </w:t>
      </w:r>
      <w:r>
        <w:rPr>
          <w:szCs w:val="22"/>
        </w:rPr>
        <w:t xml:space="preserve">and J.H. </w:t>
      </w:r>
      <w:r w:rsidRPr="00026328">
        <w:rPr>
          <w:szCs w:val="22"/>
        </w:rPr>
        <w:t>Landsberg.</w:t>
      </w:r>
      <w:r>
        <w:rPr>
          <w:szCs w:val="22"/>
        </w:rPr>
        <w:t xml:space="preserve"> </w:t>
      </w:r>
      <w:r w:rsidRPr="00026328">
        <w:rPr>
          <w:szCs w:val="22"/>
        </w:rPr>
        <w:t xml:space="preserve"> 2009.</w:t>
      </w:r>
      <w:r>
        <w:rPr>
          <w:szCs w:val="22"/>
        </w:rPr>
        <w:t xml:space="preserve"> </w:t>
      </w:r>
      <w:r w:rsidRPr="00026328">
        <w:rPr>
          <w:szCs w:val="22"/>
        </w:rPr>
        <w:t xml:space="preserve"> Saxitoxin monitoring of three species of Florida puffer ﬁsh.</w:t>
      </w:r>
      <w:r>
        <w:rPr>
          <w:szCs w:val="22"/>
        </w:rPr>
        <w:t xml:space="preserve"> </w:t>
      </w:r>
      <w:r w:rsidRPr="00026328">
        <w:rPr>
          <w:szCs w:val="22"/>
        </w:rPr>
        <w:t xml:space="preserve"> </w:t>
      </w:r>
      <w:r w:rsidRPr="001319C1">
        <w:rPr>
          <w:i/>
          <w:szCs w:val="22"/>
        </w:rPr>
        <w:t>Harmful Algae 8: 343–348.</w:t>
      </w:r>
      <w:r w:rsidRPr="00026328">
        <w:rPr>
          <w:szCs w:val="22"/>
        </w:rPr>
        <w:t xml:space="preserve"> </w:t>
      </w:r>
    </w:p>
    <w:p w:rsidR="00485094" w:rsidRPr="00200ACD" w:rsidRDefault="00485094" w:rsidP="00E25E53">
      <w:pPr>
        <w:pStyle w:val="References"/>
        <w:rPr>
          <w:color w:val="1F497D"/>
          <w:szCs w:val="22"/>
        </w:rPr>
      </w:pPr>
      <w:r w:rsidRPr="00200ACD">
        <w:rPr>
          <w:color w:val="000000"/>
          <w:szCs w:val="22"/>
        </w:rPr>
        <w:t xml:space="preserve">Abbott, G.M., </w:t>
      </w:r>
      <w:r>
        <w:rPr>
          <w:color w:val="000000"/>
          <w:szCs w:val="22"/>
        </w:rPr>
        <w:t xml:space="preserve">J.H. </w:t>
      </w:r>
      <w:r w:rsidRPr="00200ACD">
        <w:rPr>
          <w:color w:val="000000"/>
          <w:szCs w:val="22"/>
        </w:rPr>
        <w:t xml:space="preserve">Landsberg, </w:t>
      </w:r>
      <w:r>
        <w:rPr>
          <w:color w:val="000000"/>
          <w:szCs w:val="22"/>
        </w:rPr>
        <w:t xml:space="preserve">A.R. </w:t>
      </w:r>
      <w:r w:rsidRPr="00200ACD">
        <w:rPr>
          <w:color w:val="000000"/>
          <w:szCs w:val="22"/>
        </w:rPr>
        <w:t xml:space="preserve">Reich, </w:t>
      </w:r>
      <w:r>
        <w:rPr>
          <w:color w:val="000000"/>
          <w:szCs w:val="22"/>
        </w:rPr>
        <w:t>K.A.</w:t>
      </w:r>
      <w:r w:rsidRPr="00200ACD">
        <w:rPr>
          <w:color w:val="000000"/>
          <w:szCs w:val="22"/>
        </w:rPr>
        <w:t xml:space="preserve"> Steidinger, </w:t>
      </w:r>
      <w:r>
        <w:rPr>
          <w:color w:val="000000"/>
          <w:szCs w:val="22"/>
        </w:rPr>
        <w:t>S.</w:t>
      </w:r>
      <w:r w:rsidRPr="00200ACD">
        <w:rPr>
          <w:color w:val="000000"/>
          <w:szCs w:val="22"/>
        </w:rPr>
        <w:t xml:space="preserve"> Ketchen, </w:t>
      </w:r>
      <w:r>
        <w:rPr>
          <w:color w:val="000000"/>
          <w:szCs w:val="22"/>
        </w:rPr>
        <w:t>and C.</w:t>
      </w:r>
      <w:r w:rsidRPr="00200ACD">
        <w:rPr>
          <w:color w:val="000000"/>
          <w:szCs w:val="22"/>
        </w:rPr>
        <w:t xml:space="preserve"> Blackmore.</w:t>
      </w:r>
      <w:r w:rsidRPr="00200ACD">
        <w:rPr>
          <w:bCs/>
          <w:color w:val="000000"/>
          <w:szCs w:val="22"/>
        </w:rPr>
        <w:t xml:space="preserve"> </w:t>
      </w:r>
      <w:r>
        <w:rPr>
          <w:bCs/>
          <w:color w:val="000000"/>
          <w:szCs w:val="22"/>
        </w:rPr>
        <w:t xml:space="preserve"> </w:t>
      </w:r>
      <w:r w:rsidRPr="00200ACD">
        <w:rPr>
          <w:color w:val="000000"/>
          <w:szCs w:val="22"/>
        </w:rPr>
        <w:t xml:space="preserve">2009. </w:t>
      </w:r>
      <w:r>
        <w:rPr>
          <w:color w:val="000000"/>
          <w:szCs w:val="22"/>
        </w:rPr>
        <w:t xml:space="preserve"> </w:t>
      </w:r>
      <w:r w:rsidRPr="0074349B">
        <w:rPr>
          <w:bCs/>
          <w:i/>
          <w:color w:val="000000"/>
          <w:szCs w:val="22"/>
        </w:rPr>
        <w:t xml:space="preserve">Resource guide for public health response to harmful algal blooms in Florida.  </w:t>
      </w:r>
      <w:r w:rsidRPr="00200ACD">
        <w:rPr>
          <w:bCs/>
          <w:color w:val="000000"/>
          <w:szCs w:val="22"/>
        </w:rPr>
        <w:t xml:space="preserve">Florida Fish and Wildlife Conservation Commission, </w:t>
      </w:r>
      <w:r w:rsidRPr="00200ACD">
        <w:rPr>
          <w:color w:val="000000"/>
          <w:szCs w:val="22"/>
        </w:rPr>
        <w:t>Fish and Wildlife Research Institute, Technical Report TR-14.</w:t>
      </w:r>
      <w:r>
        <w:rPr>
          <w:color w:val="000000"/>
          <w:szCs w:val="22"/>
        </w:rPr>
        <w:t xml:space="preserve"> </w:t>
      </w:r>
      <w:r w:rsidRPr="00200ACD">
        <w:rPr>
          <w:color w:val="000000"/>
          <w:szCs w:val="22"/>
        </w:rPr>
        <w:t xml:space="preserve"> Available</w:t>
      </w:r>
      <w:r>
        <w:rPr>
          <w:color w:val="000000"/>
          <w:szCs w:val="22"/>
        </w:rPr>
        <w:t xml:space="preserve">:  </w:t>
      </w:r>
      <w:hyperlink r:id="rId200" w:history="1">
        <w:r w:rsidRPr="005F7EAB">
          <w:rPr>
            <w:rStyle w:val="Hyperlink"/>
            <w:rFonts w:cs="Arial"/>
            <w:szCs w:val="22"/>
          </w:rPr>
          <w:t>http://research.myfwc.com/engine/download_</w:t>
        </w:r>
        <w:r w:rsidRPr="005F7EAB">
          <w:rPr>
            <w:rStyle w:val="Hyperlink"/>
            <w:rFonts w:cs="Arial"/>
            <w:szCs w:val="22"/>
          </w:rPr>
          <w:br/>
          <w:t>redirection_process.asp?file=TR_14screen.pdf&amp;objid=20125&amp;dltype=article</w:t>
        </w:r>
      </w:hyperlink>
      <w:r>
        <w:rPr>
          <w:szCs w:val="22"/>
        </w:rPr>
        <w:t>.</w:t>
      </w:r>
    </w:p>
    <w:p w:rsidR="00485094" w:rsidRDefault="00485094" w:rsidP="00513392">
      <w:pPr>
        <w:pStyle w:val="References"/>
      </w:pPr>
      <w:r>
        <w:t xml:space="preserve">American Public Health Association.  1995.  </w:t>
      </w:r>
      <w:r w:rsidRPr="00F75599">
        <w:rPr>
          <w:i/>
        </w:rPr>
        <w:t>Standard methods for the examination of water and wastewater resources.</w:t>
      </w:r>
      <w:r>
        <w:t xml:space="preserve">  19</w:t>
      </w:r>
      <w:r w:rsidRPr="00471295">
        <w:rPr>
          <w:vertAlign w:val="superscript"/>
        </w:rPr>
        <w:t>th</w:t>
      </w:r>
      <w:r>
        <w:t xml:space="preserve"> Edition.  Baltimore, MD:  United Book Press.</w:t>
      </w:r>
    </w:p>
    <w:p w:rsidR="00485094" w:rsidRDefault="00485094" w:rsidP="00A81A6F">
      <w:pPr>
        <w:pStyle w:val="References"/>
      </w:pPr>
      <w:r>
        <w:t xml:space="preserve">American Safety Council website.  2010.  </w:t>
      </w:r>
      <w:r w:rsidRPr="007A2902">
        <w:rPr>
          <w:i/>
        </w:rPr>
        <w:t>Florida quickfacts.</w:t>
      </w:r>
      <w:r>
        <w:t xml:space="preserve">  Available:  </w:t>
      </w:r>
      <w:hyperlink r:id="rId201" w:history="1">
        <w:r w:rsidRPr="005F7EAB">
          <w:rPr>
            <w:rStyle w:val="Hyperlink"/>
          </w:rPr>
          <w:t>http://www.</w:t>
        </w:r>
        <w:r w:rsidRPr="005F7EAB">
          <w:rPr>
            <w:rStyle w:val="Hyperlink"/>
          </w:rPr>
          <w:br/>
          <w:t>stateofflorida.com/Portal/DesktopDefault.aspx?tabid=95</w:t>
        </w:r>
      </w:hyperlink>
      <w:r>
        <w:t>.</w:t>
      </w:r>
    </w:p>
    <w:p w:rsidR="00485094" w:rsidRDefault="00485094" w:rsidP="00A81A6F">
      <w:pPr>
        <w:pStyle w:val="References"/>
        <w:rPr>
          <w:rFonts w:cs="Arial"/>
          <w:bCs/>
          <w:szCs w:val="22"/>
        </w:rPr>
      </w:pPr>
      <w:r>
        <w:t xml:space="preserve">Americasroof.com website.  2010.  Available:  </w:t>
      </w:r>
      <w:hyperlink r:id="rId202" w:history="1">
        <w:r w:rsidRPr="00C57FE5">
          <w:rPr>
            <w:rStyle w:val="Hyperlink"/>
          </w:rPr>
          <w:t>http://www.americasroof.com/highest/fl.shtml</w:t>
        </w:r>
      </w:hyperlink>
      <w:r>
        <w:t xml:space="preserve">.  </w:t>
      </w:r>
    </w:p>
    <w:p w:rsidR="00485094" w:rsidRDefault="00485094" w:rsidP="00376229">
      <w:pPr>
        <w:pStyle w:val="References"/>
      </w:pPr>
      <w:r>
        <w:t>Arthur, J.A., A.A. Dabous, and J.B. Cowart.  2002.  Mobilization of arsenic and other trace elements during aquifer storage and recovery, southwest Florida.  U.S. Geological Survey Open File Report 02</w:t>
      </w:r>
      <w:r w:rsidR="00AA3594">
        <w:t>–</w:t>
      </w:r>
      <w:r>
        <w:t xml:space="preserve">89.  </w:t>
      </w:r>
      <w:r w:rsidRPr="00DF48BE">
        <w:rPr>
          <w:i/>
        </w:rPr>
        <w:t>USGS Artificial Recharge Workshop Proceedings.</w:t>
      </w:r>
      <w:r>
        <w:rPr>
          <w:i/>
        </w:rPr>
        <w:t xml:space="preserve">  </w:t>
      </w:r>
      <w:r w:rsidRPr="0017783C">
        <w:t xml:space="preserve">Available:  </w:t>
      </w:r>
      <w:hyperlink r:id="rId203" w:history="1">
        <w:r w:rsidRPr="0017783C">
          <w:rPr>
            <w:rStyle w:val="Hyperlink"/>
          </w:rPr>
          <w:t>http://water.usgs.gov/ogw/pubs/ofr0289/jda_mobilization.htm</w:t>
        </w:r>
      </w:hyperlink>
      <w:r w:rsidRPr="0017783C">
        <w:t>.</w:t>
      </w:r>
    </w:p>
    <w:p w:rsidR="00485094" w:rsidRPr="00EE4CFE" w:rsidRDefault="00485094" w:rsidP="00376229">
      <w:pPr>
        <w:pStyle w:val="References"/>
        <w:rPr>
          <w:i/>
        </w:rPr>
      </w:pPr>
      <w:proofErr w:type="spellStart"/>
      <w:r w:rsidRPr="000025CA">
        <w:rPr>
          <w:rFonts w:cs="Arial"/>
          <w:color w:val="000000"/>
          <w:szCs w:val="22"/>
        </w:rPr>
        <w:t>Azanza</w:t>
      </w:r>
      <w:proofErr w:type="spellEnd"/>
      <w:r w:rsidRPr="000025CA">
        <w:rPr>
          <w:rFonts w:cs="Arial"/>
          <w:color w:val="000000"/>
          <w:szCs w:val="22"/>
        </w:rPr>
        <w:t xml:space="preserve">, R. V., </w:t>
      </w:r>
      <w:r w:rsidR="00EE4CFE">
        <w:rPr>
          <w:rFonts w:cs="Arial"/>
          <w:color w:val="000000"/>
          <w:szCs w:val="22"/>
        </w:rPr>
        <w:t xml:space="preserve">and F.J.R.M. </w:t>
      </w:r>
      <w:r w:rsidRPr="000025CA">
        <w:rPr>
          <w:rFonts w:cs="Arial"/>
          <w:color w:val="000000"/>
          <w:szCs w:val="22"/>
        </w:rPr>
        <w:t xml:space="preserve">Taylor.  2001.  Are Pyrodinium blooms in the Southeast </w:t>
      </w:r>
      <w:proofErr w:type="spellStart"/>
      <w:r w:rsidRPr="000025CA">
        <w:rPr>
          <w:rFonts w:cs="Arial"/>
          <w:color w:val="000000"/>
          <w:szCs w:val="22"/>
        </w:rPr>
        <w:t>Asianregion</w:t>
      </w:r>
      <w:proofErr w:type="spellEnd"/>
      <w:r w:rsidRPr="000025CA">
        <w:rPr>
          <w:rFonts w:cs="Arial"/>
          <w:color w:val="000000"/>
          <w:szCs w:val="22"/>
        </w:rPr>
        <w:t xml:space="preserve"> recurring and spreading?</w:t>
      </w:r>
      <w:r w:rsidR="00EE4CFE">
        <w:rPr>
          <w:rFonts w:cs="Arial"/>
          <w:color w:val="000000"/>
          <w:szCs w:val="22"/>
        </w:rPr>
        <w:t xml:space="preserve"> </w:t>
      </w:r>
      <w:r w:rsidRPr="000025CA">
        <w:rPr>
          <w:rFonts w:cs="Arial"/>
          <w:color w:val="000000"/>
          <w:szCs w:val="22"/>
        </w:rPr>
        <w:t xml:space="preserve"> A view at the end of the millen</w:t>
      </w:r>
      <w:r w:rsidR="00EE4CFE">
        <w:rPr>
          <w:rFonts w:cs="Arial"/>
          <w:color w:val="000000"/>
          <w:szCs w:val="22"/>
        </w:rPr>
        <w:t>n</w:t>
      </w:r>
      <w:r w:rsidRPr="000025CA">
        <w:rPr>
          <w:rFonts w:cs="Arial"/>
          <w:color w:val="000000"/>
          <w:szCs w:val="22"/>
        </w:rPr>
        <w:t xml:space="preserve">ium. </w:t>
      </w:r>
      <w:r>
        <w:rPr>
          <w:rFonts w:cs="Arial"/>
          <w:color w:val="000000"/>
          <w:szCs w:val="22"/>
        </w:rPr>
        <w:t xml:space="preserve"> </w:t>
      </w:r>
      <w:proofErr w:type="spellStart"/>
      <w:r w:rsidR="000309E2" w:rsidRPr="000309E2">
        <w:rPr>
          <w:rFonts w:cs="Arial"/>
          <w:i/>
          <w:color w:val="000000"/>
          <w:szCs w:val="22"/>
        </w:rPr>
        <w:t>Ambio</w:t>
      </w:r>
      <w:proofErr w:type="spellEnd"/>
      <w:r w:rsidR="000309E2" w:rsidRPr="000309E2">
        <w:rPr>
          <w:rFonts w:cs="Arial"/>
          <w:i/>
          <w:color w:val="000000"/>
          <w:szCs w:val="22"/>
        </w:rPr>
        <w:t xml:space="preserve"> 30: 356</w:t>
      </w:r>
      <w:r w:rsidR="00AA3594">
        <w:rPr>
          <w:rFonts w:cs="Arial"/>
          <w:i/>
          <w:color w:val="000000"/>
          <w:szCs w:val="22"/>
        </w:rPr>
        <w:t>–</w:t>
      </w:r>
      <w:r w:rsidR="000309E2" w:rsidRPr="000309E2">
        <w:rPr>
          <w:rFonts w:cs="Arial"/>
          <w:i/>
          <w:color w:val="000000"/>
          <w:szCs w:val="22"/>
        </w:rPr>
        <w:t>364.</w:t>
      </w:r>
    </w:p>
    <w:p w:rsidR="00485094" w:rsidRPr="001319C1" w:rsidRDefault="00485094" w:rsidP="00E25E53">
      <w:pPr>
        <w:pStyle w:val="References"/>
        <w:rPr>
          <w:i/>
          <w:szCs w:val="22"/>
        </w:rPr>
      </w:pPr>
      <w:r w:rsidRPr="00026328">
        <w:rPr>
          <w:szCs w:val="22"/>
        </w:rPr>
        <w:t xml:space="preserve">Backer, L.C. </w:t>
      </w:r>
      <w:r>
        <w:rPr>
          <w:szCs w:val="22"/>
        </w:rPr>
        <w:t xml:space="preserve"> </w:t>
      </w:r>
      <w:r w:rsidRPr="00026328">
        <w:rPr>
          <w:szCs w:val="22"/>
        </w:rPr>
        <w:t xml:space="preserve">2009. </w:t>
      </w:r>
      <w:r>
        <w:rPr>
          <w:szCs w:val="22"/>
        </w:rPr>
        <w:t xml:space="preserve"> </w:t>
      </w:r>
      <w:r w:rsidRPr="00026328">
        <w:rPr>
          <w:szCs w:val="22"/>
        </w:rPr>
        <w:t xml:space="preserve">Impacts of Florida red tides on coastal communities. </w:t>
      </w:r>
      <w:r>
        <w:rPr>
          <w:szCs w:val="22"/>
        </w:rPr>
        <w:t xml:space="preserve"> </w:t>
      </w:r>
      <w:r w:rsidRPr="001319C1">
        <w:rPr>
          <w:i/>
          <w:szCs w:val="22"/>
        </w:rPr>
        <w:t xml:space="preserve">Harmful Algae 8: 618–622. </w:t>
      </w:r>
    </w:p>
    <w:p w:rsidR="00485094" w:rsidRDefault="00485094" w:rsidP="00376229">
      <w:pPr>
        <w:pStyle w:val="References"/>
        <w:rPr>
          <w:szCs w:val="22"/>
        </w:rPr>
      </w:pPr>
      <w:r>
        <w:rPr>
          <w:szCs w:val="22"/>
        </w:rPr>
        <w:t>Backer, L.C., L.E. Fleming, A.</w:t>
      </w:r>
      <w:r w:rsidRPr="00026328">
        <w:rPr>
          <w:szCs w:val="22"/>
        </w:rPr>
        <w:t>D. Rowa</w:t>
      </w:r>
      <w:r>
        <w:rPr>
          <w:szCs w:val="22"/>
        </w:rPr>
        <w:t>n, and D.</w:t>
      </w:r>
      <w:r w:rsidRPr="00026328">
        <w:rPr>
          <w:szCs w:val="22"/>
        </w:rPr>
        <w:t xml:space="preserve">G. Baden. </w:t>
      </w:r>
      <w:r>
        <w:rPr>
          <w:szCs w:val="22"/>
        </w:rPr>
        <w:t xml:space="preserve"> </w:t>
      </w:r>
      <w:r w:rsidRPr="00026328">
        <w:rPr>
          <w:szCs w:val="22"/>
        </w:rPr>
        <w:t xml:space="preserve">2003. </w:t>
      </w:r>
      <w:r>
        <w:rPr>
          <w:szCs w:val="22"/>
        </w:rPr>
        <w:t xml:space="preserve"> </w:t>
      </w:r>
      <w:r w:rsidRPr="00026328">
        <w:rPr>
          <w:szCs w:val="22"/>
        </w:rPr>
        <w:t xml:space="preserve">Epidemiology, public health and human illnesses associated with harmful marine algae. </w:t>
      </w:r>
      <w:r>
        <w:rPr>
          <w:szCs w:val="22"/>
        </w:rPr>
        <w:t xml:space="preserve"> </w:t>
      </w:r>
      <w:r w:rsidR="000309E2" w:rsidRPr="000309E2">
        <w:rPr>
          <w:i/>
          <w:szCs w:val="22"/>
        </w:rPr>
        <w:t>I</w:t>
      </w:r>
      <w:r w:rsidR="000309E2" w:rsidRPr="000309E2">
        <w:rPr>
          <w:i/>
          <w:iCs/>
          <w:szCs w:val="22"/>
        </w:rPr>
        <w:t>n:</w:t>
      </w:r>
      <w:r>
        <w:rPr>
          <w:i/>
          <w:iCs/>
          <w:szCs w:val="22"/>
        </w:rPr>
        <w:t xml:space="preserve"> </w:t>
      </w:r>
      <w:r w:rsidR="000309E2" w:rsidRPr="000309E2">
        <w:rPr>
          <w:szCs w:val="22"/>
        </w:rPr>
        <w:t xml:space="preserve"> </w:t>
      </w:r>
      <w:r>
        <w:rPr>
          <w:szCs w:val="22"/>
        </w:rPr>
        <w:t>G.M. Hallegraeff, D.M. Anderson, and A.</w:t>
      </w:r>
      <w:r w:rsidRPr="00026328">
        <w:rPr>
          <w:szCs w:val="22"/>
        </w:rPr>
        <w:t>D. Cembella</w:t>
      </w:r>
      <w:r>
        <w:rPr>
          <w:szCs w:val="22"/>
        </w:rPr>
        <w:t xml:space="preserve"> (</w:t>
      </w:r>
      <w:r w:rsidR="005C7479">
        <w:rPr>
          <w:szCs w:val="22"/>
        </w:rPr>
        <w:t>E</w:t>
      </w:r>
      <w:r w:rsidR="005C7479" w:rsidRPr="00026328">
        <w:rPr>
          <w:szCs w:val="22"/>
        </w:rPr>
        <w:t>ds</w:t>
      </w:r>
      <w:r w:rsidRPr="00026328">
        <w:rPr>
          <w:szCs w:val="22"/>
        </w:rPr>
        <w:t>.</w:t>
      </w:r>
      <w:r>
        <w:rPr>
          <w:szCs w:val="22"/>
        </w:rPr>
        <w:t>),</w:t>
      </w:r>
      <w:r w:rsidRPr="00026328">
        <w:rPr>
          <w:szCs w:val="22"/>
        </w:rPr>
        <w:t xml:space="preserve"> </w:t>
      </w:r>
      <w:r w:rsidRPr="001319C1">
        <w:rPr>
          <w:i/>
          <w:szCs w:val="22"/>
        </w:rPr>
        <w:t xml:space="preserve">Manual on </w:t>
      </w:r>
      <w:r>
        <w:rPr>
          <w:i/>
          <w:szCs w:val="22"/>
        </w:rPr>
        <w:t>h</w:t>
      </w:r>
      <w:r w:rsidRPr="001319C1">
        <w:rPr>
          <w:i/>
          <w:szCs w:val="22"/>
        </w:rPr>
        <w:t xml:space="preserve">armful </w:t>
      </w:r>
      <w:r>
        <w:rPr>
          <w:i/>
          <w:szCs w:val="22"/>
        </w:rPr>
        <w:t>m</w:t>
      </w:r>
      <w:r w:rsidRPr="001319C1">
        <w:rPr>
          <w:i/>
          <w:szCs w:val="22"/>
        </w:rPr>
        <w:t xml:space="preserve">arine </w:t>
      </w:r>
      <w:r>
        <w:rPr>
          <w:i/>
          <w:szCs w:val="22"/>
        </w:rPr>
        <w:t>mi</w:t>
      </w:r>
      <w:r w:rsidRPr="001319C1">
        <w:rPr>
          <w:i/>
          <w:szCs w:val="22"/>
        </w:rPr>
        <w:t>croalgae</w:t>
      </w:r>
      <w:r>
        <w:rPr>
          <w:szCs w:val="22"/>
        </w:rPr>
        <w:t xml:space="preserve"> (Paris, France:</w:t>
      </w:r>
      <w:r w:rsidRPr="00026328">
        <w:rPr>
          <w:szCs w:val="22"/>
        </w:rPr>
        <w:t xml:space="preserve"> Intergovernmental Oceanographic Commission of UNESCO, </w:t>
      </w:r>
      <w:r>
        <w:rPr>
          <w:szCs w:val="22"/>
        </w:rPr>
        <w:t>p</w:t>
      </w:r>
      <w:r w:rsidRPr="00026328">
        <w:rPr>
          <w:szCs w:val="22"/>
        </w:rPr>
        <w:t>p. 723–750</w:t>
      </w:r>
      <w:r>
        <w:rPr>
          <w:szCs w:val="22"/>
        </w:rPr>
        <w:t>)</w:t>
      </w:r>
      <w:r w:rsidRPr="00026328">
        <w:rPr>
          <w:szCs w:val="22"/>
        </w:rPr>
        <w:t xml:space="preserve">. </w:t>
      </w:r>
    </w:p>
    <w:p w:rsidR="00485094" w:rsidRDefault="00485094" w:rsidP="00E25E53">
      <w:pPr>
        <w:pStyle w:val="References"/>
        <w:rPr>
          <w:szCs w:val="22"/>
        </w:rPr>
      </w:pPr>
      <w:r w:rsidRPr="003463CD">
        <w:rPr>
          <w:szCs w:val="22"/>
        </w:rPr>
        <w:t xml:space="preserve">Bay Regional Atmospheric Chemistry Experiment (BRACE) </w:t>
      </w:r>
      <w:r>
        <w:rPr>
          <w:szCs w:val="22"/>
        </w:rPr>
        <w:t xml:space="preserve">website.  Available:  </w:t>
      </w:r>
      <w:hyperlink r:id="rId204" w:history="1">
        <w:r w:rsidRPr="005F7EAB">
          <w:rPr>
            <w:rStyle w:val="Hyperlink"/>
          </w:rPr>
          <w:t>http://hsc.usf.</w:t>
        </w:r>
        <w:r w:rsidRPr="005F7EAB">
          <w:rPr>
            <w:rStyle w:val="Hyperlink"/>
          </w:rPr>
          <w:br/>
          <w:t>edu/publichealth/EOH/BRACE/</w:t>
        </w:r>
      </w:hyperlink>
      <w:r w:rsidRPr="00DF48BE">
        <w:t>.</w:t>
      </w:r>
    </w:p>
    <w:p w:rsidR="00485094" w:rsidRDefault="00485094" w:rsidP="0069149E">
      <w:pPr>
        <w:pStyle w:val="References"/>
      </w:pPr>
      <w:r>
        <w:t xml:space="preserve">Blair, J.A., and R. Jones.  Updated January 15, 2008.  </w:t>
      </w:r>
      <w:r w:rsidRPr="00271CB6">
        <w:rPr>
          <w:i/>
        </w:rPr>
        <w:t>Consumer Fertilizer Task Force</w:t>
      </w:r>
      <w:r>
        <w:rPr>
          <w:i/>
        </w:rPr>
        <w:t>:  Final report to the 2008 Florida Legislature</w:t>
      </w:r>
      <w:r w:rsidRPr="00271CB6">
        <w:rPr>
          <w:i/>
        </w:rPr>
        <w:t xml:space="preserve">.  </w:t>
      </w:r>
      <w:r w:rsidRPr="00271CB6">
        <w:t xml:space="preserve">Tallahassee, FL:  Florida State University, Florida Conflict Resolution Consortium.  </w:t>
      </w:r>
      <w:r>
        <w:t xml:space="preserve">Available:  </w:t>
      </w:r>
      <w:hyperlink r:id="rId205" w:history="1">
        <w:r w:rsidRPr="00C57FE5">
          <w:rPr>
            <w:rStyle w:val="Hyperlink"/>
          </w:rPr>
          <w:t>http://consensus.fsu.edu/fertilizer-task-force/pdfs2/Fertilizer_Task_Force_Final_Report11408-3.pdf</w:t>
        </w:r>
      </w:hyperlink>
      <w:r>
        <w:t>.</w:t>
      </w:r>
    </w:p>
    <w:p w:rsidR="00485094" w:rsidRPr="00775E8E" w:rsidRDefault="00485094" w:rsidP="00E25E53">
      <w:pPr>
        <w:pStyle w:val="References"/>
        <w:rPr>
          <w:i/>
        </w:rPr>
      </w:pPr>
      <w:r w:rsidRPr="00026328">
        <w:t xml:space="preserve">Bodager, D. </w:t>
      </w:r>
      <w:r>
        <w:t xml:space="preserve"> </w:t>
      </w:r>
      <w:r w:rsidRPr="00026328">
        <w:t xml:space="preserve">2002. </w:t>
      </w:r>
      <w:r>
        <w:t xml:space="preserve"> </w:t>
      </w:r>
      <w:r w:rsidRPr="00026328">
        <w:t>Ou</w:t>
      </w:r>
      <w:r>
        <w:t>tbreak of saxitoxin illness fol</w:t>
      </w:r>
      <w:r w:rsidRPr="00026328">
        <w:t>lowing consumption of Florida pufferﬁsh.</w:t>
      </w:r>
      <w:r>
        <w:t xml:space="preserve"> </w:t>
      </w:r>
      <w:r w:rsidRPr="00026328">
        <w:t xml:space="preserve"> </w:t>
      </w:r>
      <w:r>
        <w:rPr>
          <w:i/>
        </w:rPr>
        <w:t>Florida Jour</w:t>
      </w:r>
      <w:r w:rsidRPr="00775E8E">
        <w:rPr>
          <w:i/>
        </w:rPr>
        <w:t xml:space="preserve">nal of Environmental Health 179: 9–13. </w:t>
      </w:r>
    </w:p>
    <w:p w:rsidR="00485094" w:rsidRDefault="00485094" w:rsidP="00494D88">
      <w:pPr>
        <w:pStyle w:val="References"/>
      </w:pPr>
      <w:r>
        <w:t xml:space="preserve">Brown, M.T., K.C. Reiss, M.J. Cohen, J.M. Evans, P.W. Inglett, K.S. Inglett, K.R. Reddy, T.K. Frazer, C.A. Jacoby, E.J. Phlips, R.L. Knight, S.K. Notestein, R.G. Hamann, and K.A. McKee.  April 28, 2008.  </w:t>
      </w:r>
      <w:r w:rsidRPr="00494D88">
        <w:rPr>
          <w:i/>
        </w:rPr>
        <w:t>Summary and synthesis of the available literature on the effects of nutrients on spring organisms and systems.</w:t>
      </w:r>
      <w:r>
        <w:t xml:space="preserve">  Gainesville, FL:  University of Florida Water Institute.  Available:  </w:t>
      </w:r>
      <w:hyperlink r:id="rId206" w:history="1">
        <w:r w:rsidRPr="005F7EAB">
          <w:rPr>
            <w:rStyle w:val="Hyperlink"/>
          </w:rPr>
          <w:t>http://www.dep.state.fl.us/springs/reports/files/UF_SpringsNutrients_</w:t>
        </w:r>
        <w:r w:rsidRPr="005F7EAB">
          <w:rPr>
            <w:rStyle w:val="Hyperlink"/>
          </w:rPr>
          <w:br/>
          <w:t>Report.pdf</w:t>
        </w:r>
      </w:hyperlink>
      <w:r>
        <w:t>.</w:t>
      </w:r>
    </w:p>
    <w:p w:rsidR="00485094" w:rsidRPr="00775E8E" w:rsidRDefault="00485094" w:rsidP="00E25E53">
      <w:pPr>
        <w:pStyle w:val="References"/>
        <w:rPr>
          <w:rFonts w:cs="Arial"/>
          <w:bCs/>
          <w:i/>
        </w:rPr>
      </w:pPr>
      <w:r w:rsidRPr="00431F94">
        <w:rPr>
          <w:rFonts w:cs="Arial"/>
          <w:bCs/>
        </w:rPr>
        <w:t>B</w:t>
      </w:r>
      <w:r>
        <w:rPr>
          <w:rFonts w:cs="Arial"/>
          <w:bCs/>
        </w:rPr>
        <w:t>urns</w:t>
      </w:r>
      <w:r w:rsidRPr="00431F94">
        <w:rPr>
          <w:rFonts w:cs="Arial"/>
          <w:bCs/>
        </w:rPr>
        <w:t xml:space="preserve">, J. </w:t>
      </w:r>
      <w:r>
        <w:rPr>
          <w:rFonts w:cs="Arial"/>
          <w:bCs/>
        </w:rPr>
        <w:t xml:space="preserve"> </w:t>
      </w:r>
      <w:r w:rsidRPr="00431F94">
        <w:rPr>
          <w:rFonts w:cs="Arial"/>
          <w:bCs/>
        </w:rPr>
        <w:t>2008.</w:t>
      </w:r>
      <w:r>
        <w:rPr>
          <w:rFonts w:cs="Arial"/>
          <w:bCs/>
        </w:rPr>
        <w:t xml:space="preserve"> </w:t>
      </w:r>
      <w:r w:rsidRPr="00431F94">
        <w:rPr>
          <w:rFonts w:cs="Arial"/>
          <w:bCs/>
        </w:rPr>
        <w:t xml:space="preserve">Toxic cyanobacteria in Florida waters. </w:t>
      </w:r>
      <w:r>
        <w:rPr>
          <w:rFonts w:cs="Arial"/>
          <w:bCs/>
        </w:rPr>
        <w:t xml:space="preserve"> </w:t>
      </w:r>
      <w:r w:rsidRPr="00775E8E">
        <w:rPr>
          <w:rFonts w:cs="Arial"/>
          <w:bCs/>
          <w:i/>
        </w:rPr>
        <w:t>Adv</w:t>
      </w:r>
      <w:r w:rsidR="00431B2F">
        <w:rPr>
          <w:rFonts w:cs="Arial"/>
          <w:bCs/>
          <w:i/>
        </w:rPr>
        <w:t>.</w:t>
      </w:r>
      <w:r w:rsidRPr="00775E8E">
        <w:rPr>
          <w:rFonts w:cs="Arial"/>
          <w:bCs/>
          <w:i/>
        </w:rPr>
        <w:t xml:space="preserve"> Exp</w:t>
      </w:r>
      <w:r w:rsidR="00431B2F">
        <w:rPr>
          <w:rFonts w:cs="Arial"/>
          <w:bCs/>
          <w:i/>
        </w:rPr>
        <w:t>.</w:t>
      </w:r>
      <w:r w:rsidRPr="00775E8E">
        <w:rPr>
          <w:rFonts w:cs="Arial"/>
          <w:bCs/>
          <w:i/>
        </w:rPr>
        <w:t xml:space="preserve"> Med</w:t>
      </w:r>
      <w:r w:rsidR="00431B2F">
        <w:rPr>
          <w:rFonts w:cs="Arial"/>
          <w:bCs/>
          <w:i/>
        </w:rPr>
        <w:t>.</w:t>
      </w:r>
      <w:r w:rsidRPr="00775E8E">
        <w:rPr>
          <w:rFonts w:cs="Arial"/>
          <w:bCs/>
          <w:i/>
        </w:rPr>
        <w:t xml:space="preserve"> Biol</w:t>
      </w:r>
      <w:r w:rsidR="00431B2F">
        <w:rPr>
          <w:rFonts w:cs="Arial"/>
          <w:bCs/>
          <w:i/>
        </w:rPr>
        <w:t>.</w:t>
      </w:r>
      <w:r w:rsidRPr="00775E8E">
        <w:rPr>
          <w:rFonts w:cs="Arial"/>
          <w:bCs/>
          <w:i/>
        </w:rPr>
        <w:t xml:space="preserve"> 619: 127–137. </w:t>
      </w:r>
    </w:p>
    <w:p w:rsidR="00485094" w:rsidRDefault="00485094" w:rsidP="00E25E53">
      <w:pPr>
        <w:pStyle w:val="References"/>
        <w:rPr>
          <w:rFonts w:cs="Arial"/>
          <w:bCs/>
        </w:rPr>
      </w:pPr>
      <w:r w:rsidRPr="00431F94">
        <w:rPr>
          <w:rFonts w:cs="Arial"/>
          <w:bCs/>
        </w:rPr>
        <w:t>B</w:t>
      </w:r>
      <w:r>
        <w:rPr>
          <w:rFonts w:cs="Arial"/>
          <w:bCs/>
        </w:rPr>
        <w:t>urns</w:t>
      </w:r>
      <w:r w:rsidRPr="00431F94">
        <w:rPr>
          <w:rFonts w:cs="Arial"/>
          <w:bCs/>
        </w:rPr>
        <w:t>, J., C. W</w:t>
      </w:r>
      <w:r>
        <w:rPr>
          <w:rFonts w:cs="Arial"/>
          <w:bCs/>
        </w:rPr>
        <w:t>illiams</w:t>
      </w:r>
      <w:r w:rsidRPr="00431F94">
        <w:rPr>
          <w:rFonts w:cs="Arial"/>
          <w:bCs/>
        </w:rPr>
        <w:t>, and A. C</w:t>
      </w:r>
      <w:r>
        <w:rPr>
          <w:rFonts w:cs="Arial"/>
          <w:bCs/>
        </w:rPr>
        <w:t>hapman</w:t>
      </w:r>
      <w:r w:rsidRPr="00431F94">
        <w:rPr>
          <w:rFonts w:cs="Arial"/>
          <w:bCs/>
        </w:rPr>
        <w:t xml:space="preserve">. </w:t>
      </w:r>
      <w:r>
        <w:rPr>
          <w:rFonts w:cs="Arial"/>
          <w:bCs/>
        </w:rPr>
        <w:t xml:space="preserve"> </w:t>
      </w:r>
      <w:r w:rsidRPr="00431F94">
        <w:rPr>
          <w:rFonts w:cs="Arial"/>
          <w:bCs/>
        </w:rPr>
        <w:t xml:space="preserve">2002. </w:t>
      </w:r>
      <w:r>
        <w:rPr>
          <w:rFonts w:cs="Arial"/>
          <w:bCs/>
        </w:rPr>
        <w:t xml:space="preserve"> </w:t>
      </w:r>
      <w:r w:rsidRPr="00431F94">
        <w:rPr>
          <w:rFonts w:cs="Arial"/>
          <w:bCs/>
        </w:rPr>
        <w:t>Cyanobacteria and their toxins in Florida surface waters.</w:t>
      </w:r>
      <w:r>
        <w:rPr>
          <w:rFonts w:cs="Arial"/>
          <w:bCs/>
        </w:rPr>
        <w:t xml:space="preserve"> </w:t>
      </w:r>
      <w:r w:rsidRPr="00431F94">
        <w:rPr>
          <w:rFonts w:cs="Arial"/>
          <w:bCs/>
        </w:rPr>
        <w:t xml:space="preserve"> </w:t>
      </w:r>
      <w:r w:rsidR="000309E2" w:rsidRPr="000309E2">
        <w:rPr>
          <w:rFonts w:cs="Arial"/>
          <w:bCs/>
          <w:i/>
        </w:rPr>
        <w:t>In:</w:t>
      </w:r>
      <w:r>
        <w:rPr>
          <w:rFonts w:cs="Arial"/>
          <w:bCs/>
        </w:rPr>
        <w:t xml:space="preserve">  </w:t>
      </w:r>
      <w:r w:rsidRPr="00431F94">
        <w:rPr>
          <w:rFonts w:cs="Arial"/>
          <w:bCs/>
        </w:rPr>
        <w:t>D. Johnson and R.D. Harbison</w:t>
      </w:r>
      <w:r>
        <w:rPr>
          <w:rFonts w:cs="Arial"/>
          <w:bCs/>
        </w:rPr>
        <w:t xml:space="preserve"> (</w:t>
      </w:r>
      <w:r w:rsidR="005C7479">
        <w:rPr>
          <w:rFonts w:cs="Arial"/>
          <w:bCs/>
        </w:rPr>
        <w:t>E</w:t>
      </w:r>
      <w:r w:rsidRPr="00431F94">
        <w:rPr>
          <w:rFonts w:cs="Arial"/>
          <w:bCs/>
        </w:rPr>
        <w:t>ds.</w:t>
      </w:r>
      <w:r>
        <w:rPr>
          <w:rFonts w:cs="Arial"/>
          <w:bCs/>
        </w:rPr>
        <w:t>),</w:t>
      </w:r>
      <w:r w:rsidRPr="00431F94">
        <w:rPr>
          <w:rFonts w:cs="Arial"/>
          <w:bCs/>
        </w:rPr>
        <w:t xml:space="preserve"> </w:t>
      </w:r>
      <w:r w:rsidRPr="00775E8E">
        <w:rPr>
          <w:rFonts w:cs="Arial"/>
          <w:bCs/>
          <w:i/>
        </w:rPr>
        <w:t>Proceedings of health effects of exposure to cyanobacteria toxins:  State of the science</w:t>
      </w:r>
      <w:r>
        <w:rPr>
          <w:rFonts w:cs="Arial"/>
          <w:bCs/>
          <w:i/>
        </w:rPr>
        <w:t xml:space="preserve"> </w:t>
      </w:r>
      <w:r w:rsidRPr="0054522E">
        <w:rPr>
          <w:rFonts w:cs="Arial"/>
          <w:bCs/>
        </w:rPr>
        <w:t>(A</w:t>
      </w:r>
      <w:r w:rsidRPr="00431F94">
        <w:rPr>
          <w:rFonts w:cs="Arial"/>
          <w:bCs/>
        </w:rPr>
        <w:t xml:space="preserve">ugust 13–14, 2002, Sarasota, </w:t>
      </w:r>
      <w:r>
        <w:rPr>
          <w:rFonts w:cs="Arial"/>
          <w:bCs/>
        </w:rPr>
        <w:t>FL, p</w:t>
      </w:r>
      <w:r w:rsidRPr="00431F94">
        <w:rPr>
          <w:rFonts w:cs="Arial"/>
          <w:bCs/>
        </w:rPr>
        <w:t>p. 16–21</w:t>
      </w:r>
      <w:r>
        <w:rPr>
          <w:rFonts w:cs="Arial"/>
          <w:bCs/>
        </w:rPr>
        <w:t xml:space="preserve">). </w:t>
      </w:r>
      <w:r w:rsidRPr="00431F94">
        <w:rPr>
          <w:rFonts w:cs="Arial"/>
          <w:bCs/>
        </w:rPr>
        <w:t xml:space="preserve"> </w:t>
      </w:r>
    </w:p>
    <w:p w:rsidR="00485094" w:rsidRPr="006B1693" w:rsidRDefault="00485094" w:rsidP="00FE7836">
      <w:pPr>
        <w:pStyle w:val="References"/>
      </w:pPr>
      <w:r>
        <w:t xml:space="preserve">Carvalho, A., W. Schropp, G.M. Sloane, T.P. Biernacki, and T.L. Seal. </w:t>
      </w:r>
      <w:r w:rsidRPr="006B1693">
        <w:t xml:space="preserve"> 2003.  </w:t>
      </w:r>
      <w:r w:rsidRPr="00CF2E30">
        <w:rPr>
          <w:i/>
          <w:snapToGrid w:val="0"/>
        </w:rPr>
        <w:t>Development of an interpretive tool for assessment of metal enrichment in Florida freshwater sediment.</w:t>
      </w:r>
      <w:r w:rsidRPr="006B1693">
        <w:rPr>
          <w:snapToGrid w:val="0"/>
        </w:rPr>
        <w:t xml:space="preserve">  </w:t>
      </w:r>
      <w:r>
        <w:rPr>
          <w:snapToGrid w:val="0"/>
        </w:rPr>
        <w:t xml:space="preserve">Jacksonville, FL:  Taylor </w:t>
      </w:r>
      <w:r w:rsidRPr="006B1693">
        <w:rPr>
          <w:snapToGrid w:val="0"/>
        </w:rPr>
        <w:t>Engineering</w:t>
      </w:r>
      <w:r>
        <w:rPr>
          <w:snapToGrid w:val="0"/>
        </w:rPr>
        <w:t xml:space="preserve"> and Florida Department of Environmental Protection.  Prepared for the Florida Department of Environmental Protection.  Available:  </w:t>
      </w:r>
      <w:hyperlink r:id="rId207" w:history="1">
        <w:r w:rsidRPr="006B1693">
          <w:rPr>
            <w:rStyle w:val="Hyperlink"/>
            <w:rFonts w:cs="Arial"/>
            <w:szCs w:val="22"/>
          </w:rPr>
          <w:t>http://www.dep.state.fl.us/water/monitoring/docs/seds/FFW_Metals_Report_Final.pdf</w:t>
        </w:r>
      </w:hyperlink>
      <w:r>
        <w:t>.</w:t>
      </w:r>
    </w:p>
    <w:p w:rsidR="00485094" w:rsidRPr="008654A0" w:rsidRDefault="00485094" w:rsidP="00E25E53">
      <w:pPr>
        <w:pStyle w:val="References"/>
        <w:rPr>
          <w:rFonts w:cs="Arial"/>
          <w:bCs/>
          <w:i/>
        </w:rPr>
      </w:pPr>
      <w:r w:rsidRPr="00431F94">
        <w:rPr>
          <w:rFonts w:cs="Arial"/>
          <w:bCs/>
        </w:rPr>
        <w:t>C</w:t>
      </w:r>
      <w:r>
        <w:rPr>
          <w:rFonts w:cs="Arial"/>
          <w:bCs/>
        </w:rPr>
        <w:t>hapman</w:t>
      </w:r>
      <w:r w:rsidRPr="00431F94">
        <w:rPr>
          <w:rFonts w:cs="Arial"/>
          <w:bCs/>
        </w:rPr>
        <w:t>,</w:t>
      </w:r>
      <w:r>
        <w:rPr>
          <w:rFonts w:cs="Arial"/>
          <w:bCs/>
        </w:rPr>
        <w:t xml:space="preserve"> </w:t>
      </w:r>
      <w:r w:rsidRPr="00431F94">
        <w:rPr>
          <w:rFonts w:cs="Arial"/>
          <w:bCs/>
        </w:rPr>
        <w:t>A.D.</w:t>
      </w:r>
      <w:r>
        <w:rPr>
          <w:rFonts w:cs="Arial"/>
          <w:bCs/>
        </w:rPr>
        <w:t>,</w:t>
      </w:r>
      <w:r w:rsidRPr="00431F94">
        <w:rPr>
          <w:rFonts w:cs="Arial"/>
          <w:bCs/>
        </w:rPr>
        <w:t xml:space="preserve"> and C.L. S</w:t>
      </w:r>
      <w:r>
        <w:rPr>
          <w:rFonts w:cs="Arial"/>
          <w:bCs/>
        </w:rPr>
        <w:t>chelske</w:t>
      </w:r>
      <w:r w:rsidRPr="00431F94">
        <w:rPr>
          <w:rFonts w:cs="Arial"/>
          <w:bCs/>
        </w:rPr>
        <w:t>.</w:t>
      </w:r>
      <w:r>
        <w:rPr>
          <w:rFonts w:cs="Arial"/>
          <w:bCs/>
        </w:rPr>
        <w:t xml:space="preserve"> </w:t>
      </w:r>
      <w:r w:rsidRPr="00431F94">
        <w:rPr>
          <w:rFonts w:cs="Arial"/>
          <w:bCs/>
        </w:rPr>
        <w:t xml:space="preserve"> 1997.</w:t>
      </w:r>
      <w:r>
        <w:rPr>
          <w:rFonts w:cs="Arial"/>
          <w:bCs/>
        </w:rPr>
        <w:t xml:space="preserve"> </w:t>
      </w:r>
      <w:r w:rsidRPr="00431F94">
        <w:rPr>
          <w:rFonts w:cs="Arial"/>
          <w:bCs/>
        </w:rPr>
        <w:t xml:space="preserve"> Recent appearance of </w:t>
      </w:r>
      <w:r w:rsidRPr="00431F94">
        <w:rPr>
          <w:rFonts w:cs="Arial"/>
          <w:bCs/>
          <w:iCs/>
        </w:rPr>
        <w:t xml:space="preserve">Cylindrospermopsis </w:t>
      </w:r>
      <w:r w:rsidRPr="00431F94">
        <w:rPr>
          <w:rFonts w:cs="Arial"/>
          <w:bCs/>
        </w:rPr>
        <w:t>(Cyanobacteria) in</w:t>
      </w:r>
      <w:r>
        <w:rPr>
          <w:rFonts w:cs="Arial"/>
          <w:bCs/>
        </w:rPr>
        <w:t xml:space="preserve"> </w:t>
      </w:r>
      <w:r w:rsidRPr="00431F94">
        <w:rPr>
          <w:rFonts w:cs="Arial"/>
          <w:bCs/>
        </w:rPr>
        <w:t xml:space="preserve">five hypereutrophic Florida lakes. </w:t>
      </w:r>
      <w:r>
        <w:rPr>
          <w:rFonts w:cs="Arial"/>
          <w:bCs/>
        </w:rPr>
        <w:t xml:space="preserve"> </w:t>
      </w:r>
      <w:r w:rsidRPr="008654A0">
        <w:rPr>
          <w:rFonts w:cs="Arial"/>
          <w:bCs/>
          <w:i/>
        </w:rPr>
        <w:t>J</w:t>
      </w:r>
      <w:r w:rsidR="00431B2F">
        <w:rPr>
          <w:rFonts w:cs="Arial"/>
          <w:bCs/>
          <w:i/>
        </w:rPr>
        <w:t>.</w:t>
      </w:r>
      <w:r w:rsidRPr="008654A0">
        <w:rPr>
          <w:rFonts w:cs="Arial"/>
          <w:bCs/>
          <w:i/>
        </w:rPr>
        <w:t xml:space="preserve"> Phycology 33: 191–195.</w:t>
      </w:r>
    </w:p>
    <w:p w:rsidR="00485094" w:rsidRDefault="00485094" w:rsidP="007B1DF7">
      <w:pPr>
        <w:pStyle w:val="References"/>
      </w:pPr>
      <w:r>
        <w:t xml:space="preserve">Comprehensive Everglades Restoration Plan website.  2010.  Available:  </w:t>
      </w:r>
      <w:hyperlink r:id="rId208" w:history="1">
        <w:r w:rsidRPr="005F7EAB">
          <w:rPr>
            <w:rStyle w:val="Hyperlink"/>
          </w:rPr>
          <w:t>http://www.</w:t>
        </w:r>
        <w:r w:rsidRPr="005F7EAB">
          <w:rPr>
            <w:rStyle w:val="Hyperlink"/>
          </w:rPr>
          <w:br/>
          <w:t>evergladesplan.org/index.aspx</w:t>
        </w:r>
      </w:hyperlink>
      <w:r>
        <w:t>.</w:t>
      </w:r>
    </w:p>
    <w:p w:rsidR="00485094" w:rsidRDefault="00485094" w:rsidP="00E25E53">
      <w:pPr>
        <w:pStyle w:val="References"/>
      </w:pPr>
      <w:r>
        <w:t xml:space="preserve">Conover, W.J.  1999.  </w:t>
      </w:r>
      <w:r w:rsidRPr="00775E8E">
        <w:rPr>
          <w:i/>
        </w:rPr>
        <w:t>Practical nonparametric statistics.</w:t>
      </w:r>
      <w:r>
        <w:t xml:space="preserve">  New York:  Wiley.  </w:t>
      </w:r>
    </w:p>
    <w:p w:rsidR="00485094" w:rsidRDefault="00485094" w:rsidP="00E25E53">
      <w:pPr>
        <w:pStyle w:val="References"/>
      </w:pPr>
      <w:r>
        <w:t xml:space="preserve">Copeland, R., N.A. Doran, A.J. White, and S.B. Upchurch.  2009.  </w:t>
      </w:r>
      <w:r w:rsidRPr="00BE462B">
        <w:rPr>
          <w:i/>
        </w:rPr>
        <w:t>Regional and statewide trends in Florida’s spring and well groundwater quality.</w:t>
      </w:r>
      <w:r>
        <w:t xml:space="preserve">  Florida Geological Survey Bulletin No. 69.  Tallahassee, FL.  Available:  </w:t>
      </w:r>
      <w:hyperlink r:id="rId209" w:history="1">
        <w:r w:rsidRPr="005F7EAB">
          <w:rPr>
            <w:rStyle w:val="Hyperlink"/>
          </w:rPr>
          <w:t>http://ufdcweb1.uflib.ufl.edu/ufdc/</w:t>
        </w:r>
        <w:r w:rsidRPr="005F7EAB">
          <w:rPr>
            <w:rStyle w:val="Hyperlink"/>
          </w:rPr>
          <w:br/>
          <w:t>?b=UF00095137&amp;v=00001</w:t>
        </w:r>
      </w:hyperlink>
      <w:r>
        <w:t xml:space="preserve">.  </w:t>
      </w:r>
    </w:p>
    <w:p w:rsidR="00485094" w:rsidRPr="00775E8E" w:rsidRDefault="00485094" w:rsidP="00E25E53">
      <w:pPr>
        <w:pStyle w:val="References"/>
        <w:rPr>
          <w:i/>
        </w:rPr>
      </w:pPr>
      <w:r>
        <w:t xml:space="preserve">Crabbe, N.  February 28, 2008.  Drought just tip of water problems.  </w:t>
      </w:r>
      <w:r w:rsidRPr="00775E8E">
        <w:rPr>
          <w:i/>
        </w:rPr>
        <w:t>Gainesville Sun.</w:t>
      </w:r>
    </w:p>
    <w:p w:rsidR="00485094" w:rsidRDefault="00485094" w:rsidP="00E25E53">
      <w:pPr>
        <w:pStyle w:val="References"/>
      </w:pPr>
      <w:r>
        <w:t xml:space="preserve">Dahl, T.E.  1990.  </w:t>
      </w:r>
      <w:r w:rsidRPr="0097360A">
        <w:rPr>
          <w:i/>
        </w:rPr>
        <w:t xml:space="preserve">Wetlands—Losses in the United States, 1780s to 1980s.  </w:t>
      </w:r>
      <w:r>
        <w:t>U.S. Fish and Wildlife Service Report to Congress.  St. Petersburg, FL:  National Wetlands Inventory.</w:t>
      </w:r>
      <w:r w:rsidRPr="00AD7FC4">
        <w:t xml:space="preserve"> </w:t>
      </w:r>
      <w:r>
        <w:t xml:space="preserve"> Available:  </w:t>
      </w:r>
      <w:hyperlink r:id="rId210" w:history="1">
        <w:r w:rsidRPr="005F7EAB">
          <w:rPr>
            <w:rStyle w:val="Hyperlink"/>
          </w:rPr>
          <w:t>http://www.fws.gov/wetlands/_documents/gSandT/NationalReports/</w:t>
        </w:r>
        <w:r w:rsidRPr="005F7EAB">
          <w:rPr>
            <w:rStyle w:val="Hyperlink"/>
          </w:rPr>
          <w:br/>
          <w:t>WetlandsLossesUS1780sto1980s.pdf</w:t>
        </w:r>
      </w:hyperlink>
      <w:r>
        <w:t>.</w:t>
      </w:r>
    </w:p>
    <w:p w:rsidR="00872F0E" w:rsidRDefault="00485094" w:rsidP="00872F0E">
      <w:pPr>
        <w:pStyle w:val="References"/>
      </w:pPr>
      <w:r>
        <w:rPr>
          <w:snapToGrid w:val="0"/>
        </w:rPr>
        <w:t xml:space="preserve">———.  </w:t>
      </w:r>
      <w:r>
        <w:t xml:space="preserve">2005.  </w:t>
      </w:r>
      <w:r w:rsidRPr="00B54C2B">
        <w:rPr>
          <w:i/>
        </w:rPr>
        <w:t>Florida's wetlands:  An update on status and trends, 1985 to 1996.</w:t>
      </w:r>
      <w:r>
        <w:t xml:space="preserve">  Washington, DC:  U.S .Department of the Interior, Fish and Wildlife Service.  Available:  </w:t>
      </w:r>
      <w:hyperlink r:id="rId211" w:history="1">
        <w:r w:rsidRPr="005F7EAB">
          <w:rPr>
            <w:rStyle w:val="Hyperlink"/>
          </w:rPr>
          <w:t>http://www.</w:t>
        </w:r>
        <w:r w:rsidRPr="005F7EAB">
          <w:rPr>
            <w:rStyle w:val="Hyperlink"/>
          </w:rPr>
          <w:br/>
          <w:t>fws.gov/wetlands/_documents/gSandT/StateRegionalReports/FloridasWetlandsUpdateStatusTrends1985to1996.pdf</w:t>
        </w:r>
      </w:hyperlink>
      <w:r>
        <w:t>.</w:t>
      </w:r>
    </w:p>
    <w:p w:rsidR="00872F0E" w:rsidRPr="00872F0E" w:rsidRDefault="00872F0E" w:rsidP="00872F0E">
      <w:pPr>
        <w:pStyle w:val="References"/>
      </w:pPr>
      <w:proofErr w:type="spellStart"/>
      <w:r w:rsidRPr="00872F0E">
        <w:rPr>
          <w:rFonts w:cs="Arial"/>
          <w:szCs w:val="22"/>
        </w:rPr>
        <w:t>Emslie</w:t>
      </w:r>
      <w:proofErr w:type="spellEnd"/>
      <w:r w:rsidRPr="00872F0E">
        <w:rPr>
          <w:rFonts w:cs="Arial"/>
          <w:szCs w:val="22"/>
        </w:rPr>
        <w:t xml:space="preserve">, S.D., W.D. </w:t>
      </w:r>
      <w:proofErr w:type="spellStart"/>
      <w:r w:rsidRPr="00872F0E">
        <w:rPr>
          <w:rFonts w:cs="Arial"/>
          <w:szCs w:val="22"/>
        </w:rPr>
        <w:t>Allmon</w:t>
      </w:r>
      <w:proofErr w:type="spellEnd"/>
      <w:r w:rsidRPr="00872F0E">
        <w:rPr>
          <w:rFonts w:cs="Arial"/>
          <w:szCs w:val="22"/>
        </w:rPr>
        <w:t xml:space="preserve">, F.J. Rich, J.H. </w:t>
      </w:r>
      <w:proofErr w:type="spellStart"/>
      <w:r w:rsidRPr="00872F0E">
        <w:rPr>
          <w:rFonts w:cs="Arial"/>
          <w:szCs w:val="22"/>
        </w:rPr>
        <w:t>Wrenn</w:t>
      </w:r>
      <w:proofErr w:type="spellEnd"/>
      <w:r w:rsidRPr="00872F0E">
        <w:rPr>
          <w:rFonts w:cs="Arial"/>
          <w:szCs w:val="22"/>
        </w:rPr>
        <w:t xml:space="preserve">, and S. D. </w:t>
      </w:r>
      <w:proofErr w:type="spellStart"/>
      <w:r w:rsidRPr="00872F0E">
        <w:rPr>
          <w:rFonts w:cs="Arial"/>
          <w:szCs w:val="22"/>
        </w:rPr>
        <w:t>Defrance</w:t>
      </w:r>
      <w:proofErr w:type="spellEnd"/>
      <w:r w:rsidRPr="00872F0E">
        <w:rPr>
          <w:rFonts w:cs="Arial"/>
          <w:szCs w:val="22"/>
        </w:rPr>
        <w:t xml:space="preserve">. </w:t>
      </w:r>
      <w:r>
        <w:rPr>
          <w:rFonts w:cs="Arial"/>
          <w:szCs w:val="22"/>
        </w:rPr>
        <w:t xml:space="preserve"> </w:t>
      </w:r>
      <w:r w:rsidRPr="00872F0E">
        <w:rPr>
          <w:rFonts w:cs="Arial"/>
          <w:szCs w:val="22"/>
        </w:rPr>
        <w:t xml:space="preserve">1996. </w:t>
      </w:r>
      <w:r>
        <w:rPr>
          <w:rFonts w:cs="Arial"/>
          <w:szCs w:val="22"/>
        </w:rPr>
        <w:t xml:space="preserve"> </w:t>
      </w:r>
      <w:r w:rsidRPr="00872F0E">
        <w:rPr>
          <w:rFonts w:cs="Arial"/>
          <w:szCs w:val="22"/>
        </w:rPr>
        <w:t xml:space="preserve">Integrated </w:t>
      </w:r>
      <w:proofErr w:type="spellStart"/>
      <w:r w:rsidRPr="00872F0E">
        <w:rPr>
          <w:rFonts w:cs="Arial"/>
          <w:szCs w:val="22"/>
        </w:rPr>
        <w:t>taphonomy</w:t>
      </w:r>
      <w:proofErr w:type="spellEnd"/>
      <w:r w:rsidRPr="00872F0E">
        <w:rPr>
          <w:rFonts w:cs="Arial"/>
          <w:szCs w:val="22"/>
        </w:rPr>
        <w:t xml:space="preserve"> of an avian death assemblage in marine sediments from the late Pliocene of Florida. </w:t>
      </w:r>
      <w:r>
        <w:rPr>
          <w:rFonts w:cs="Arial"/>
          <w:szCs w:val="22"/>
        </w:rPr>
        <w:t xml:space="preserve"> </w:t>
      </w:r>
      <w:proofErr w:type="spellStart"/>
      <w:r w:rsidRPr="00872F0E">
        <w:rPr>
          <w:rFonts w:cs="Arial"/>
          <w:szCs w:val="22"/>
        </w:rPr>
        <w:t>Paleogeography</w:t>
      </w:r>
      <w:proofErr w:type="spellEnd"/>
      <w:r w:rsidRPr="00872F0E">
        <w:rPr>
          <w:rFonts w:cs="Arial"/>
          <w:szCs w:val="22"/>
        </w:rPr>
        <w:t xml:space="preserve">, </w:t>
      </w:r>
      <w:proofErr w:type="spellStart"/>
      <w:r w:rsidRPr="00872F0E">
        <w:rPr>
          <w:rFonts w:cs="Arial"/>
          <w:szCs w:val="22"/>
        </w:rPr>
        <w:t>Paleoclimatology</w:t>
      </w:r>
      <w:proofErr w:type="spellEnd"/>
      <w:r w:rsidRPr="00872F0E">
        <w:rPr>
          <w:rFonts w:cs="Arial"/>
          <w:szCs w:val="22"/>
        </w:rPr>
        <w:t xml:space="preserve">, </w:t>
      </w:r>
      <w:proofErr w:type="spellStart"/>
      <w:r w:rsidRPr="00872F0E">
        <w:rPr>
          <w:rFonts w:cs="Arial"/>
          <w:szCs w:val="22"/>
        </w:rPr>
        <w:t>Paleoecology</w:t>
      </w:r>
      <w:proofErr w:type="spellEnd"/>
      <w:r w:rsidRPr="00872F0E">
        <w:rPr>
          <w:rFonts w:cs="Arial"/>
          <w:szCs w:val="22"/>
        </w:rPr>
        <w:t xml:space="preserve"> 124, 107-136.</w:t>
      </w:r>
    </w:p>
    <w:p w:rsidR="00485094" w:rsidRDefault="00485094" w:rsidP="00B54C2B">
      <w:pPr>
        <w:pStyle w:val="References"/>
      </w:pPr>
      <w:r w:rsidRPr="00AD7FC4">
        <w:t>Fernald, E.A., and E.D. Purdum</w:t>
      </w:r>
      <w:r>
        <w:t xml:space="preserve"> (</w:t>
      </w:r>
      <w:r w:rsidR="005C7479">
        <w:t>E</w:t>
      </w:r>
      <w:r w:rsidR="005C7479" w:rsidRPr="00AD7FC4">
        <w:t>ds</w:t>
      </w:r>
      <w:r>
        <w:t>.)</w:t>
      </w:r>
      <w:r w:rsidRPr="00AD7FC4">
        <w:t xml:space="preserve">.  1998.  </w:t>
      </w:r>
      <w:r w:rsidRPr="00EC6624">
        <w:rPr>
          <w:i/>
        </w:rPr>
        <w:t>Water resources atlas of Florida.</w:t>
      </w:r>
      <w:r w:rsidRPr="00AD7FC4">
        <w:t xml:space="preserve">  Tallahassee, </w:t>
      </w:r>
      <w:r>
        <w:t>FL</w:t>
      </w:r>
      <w:r w:rsidRPr="00AD7FC4">
        <w:t>:  Florida State University, Institute of Science and Public Affairs.</w:t>
      </w:r>
    </w:p>
    <w:p w:rsidR="00485094" w:rsidRPr="0075585F" w:rsidRDefault="00485094" w:rsidP="00E25E53">
      <w:pPr>
        <w:pStyle w:val="References"/>
        <w:rPr>
          <w:color w:val="000000"/>
          <w:szCs w:val="22"/>
        </w:rPr>
      </w:pPr>
      <w:r>
        <w:rPr>
          <w:color w:val="000000"/>
          <w:szCs w:val="22"/>
        </w:rPr>
        <w:t>Fleming, L.E., D.G. Baden, J.</w:t>
      </w:r>
      <w:r w:rsidRPr="0075585F">
        <w:rPr>
          <w:color w:val="000000"/>
          <w:szCs w:val="22"/>
        </w:rPr>
        <w:t>A. Bean, R. Weisman,</w:t>
      </w:r>
      <w:r>
        <w:rPr>
          <w:color w:val="000000"/>
          <w:szCs w:val="22"/>
        </w:rPr>
        <w:t xml:space="preserve"> and D.</w:t>
      </w:r>
      <w:r w:rsidRPr="0075585F">
        <w:rPr>
          <w:color w:val="000000"/>
          <w:szCs w:val="22"/>
        </w:rPr>
        <w:t>G. Blythe.</w:t>
      </w:r>
      <w:r>
        <w:rPr>
          <w:color w:val="000000"/>
          <w:szCs w:val="22"/>
        </w:rPr>
        <w:t xml:space="preserve"> </w:t>
      </w:r>
      <w:r w:rsidRPr="0075585F">
        <w:rPr>
          <w:color w:val="000000"/>
          <w:szCs w:val="22"/>
        </w:rPr>
        <w:t xml:space="preserve"> 1998. </w:t>
      </w:r>
      <w:r>
        <w:rPr>
          <w:color w:val="000000"/>
          <w:szCs w:val="22"/>
        </w:rPr>
        <w:t xml:space="preserve"> </w:t>
      </w:r>
      <w:r w:rsidRPr="0075585F">
        <w:rPr>
          <w:color w:val="000000"/>
          <w:szCs w:val="22"/>
        </w:rPr>
        <w:t>Marine seafood toxin dis</w:t>
      </w:r>
      <w:r w:rsidRPr="0075585F">
        <w:rPr>
          <w:color w:val="000000"/>
          <w:szCs w:val="22"/>
        </w:rPr>
        <w:softHyphen/>
        <w:t xml:space="preserve">eases: </w:t>
      </w:r>
      <w:r>
        <w:rPr>
          <w:color w:val="000000"/>
          <w:szCs w:val="22"/>
        </w:rPr>
        <w:t xml:space="preserve"> I</w:t>
      </w:r>
      <w:r w:rsidRPr="0075585F">
        <w:rPr>
          <w:color w:val="000000"/>
          <w:szCs w:val="22"/>
        </w:rPr>
        <w:t xml:space="preserve">ssues in epidemiology and community outreach. </w:t>
      </w:r>
      <w:r>
        <w:rPr>
          <w:color w:val="000000"/>
          <w:szCs w:val="22"/>
        </w:rPr>
        <w:t xml:space="preserve"> </w:t>
      </w:r>
      <w:r w:rsidR="000309E2" w:rsidRPr="000309E2">
        <w:rPr>
          <w:i/>
          <w:color w:val="000000"/>
          <w:szCs w:val="22"/>
        </w:rPr>
        <w:t>In:</w:t>
      </w:r>
      <w:r>
        <w:rPr>
          <w:color w:val="000000"/>
          <w:szCs w:val="22"/>
        </w:rPr>
        <w:t xml:space="preserve">  </w:t>
      </w:r>
      <w:r w:rsidRPr="001319C1">
        <w:rPr>
          <w:i/>
          <w:color w:val="000000"/>
          <w:szCs w:val="22"/>
        </w:rPr>
        <w:t xml:space="preserve">Environmental health resources for community outreach and </w:t>
      </w:r>
      <w:r>
        <w:rPr>
          <w:i/>
          <w:color w:val="000000"/>
          <w:szCs w:val="22"/>
        </w:rPr>
        <w:t>e</w:t>
      </w:r>
      <w:r w:rsidRPr="001319C1">
        <w:rPr>
          <w:i/>
          <w:color w:val="000000"/>
          <w:szCs w:val="22"/>
        </w:rPr>
        <w:t xml:space="preserve">ducation: </w:t>
      </w:r>
      <w:r>
        <w:rPr>
          <w:i/>
          <w:color w:val="000000"/>
          <w:szCs w:val="22"/>
        </w:rPr>
        <w:t xml:space="preserve"> </w:t>
      </w:r>
      <w:r w:rsidRPr="001319C1">
        <w:rPr>
          <w:i/>
          <w:color w:val="000000"/>
          <w:szCs w:val="22"/>
        </w:rPr>
        <w:t>Marine science</w:t>
      </w:r>
      <w:r>
        <w:rPr>
          <w:i/>
          <w:color w:val="000000"/>
          <w:szCs w:val="22"/>
        </w:rPr>
        <w:t xml:space="preserve"> </w:t>
      </w:r>
      <w:r w:rsidRPr="0055773E">
        <w:rPr>
          <w:color w:val="000000"/>
          <w:szCs w:val="22"/>
        </w:rPr>
        <w:t>(</w:t>
      </w:r>
      <w:r>
        <w:rPr>
          <w:color w:val="000000"/>
          <w:szCs w:val="22"/>
        </w:rPr>
        <w:t xml:space="preserve">Miami, FL:  National Institute of Environmental Health Sciences, </w:t>
      </w:r>
      <w:r w:rsidRPr="0055773E">
        <w:rPr>
          <w:color w:val="000000"/>
          <w:szCs w:val="22"/>
        </w:rPr>
        <w:t>Marine and Freshwater Biomedical Sciences Center</w:t>
      </w:r>
      <w:r>
        <w:rPr>
          <w:color w:val="000000"/>
          <w:szCs w:val="22"/>
        </w:rPr>
        <w:t>)</w:t>
      </w:r>
      <w:r w:rsidRPr="0075585F">
        <w:rPr>
          <w:color w:val="000000"/>
          <w:szCs w:val="22"/>
        </w:rPr>
        <w:t xml:space="preserve">. </w:t>
      </w:r>
      <w:r>
        <w:rPr>
          <w:color w:val="000000"/>
          <w:szCs w:val="22"/>
        </w:rPr>
        <w:t xml:space="preserve"> Avail</w:t>
      </w:r>
      <w:r w:rsidRPr="0075585F">
        <w:rPr>
          <w:color w:val="000000"/>
          <w:szCs w:val="22"/>
        </w:rPr>
        <w:t>able</w:t>
      </w:r>
      <w:r>
        <w:rPr>
          <w:color w:val="000000"/>
          <w:szCs w:val="22"/>
        </w:rPr>
        <w:t>:</w:t>
      </w:r>
      <w:r w:rsidRPr="0075585F">
        <w:rPr>
          <w:color w:val="000000"/>
          <w:szCs w:val="22"/>
        </w:rPr>
        <w:t xml:space="preserve"> </w:t>
      </w:r>
      <w:hyperlink r:id="rId212" w:history="1">
        <w:r w:rsidRPr="003A7A81">
          <w:rPr>
            <w:rStyle w:val="Hyperlink"/>
            <w:rFonts w:cs="Arial"/>
            <w:szCs w:val="22"/>
          </w:rPr>
          <w:t>http://iodeweb1.vliz.be/odin/bitstream/1834/758/1/Lora%20E5.pdf</w:t>
        </w:r>
      </w:hyperlink>
      <w:r>
        <w:rPr>
          <w:color w:val="0066FF"/>
          <w:szCs w:val="22"/>
          <w:u w:val="single"/>
        </w:rPr>
        <w:t>.</w:t>
      </w:r>
      <w:r w:rsidRPr="0075585F">
        <w:rPr>
          <w:color w:val="000000"/>
          <w:szCs w:val="22"/>
        </w:rPr>
        <w:t xml:space="preserve"> </w:t>
      </w:r>
    </w:p>
    <w:p w:rsidR="00485094" w:rsidRPr="001319C1" w:rsidRDefault="00485094" w:rsidP="00E25E53">
      <w:pPr>
        <w:pStyle w:val="References"/>
        <w:rPr>
          <w:i/>
          <w:szCs w:val="22"/>
        </w:rPr>
      </w:pPr>
      <w:r w:rsidRPr="0075585F">
        <w:rPr>
          <w:szCs w:val="22"/>
        </w:rPr>
        <w:t xml:space="preserve">Flewelling, L.J., </w:t>
      </w:r>
      <w:r>
        <w:rPr>
          <w:szCs w:val="22"/>
        </w:rPr>
        <w:t xml:space="preserve">J.P. </w:t>
      </w:r>
      <w:r w:rsidRPr="0075585F">
        <w:rPr>
          <w:szCs w:val="22"/>
        </w:rPr>
        <w:t xml:space="preserve">Naar, </w:t>
      </w:r>
      <w:r>
        <w:rPr>
          <w:szCs w:val="22"/>
        </w:rPr>
        <w:t>J.P.</w:t>
      </w:r>
      <w:r w:rsidRPr="0075585F">
        <w:rPr>
          <w:szCs w:val="22"/>
        </w:rPr>
        <w:t xml:space="preserve"> Abbott, </w:t>
      </w:r>
      <w:r>
        <w:rPr>
          <w:szCs w:val="22"/>
        </w:rPr>
        <w:t>D.G.</w:t>
      </w:r>
      <w:r w:rsidRPr="0075585F">
        <w:rPr>
          <w:szCs w:val="22"/>
        </w:rPr>
        <w:t xml:space="preserve"> Baden, </w:t>
      </w:r>
      <w:r>
        <w:rPr>
          <w:szCs w:val="22"/>
        </w:rPr>
        <w:t>N.B.</w:t>
      </w:r>
      <w:r w:rsidRPr="0075585F">
        <w:rPr>
          <w:szCs w:val="22"/>
        </w:rPr>
        <w:t xml:space="preserve"> Barros, </w:t>
      </w:r>
      <w:r>
        <w:rPr>
          <w:szCs w:val="22"/>
        </w:rPr>
        <w:t>G.D.</w:t>
      </w:r>
      <w:r w:rsidRPr="0075585F">
        <w:rPr>
          <w:szCs w:val="22"/>
        </w:rPr>
        <w:t xml:space="preserve"> Bossart, </w:t>
      </w:r>
      <w:r>
        <w:rPr>
          <w:szCs w:val="22"/>
        </w:rPr>
        <w:t>M.-Y.C.</w:t>
      </w:r>
      <w:r w:rsidRPr="0075585F">
        <w:rPr>
          <w:szCs w:val="22"/>
        </w:rPr>
        <w:t xml:space="preserve"> Bottein, </w:t>
      </w:r>
      <w:r>
        <w:rPr>
          <w:szCs w:val="22"/>
        </w:rPr>
        <w:t>D.G.</w:t>
      </w:r>
      <w:r w:rsidRPr="0075585F">
        <w:rPr>
          <w:szCs w:val="22"/>
        </w:rPr>
        <w:t xml:space="preserve"> Hammond, </w:t>
      </w:r>
      <w:r>
        <w:rPr>
          <w:szCs w:val="22"/>
        </w:rPr>
        <w:t>E.M.</w:t>
      </w:r>
      <w:r w:rsidRPr="0075585F">
        <w:rPr>
          <w:szCs w:val="22"/>
        </w:rPr>
        <w:t xml:space="preserve"> Haubold, </w:t>
      </w:r>
      <w:r>
        <w:rPr>
          <w:szCs w:val="22"/>
        </w:rPr>
        <w:t>C.A.</w:t>
      </w:r>
      <w:r w:rsidRPr="0075585F">
        <w:rPr>
          <w:szCs w:val="22"/>
        </w:rPr>
        <w:t xml:space="preserve"> Heil, </w:t>
      </w:r>
      <w:r>
        <w:rPr>
          <w:szCs w:val="22"/>
        </w:rPr>
        <w:t>M.S.</w:t>
      </w:r>
      <w:r w:rsidRPr="0075585F">
        <w:rPr>
          <w:szCs w:val="22"/>
        </w:rPr>
        <w:t xml:space="preserve"> Henry, </w:t>
      </w:r>
      <w:r>
        <w:rPr>
          <w:szCs w:val="22"/>
        </w:rPr>
        <w:t>H.M.</w:t>
      </w:r>
      <w:r w:rsidRPr="0075585F">
        <w:rPr>
          <w:szCs w:val="22"/>
        </w:rPr>
        <w:t xml:space="preserve"> Jacocks, </w:t>
      </w:r>
      <w:r>
        <w:rPr>
          <w:szCs w:val="22"/>
        </w:rPr>
        <w:t>T.A.</w:t>
      </w:r>
      <w:r w:rsidRPr="0075585F">
        <w:rPr>
          <w:szCs w:val="22"/>
        </w:rPr>
        <w:t xml:space="preserve"> Leighfield, </w:t>
      </w:r>
      <w:r>
        <w:rPr>
          <w:szCs w:val="22"/>
        </w:rPr>
        <w:t>R.H.</w:t>
      </w:r>
      <w:r w:rsidRPr="0075585F">
        <w:rPr>
          <w:szCs w:val="22"/>
        </w:rPr>
        <w:t xml:space="preserve">  Pierce, </w:t>
      </w:r>
      <w:r>
        <w:rPr>
          <w:szCs w:val="22"/>
        </w:rPr>
        <w:t>T.D.</w:t>
      </w:r>
      <w:r w:rsidRPr="0075585F">
        <w:rPr>
          <w:szCs w:val="22"/>
        </w:rPr>
        <w:t xml:space="preserve"> Pitchford, </w:t>
      </w:r>
      <w:r>
        <w:rPr>
          <w:szCs w:val="22"/>
        </w:rPr>
        <w:t>S.A.</w:t>
      </w:r>
      <w:r w:rsidRPr="0075585F">
        <w:rPr>
          <w:szCs w:val="22"/>
        </w:rPr>
        <w:t xml:space="preserve"> Rommel, </w:t>
      </w:r>
      <w:r>
        <w:rPr>
          <w:szCs w:val="22"/>
        </w:rPr>
        <w:t>P.S.</w:t>
      </w:r>
      <w:r w:rsidRPr="0075585F">
        <w:rPr>
          <w:szCs w:val="22"/>
        </w:rPr>
        <w:t xml:space="preserve"> Scott, </w:t>
      </w:r>
      <w:r>
        <w:rPr>
          <w:szCs w:val="22"/>
        </w:rPr>
        <w:t>K.A.</w:t>
      </w:r>
      <w:r w:rsidRPr="0075585F">
        <w:rPr>
          <w:szCs w:val="22"/>
        </w:rPr>
        <w:t xml:space="preserve"> Steidinger, </w:t>
      </w:r>
      <w:r>
        <w:rPr>
          <w:szCs w:val="22"/>
        </w:rPr>
        <w:t>E.W.</w:t>
      </w:r>
      <w:r w:rsidRPr="0075585F">
        <w:rPr>
          <w:szCs w:val="22"/>
        </w:rPr>
        <w:t xml:space="preserve"> Truby, </w:t>
      </w:r>
      <w:r>
        <w:rPr>
          <w:szCs w:val="22"/>
        </w:rPr>
        <w:t>F.M.</w:t>
      </w:r>
      <w:r w:rsidRPr="0075585F">
        <w:rPr>
          <w:szCs w:val="22"/>
        </w:rPr>
        <w:t xml:space="preserve"> Van Dolah, and </w:t>
      </w:r>
      <w:r>
        <w:rPr>
          <w:szCs w:val="22"/>
        </w:rPr>
        <w:t xml:space="preserve">J.H. </w:t>
      </w:r>
      <w:r w:rsidRPr="0075585F">
        <w:rPr>
          <w:szCs w:val="22"/>
        </w:rPr>
        <w:t xml:space="preserve">Landsberg. </w:t>
      </w:r>
      <w:r>
        <w:rPr>
          <w:szCs w:val="22"/>
        </w:rPr>
        <w:t xml:space="preserve"> </w:t>
      </w:r>
      <w:r w:rsidRPr="0075585F">
        <w:rPr>
          <w:szCs w:val="22"/>
        </w:rPr>
        <w:t xml:space="preserve">2005. </w:t>
      </w:r>
      <w:r>
        <w:rPr>
          <w:szCs w:val="22"/>
        </w:rPr>
        <w:t xml:space="preserve"> </w:t>
      </w:r>
      <w:r w:rsidRPr="0075585F">
        <w:rPr>
          <w:szCs w:val="22"/>
        </w:rPr>
        <w:t xml:space="preserve">Brevitoxicosis: </w:t>
      </w:r>
      <w:r w:rsidR="00431B2F">
        <w:rPr>
          <w:szCs w:val="22"/>
        </w:rPr>
        <w:t xml:space="preserve"> </w:t>
      </w:r>
      <w:r w:rsidRPr="0075585F">
        <w:rPr>
          <w:szCs w:val="22"/>
        </w:rPr>
        <w:t>Red tides and marine mammal mortalities.</w:t>
      </w:r>
      <w:r w:rsidRPr="0075585F">
        <w:rPr>
          <w:bCs/>
          <w:szCs w:val="22"/>
        </w:rPr>
        <w:t xml:space="preserve"> </w:t>
      </w:r>
      <w:r>
        <w:rPr>
          <w:bCs/>
          <w:szCs w:val="22"/>
        </w:rPr>
        <w:t xml:space="preserve"> </w:t>
      </w:r>
      <w:r w:rsidRPr="001319C1">
        <w:rPr>
          <w:bCs/>
          <w:i/>
          <w:szCs w:val="22"/>
        </w:rPr>
        <w:t>Nature 435 (7043), 755</w:t>
      </w:r>
      <w:r>
        <w:rPr>
          <w:bCs/>
          <w:i/>
          <w:szCs w:val="22"/>
        </w:rPr>
        <w:t>–</w:t>
      </w:r>
      <w:r w:rsidRPr="001319C1">
        <w:rPr>
          <w:bCs/>
          <w:i/>
          <w:szCs w:val="22"/>
        </w:rPr>
        <w:t>756.</w:t>
      </w:r>
    </w:p>
    <w:p w:rsidR="00485094" w:rsidRDefault="00485094" w:rsidP="00C16C1C">
      <w:pPr>
        <w:pStyle w:val="References"/>
      </w:pPr>
      <w:r>
        <w:t xml:space="preserve">Florida Administrative Code.  August 8, 2007.  Section 5E-1.003.  </w:t>
      </w:r>
      <w:r w:rsidRPr="004E22EE">
        <w:rPr>
          <w:i/>
        </w:rPr>
        <w:t>Labels or tags.</w:t>
      </w:r>
      <w:r>
        <w:t xml:space="preserve">  Available:  </w:t>
      </w:r>
      <w:hyperlink r:id="rId213" w:history="1">
        <w:r w:rsidRPr="00C57FE5">
          <w:rPr>
            <w:rStyle w:val="Hyperlink"/>
          </w:rPr>
          <w:t>https://www.flrules.org/gateway/ChapterHome.asp?Chapter=5E-1</w:t>
        </w:r>
      </w:hyperlink>
      <w:r>
        <w:t>.</w:t>
      </w:r>
    </w:p>
    <w:p w:rsidR="00485094" w:rsidRDefault="00485094" w:rsidP="00C16C1C">
      <w:pPr>
        <w:pStyle w:val="References"/>
        <w:rPr>
          <w:szCs w:val="22"/>
        </w:rPr>
      </w:pPr>
      <w:r>
        <w:t xml:space="preserve">Florida Department of Agriculture and Consumer Services.  Revised November 29, </w:t>
      </w:r>
      <w:r w:rsidRPr="0075585F">
        <w:rPr>
          <w:szCs w:val="22"/>
        </w:rPr>
        <w:t xml:space="preserve">2007. </w:t>
      </w:r>
      <w:r>
        <w:rPr>
          <w:szCs w:val="22"/>
        </w:rPr>
        <w:t xml:space="preserve"> </w:t>
      </w:r>
      <w:r w:rsidRPr="001319C1">
        <w:rPr>
          <w:i/>
          <w:szCs w:val="22"/>
        </w:rPr>
        <w:t>Contingency plan for the control of shellﬁsh potentially contaminated by marine biotoxin.</w:t>
      </w:r>
      <w:r w:rsidRPr="0075585F">
        <w:rPr>
          <w:szCs w:val="22"/>
        </w:rPr>
        <w:t xml:space="preserve"> </w:t>
      </w:r>
      <w:r>
        <w:rPr>
          <w:szCs w:val="22"/>
        </w:rPr>
        <w:t xml:space="preserve"> Tallahassee, FL.</w:t>
      </w:r>
    </w:p>
    <w:p w:rsidR="00485094" w:rsidRDefault="002A4505" w:rsidP="00E25E53">
      <w:pPr>
        <w:pStyle w:val="References"/>
      </w:pPr>
      <w:r>
        <w:rPr>
          <w:snapToGrid w:val="0"/>
        </w:rPr>
        <w:t xml:space="preserve">———.  </w:t>
      </w:r>
      <w:r w:rsidR="00485094">
        <w:t xml:space="preserve">2006.  </w:t>
      </w:r>
      <w:r w:rsidR="00485094" w:rsidRPr="00EC6624">
        <w:rPr>
          <w:i/>
        </w:rPr>
        <w:t xml:space="preserve">Shellfish </w:t>
      </w:r>
      <w:r w:rsidR="00485094">
        <w:rPr>
          <w:i/>
        </w:rPr>
        <w:t xml:space="preserve">harvesting website.  </w:t>
      </w:r>
      <w:r w:rsidR="00485094" w:rsidRPr="00271CB6">
        <w:t>Division of Aquaculture.</w:t>
      </w:r>
      <w:r w:rsidR="00485094">
        <w:t xml:space="preserve">  Available:  </w:t>
      </w:r>
      <w:hyperlink r:id="rId214" w:history="1">
        <w:r w:rsidRPr="00BF2DFB">
          <w:rPr>
            <w:rStyle w:val="Hyperlink"/>
            <w:szCs w:val="22"/>
          </w:rPr>
          <w:t>http://www.floridaaquaculture.com/</w:t>
        </w:r>
        <w:r w:rsidR="000309E2" w:rsidRPr="000309E2">
          <w:rPr>
            <w:rStyle w:val="Hyperlink"/>
            <w:szCs w:val="22"/>
          </w:rPr>
          <w:t>SEAS/SEAS_intro.htm</w:t>
        </w:r>
      </w:hyperlink>
      <w:r w:rsidR="00485094">
        <w:t>.</w:t>
      </w:r>
    </w:p>
    <w:p w:rsidR="00485094" w:rsidRDefault="00485094" w:rsidP="00E25E53">
      <w:pPr>
        <w:pStyle w:val="References"/>
      </w:pPr>
      <w:r>
        <w:rPr>
          <w:snapToGrid w:val="0"/>
        </w:rPr>
        <w:t xml:space="preserve">———.  2006.  </w:t>
      </w:r>
      <w:r w:rsidRPr="00EC6624">
        <w:rPr>
          <w:i/>
          <w:snapToGrid w:val="0"/>
        </w:rPr>
        <w:t>Red tide</w:t>
      </w:r>
      <w:r>
        <w:rPr>
          <w:i/>
          <w:snapToGrid w:val="0"/>
        </w:rPr>
        <w:t xml:space="preserve"> website</w:t>
      </w:r>
      <w:r w:rsidRPr="00EC6624">
        <w:rPr>
          <w:i/>
          <w:snapToGrid w:val="0"/>
        </w:rPr>
        <w:t>.</w:t>
      </w:r>
      <w:r>
        <w:rPr>
          <w:snapToGrid w:val="0"/>
        </w:rPr>
        <w:t xml:space="preserve">  Available:  </w:t>
      </w:r>
      <w:hyperlink r:id="rId215" w:history="1">
        <w:r w:rsidRPr="005F7EAB">
          <w:rPr>
            <w:rStyle w:val="Hyperlink"/>
            <w:snapToGrid w:val="0"/>
          </w:rPr>
          <w:t>http://www.floridaaquaculture.com/</w:t>
        </w:r>
        <w:r w:rsidRPr="005F7EAB">
          <w:rPr>
            <w:rStyle w:val="Hyperlink"/>
            <w:snapToGrid w:val="0"/>
          </w:rPr>
          <w:br/>
          <w:t>RedTide/RedTideInfo.htm</w:t>
        </w:r>
      </w:hyperlink>
      <w:r>
        <w:rPr>
          <w:snapToGrid w:val="0"/>
        </w:rPr>
        <w:t xml:space="preserve">.  </w:t>
      </w:r>
    </w:p>
    <w:p w:rsidR="00485094" w:rsidRDefault="00485094" w:rsidP="00E86D10">
      <w:pPr>
        <w:pStyle w:val="References"/>
      </w:pPr>
      <w:r>
        <w:rPr>
          <w:snapToGrid w:val="0"/>
        </w:rPr>
        <w:t xml:space="preserve">———.  </w:t>
      </w:r>
      <w:r w:rsidRPr="00E86D10">
        <w:t xml:space="preserve">Revised November 29, 2007. </w:t>
      </w:r>
      <w:r>
        <w:t xml:space="preserve"> </w:t>
      </w:r>
      <w:r w:rsidRPr="00E86D10">
        <w:rPr>
          <w:i/>
        </w:rPr>
        <w:t xml:space="preserve">Contingency plan for the control of shellﬁsh potentially contaminated by marine biotoxin. </w:t>
      </w:r>
      <w:r w:rsidRPr="00E86D10">
        <w:t xml:space="preserve"> Tallahassee, FL. </w:t>
      </w:r>
    </w:p>
    <w:p w:rsidR="00485094" w:rsidRDefault="00485094" w:rsidP="00E25E53">
      <w:pPr>
        <w:pStyle w:val="References"/>
      </w:pPr>
      <w:r>
        <w:rPr>
          <w:snapToGrid w:val="0"/>
        </w:rPr>
        <w:t xml:space="preserve">———.  </w:t>
      </w:r>
      <w:r>
        <w:t xml:space="preserve">2010.  </w:t>
      </w:r>
      <w:r w:rsidRPr="00A81A6F">
        <w:rPr>
          <w:i/>
        </w:rPr>
        <w:t>Office of Agricultural Water Policy website.</w:t>
      </w:r>
      <w:r>
        <w:t xml:space="preserve">  Available:  </w:t>
      </w:r>
      <w:hyperlink r:id="rId216" w:history="1">
        <w:r w:rsidRPr="005F7EAB">
          <w:rPr>
            <w:rStyle w:val="Hyperlink"/>
          </w:rPr>
          <w:t>http://www.</w:t>
        </w:r>
        <w:r w:rsidRPr="005F7EAB">
          <w:rPr>
            <w:rStyle w:val="Hyperlink"/>
          </w:rPr>
          <w:br/>
          <w:t>floridaagwaterpolicy.com/</w:t>
        </w:r>
      </w:hyperlink>
      <w:r>
        <w:t>.</w:t>
      </w:r>
    </w:p>
    <w:p w:rsidR="00485094" w:rsidRDefault="00485094" w:rsidP="003917BD">
      <w:pPr>
        <w:pStyle w:val="References"/>
      </w:pPr>
      <w:r w:rsidRPr="0055773E">
        <w:t xml:space="preserve">Florida Department of Environmental Protection. </w:t>
      </w:r>
      <w:r>
        <w:t xml:space="preserve"> 1994.  </w:t>
      </w:r>
      <w:r w:rsidRPr="00524D83">
        <w:rPr>
          <w:i/>
        </w:rPr>
        <w:t xml:space="preserve">Florida coastal sediments contaminants atlas.  </w:t>
      </w:r>
      <w:r>
        <w:t xml:space="preserve">Available:  </w:t>
      </w:r>
      <w:hyperlink r:id="rId217" w:history="1">
        <w:r w:rsidRPr="005F7EAB">
          <w:rPr>
            <w:rStyle w:val="Hyperlink"/>
          </w:rPr>
          <w:t>http://publicfiles.dep.state.fl.us/FGS/FGS_Publications/</w:t>
        </w:r>
        <w:r w:rsidRPr="005F7EAB">
          <w:rPr>
            <w:rStyle w:val="Hyperlink"/>
          </w:rPr>
          <w:br/>
          <w:t>FGS%20Library%20Documents/FLCoastSedContamAtlas.pdf</w:t>
        </w:r>
      </w:hyperlink>
      <w:r>
        <w:t>.</w:t>
      </w:r>
      <w:r w:rsidRPr="0055773E">
        <w:t xml:space="preserve"> </w:t>
      </w:r>
    </w:p>
    <w:p w:rsidR="00485094" w:rsidRPr="003917BD" w:rsidRDefault="00485094" w:rsidP="003917BD">
      <w:pPr>
        <w:pStyle w:val="References"/>
      </w:pPr>
      <w:r>
        <w:t>———</w:t>
      </w:r>
      <w:r w:rsidRPr="003917BD">
        <w:t xml:space="preserve">.  </w:t>
      </w:r>
      <w:r>
        <w:t xml:space="preserve">2010. </w:t>
      </w:r>
      <w:r w:rsidRPr="003917BD">
        <w:t xml:space="preserve"> </w:t>
      </w:r>
      <w:r w:rsidRPr="003917BD">
        <w:rPr>
          <w:rStyle w:val="Emphasis"/>
          <w:rFonts w:cs="Arial"/>
          <w:color w:val="000000"/>
          <w:szCs w:val="22"/>
        </w:rPr>
        <w:t>1:24,000 High-Resolution, National Hydrography Dataset</w:t>
      </w:r>
      <w:r w:rsidRPr="003917BD">
        <w:t>.</w:t>
      </w:r>
    </w:p>
    <w:p w:rsidR="00485094" w:rsidRPr="0055773E" w:rsidRDefault="00485094" w:rsidP="00E25E53">
      <w:pPr>
        <w:pStyle w:val="References"/>
      </w:pPr>
      <w:r>
        <w:t xml:space="preserve">———.  </w:t>
      </w:r>
      <w:r w:rsidRPr="0055773E">
        <w:t xml:space="preserve">2000.  </w:t>
      </w:r>
      <w:r w:rsidRPr="0055773E">
        <w:rPr>
          <w:i/>
        </w:rPr>
        <w:t>Integrated water quality assessment for Florida: 200</w:t>
      </w:r>
      <w:r>
        <w:rPr>
          <w:i/>
        </w:rPr>
        <w:t>0</w:t>
      </w:r>
      <w:r w:rsidRPr="0055773E">
        <w:rPr>
          <w:i/>
        </w:rPr>
        <w:t xml:space="preserve"> 305(b) report and 303(d) list update.  </w:t>
      </w:r>
      <w:r w:rsidRPr="0055773E">
        <w:t>Tallahassee, FL</w:t>
      </w:r>
      <w:r>
        <w:t>:  Bureau of Watershed Management</w:t>
      </w:r>
      <w:r w:rsidRPr="0055773E">
        <w:t>.</w:t>
      </w:r>
      <w:r>
        <w:t xml:space="preserve">  Available:  </w:t>
      </w:r>
      <w:hyperlink r:id="rId218" w:history="1">
        <w:r w:rsidRPr="00C57FE5">
          <w:rPr>
            <w:rStyle w:val="Hyperlink"/>
          </w:rPr>
          <w:t>http://www.dep.state.fl.us/water/docs/2004_Integrated_Report.pdf</w:t>
        </w:r>
      </w:hyperlink>
      <w:r>
        <w:t>.</w:t>
      </w:r>
    </w:p>
    <w:p w:rsidR="00485094" w:rsidRDefault="00485094" w:rsidP="00E25E53">
      <w:pPr>
        <w:pStyle w:val="References"/>
      </w:pPr>
      <w:r>
        <w:t xml:space="preserve">———.  2000–06.  </w:t>
      </w:r>
      <w:r>
        <w:rPr>
          <w:i/>
        </w:rPr>
        <w:t>Basin</w:t>
      </w:r>
      <w:r w:rsidRPr="00024BBD">
        <w:rPr>
          <w:i/>
        </w:rPr>
        <w:t xml:space="preserve"> status reports and water quality assessment reports.</w:t>
      </w:r>
      <w:r>
        <w:t xml:space="preserve">  Available:  </w:t>
      </w:r>
      <w:hyperlink r:id="rId219" w:history="1">
        <w:r w:rsidRPr="00960D9A">
          <w:rPr>
            <w:rStyle w:val="Hyperlink"/>
          </w:rPr>
          <w:t>http://www.dep.state.fl.us/water/tmdl/stat_rep.htm</w:t>
        </w:r>
      </w:hyperlink>
      <w:r>
        <w:t>.</w:t>
      </w:r>
    </w:p>
    <w:p w:rsidR="00485094" w:rsidRDefault="00485094" w:rsidP="00E25E53">
      <w:pPr>
        <w:pStyle w:val="References"/>
      </w:pPr>
      <w:r w:rsidRPr="00BC425B">
        <w:rPr>
          <w:rFonts w:cs="Arial"/>
          <w:bCs/>
          <w:szCs w:val="22"/>
        </w:rPr>
        <w:t xml:space="preserve">———.  </w:t>
      </w:r>
      <w:r>
        <w:t xml:space="preserve">February 2001.  </w:t>
      </w:r>
      <w:r>
        <w:rPr>
          <w:i/>
        </w:rPr>
        <w:t>A report to the Governor and the Legislature on the allocation of Total Maximum Daily Loads in Florida.</w:t>
      </w:r>
      <w:r>
        <w:t xml:space="preserve">  Tallahassee, FL:  Bureau of Watershed Management. </w:t>
      </w:r>
    </w:p>
    <w:p w:rsidR="00485094" w:rsidRDefault="00485094" w:rsidP="00E25E53">
      <w:pPr>
        <w:pStyle w:val="References"/>
      </w:pPr>
      <w:r>
        <w:t xml:space="preserve">———.  May 1, 2001.  </w:t>
      </w:r>
      <w:r w:rsidRPr="0043598B">
        <w:rPr>
          <w:i/>
        </w:rPr>
        <w:t xml:space="preserve">Impaired </w:t>
      </w:r>
      <w:r>
        <w:rPr>
          <w:i/>
        </w:rPr>
        <w:t>s</w:t>
      </w:r>
      <w:r w:rsidRPr="0043598B">
        <w:rPr>
          <w:i/>
        </w:rPr>
        <w:t xml:space="preserve">urface </w:t>
      </w:r>
      <w:r>
        <w:rPr>
          <w:i/>
        </w:rPr>
        <w:t>w</w:t>
      </w:r>
      <w:r w:rsidRPr="0043598B">
        <w:rPr>
          <w:i/>
        </w:rPr>
        <w:t xml:space="preserve">aters </w:t>
      </w:r>
      <w:r>
        <w:rPr>
          <w:i/>
        </w:rPr>
        <w:t>r</w:t>
      </w:r>
      <w:r w:rsidRPr="0043598B">
        <w:rPr>
          <w:i/>
        </w:rPr>
        <w:t>ule</w:t>
      </w:r>
      <w:r>
        <w:rPr>
          <w:i/>
        </w:rPr>
        <w:t xml:space="preserve"> (draft–adopted version)</w:t>
      </w:r>
      <w:r w:rsidRPr="0043598B">
        <w:rPr>
          <w:i/>
        </w:rPr>
        <w:t>.</w:t>
      </w:r>
      <w:r>
        <w:t xml:space="preserve">  Available:  </w:t>
      </w:r>
      <w:hyperlink r:id="rId220" w:history="1">
        <w:r w:rsidRPr="006836C8">
          <w:rPr>
            <w:rStyle w:val="Hyperlink"/>
          </w:rPr>
          <w:t>http://www.dep.state.fl.us/water/tmdl/docs/AmendedIWR.pdf</w:t>
        </w:r>
      </w:hyperlink>
      <w:r>
        <w:t>.</w:t>
      </w:r>
    </w:p>
    <w:p w:rsidR="00485094" w:rsidRDefault="00485094" w:rsidP="00E25E53">
      <w:pPr>
        <w:pStyle w:val="References"/>
      </w:pPr>
      <w:r w:rsidRPr="00024BBD">
        <w:t>———.  Ja</w:t>
      </w:r>
      <w:r>
        <w:t xml:space="preserve">nuary 2003.  </w:t>
      </w:r>
      <w:r w:rsidRPr="00EC6624">
        <w:rPr>
          <w:i/>
        </w:rPr>
        <w:t>Interpretative tool for the assessment of metal enrichment in Florida freshwater sediment.</w:t>
      </w:r>
      <w:r w:rsidRPr="00024BBD">
        <w:t xml:space="preserve">  </w:t>
      </w:r>
      <w:r>
        <w:t xml:space="preserve">Available:  </w:t>
      </w:r>
      <w:hyperlink r:id="rId221" w:history="1">
        <w:r w:rsidRPr="003A7A81">
          <w:rPr>
            <w:rStyle w:val="Hyperlink"/>
          </w:rPr>
          <w:t>http://www.dep.state.fl.us/water/monitoring/fwseds.htm</w:t>
        </w:r>
      </w:hyperlink>
      <w:r>
        <w:t>.</w:t>
      </w:r>
    </w:p>
    <w:p w:rsidR="00485094" w:rsidRDefault="00485094" w:rsidP="00E25E53">
      <w:pPr>
        <w:pStyle w:val="References"/>
      </w:pPr>
      <w:r w:rsidRPr="00024BBD">
        <w:t xml:space="preserve">———.  2004.  </w:t>
      </w:r>
      <w:r w:rsidRPr="0055773E">
        <w:rPr>
          <w:i/>
        </w:rPr>
        <w:t xml:space="preserve">Integrated water quality assessment for Florida: </w:t>
      </w:r>
      <w:r>
        <w:rPr>
          <w:i/>
        </w:rPr>
        <w:t xml:space="preserve"> </w:t>
      </w:r>
      <w:r w:rsidRPr="0055773E">
        <w:rPr>
          <w:i/>
        </w:rPr>
        <w:t>200</w:t>
      </w:r>
      <w:r>
        <w:rPr>
          <w:i/>
        </w:rPr>
        <w:t>4</w:t>
      </w:r>
      <w:r w:rsidRPr="0055773E">
        <w:rPr>
          <w:i/>
        </w:rPr>
        <w:t xml:space="preserve"> 305(b) report and 303(d) list update.  </w:t>
      </w:r>
      <w:r w:rsidRPr="0055773E">
        <w:t>Tallahassee, FL</w:t>
      </w:r>
      <w:r>
        <w:t>:  Bureau of Watershed Management</w:t>
      </w:r>
      <w:r w:rsidRPr="0055773E">
        <w:t>.</w:t>
      </w:r>
      <w:r>
        <w:t xml:space="preserve">  Available:  </w:t>
      </w:r>
      <w:hyperlink r:id="rId222" w:history="1">
        <w:r w:rsidRPr="003A7A81">
          <w:rPr>
            <w:rStyle w:val="Hyperlink"/>
          </w:rPr>
          <w:t>http://www.dep.state.fl.us/water/docs/2004_Integrated_Report.pdf</w:t>
        </w:r>
      </w:hyperlink>
      <w:r>
        <w:t>.</w:t>
      </w:r>
    </w:p>
    <w:p w:rsidR="00485094" w:rsidRDefault="00485094" w:rsidP="007D132A">
      <w:pPr>
        <w:pStyle w:val="References"/>
      </w:pPr>
      <w:r>
        <w:t xml:space="preserve">———.  </w:t>
      </w:r>
      <w:r w:rsidRPr="007D132A">
        <w:t>February 1, 2004.</w:t>
      </w:r>
      <w:r>
        <w:rPr>
          <w:i/>
        </w:rPr>
        <w:t xml:space="preserve">  </w:t>
      </w:r>
      <w:r w:rsidRPr="005D5F8D">
        <w:rPr>
          <w:i/>
        </w:rPr>
        <w:t xml:space="preserve">Standard </w:t>
      </w:r>
      <w:r>
        <w:rPr>
          <w:i/>
        </w:rPr>
        <w:t>o</w:t>
      </w:r>
      <w:r w:rsidRPr="005D5F8D">
        <w:rPr>
          <w:i/>
        </w:rPr>
        <w:t xml:space="preserve">perating </w:t>
      </w:r>
      <w:r>
        <w:rPr>
          <w:i/>
        </w:rPr>
        <w:t>p</w:t>
      </w:r>
      <w:r w:rsidRPr="005D5F8D">
        <w:rPr>
          <w:i/>
        </w:rPr>
        <w:t xml:space="preserve">rocedures for </w:t>
      </w:r>
      <w:r>
        <w:rPr>
          <w:i/>
        </w:rPr>
        <w:t>f</w:t>
      </w:r>
      <w:r w:rsidRPr="005D5F8D">
        <w:rPr>
          <w:i/>
        </w:rPr>
        <w:t xml:space="preserve">ield </w:t>
      </w:r>
      <w:r>
        <w:rPr>
          <w:i/>
        </w:rPr>
        <w:t>a</w:t>
      </w:r>
      <w:r w:rsidRPr="005D5F8D">
        <w:rPr>
          <w:i/>
        </w:rPr>
        <w:t>ctivitie</w:t>
      </w:r>
      <w:r>
        <w:rPr>
          <w:i/>
        </w:rPr>
        <w:t xml:space="preserve">s </w:t>
      </w:r>
      <w:r>
        <w:rPr>
          <w:i/>
          <w:snapToGrid w:val="0"/>
        </w:rPr>
        <w:t>website</w:t>
      </w:r>
      <w:r w:rsidRPr="00DA23A4">
        <w:t xml:space="preserve">.  </w:t>
      </w:r>
      <w:r>
        <w:br/>
      </w:r>
      <w:r w:rsidRPr="00DA23A4">
        <w:t>F</w:t>
      </w:r>
      <w:r w:rsidRPr="003A6D43">
        <w:t>DEP-SOP-001/01</w:t>
      </w:r>
      <w:r>
        <w:t xml:space="preserve">.  Available:  </w:t>
      </w:r>
      <w:hyperlink r:id="rId223" w:history="1">
        <w:r w:rsidRPr="006836C8">
          <w:rPr>
            <w:rStyle w:val="Hyperlink"/>
          </w:rPr>
          <w:t>http://www.dep.state.fl.us/labs/qa/qadocument.htm</w:t>
        </w:r>
      </w:hyperlink>
      <w:r>
        <w:t>.</w:t>
      </w:r>
    </w:p>
    <w:p w:rsidR="00485094" w:rsidRDefault="00485094" w:rsidP="00E25E53">
      <w:pPr>
        <w:pStyle w:val="References"/>
      </w:pPr>
      <w:r>
        <w:t xml:space="preserve">———.  December 22, 2004 (revised March 30, 2005).  </w:t>
      </w:r>
      <w:r w:rsidRPr="00A22CD9">
        <w:rPr>
          <w:i/>
        </w:rPr>
        <w:t xml:space="preserve">Elements of Florida’s </w:t>
      </w:r>
      <w:r>
        <w:rPr>
          <w:i/>
        </w:rPr>
        <w:t>w</w:t>
      </w:r>
      <w:r w:rsidRPr="00A22CD9">
        <w:rPr>
          <w:i/>
        </w:rPr>
        <w:t xml:space="preserve">ater </w:t>
      </w:r>
      <w:r>
        <w:rPr>
          <w:i/>
        </w:rPr>
        <w:t>m</w:t>
      </w:r>
      <w:r w:rsidRPr="00A22CD9">
        <w:rPr>
          <w:i/>
        </w:rPr>
        <w:t xml:space="preserve">onitoring and </w:t>
      </w:r>
      <w:r>
        <w:rPr>
          <w:i/>
        </w:rPr>
        <w:t>a</w:t>
      </w:r>
      <w:r w:rsidRPr="00A22CD9">
        <w:rPr>
          <w:i/>
        </w:rPr>
        <w:t xml:space="preserve">ssessment </w:t>
      </w:r>
      <w:r>
        <w:rPr>
          <w:i/>
        </w:rPr>
        <w:t>p</w:t>
      </w:r>
      <w:r w:rsidRPr="00A22CD9">
        <w:rPr>
          <w:i/>
        </w:rPr>
        <w:t>rogram.</w:t>
      </w:r>
      <w:r>
        <w:t xml:space="preserve">  Tallahassee, FL:  Division of Water Resource Management, Bureau of Watershed Management.  Available:  </w:t>
      </w:r>
      <w:hyperlink r:id="rId224" w:history="1">
        <w:r w:rsidRPr="005F7EAB">
          <w:rPr>
            <w:rStyle w:val="Hyperlink"/>
          </w:rPr>
          <w:t>http://www.dep.state.fl.us/</w:t>
        </w:r>
        <w:r w:rsidRPr="005F7EAB">
          <w:rPr>
            <w:rStyle w:val="Hyperlink"/>
          </w:rPr>
          <w:br/>
          <w:t>water/monitoring/docs/MonitoringStrategy_106.pdf</w:t>
        </w:r>
      </w:hyperlink>
      <w:r>
        <w:t>.</w:t>
      </w:r>
    </w:p>
    <w:p w:rsidR="00485094" w:rsidRDefault="00485094" w:rsidP="00C16C1C">
      <w:pPr>
        <w:pStyle w:val="References"/>
      </w:pPr>
      <w:r w:rsidRPr="0089022E">
        <w:t xml:space="preserve">———.  </w:t>
      </w:r>
      <w:r>
        <w:t xml:space="preserve">2006a.  </w:t>
      </w:r>
      <w:r>
        <w:rPr>
          <w:i/>
        </w:rPr>
        <w:t xml:space="preserve">South Florida Mercury Science Program </w:t>
      </w:r>
      <w:r>
        <w:rPr>
          <w:i/>
          <w:snapToGrid w:val="0"/>
        </w:rPr>
        <w:t>website</w:t>
      </w:r>
      <w:r>
        <w:rPr>
          <w:i/>
        </w:rPr>
        <w:t xml:space="preserve">.  </w:t>
      </w:r>
      <w:r w:rsidRPr="0089022E">
        <w:t>Available:</w:t>
      </w:r>
      <w:r>
        <w:rPr>
          <w:u w:val="single"/>
        </w:rPr>
        <w:t xml:space="preserve">  </w:t>
      </w:r>
      <w:hyperlink r:id="rId225" w:history="1">
        <w:r w:rsidRPr="006836C8">
          <w:rPr>
            <w:rStyle w:val="Hyperlink"/>
            <w:szCs w:val="22"/>
          </w:rPr>
          <w:t>http://www.dep.state.fl.us/labs/mercury/index.htm</w:t>
        </w:r>
      </w:hyperlink>
      <w:r>
        <w:t xml:space="preserve">.  </w:t>
      </w:r>
    </w:p>
    <w:p w:rsidR="00485094" w:rsidRDefault="00485094" w:rsidP="00C16C1C">
      <w:pPr>
        <w:pStyle w:val="References"/>
      </w:pPr>
      <w:r w:rsidRPr="00BC425B">
        <w:rPr>
          <w:rFonts w:cs="Arial"/>
          <w:bCs/>
          <w:szCs w:val="22"/>
        </w:rPr>
        <w:t>———.  2006</w:t>
      </w:r>
      <w:r>
        <w:rPr>
          <w:rFonts w:cs="Arial"/>
          <w:bCs/>
          <w:szCs w:val="22"/>
        </w:rPr>
        <w:t>b</w:t>
      </w:r>
      <w:r w:rsidRPr="00BC425B">
        <w:rPr>
          <w:rFonts w:cs="Arial"/>
          <w:bCs/>
          <w:szCs w:val="22"/>
        </w:rPr>
        <w:t xml:space="preserve">.  </w:t>
      </w:r>
      <w:r w:rsidRPr="00BC425B">
        <w:rPr>
          <w:i/>
        </w:rPr>
        <w:t>Criteria for surface water quality classifications</w:t>
      </w:r>
      <w:r>
        <w:rPr>
          <w:i/>
        </w:rPr>
        <w:t xml:space="preserve"> </w:t>
      </w:r>
      <w:r>
        <w:rPr>
          <w:i/>
          <w:snapToGrid w:val="0"/>
        </w:rPr>
        <w:t>website</w:t>
      </w:r>
      <w:r w:rsidRPr="00BC425B">
        <w:rPr>
          <w:i/>
        </w:rPr>
        <w:t>.</w:t>
      </w:r>
      <w:r w:rsidRPr="00BC425B">
        <w:t xml:space="preserve">  Available:  </w:t>
      </w:r>
      <w:hyperlink r:id="rId226" w:history="1">
        <w:r w:rsidRPr="00FE505A">
          <w:rPr>
            <w:rStyle w:val="Hyperlink"/>
          </w:rPr>
          <w:t>http://www.dep.state.fl.us/water/wqssp/classes.htm</w:t>
        </w:r>
      </w:hyperlink>
      <w:r>
        <w:t>.</w:t>
      </w:r>
    </w:p>
    <w:p w:rsidR="00485094" w:rsidRDefault="00485094" w:rsidP="00C16C1C">
      <w:pPr>
        <w:pStyle w:val="References"/>
        <w:rPr>
          <w:u w:val="single"/>
        </w:rPr>
      </w:pPr>
      <w:r>
        <w:rPr>
          <w:rFonts w:cs="Arial"/>
          <w:bCs/>
          <w:szCs w:val="22"/>
        </w:rPr>
        <w:t xml:space="preserve">———.  </w:t>
      </w:r>
      <w:r>
        <w:t xml:space="preserve">2006c.  </w:t>
      </w:r>
      <w:r w:rsidRPr="0089022E">
        <w:rPr>
          <w:i/>
        </w:rPr>
        <w:t>Florida’s springs:  Protecting native gems</w:t>
      </w:r>
      <w:r>
        <w:t xml:space="preserve">.  Available:  </w:t>
      </w:r>
      <w:hyperlink r:id="rId227" w:history="1">
        <w:r w:rsidRPr="00B330F5">
          <w:rPr>
            <w:rStyle w:val="Hyperlink"/>
            <w:szCs w:val="22"/>
          </w:rPr>
          <w:t>www.floridasprings.org</w:t>
        </w:r>
      </w:hyperlink>
      <w:r>
        <w:rPr>
          <w:u w:val="single"/>
        </w:rPr>
        <w:t>.</w:t>
      </w:r>
    </w:p>
    <w:p w:rsidR="00485094" w:rsidRDefault="00485094" w:rsidP="00C16C1C">
      <w:pPr>
        <w:pStyle w:val="References"/>
        <w:rPr>
          <w:snapToGrid w:val="0"/>
        </w:rPr>
      </w:pPr>
      <w:r>
        <w:rPr>
          <w:snapToGrid w:val="0"/>
        </w:rPr>
        <w:t xml:space="preserve">———.  2006d.  </w:t>
      </w:r>
      <w:r w:rsidRPr="008B4FA5">
        <w:rPr>
          <w:i/>
          <w:snapToGrid w:val="0"/>
        </w:rPr>
        <w:t>Drinking Water Program</w:t>
      </w:r>
      <w:r>
        <w:rPr>
          <w:i/>
          <w:snapToGrid w:val="0"/>
        </w:rPr>
        <w:t xml:space="preserve"> website</w:t>
      </w:r>
      <w:r w:rsidRPr="008B4FA5">
        <w:rPr>
          <w:i/>
          <w:snapToGrid w:val="0"/>
        </w:rPr>
        <w:t xml:space="preserve">. </w:t>
      </w:r>
      <w:r>
        <w:rPr>
          <w:snapToGrid w:val="0"/>
        </w:rPr>
        <w:t xml:space="preserve"> Available:  </w:t>
      </w:r>
      <w:hyperlink r:id="rId228" w:history="1">
        <w:r w:rsidRPr="005F7EAB">
          <w:rPr>
            <w:rStyle w:val="Hyperlink"/>
            <w:snapToGrid w:val="0"/>
          </w:rPr>
          <w:t>http://www.dep.state.fl.us/</w:t>
        </w:r>
        <w:r w:rsidRPr="005F7EAB">
          <w:rPr>
            <w:rStyle w:val="Hyperlink"/>
            <w:snapToGrid w:val="0"/>
          </w:rPr>
          <w:br/>
          <w:t>water/drinkingwater/index.htm</w:t>
        </w:r>
      </w:hyperlink>
      <w:r>
        <w:rPr>
          <w:snapToGrid w:val="0"/>
        </w:rPr>
        <w:t>.</w:t>
      </w:r>
    </w:p>
    <w:p w:rsidR="00485094" w:rsidRPr="00FE2E60" w:rsidRDefault="00485094" w:rsidP="00E25E53">
      <w:pPr>
        <w:pStyle w:val="References"/>
      </w:pPr>
      <w:r>
        <w:rPr>
          <w:rFonts w:cs="Arial"/>
          <w:bCs/>
          <w:szCs w:val="22"/>
        </w:rPr>
        <w:t xml:space="preserve">———.  2006e.  </w:t>
      </w:r>
      <w:r w:rsidRPr="00EC6624">
        <w:rPr>
          <w:rFonts w:cs="Arial"/>
          <w:bCs/>
          <w:i/>
          <w:szCs w:val="22"/>
        </w:rPr>
        <w:t>STORET Program</w:t>
      </w:r>
      <w:r>
        <w:rPr>
          <w:rFonts w:cs="Arial"/>
          <w:bCs/>
          <w:i/>
          <w:szCs w:val="22"/>
        </w:rPr>
        <w:t xml:space="preserve"> </w:t>
      </w:r>
      <w:r>
        <w:rPr>
          <w:i/>
          <w:snapToGrid w:val="0"/>
        </w:rPr>
        <w:t>website</w:t>
      </w:r>
      <w:r w:rsidRPr="00EC6624">
        <w:rPr>
          <w:rFonts w:cs="Arial"/>
          <w:bCs/>
          <w:i/>
          <w:szCs w:val="22"/>
        </w:rPr>
        <w:t>.</w:t>
      </w:r>
      <w:r>
        <w:rPr>
          <w:rFonts w:cs="Arial"/>
          <w:bCs/>
          <w:szCs w:val="22"/>
        </w:rPr>
        <w:t xml:space="preserve">  Available</w:t>
      </w:r>
      <w:r w:rsidRPr="00FE2E60">
        <w:t xml:space="preserve">:  </w:t>
      </w:r>
      <w:hyperlink r:id="rId229" w:history="1">
        <w:r w:rsidRPr="005F7EAB">
          <w:rPr>
            <w:rStyle w:val="Hyperlink"/>
          </w:rPr>
          <w:t>http://www.dep.state.fl.us/water/</w:t>
        </w:r>
        <w:r w:rsidRPr="005F7EAB">
          <w:rPr>
            <w:rStyle w:val="Hyperlink"/>
          </w:rPr>
          <w:br/>
          <w:t>storet/index.htm</w:t>
        </w:r>
      </w:hyperlink>
      <w:r w:rsidRPr="00FE2E60">
        <w:t>.</w:t>
      </w:r>
    </w:p>
    <w:p w:rsidR="00485094" w:rsidRDefault="00485094" w:rsidP="00E25E53">
      <w:pPr>
        <w:pStyle w:val="References"/>
      </w:pPr>
      <w:r w:rsidRPr="00024BBD">
        <w:t xml:space="preserve">———.  </w:t>
      </w:r>
      <w:r>
        <w:t>May 2, 2006</w:t>
      </w:r>
      <w:r w:rsidRPr="00024BBD">
        <w:t xml:space="preserve">.  </w:t>
      </w:r>
      <w:r w:rsidRPr="0055773E">
        <w:rPr>
          <w:i/>
        </w:rPr>
        <w:t>Integrated water quality assessment for Florida: 200</w:t>
      </w:r>
      <w:r>
        <w:rPr>
          <w:i/>
        </w:rPr>
        <w:t>6</w:t>
      </w:r>
      <w:r w:rsidRPr="0055773E">
        <w:rPr>
          <w:i/>
        </w:rPr>
        <w:t xml:space="preserve"> 305(b) report and 303(d) list update.  </w:t>
      </w:r>
      <w:r w:rsidRPr="0055773E">
        <w:t>Tallahassee, FL</w:t>
      </w:r>
      <w:r>
        <w:t>:  Bureau of Watershed Management</w:t>
      </w:r>
      <w:r w:rsidRPr="0055773E">
        <w:t>.</w:t>
      </w:r>
      <w:r>
        <w:t xml:space="preserve">  Available:  </w:t>
      </w:r>
      <w:hyperlink r:id="rId230" w:history="1">
        <w:r w:rsidRPr="003A7A81">
          <w:rPr>
            <w:rStyle w:val="Hyperlink"/>
          </w:rPr>
          <w:t>http://www.dep.state.fl.us/water/docs/2006_Integrated_Report.pdf</w:t>
        </w:r>
      </w:hyperlink>
      <w:r>
        <w:t>.</w:t>
      </w:r>
    </w:p>
    <w:p w:rsidR="00485094" w:rsidRDefault="00485094" w:rsidP="00E25E53">
      <w:pPr>
        <w:pStyle w:val="References"/>
      </w:pPr>
      <w:r w:rsidRPr="00024BBD">
        <w:t xml:space="preserve">———.  </w:t>
      </w:r>
      <w:r>
        <w:t xml:space="preserve">December 2006.  </w:t>
      </w:r>
      <w:r w:rsidRPr="00E73100">
        <w:rPr>
          <w:i/>
        </w:rPr>
        <w:t xml:space="preserve">Canal </w:t>
      </w:r>
      <w:r w:rsidRPr="004E22EE">
        <w:rPr>
          <w:i/>
        </w:rPr>
        <w:t>recharge:  A report to the Legislature and Governor.</w:t>
      </w:r>
      <w:r>
        <w:t xml:space="preserve">  Preliminary draft report.  Division of Water Resource Management in consultation with the South Florida Water Management District.  Available:  </w:t>
      </w:r>
      <w:hyperlink r:id="rId231" w:history="1">
        <w:r w:rsidRPr="00C57FE5">
          <w:rPr>
            <w:rStyle w:val="Hyperlink"/>
          </w:rPr>
          <w:t>http://www.dep.state.fl.us/water/wqssp/docs/CanalRechargeReport.pdf</w:t>
        </w:r>
      </w:hyperlink>
      <w:r>
        <w:t>.</w:t>
      </w:r>
    </w:p>
    <w:p w:rsidR="00485094" w:rsidRDefault="00485094" w:rsidP="00E25E53">
      <w:pPr>
        <w:pStyle w:val="References"/>
      </w:pPr>
      <w:r w:rsidRPr="009C0237">
        <w:t xml:space="preserve">———.  </w:t>
      </w:r>
      <w:r>
        <w:t xml:space="preserve">September 2007.  </w:t>
      </w:r>
      <w:r w:rsidRPr="005B766F">
        <w:rPr>
          <w:i/>
        </w:rPr>
        <w:t xml:space="preserve">Plan for development of a statewide total maximum daily load for mercury (mercury TMDL).  </w:t>
      </w:r>
      <w:r>
        <w:t xml:space="preserve">Tallahassee, FL:  Division of Water Resource Management and Division of Air Resource Management, Bureau of Laboratories.  Available:  </w:t>
      </w:r>
      <w:hyperlink r:id="rId232" w:history="1">
        <w:r w:rsidR="00431B2F" w:rsidRPr="00BF2DFB">
          <w:rPr>
            <w:rStyle w:val="Hyperlink"/>
          </w:rPr>
          <w:t>http://dep.state.fl.us/</w:t>
        </w:r>
        <w:r w:rsidR="000309E2" w:rsidRPr="000309E2">
          <w:rPr>
            <w:rStyle w:val="Hyperlink"/>
          </w:rPr>
          <w:t>water/tmdl/docs/tmdls/merc-tmdl-plan-draft.pdf</w:t>
        </w:r>
      </w:hyperlink>
      <w:r>
        <w:t>.</w:t>
      </w:r>
    </w:p>
    <w:p w:rsidR="00485094" w:rsidRDefault="00485094" w:rsidP="00E25E53">
      <w:pPr>
        <w:pStyle w:val="References"/>
      </w:pPr>
      <w:r w:rsidRPr="00CA461C">
        <w:t xml:space="preserve">———.  </w:t>
      </w:r>
      <w:r>
        <w:t>October 2008</w:t>
      </w:r>
      <w:r w:rsidRPr="00024BBD">
        <w:t xml:space="preserve">.  </w:t>
      </w:r>
      <w:r w:rsidRPr="0055773E">
        <w:rPr>
          <w:i/>
        </w:rPr>
        <w:t>Integrated water quality assessment for Florida: 200</w:t>
      </w:r>
      <w:r>
        <w:rPr>
          <w:i/>
        </w:rPr>
        <w:t>9</w:t>
      </w:r>
      <w:r w:rsidRPr="0055773E">
        <w:rPr>
          <w:i/>
        </w:rPr>
        <w:t xml:space="preserve"> 305(b) report and 303(d) list update.  </w:t>
      </w:r>
      <w:r w:rsidRPr="0055773E">
        <w:t>Tallahassee, FL</w:t>
      </w:r>
      <w:r>
        <w:t>:  Bureau of Watershed Management</w:t>
      </w:r>
      <w:r w:rsidRPr="0055773E">
        <w:t>.</w:t>
      </w:r>
      <w:r>
        <w:t xml:space="preserve">  Available:  </w:t>
      </w:r>
      <w:hyperlink r:id="rId233" w:history="1">
        <w:r w:rsidRPr="003A7A81">
          <w:rPr>
            <w:rStyle w:val="Hyperlink"/>
          </w:rPr>
          <w:t>http://www.dep.state.fl.us/water/docs/2008_Integrated_Report.pdf</w:t>
        </w:r>
      </w:hyperlink>
      <w:r>
        <w:t>.</w:t>
      </w:r>
    </w:p>
    <w:p w:rsidR="00485094" w:rsidRDefault="00485094" w:rsidP="00A81A6F">
      <w:pPr>
        <w:pStyle w:val="References"/>
      </w:pPr>
      <w:r>
        <w:t xml:space="preserve">———.  December 3, 2008.  </w:t>
      </w:r>
      <w:r w:rsidRPr="00136F87">
        <w:rPr>
          <w:i/>
        </w:rPr>
        <w:t>Standard operating procedures for field activities</w:t>
      </w:r>
      <w:r>
        <w:rPr>
          <w:i/>
        </w:rPr>
        <w:t xml:space="preserve"> </w:t>
      </w:r>
      <w:r>
        <w:rPr>
          <w:i/>
          <w:snapToGrid w:val="0"/>
        </w:rPr>
        <w:t>website</w:t>
      </w:r>
      <w:r w:rsidRPr="00136F87">
        <w:rPr>
          <w:i/>
        </w:rPr>
        <w:t>.</w:t>
      </w:r>
      <w:r>
        <w:t xml:space="preserve">  Available:  </w:t>
      </w:r>
      <w:hyperlink r:id="rId234" w:history="1">
        <w:r w:rsidRPr="00C57FE5">
          <w:rPr>
            <w:rStyle w:val="Hyperlink"/>
          </w:rPr>
          <w:t>http://www.dep.state.fl.us/labs/qa/sops.htm</w:t>
        </w:r>
      </w:hyperlink>
      <w:r>
        <w:t>.</w:t>
      </w:r>
    </w:p>
    <w:p w:rsidR="00485094" w:rsidRDefault="00485094" w:rsidP="003B2A1B">
      <w:pPr>
        <w:pStyle w:val="References"/>
      </w:pPr>
      <w:r>
        <w:t xml:space="preserve">———.  2010a.  </w:t>
      </w:r>
      <w:r w:rsidRPr="00B820CA">
        <w:rPr>
          <w:i/>
        </w:rPr>
        <w:t>Blue-green algae</w:t>
      </w:r>
      <w:r>
        <w:rPr>
          <w:i/>
        </w:rPr>
        <w:t xml:space="preserve"> </w:t>
      </w:r>
      <w:r>
        <w:rPr>
          <w:i/>
          <w:snapToGrid w:val="0"/>
        </w:rPr>
        <w:t>website</w:t>
      </w:r>
      <w:r w:rsidRPr="00B820CA">
        <w:rPr>
          <w:i/>
        </w:rPr>
        <w:t>.</w:t>
      </w:r>
      <w:r>
        <w:t xml:space="preserve">  Available:  </w:t>
      </w:r>
      <w:hyperlink r:id="rId235" w:history="1">
        <w:r w:rsidRPr="005F7EAB">
          <w:rPr>
            <w:rStyle w:val="Hyperlink"/>
          </w:rPr>
          <w:t>http://www.dep.state.fl.us/water/</w:t>
        </w:r>
        <w:r w:rsidRPr="005F7EAB">
          <w:rPr>
            <w:rStyle w:val="Hyperlink"/>
          </w:rPr>
          <w:br/>
          <w:t>bgalgae/index.htm</w:t>
        </w:r>
      </w:hyperlink>
      <w:r>
        <w:t>.</w:t>
      </w:r>
    </w:p>
    <w:p w:rsidR="00485094" w:rsidRDefault="00485094" w:rsidP="001E335C">
      <w:pPr>
        <w:pStyle w:val="References"/>
      </w:pPr>
      <w:r>
        <w:t xml:space="preserve">———.  2010b.  </w:t>
      </w:r>
      <w:r w:rsidRPr="001E335C">
        <w:rPr>
          <w:i/>
        </w:rPr>
        <w:t>Bureau</w:t>
      </w:r>
      <w:r>
        <w:t xml:space="preserve"> </w:t>
      </w:r>
      <w:r w:rsidRPr="001E335C">
        <w:rPr>
          <w:i/>
        </w:rPr>
        <w:t>of Petroleum Storage Systems website.</w:t>
      </w:r>
      <w:r>
        <w:t xml:space="preserve">  Available:  </w:t>
      </w:r>
      <w:hyperlink r:id="rId236" w:history="1">
        <w:r w:rsidRPr="005F7EAB">
          <w:rPr>
            <w:rStyle w:val="Hyperlink"/>
          </w:rPr>
          <w:t>http://www.dep.</w:t>
        </w:r>
        <w:r w:rsidRPr="005F7EAB">
          <w:rPr>
            <w:rStyle w:val="Hyperlink"/>
          </w:rPr>
          <w:br/>
          <w:t>state.fl.us/waste/categories/pss/default.htm</w:t>
        </w:r>
      </w:hyperlink>
      <w:r>
        <w:t>.</w:t>
      </w:r>
    </w:p>
    <w:p w:rsidR="00485094" w:rsidRDefault="00485094" w:rsidP="001E335C">
      <w:pPr>
        <w:pStyle w:val="References"/>
      </w:pPr>
      <w:r>
        <w:t xml:space="preserve">———.  2010c.  </w:t>
      </w:r>
      <w:r w:rsidRPr="001E335C">
        <w:rPr>
          <w:i/>
        </w:rPr>
        <w:t>Delineation Program website.</w:t>
      </w:r>
      <w:r>
        <w:t xml:space="preserve">  Available:  </w:t>
      </w:r>
      <w:hyperlink r:id="rId237" w:history="1">
        <w:r w:rsidRPr="005F7EAB">
          <w:rPr>
            <w:rStyle w:val="Hyperlink"/>
          </w:rPr>
          <w:t>http://www.dep.state.fl.us/water/</w:t>
        </w:r>
        <w:r w:rsidRPr="005F7EAB">
          <w:rPr>
            <w:rStyle w:val="Hyperlink"/>
          </w:rPr>
          <w:br/>
          <w:t>groundwater/delineate.htm</w:t>
        </w:r>
      </w:hyperlink>
      <w:r>
        <w:t>.</w:t>
      </w:r>
    </w:p>
    <w:p w:rsidR="00485094" w:rsidRDefault="00485094" w:rsidP="001E335C">
      <w:pPr>
        <w:pStyle w:val="References"/>
      </w:pPr>
      <w:r>
        <w:t xml:space="preserve">———.  2010d.  </w:t>
      </w:r>
      <w:r w:rsidRPr="001E335C">
        <w:rPr>
          <w:i/>
        </w:rPr>
        <w:t>Drinking Water Program website.</w:t>
      </w:r>
      <w:r>
        <w:t xml:space="preserve">  Available:  </w:t>
      </w:r>
      <w:hyperlink r:id="rId238" w:history="1">
        <w:r w:rsidRPr="005F7EAB">
          <w:rPr>
            <w:rStyle w:val="Hyperlink"/>
          </w:rPr>
          <w:t>http://www.dep.state.fl.us/water/</w:t>
        </w:r>
        <w:r w:rsidRPr="005F7EAB">
          <w:rPr>
            <w:rStyle w:val="Hyperlink"/>
          </w:rPr>
          <w:br/>
          <w:t>drinkingwater/</w:t>
        </w:r>
      </w:hyperlink>
      <w:r>
        <w:t>.</w:t>
      </w:r>
    </w:p>
    <w:p w:rsidR="00485094" w:rsidRDefault="00485094" w:rsidP="001E335C">
      <w:pPr>
        <w:pStyle w:val="References"/>
      </w:pPr>
      <w:r>
        <w:t xml:space="preserve">———.  2010e.  </w:t>
      </w:r>
      <w:r w:rsidRPr="001E335C">
        <w:rPr>
          <w:i/>
        </w:rPr>
        <w:t>Drinking Water Toxics Program website.</w:t>
      </w:r>
      <w:r>
        <w:t xml:space="preserve">  Available:  </w:t>
      </w:r>
      <w:hyperlink r:id="rId239" w:anchor="Drinking2" w:history="1">
        <w:r w:rsidRPr="005F7EAB">
          <w:rPr>
            <w:rStyle w:val="Hyperlink"/>
          </w:rPr>
          <w:t>http://www.doh.state.fl.us/</w:t>
        </w:r>
        <w:r w:rsidRPr="005F7EAB">
          <w:rPr>
            <w:rStyle w:val="Hyperlink"/>
          </w:rPr>
          <w:br/>
          <w:t>Environment/water/index.html#Drinking2</w:t>
        </w:r>
      </w:hyperlink>
      <w:r>
        <w:t>.</w:t>
      </w:r>
    </w:p>
    <w:p w:rsidR="00485094" w:rsidRDefault="00485094" w:rsidP="003B2A1B">
      <w:pPr>
        <w:pStyle w:val="References"/>
        <w:rPr>
          <w:rFonts w:eastAsia="Arial Unicode MS"/>
        </w:rPr>
      </w:pPr>
      <w:r>
        <w:t xml:space="preserve">———.  </w:t>
      </w:r>
      <w:r>
        <w:rPr>
          <w:rFonts w:eastAsia="Arial Unicode MS"/>
        </w:rPr>
        <w:t xml:space="preserve">2010f.  </w:t>
      </w:r>
      <w:r w:rsidRPr="00D0731D">
        <w:rPr>
          <w:rFonts w:eastAsia="Arial Unicode MS"/>
          <w:i/>
        </w:rPr>
        <w:t>Drinking Water Program website.</w:t>
      </w:r>
      <w:r>
        <w:rPr>
          <w:rFonts w:eastAsia="Arial Unicode MS"/>
        </w:rPr>
        <w:t xml:space="preserve">  Available:  </w:t>
      </w:r>
      <w:hyperlink r:id="rId240" w:history="1">
        <w:r w:rsidRPr="005F7EAB">
          <w:rPr>
            <w:rStyle w:val="Hyperlink"/>
            <w:rFonts w:eastAsia="Arial Unicode MS"/>
          </w:rPr>
          <w:t>http://www.dep.state.fl.us/water/</w:t>
        </w:r>
        <w:r w:rsidRPr="005F7EAB">
          <w:rPr>
            <w:rStyle w:val="Hyperlink"/>
            <w:rFonts w:eastAsia="Arial Unicode MS"/>
          </w:rPr>
          <w:br/>
          <w:t>drinkingwater/index.htm</w:t>
        </w:r>
      </w:hyperlink>
      <w:r>
        <w:rPr>
          <w:rFonts w:eastAsia="Arial Unicode MS"/>
        </w:rPr>
        <w:t>.</w:t>
      </w:r>
    </w:p>
    <w:p w:rsidR="00485094" w:rsidRDefault="00485094" w:rsidP="003B2A1B">
      <w:pPr>
        <w:pStyle w:val="References"/>
        <w:rPr>
          <w:rFonts w:eastAsia="Arial Unicode MS"/>
        </w:rPr>
      </w:pPr>
      <w:r>
        <w:t xml:space="preserve">———.  </w:t>
      </w:r>
      <w:r>
        <w:rPr>
          <w:rFonts w:eastAsia="Arial Unicode MS"/>
        </w:rPr>
        <w:t xml:space="preserve">2010g.  </w:t>
      </w:r>
      <w:r w:rsidRPr="00D0731D">
        <w:rPr>
          <w:rFonts w:eastAsia="Arial Unicode MS"/>
          <w:i/>
        </w:rPr>
        <w:t>Emerging substances of concern fact sheet.</w:t>
      </w:r>
      <w:r>
        <w:rPr>
          <w:rFonts w:eastAsia="Arial Unicode MS"/>
        </w:rPr>
        <w:t xml:space="preserve">  Available:  </w:t>
      </w:r>
      <w:hyperlink r:id="rId241" w:history="1">
        <w:r w:rsidRPr="005F7EAB">
          <w:rPr>
            <w:rStyle w:val="Hyperlink"/>
            <w:rFonts w:eastAsia="Arial Unicode MS"/>
          </w:rPr>
          <w:t>http://www.dep.state.</w:t>
        </w:r>
        <w:r w:rsidRPr="005F7EAB">
          <w:rPr>
            <w:rStyle w:val="Hyperlink"/>
            <w:rFonts w:eastAsia="Arial Unicode MS"/>
          </w:rPr>
          <w:br/>
          <w:t>fl.us/water/esoc.htm</w:t>
        </w:r>
      </w:hyperlink>
      <w:r>
        <w:rPr>
          <w:rFonts w:eastAsia="Arial Unicode MS"/>
        </w:rPr>
        <w:t>.</w:t>
      </w:r>
    </w:p>
    <w:p w:rsidR="00485094" w:rsidRDefault="00485094" w:rsidP="003B2A1B">
      <w:pPr>
        <w:pStyle w:val="References"/>
        <w:rPr>
          <w:rFonts w:eastAsia="Arial Unicode MS"/>
        </w:rPr>
      </w:pPr>
      <w:r>
        <w:t xml:space="preserve">———.  </w:t>
      </w:r>
      <w:r>
        <w:rPr>
          <w:rFonts w:eastAsia="Arial Unicode MS"/>
        </w:rPr>
        <w:t xml:space="preserve">2010h.  </w:t>
      </w:r>
      <w:r w:rsidRPr="00D0731D">
        <w:rPr>
          <w:rFonts w:eastAsia="Arial Unicode MS"/>
          <w:i/>
        </w:rPr>
        <w:t xml:space="preserve">Florida’s springs:  Protecting nature’s gems.  </w:t>
      </w:r>
      <w:r>
        <w:rPr>
          <w:rFonts w:eastAsia="Arial Unicode MS"/>
        </w:rPr>
        <w:t xml:space="preserve">Available:  </w:t>
      </w:r>
      <w:hyperlink r:id="rId242" w:history="1">
        <w:r w:rsidRPr="005F7EAB">
          <w:rPr>
            <w:rStyle w:val="Hyperlink"/>
            <w:rFonts w:eastAsia="Arial Unicode MS"/>
          </w:rPr>
          <w:t>http://www.</w:t>
        </w:r>
        <w:r w:rsidRPr="005F7EAB">
          <w:rPr>
            <w:rStyle w:val="Hyperlink"/>
            <w:rFonts w:eastAsia="Arial Unicode MS"/>
          </w:rPr>
          <w:br/>
          <w:t>floridasprings.org/</w:t>
        </w:r>
      </w:hyperlink>
      <w:r>
        <w:rPr>
          <w:rFonts w:eastAsia="Arial Unicode MS"/>
        </w:rPr>
        <w:t>.</w:t>
      </w:r>
    </w:p>
    <w:p w:rsidR="00485094" w:rsidRDefault="00485094" w:rsidP="00D0731D">
      <w:pPr>
        <w:pStyle w:val="References"/>
        <w:rPr>
          <w:rFonts w:eastAsia="Arial Unicode MS"/>
        </w:rPr>
      </w:pPr>
      <w:r>
        <w:t xml:space="preserve">———.  </w:t>
      </w:r>
      <w:r>
        <w:rPr>
          <w:rFonts w:eastAsia="Arial Unicode MS"/>
        </w:rPr>
        <w:t xml:space="preserve">2010i.  </w:t>
      </w:r>
      <w:r w:rsidRPr="00D0731D">
        <w:rPr>
          <w:rFonts w:eastAsia="Arial Unicode MS"/>
          <w:i/>
        </w:rPr>
        <w:t>Florida’s surface water quality standards:  Refining designated uses and classifications.</w:t>
      </w:r>
      <w:r>
        <w:rPr>
          <w:rFonts w:eastAsia="Arial Unicode MS"/>
        </w:rPr>
        <w:t xml:space="preserve">  Assessment and Restoration Support.  Available:  </w:t>
      </w:r>
      <w:hyperlink r:id="rId243" w:history="1">
        <w:r w:rsidRPr="005F7EAB">
          <w:rPr>
            <w:rStyle w:val="Hyperlink"/>
            <w:rFonts w:eastAsia="Arial Unicode MS"/>
          </w:rPr>
          <w:t>http://www.dep.state.</w:t>
        </w:r>
        <w:r w:rsidRPr="005F7EAB">
          <w:rPr>
            <w:rStyle w:val="Hyperlink"/>
            <w:rFonts w:eastAsia="Arial Unicode MS"/>
          </w:rPr>
          <w:br/>
          <w:t>fl.us/secretary/designateduse.htm</w:t>
        </w:r>
      </w:hyperlink>
      <w:r>
        <w:rPr>
          <w:rFonts w:eastAsia="Arial Unicode MS"/>
        </w:rPr>
        <w:t>.</w:t>
      </w:r>
    </w:p>
    <w:p w:rsidR="00485094" w:rsidRDefault="00485094" w:rsidP="003B2A1B">
      <w:pPr>
        <w:pStyle w:val="References"/>
        <w:rPr>
          <w:rFonts w:eastAsia="Arial Unicode MS"/>
        </w:rPr>
      </w:pPr>
      <w:r>
        <w:t xml:space="preserve">———.  </w:t>
      </w:r>
      <w:r w:rsidRPr="004E22EE">
        <w:rPr>
          <w:rFonts w:eastAsia="Arial Unicode MS"/>
        </w:rPr>
        <w:t>2010</w:t>
      </w:r>
      <w:r>
        <w:rPr>
          <w:rFonts w:eastAsia="Arial Unicode MS"/>
        </w:rPr>
        <w:t>j</w:t>
      </w:r>
      <w:r w:rsidRPr="004E22EE">
        <w:rPr>
          <w:rFonts w:eastAsia="Arial Unicode MS"/>
        </w:rPr>
        <w:t xml:space="preserve">.  </w:t>
      </w:r>
      <w:r w:rsidRPr="00D0731D">
        <w:rPr>
          <w:rFonts w:eastAsia="Arial Unicode MS"/>
          <w:i/>
        </w:rPr>
        <w:t>Interpretative tool spreadsheet for assessment of metal enrichment in Florida freshwater sediment.</w:t>
      </w:r>
      <w:r>
        <w:rPr>
          <w:rFonts w:eastAsia="Arial Unicode MS"/>
        </w:rPr>
        <w:t xml:space="preserve">  Available:  </w:t>
      </w:r>
      <w:hyperlink r:id="rId244" w:history="1">
        <w:r w:rsidRPr="00C57FE5">
          <w:rPr>
            <w:rStyle w:val="Hyperlink"/>
            <w:rFonts w:eastAsia="Arial Unicode MS"/>
          </w:rPr>
          <w:t>http://www.dep.state.fl.us/WATER/monitoring/fwseds.htm</w:t>
        </w:r>
      </w:hyperlink>
      <w:r>
        <w:rPr>
          <w:rFonts w:eastAsia="Arial Unicode MS"/>
        </w:rPr>
        <w:t>.</w:t>
      </w:r>
    </w:p>
    <w:p w:rsidR="00485094" w:rsidRDefault="00485094" w:rsidP="00D0731D">
      <w:pPr>
        <w:pStyle w:val="References"/>
        <w:rPr>
          <w:rFonts w:eastAsia="Arial Unicode MS"/>
        </w:rPr>
      </w:pPr>
      <w:r>
        <w:t xml:space="preserve">———.  </w:t>
      </w:r>
      <w:r>
        <w:rPr>
          <w:rFonts w:eastAsia="Arial Unicode MS"/>
        </w:rPr>
        <w:t xml:space="preserve">2010k.  </w:t>
      </w:r>
      <w:r w:rsidRPr="00D0731D">
        <w:rPr>
          <w:rFonts w:eastAsia="Arial Unicode MS"/>
          <w:i/>
        </w:rPr>
        <w:t>Nonpoint Source Management Program website.</w:t>
      </w:r>
      <w:r>
        <w:rPr>
          <w:rFonts w:eastAsia="Arial Unicode MS"/>
        </w:rPr>
        <w:t xml:space="preserve">  Available:   </w:t>
      </w:r>
      <w:hyperlink r:id="rId245" w:history="1">
        <w:r w:rsidRPr="005F7EAB">
          <w:rPr>
            <w:rStyle w:val="Hyperlink"/>
            <w:rFonts w:eastAsia="Arial Unicode MS"/>
          </w:rPr>
          <w:t>http://www.dep.</w:t>
        </w:r>
        <w:r w:rsidRPr="005F7EAB">
          <w:rPr>
            <w:rStyle w:val="Hyperlink"/>
            <w:rFonts w:eastAsia="Arial Unicode MS"/>
          </w:rPr>
          <w:br/>
          <w:t>state.fl.us/water/nonpoint/</w:t>
        </w:r>
      </w:hyperlink>
      <w:r>
        <w:rPr>
          <w:rFonts w:eastAsia="Arial Unicode MS"/>
        </w:rPr>
        <w:t>.</w:t>
      </w:r>
    </w:p>
    <w:p w:rsidR="00485094" w:rsidRPr="004E22EE" w:rsidRDefault="00485094" w:rsidP="003B2A1B">
      <w:pPr>
        <w:pStyle w:val="References"/>
      </w:pPr>
      <w:r>
        <w:t xml:space="preserve">———.  2010l.  </w:t>
      </w:r>
      <w:r w:rsidRPr="004E22EE">
        <w:rPr>
          <w:rFonts w:eastAsia="Arial Unicode MS"/>
          <w:i/>
        </w:rPr>
        <w:t>Numeric nutrient criteria development website.</w:t>
      </w:r>
      <w:r w:rsidRPr="004E22EE">
        <w:rPr>
          <w:rFonts w:eastAsia="Arial Unicode MS"/>
        </w:rPr>
        <w:t xml:space="preserve">  Available:  </w:t>
      </w:r>
      <w:hyperlink r:id="rId246" w:history="1">
        <w:r w:rsidRPr="005F7EAB">
          <w:rPr>
            <w:rStyle w:val="Hyperlink"/>
          </w:rPr>
          <w:t>http://www.dep.state.</w:t>
        </w:r>
        <w:r w:rsidRPr="005F7EAB">
          <w:rPr>
            <w:rStyle w:val="Hyperlink"/>
          </w:rPr>
          <w:br/>
          <w:t>fl.us/water/wqssp/nutrients/index.htm</w:t>
        </w:r>
      </w:hyperlink>
      <w:r w:rsidRPr="004E22EE">
        <w:rPr>
          <w:rFonts w:eastAsia="Arial Unicode MS"/>
        </w:rPr>
        <w:t>.</w:t>
      </w:r>
    </w:p>
    <w:p w:rsidR="00485094" w:rsidRDefault="00485094" w:rsidP="00A81A6F">
      <w:pPr>
        <w:pStyle w:val="References"/>
        <w:rPr>
          <w:rFonts w:eastAsia="Arial Unicode MS"/>
        </w:rPr>
      </w:pPr>
      <w:r>
        <w:t xml:space="preserve">———.  </w:t>
      </w:r>
      <w:r w:rsidRPr="004E22EE">
        <w:rPr>
          <w:rFonts w:eastAsia="Arial Unicode MS"/>
        </w:rPr>
        <w:t>2010</w:t>
      </w:r>
      <w:r>
        <w:rPr>
          <w:rFonts w:eastAsia="Arial Unicode MS"/>
        </w:rPr>
        <w:t>m</w:t>
      </w:r>
      <w:r w:rsidRPr="004E22EE">
        <w:rPr>
          <w:rFonts w:eastAsia="Arial Unicode MS"/>
        </w:rPr>
        <w:t xml:space="preserve">.  </w:t>
      </w:r>
      <w:r w:rsidRPr="00D0731D">
        <w:rPr>
          <w:rFonts w:eastAsia="Arial Unicode MS"/>
          <w:i/>
        </w:rPr>
        <w:t>Sediment guidelines</w:t>
      </w:r>
      <w:r>
        <w:rPr>
          <w:rFonts w:eastAsia="Arial Unicode MS"/>
          <w:i/>
        </w:rPr>
        <w:t xml:space="preserve"> </w:t>
      </w:r>
      <w:r>
        <w:rPr>
          <w:i/>
          <w:snapToGrid w:val="0"/>
        </w:rPr>
        <w:t>website</w:t>
      </w:r>
      <w:r w:rsidRPr="00D0731D">
        <w:rPr>
          <w:rFonts w:eastAsia="Arial Unicode MS"/>
          <w:i/>
        </w:rPr>
        <w:t>.</w:t>
      </w:r>
      <w:r>
        <w:rPr>
          <w:rFonts w:eastAsia="Arial Unicode MS"/>
        </w:rPr>
        <w:t xml:space="preserve">  Available:  </w:t>
      </w:r>
      <w:hyperlink r:id="rId247" w:history="1">
        <w:r w:rsidRPr="005F7EAB">
          <w:rPr>
            <w:rStyle w:val="Hyperlink"/>
            <w:rFonts w:eastAsia="Arial Unicode MS"/>
          </w:rPr>
          <w:t>http://www.dep.state.fl.us/water/</w:t>
        </w:r>
        <w:r w:rsidRPr="005F7EAB">
          <w:rPr>
            <w:rStyle w:val="Hyperlink"/>
            <w:rFonts w:eastAsia="Arial Unicode MS"/>
          </w:rPr>
          <w:br/>
          <w:t>monitoring/sediments.htm</w:t>
        </w:r>
      </w:hyperlink>
      <w:r>
        <w:rPr>
          <w:rFonts w:eastAsia="Arial Unicode MS"/>
        </w:rPr>
        <w:t>.</w:t>
      </w:r>
    </w:p>
    <w:p w:rsidR="00485094" w:rsidRDefault="00485094" w:rsidP="001E335C">
      <w:pPr>
        <w:pStyle w:val="References"/>
      </w:pPr>
      <w:r>
        <w:t xml:space="preserve">———.  2010n.  </w:t>
      </w:r>
      <w:r w:rsidRPr="001E335C">
        <w:rPr>
          <w:i/>
        </w:rPr>
        <w:t xml:space="preserve">Source Water Assessment and Protection Program website.  </w:t>
      </w:r>
      <w:r>
        <w:t xml:space="preserve">Available:  </w:t>
      </w:r>
      <w:hyperlink r:id="rId248" w:history="1">
        <w:r w:rsidRPr="00C57FE5">
          <w:rPr>
            <w:rStyle w:val="Hyperlink"/>
          </w:rPr>
          <w:t>http://www.dep.state.fl.us/swapp/</w:t>
        </w:r>
      </w:hyperlink>
      <w:r>
        <w:t>.</w:t>
      </w:r>
    </w:p>
    <w:p w:rsidR="00485094" w:rsidRDefault="00485094" w:rsidP="003B2A1B">
      <w:pPr>
        <w:pStyle w:val="References"/>
      </w:pPr>
      <w:r>
        <w:t xml:space="preserve">———.  2010o.  </w:t>
      </w:r>
      <w:r w:rsidRPr="004E22EE">
        <w:rPr>
          <w:i/>
        </w:rPr>
        <w:t>Statewide stormwater treatment rule development</w:t>
      </w:r>
      <w:r>
        <w:rPr>
          <w:i/>
        </w:rPr>
        <w:t xml:space="preserve"> </w:t>
      </w:r>
      <w:r>
        <w:rPr>
          <w:i/>
          <w:snapToGrid w:val="0"/>
        </w:rPr>
        <w:t>website</w:t>
      </w:r>
      <w:r w:rsidRPr="004E22EE">
        <w:rPr>
          <w:i/>
        </w:rPr>
        <w:t>.</w:t>
      </w:r>
      <w:r>
        <w:t xml:space="preserve">  Available:  </w:t>
      </w:r>
      <w:hyperlink r:id="rId249" w:history="1">
        <w:r w:rsidRPr="00C57FE5">
          <w:rPr>
            <w:rStyle w:val="Hyperlink"/>
          </w:rPr>
          <w:t>http://www.dep.state.fl.us/Water/wetlands/erp/rules/stormwater/index.htm</w:t>
        </w:r>
      </w:hyperlink>
      <w:r>
        <w:t>.</w:t>
      </w:r>
    </w:p>
    <w:p w:rsidR="00485094" w:rsidRDefault="00485094" w:rsidP="003B2A1B">
      <w:pPr>
        <w:pStyle w:val="References"/>
      </w:pPr>
      <w:r>
        <w:t xml:space="preserve">———.  2010p.  </w:t>
      </w:r>
      <w:r w:rsidRPr="004E22EE">
        <w:rPr>
          <w:i/>
        </w:rPr>
        <w:t>STORET</w:t>
      </w:r>
      <w:r>
        <w:rPr>
          <w:i/>
        </w:rPr>
        <w:t xml:space="preserve"> website</w:t>
      </w:r>
      <w:r w:rsidRPr="004E22EE">
        <w:rPr>
          <w:i/>
        </w:rPr>
        <w:t>.</w:t>
      </w:r>
      <w:r>
        <w:t xml:space="preserve">  Available:  </w:t>
      </w:r>
      <w:hyperlink r:id="rId250" w:history="1">
        <w:r w:rsidRPr="00C57FE5">
          <w:rPr>
            <w:rStyle w:val="Hyperlink"/>
          </w:rPr>
          <w:t>http://www.dep.state.fl.us/water/storet/index.htm</w:t>
        </w:r>
      </w:hyperlink>
      <w:r>
        <w:t>.</w:t>
      </w:r>
    </w:p>
    <w:p w:rsidR="00485094" w:rsidRDefault="00485094" w:rsidP="001E335C">
      <w:pPr>
        <w:pStyle w:val="References"/>
      </w:pPr>
      <w:r>
        <w:t xml:space="preserve">———.  2010q.  </w:t>
      </w:r>
      <w:r w:rsidRPr="00B820CA">
        <w:rPr>
          <w:i/>
        </w:rPr>
        <w:t>TMDL Program</w:t>
      </w:r>
      <w:r>
        <w:rPr>
          <w:i/>
        </w:rPr>
        <w:t xml:space="preserve"> website</w:t>
      </w:r>
      <w:r w:rsidRPr="00B820CA">
        <w:rPr>
          <w:i/>
        </w:rPr>
        <w:t>.</w:t>
      </w:r>
      <w:r>
        <w:t xml:space="preserve">  Available:  </w:t>
      </w:r>
      <w:hyperlink r:id="rId251" w:history="1">
        <w:r w:rsidRPr="005F7EAB">
          <w:rPr>
            <w:rStyle w:val="Hyperlink"/>
          </w:rPr>
          <w:t>http://www.dep.state.fl.us/water/tmdl/</w:t>
        </w:r>
        <w:r w:rsidRPr="005F7EAB">
          <w:rPr>
            <w:rStyle w:val="Hyperlink"/>
          </w:rPr>
          <w:br/>
          <w:t>index.htm</w:t>
        </w:r>
      </w:hyperlink>
      <w:r>
        <w:t>.</w:t>
      </w:r>
    </w:p>
    <w:p w:rsidR="00485094" w:rsidRDefault="00485094" w:rsidP="001E335C">
      <w:pPr>
        <w:pStyle w:val="References"/>
      </w:pPr>
      <w:r>
        <w:t xml:space="preserve">———.  2010r.  </w:t>
      </w:r>
      <w:r w:rsidRPr="001E335C">
        <w:rPr>
          <w:i/>
        </w:rPr>
        <w:t>Underground Injection Control Program website.</w:t>
      </w:r>
      <w:r>
        <w:t xml:space="preserve">  Available:  </w:t>
      </w:r>
      <w:hyperlink r:id="rId252" w:history="1">
        <w:r w:rsidRPr="005F7EAB">
          <w:rPr>
            <w:rStyle w:val="Hyperlink"/>
          </w:rPr>
          <w:t>http://www.dep.</w:t>
        </w:r>
        <w:r w:rsidRPr="005F7EAB">
          <w:rPr>
            <w:rStyle w:val="Hyperlink"/>
          </w:rPr>
          <w:br/>
          <w:t>state.fl.us/water/uic/</w:t>
        </w:r>
      </w:hyperlink>
      <w:r>
        <w:t>.</w:t>
      </w:r>
    </w:p>
    <w:p w:rsidR="00485094" w:rsidRDefault="00485094" w:rsidP="001E335C">
      <w:pPr>
        <w:pStyle w:val="References"/>
      </w:pPr>
      <w:r>
        <w:t xml:space="preserve">———.  2010s.  </w:t>
      </w:r>
      <w:r w:rsidRPr="001E335C">
        <w:rPr>
          <w:i/>
        </w:rPr>
        <w:t>Water Supply Restoration Program website.</w:t>
      </w:r>
      <w:r>
        <w:t xml:space="preserve">  Available:  </w:t>
      </w:r>
      <w:hyperlink r:id="rId253" w:history="1">
        <w:r w:rsidRPr="005F7EAB">
          <w:rPr>
            <w:rStyle w:val="Hyperlink"/>
          </w:rPr>
          <w:t>http://www.dep.</w:t>
        </w:r>
        <w:r w:rsidRPr="005F7EAB">
          <w:rPr>
            <w:rStyle w:val="Hyperlink"/>
          </w:rPr>
          <w:br/>
          <w:t>state.fl.us/water/wff/wsupply/</w:t>
        </w:r>
      </w:hyperlink>
      <w:r>
        <w:t>.</w:t>
      </w:r>
    </w:p>
    <w:p w:rsidR="00485094" w:rsidRDefault="00485094" w:rsidP="00A81A6F">
      <w:pPr>
        <w:pStyle w:val="References"/>
      </w:pPr>
      <w:r>
        <w:t xml:space="preserve">———.  2010t.   </w:t>
      </w:r>
      <w:r w:rsidRPr="00B820CA">
        <w:rPr>
          <w:i/>
        </w:rPr>
        <w:t xml:space="preserve">Watershed </w:t>
      </w:r>
      <w:r>
        <w:rPr>
          <w:i/>
        </w:rPr>
        <w:t>Assessment Program website</w:t>
      </w:r>
      <w:r w:rsidRPr="00B820CA">
        <w:rPr>
          <w:i/>
        </w:rPr>
        <w:t>.</w:t>
      </w:r>
      <w:r>
        <w:t xml:space="preserve">  Available:  </w:t>
      </w:r>
      <w:hyperlink r:id="rId254" w:history="1">
        <w:r w:rsidRPr="005F7EAB">
          <w:rPr>
            <w:rStyle w:val="Hyperlink"/>
          </w:rPr>
          <w:t>http://www.dep.</w:t>
        </w:r>
        <w:r w:rsidRPr="005F7EAB">
          <w:rPr>
            <w:rStyle w:val="Hyperlink"/>
          </w:rPr>
          <w:br/>
          <w:t>state.fl.us/water/watersheds/assessment/index.htm</w:t>
        </w:r>
      </w:hyperlink>
      <w:r>
        <w:t>.</w:t>
      </w:r>
    </w:p>
    <w:p w:rsidR="00485094" w:rsidRDefault="00485094" w:rsidP="00E25E53">
      <w:pPr>
        <w:pStyle w:val="References"/>
      </w:pPr>
      <w:r>
        <w:t xml:space="preserve">———.  2010u.  </w:t>
      </w:r>
      <w:r w:rsidRPr="00136F87">
        <w:rPr>
          <w:i/>
        </w:rPr>
        <w:t>Watershed monitoring basin reports.</w:t>
      </w:r>
      <w:r>
        <w:t xml:space="preserve">  Available:  </w:t>
      </w:r>
      <w:hyperlink r:id="rId255" w:history="1">
        <w:r w:rsidRPr="005F7EAB">
          <w:rPr>
            <w:rStyle w:val="Hyperlink"/>
          </w:rPr>
          <w:t>http://www.dep.state.</w:t>
        </w:r>
        <w:r w:rsidRPr="005F7EAB">
          <w:rPr>
            <w:rStyle w:val="Hyperlink"/>
          </w:rPr>
          <w:br/>
          <w:t>fl.us/water/monitoring/basins.htm</w:t>
        </w:r>
      </w:hyperlink>
      <w:r>
        <w:t>.</w:t>
      </w:r>
    </w:p>
    <w:p w:rsidR="00485094" w:rsidRDefault="00485094" w:rsidP="001E335C">
      <w:pPr>
        <w:pStyle w:val="References"/>
      </w:pPr>
      <w:r>
        <w:t xml:space="preserve">———.  2010v.  </w:t>
      </w:r>
      <w:r w:rsidRPr="001E335C">
        <w:rPr>
          <w:i/>
        </w:rPr>
        <w:t>Wellhead Protection Program website.</w:t>
      </w:r>
      <w:r>
        <w:t xml:space="preserve">  Available:  </w:t>
      </w:r>
      <w:hyperlink r:id="rId256" w:history="1">
        <w:r w:rsidRPr="005F7EAB">
          <w:rPr>
            <w:rStyle w:val="Hyperlink"/>
          </w:rPr>
          <w:t>http://www.dep.state.</w:t>
        </w:r>
        <w:r w:rsidRPr="005F7EAB">
          <w:rPr>
            <w:rStyle w:val="Hyperlink"/>
          </w:rPr>
          <w:br/>
          <w:t>fl.us/water/groundwater/wellhead.htm</w:t>
        </w:r>
      </w:hyperlink>
      <w:r>
        <w:t>.</w:t>
      </w:r>
    </w:p>
    <w:p w:rsidR="00485094" w:rsidRDefault="00485094" w:rsidP="001E335C">
      <w:pPr>
        <w:pStyle w:val="References"/>
      </w:pPr>
      <w:r w:rsidRPr="0026647D">
        <w:t xml:space="preserve">Florida Department of Health.  </w:t>
      </w:r>
      <w:r>
        <w:t xml:space="preserve">2010a.  </w:t>
      </w:r>
      <w:r w:rsidRPr="00D0731D">
        <w:rPr>
          <w:i/>
        </w:rPr>
        <w:t>Aquatic Toxins Program</w:t>
      </w:r>
      <w:r w:rsidR="005C7479">
        <w:rPr>
          <w:i/>
        </w:rPr>
        <w:t xml:space="preserve"> website</w:t>
      </w:r>
      <w:r w:rsidRPr="00D0731D">
        <w:rPr>
          <w:i/>
        </w:rPr>
        <w:t>.</w:t>
      </w:r>
      <w:r>
        <w:t xml:space="preserve">  Available:  </w:t>
      </w:r>
      <w:hyperlink r:id="rId257" w:history="1">
        <w:r w:rsidR="005C7479" w:rsidRPr="00BF2DFB">
          <w:rPr>
            <w:rStyle w:val="Hyperlink"/>
          </w:rPr>
          <w:t>http://www.doh.</w:t>
        </w:r>
        <w:r w:rsidR="000309E2" w:rsidRPr="000309E2">
          <w:rPr>
            <w:rStyle w:val="Hyperlink"/>
          </w:rPr>
          <w:t>state.fl.us/Environment/medicine/aquatic/index.html</w:t>
        </w:r>
      </w:hyperlink>
      <w:r>
        <w:t>.</w:t>
      </w:r>
    </w:p>
    <w:p w:rsidR="00485094" w:rsidRDefault="00485094" w:rsidP="00271CB6">
      <w:pPr>
        <w:pStyle w:val="References"/>
      </w:pPr>
      <w:r w:rsidRPr="0026647D">
        <w:t xml:space="preserve">———.  </w:t>
      </w:r>
      <w:r>
        <w:t xml:space="preserve">2010b.  </w:t>
      </w:r>
      <w:r w:rsidRPr="00C568FD">
        <w:rPr>
          <w:i/>
        </w:rPr>
        <w:t>Beach closures</w:t>
      </w:r>
      <w:r>
        <w:rPr>
          <w:i/>
        </w:rPr>
        <w:t xml:space="preserve"> </w:t>
      </w:r>
      <w:r>
        <w:rPr>
          <w:i/>
          <w:snapToGrid w:val="0"/>
        </w:rPr>
        <w:t>website</w:t>
      </w:r>
      <w:r w:rsidRPr="00C568FD">
        <w:rPr>
          <w:i/>
        </w:rPr>
        <w:t xml:space="preserve">.  </w:t>
      </w:r>
      <w:r>
        <w:t xml:space="preserve">Available:  </w:t>
      </w:r>
      <w:hyperlink r:id="rId258" w:history="1">
        <w:r w:rsidRPr="005F7EAB">
          <w:rPr>
            <w:rStyle w:val="Hyperlink"/>
            <w:szCs w:val="22"/>
          </w:rPr>
          <w:t>http://esetappsdoh.doh.state.fl.us/</w:t>
        </w:r>
        <w:r w:rsidRPr="005F7EAB">
          <w:rPr>
            <w:rStyle w:val="Hyperlink"/>
            <w:szCs w:val="22"/>
          </w:rPr>
          <w:br/>
          <w:t>irm00beachwater/default.aspx</w:t>
        </w:r>
      </w:hyperlink>
      <w:r>
        <w:t>.</w:t>
      </w:r>
    </w:p>
    <w:p w:rsidR="005C7479" w:rsidRDefault="00485094" w:rsidP="00271CB6">
      <w:pPr>
        <w:pStyle w:val="References"/>
      </w:pPr>
      <w:r w:rsidRPr="0026647D">
        <w:t xml:space="preserve">———.  </w:t>
      </w:r>
      <w:r>
        <w:t xml:space="preserve">2010c.  </w:t>
      </w:r>
      <w:r w:rsidRPr="0089022E">
        <w:rPr>
          <w:i/>
        </w:rPr>
        <w:t>Beach water sampling results</w:t>
      </w:r>
      <w:r>
        <w:rPr>
          <w:i/>
        </w:rPr>
        <w:t xml:space="preserve"> </w:t>
      </w:r>
      <w:r>
        <w:rPr>
          <w:i/>
          <w:snapToGrid w:val="0"/>
        </w:rPr>
        <w:t>website</w:t>
      </w:r>
      <w:r w:rsidRPr="0089022E">
        <w:rPr>
          <w:i/>
        </w:rPr>
        <w:t>.</w:t>
      </w:r>
      <w:r w:rsidRPr="0026647D">
        <w:t xml:space="preserve">  </w:t>
      </w:r>
      <w:r w:rsidRPr="00F67A94">
        <w:t xml:space="preserve">Healthy Beaches Program.  </w:t>
      </w:r>
      <w:r w:rsidRPr="0026647D">
        <w:t xml:space="preserve">Available:  </w:t>
      </w:r>
      <w:hyperlink r:id="rId259" w:history="1">
        <w:r w:rsidRPr="0089022E">
          <w:rPr>
            <w:color w:val="0000FF"/>
            <w:u w:val="single"/>
          </w:rPr>
          <w:t>http://esetappsdoh.doh.state.fl.us/irm00beachwater/default.aspx</w:t>
        </w:r>
      </w:hyperlink>
      <w:r w:rsidRPr="0026647D">
        <w:t xml:space="preserve">.  </w:t>
      </w:r>
    </w:p>
    <w:p w:rsidR="00485094" w:rsidRPr="0026647D" w:rsidRDefault="005C7479" w:rsidP="00271CB6">
      <w:pPr>
        <w:pStyle w:val="References"/>
      </w:pPr>
      <w:r w:rsidRPr="0026647D">
        <w:t xml:space="preserve">———.  </w:t>
      </w:r>
      <w:r>
        <w:t xml:space="preserve">2010d.  </w:t>
      </w:r>
      <w:r w:rsidR="000309E2" w:rsidRPr="000309E2">
        <w:rPr>
          <w:i/>
        </w:rPr>
        <w:t>Program</w:t>
      </w:r>
      <w:r>
        <w:t xml:space="preserve"> </w:t>
      </w:r>
      <w:r w:rsidR="000309E2" w:rsidRPr="000309E2">
        <w:rPr>
          <w:i/>
        </w:rPr>
        <w:t>h</w:t>
      </w:r>
      <w:r w:rsidR="00485094" w:rsidRPr="007E75F4">
        <w:rPr>
          <w:i/>
        </w:rPr>
        <w:t>istory</w:t>
      </w:r>
      <w:r>
        <w:rPr>
          <w:i/>
        </w:rPr>
        <w:t xml:space="preserve"> website</w:t>
      </w:r>
      <w:r w:rsidR="00485094" w:rsidRPr="007E75F4">
        <w:rPr>
          <w:i/>
        </w:rPr>
        <w:t xml:space="preserve">. </w:t>
      </w:r>
      <w:r w:rsidR="00485094" w:rsidRPr="0026647D">
        <w:t xml:space="preserve"> </w:t>
      </w:r>
      <w:r w:rsidRPr="00F67A94">
        <w:t xml:space="preserve">Healthy Beaches Program.  </w:t>
      </w:r>
      <w:r w:rsidR="00485094" w:rsidRPr="0026647D">
        <w:t xml:space="preserve">Available:  </w:t>
      </w:r>
      <w:hyperlink r:id="rId260" w:history="1">
        <w:r w:rsidR="00485094" w:rsidRPr="0089022E">
          <w:rPr>
            <w:rStyle w:val="Hyperlink"/>
          </w:rPr>
          <w:t>http://esetappsdoh.doh.state.fl.us/irm00beachwater/history/hisintro.htm</w:t>
        </w:r>
      </w:hyperlink>
      <w:r w:rsidR="00485094" w:rsidRPr="0026647D">
        <w:t>.</w:t>
      </w:r>
    </w:p>
    <w:p w:rsidR="00485094" w:rsidRPr="0026647D" w:rsidRDefault="00485094" w:rsidP="00271CB6">
      <w:pPr>
        <w:pStyle w:val="References"/>
      </w:pPr>
      <w:r w:rsidRPr="0026647D">
        <w:t xml:space="preserve">———.  </w:t>
      </w:r>
      <w:r w:rsidR="005C7479">
        <w:t>2010e</w:t>
      </w:r>
      <w:r>
        <w:t xml:space="preserve">.  </w:t>
      </w:r>
      <w:r w:rsidRPr="0026647D">
        <w:rPr>
          <w:i/>
        </w:rPr>
        <w:t>Fish consumption advisories</w:t>
      </w:r>
      <w:r>
        <w:rPr>
          <w:i/>
        </w:rPr>
        <w:t xml:space="preserve"> </w:t>
      </w:r>
      <w:r>
        <w:rPr>
          <w:i/>
          <w:snapToGrid w:val="0"/>
        </w:rPr>
        <w:t>website</w:t>
      </w:r>
      <w:r w:rsidRPr="0026647D">
        <w:rPr>
          <w:i/>
        </w:rPr>
        <w:t>.</w:t>
      </w:r>
      <w:r w:rsidRPr="0026647D">
        <w:t xml:space="preserve">  Available:  </w:t>
      </w:r>
      <w:hyperlink r:id="rId261" w:history="1">
        <w:r w:rsidRPr="005F7EAB">
          <w:rPr>
            <w:rStyle w:val="Hyperlink"/>
            <w:szCs w:val="22"/>
          </w:rPr>
          <w:t>http://www.doh.state.</w:t>
        </w:r>
        <w:r w:rsidRPr="005F7EAB">
          <w:rPr>
            <w:rStyle w:val="Hyperlink"/>
            <w:szCs w:val="22"/>
          </w:rPr>
          <w:br/>
          <w:t>fl.us/environment/community/fishconsumptionadvisories/index.html</w:t>
        </w:r>
      </w:hyperlink>
      <w:r w:rsidRPr="0026647D">
        <w:rPr>
          <w:color w:val="0000FF"/>
          <w:u w:val="single"/>
        </w:rPr>
        <w:t>.</w:t>
      </w:r>
    </w:p>
    <w:p w:rsidR="00485094" w:rsidRPr="0026647D" w:rsidRDefault="00485094" w:rsidP="00271CB6">
      <w:pPr>
        <w:pStyle w:val="References"/>
      </w:pPr>
      <w:r w:rsidRPr="0026647D">
        <w:t xml:space="preserve">———. </w:t>
      </w:r>
      <w:r>
        <w:t xml:space="preserve"> </w:t>
      </w:r>
      <w:r w:rsidR="005C7479" w:rsidRPr="0026647D">
        <w:t>20</w:t>
      </w:r>
      <w:r w:rsidR="005C7479">
        <w:t>10f</w:t>
      </w:r>
      <w:r w:rsidRPr="0026647D">
        <w:t xml:space="preserve">.  </w:t>
      </w:r>
      <w:r>
        <w:t xml:space="preserve"> </w:t>
      </w:r>
      <w:r w:rsidRPr="00271CB6">
        <w:rPr>
          <w:i/>
        </w:rPr>
        <w:t>Healthy Beaches Program</w:t>
      </w:r>
      <w:r>
        <w:rPr>
          <w:i/>
        </w:rPr>
        <w:t xml:space="preserve"> </w:t>
      </w:r>
      <w:r>
        <w:rPr>
          <w:i/>
          <w:snapToGrid w:val="0"/>
        </w:rPr>
        <w:t>website</w:t>
      </w:r>
      <w:r w:rsidRPr="00271CB6">
        <w:rPr>
          <w:i/>
        </w:rPr>
        <w:t>.</w:t>
      </w:r>
      <w:r w:rsidRPr="0026647D">
        <w:t xml:space="preserve">  Available:  </w:t>
      </w:r>
      <w:hyperlink r:id="rId262" w:history="1">
        <w:r w:rsidRPr="005F7EAB">
          <w:rPr>
            <w:rStyle w:val="Hyperlink"/>
          </w:rPr>
          <w:t>http://esetappsdoh.doh.state.</w:t>
        </w:r>
        <w:r w:rsidRPr="005F7EAB">
          <w:rPr>
            <w:rStyle w:val="Hyperlink"/>
          </w:rPr>
          <w:br/>
          <w:t>fl.us/irm00beachwater/terms.htm</w:t>
        </w:r>
      </w:hyperlink>
      <w:r w:rsidRPr="0026647D">
        <w:t>.</w:t>
      </w:r>
    </w:p>
    <w:p w:rsidR="00485094" w:rsidRDefault="00485094" w:rsidP="00271CB6">
      <w:pPr>
        <w:pStyle w:val="References"/>
      </w:pPr>
      <w:r w:rsidRPr="0026647D">
        <w:t xml:space="preserve">———. </w:t>
      </w:r>
      <w:r>
        <w:t xml:space="preserve"> </w:t>
      </w:r>
      <w:r w:rsidR="005C7479" w:rsidRPr="001E335C">
        <w:t>2010</w:t>
      </w:r>
      <w:r w:rsidR="005C7479">
        <w:t>g</w:t>
      </w:r>
      <w:r w:rsidRPr="001E335C">
        <w:t xml:space="preserve">.  </w:t>
      </w:r>
      <w:r w:rsidRPr="001E335C">
        <w:rPr>
          <w:i/>
        </w:rPr>
        <w:t>Petroleum Surveillance Program (Super Act) website</w:t>
      </w:r>
      <w:r w:rsidRPr="001E335C">
        <w:t xml:space="preserve">.  Available:  </w:t>
      </w:r>
      <w:hyperlink r:id="rId263" w:history="1">
        <w:r w:rsidRPr="00C57FE5">
          <w:rPr>
            <w:rStyle w:val="Hyperlink"/>
          </w:rPr>
          <w:t>http://www.doh.state.fl.us/Environment/water/petroleum/saindex.html</w:t>
        </w:r>
      </w:hyperlink>
      <w:r w:rsidRPr="001E335C">
        <w:t>.</w:t>
      </w:r>
    </w:p>
    <w:p w:rsidR="00485094" w:rsidRDefault="00485094" w:rsidP="00271CB6">
      <w:pPr>
        <w:pStyle w:val="References"/>
      </w:pPr>
      <w:r w:rsidRPr="0026647D">
        <w:t xml:space="preserve">———.  </w:t>
      </w:r>
      <w:r>
        <w:t>2010</w:t>
      </w:r>
      <w:r w:rsidR="005C7479">
        <w:t>h</w:t>
      </w:r>
      <w:r>
        <w:t xml:space="preserve">.  </w:t>
      </w:r>
      <w:r w:rsidRPr="00C568FD">
        <w:rPr>
          <w:i/>
        </w:rPr>
        <w:t>Small water systems</w:t>
      </w:r>
      <w:r>
        <w:rPr>
          <w:i/>
        </w:rPr>
        <w:t xml:space="preserve"> </w:t>
      </w:r>
      <w:r>
        <w:rPr>
          <w:i/>
          <w:snapToGrid w:val="0"/>
        </w:rPr>
        <w:t>website</w:t>
      </w:r>
      <w:r w:rsidRPr="00C568FD">
        <w:rPr>
          <w:i/>
        </w:rPr>
        <w:t>.</w:t>
      </w:r>
      <w:r>
        <w:t xml:space="preserve">  Bureau of Water Programs.  Available:  </w:t>
      </w:r>
      <w:hyperlink r:id="rId264" w:history="1">
        <w:r w:rsidRPr="00C57FE5">
          <w:rPr>
            <w:rStyle w:val="Hyperlink"/>
          </w:rPr>
          <w:t>http://www.doh.state.fl.us/environment/water/index.html</w:t>
        </w:r>
      </w:hyperlink>
      <w:r>
        <w:t>.</w:t>
      </w:r>
    </w:p>
    <w:p w:rsidR="00485094" w:rsidRDefault="00485094" w:rsidP="00E25E53">
      <w:pPr>
        <w:pStyle w:val="References"/>
      </w:pPr>
      <w:r>
        <w:t xml:space="preserve">Florida Fish and Wildlife Conservation Commission, Fish and Wildlife Research Institute website.  2010a.  Available:  </w:t>
      </w:r>
      <w:hyperlink r:id="rId265" w:history="1">
        <w:r w:rsidRPr="00C57FE5">
          <w:rPr>
            <w:rStyle w:val="Hyperlink"/>
          </w:rPr>
          <w:t>http://research.myfwc.com/</w:t>
        </w:r>
      </w:hyperlink>
      <w:r>
        <w:t>.</w:t>
      </w:r>
    </w:p>
    <w:p w:rsidR="00485094" w:rsidRDefault="00485094" w:rsidP="00E25E53">
      <w:pPr>
        <w:pStyle w:val="References"/>
      </w:pPr>
      <w:r>
        <w:t xml:space="preserve">———.  2010b.  </w:t>
      </w:r>
      <w:r w:rsidRPr="0065297F">
        <w:rPr>
          <w:i/>
        </w:rPr>
        <w:t>Fish kills</w:t>
      </w:r>
      <w:r>
        <w:rPr>
          <w:i/>
        </w:rPr>
        <w:t xml:space="preserve"> </w:t>
      </w:r>
      <w:r>
        <w:rPr>
          <w:i/>
          <w:snapToGrid w:val="0"/>
        </w:rPr>
        <w:t>website</w:t>
      </w:r>
      <w:r w:rsidRPr="0065297F">
        <w:rPr>
          <w:i/>
        </w:rPr>
        <w:t>.</w:t>
      </w:r>
      <w:r>
        <w:t xml:space="preserve">  Available:  </w:t>
      </w:r>
      <w:hyperlink r:id="rId266" w:history="1">
        <w:r w:rsidRPr="00C57FE5">
          <w:rPr>
            <w:rStyle w:val="Hyperlink"/>
          </w:rPr>
          <w:t>http://research.myfwc.com/fishkill/</w:t>
        </w:r>
      </w:hyperlink>
      <w:r>
        <w:t>.</w:t>
      </w:r>
    </w:p>
    <w:p w:rsidR="00485094" w:rsidRDefault="00485094" w:rsidP="00E25E53">
      <w:pPr>
        <w:pStyle w:val="References"/>
      </w:pPr>
      <w:r>
        <w:t xml:space="preserve">———.  2010c.  </w:t>
      </w:r>
      <w:r w:rsidRPr="00A81A6F">
        <w:rPr>
          <w:i/>
        </w:rPr>
        <w:t>Harmful Algal Bloom Task Force website.</w:t>
      </w:r>
      <w:r>
        <w:t xml:space="preserve">  Available:  </w:t>
      </w:r>
      <w:hyperlink r:id="rId267" w:history="1">
        <w:r w:rsidRPr="005F7EAB">
          <w:rPr>
            <w:rStyle w:val="Hyperlink"/>
          </w:rPr>
          <w:t>http://research.myfwc.</w:t>
        </w:r>
        <w:r w:rsidRPr="005F7EAB">
          <w:rPr>
            <w:rStyle w:val="Hyperlink"/>
          </w:rPr>
          <w:br/>
          <w:t>com/features/category_main.asp?id=2343</w:t>
        </w:r>
      </w:hyperlink>
      <w:r>
        <w:t>.</w:t>
      </w:r>
    </w:p>
    <w:p w:rsidR="00485094" w:rsidRDefault="00485094" w:rsidP="00D145F4">
      <w:pPr>
        <w:pStyle w:val="References"/>
      </w:pPr>
      <w:r>
        <w:t xml:space="preserve">———.  2010d.  </w:t>
      </w:r>
      <w:r w:rsidRPr="007A2902">
        <w:rPr>
          <w:i/>
        </w:rPr>
        <w:t>The economic impact of saltwater fishing in Florida.</w:t>
      </w:r>
      <w:r>
        <w:t xml:space="preserve">  Available:  </w:t>
      </w:r>
      <w:hyperlink r:id="rId268" w:history="1">
        <w:r w:rsidRPr="005F7EAB">
          <w:rPr>
            <w:rStyle w:val="Hyperlink"/>
          </w:rPr>
          <w:t>http://myfwc.com/conservation/Conservation_ValueofConservation_EconSaltwaterImpact.htm</w:t>
        </w:r>
      </w:hyperlink>
      <w:r>
        <w:t>.</w:t>
      </w:r>
    </w:p>
    <w:p w:rsidR="00485094" w:rsidRDefault="00485094" w:rsidP="00E25E53">
      <w:pPr>
        <w:pStyle w:val="References"/>
      </w:pPr>
      <w:r>
        <w:t xml:space="preserve">Florida </w:t>
      </w:r>
      <w:r w:rsidRPr="007853D5">
        <w:t>LakeWatch</w:t>
      </w:r>
      <w:r>
        <w:t xml:space="preserve">.  October 1999.  </w:t>
      </w:r>
      <w:r w:rsidRPr="00CB2989">
        <w:rPr>
          <w:i/>
        </w:rPr>
        <w:t>A beginner’s guide to water management:  The ABCs.</w:t>
      </w:r>
      <w:r>
        <w:t xml:space="preserve">  Gainesville, FL:  University of Florida, Department of Fisheries and Aquatic Sciences, Institute of Food and Agricultural Sciences.  Available:  </w:t>
      </w:r>
      <w:hyperlink r:id="rId269" w:history="1">
        <w:r w:rsidRPr="005F7EAB">
          <w:rPr>
            <w:rStyle w:val="Hyperlink"/>
          </w:rPr>
          <w:t>http://lakewatch.ifas.ufl.edu/</w:t>
        </w:r>
        <w:r w:rsidRPr="005F7EAB">
          <w:rPr>
            <w:rStyle w:val="Hyperlink"/>
          </w:rPr>
          <w:br/>
          <w:t>circpdffolder/ABCsInt.pdf</w:t>
        </w:r>
      </w:hyperlink>
      <w:r>
        <w:t>.</w:t>
      </w:r>
    </w:p>
    <w:p w:rsidR="00485094" w:rsidRDefault="00485094" w:rsidP="00494D88">
      <w:pPr>
        <w:pStyle w:val="References"/>
      </w:pPr>
      <w:r>
        <w:t xml:space="preserve">Florida Springs Task Force.  November 2000.  </w:t>
      </w:r>
      <w:r w:rsidRPr="00494D88">
        <w:rPr>
          <w:i/>
        </w:rPr>
        <w:t xml:space="preserve">Florida’s springs:  Strategies for protection and restoration.  </w:t>
      </w:r>
      <w:r>
        <w:t xml:space="preserve">Available:  </w:t>
      </w:r>
      <w:hyperlink r:id="rId270" w:history="1">
        <w:r w:rsidRPr="005F7EAB">
          <w:rPr>
            <w:rStyle w:val="Hyperlink"/>
          </w:rPr>
          <w:t>http://www.dep.state.fl.us/springs/reports/files/</w:t>
        </w:r>
        <w:r w:rsidRPr="005F7EAB">
          <w:rPr>
            <w:rStyle w:val="Hyperlink"/>
          </w:rPr>
          <w:br/>
          <w:t>SpringsTaskForceReport.pdf</w:t>
        </w:r>
      </w:hyperlink>
      <w:r>
        <w:t>.</w:t>
      </w:r>
    </w:p>
    <w:p w:rsidR="00485094" w:rsidRDefault="00485094" w:rsidP="00E25E53">
      <w:pPr>
        <w:pStyle w:val="References"/>
      </w:pPr>
      <w:r>
        <w:t xml:space="preserve">Florida Trend.  2009.  </w:t>
      </w:r>
      <w:r w:rsidRPr="00DA23A4">
        <w:rPr>
          <w:i/>
        </w:rPr>
        <w:t>2009 Economic yearbook:  Bad case of the blues.</w:t>
      </w:r>
      <w:r>
        <w:t xml:space="preserve">  Available:  </w:t>
      </w:r>
      <w:hyperlink r:id="rId271" w:history="1">
        <w:r w:rsidRPr="00C07403">
          <w:rPr>
            <w:rStyle w:val="Hyperlink"/>
          </w:rPr>
          <w:t>http://www.floridatrend.com/article.asp?aID=50744</w:t>
        </w:r>
      </w:hyperlink>
      <w:r>
        <w:t>.</w:t>
      </w:r>
    </w:p>
    <w:p w:rsidR="00485094" w:rsidRDefault="00485094" w:rsidP="00E86D10">
      <w:pPr>
        <w:pStyle w:val="References"/>
      </w:pPr>
      <w:r>
        <w:t xml:space="preserve">Fore, L.S., R. Frydenborg, D. Miller, T. Frick, D. Whiting, J. Espy, and L. Wolfe.  March 2007.  </w:t>
      </w:r>
      <w:r w:rsidRPr="00E86D10">
        <w:rPr>
          <w:i/>
        </w:rPr>
        <w:t>Development and testing of biomonitoring tools for macroinvertebrates in Florida streams (Stream Condition Index and BioRecon:  Final report.</w:t>
      </w:r>
      <w:r>
        <w:t xml:space="preserve">  Prepared for the Florida Department of Environmental Protection by Statistical Design, Inc., Seattle, WA.  Available:  </w:t>
      </w:r>
      <w:hyperlink r:id="rId272" w:history="1">
        <w:r w:rsidRPr="00C57FE5">
          <w:rPr>
            <w:rStyle w:val="Hyperlink"/>
          </w:rPr>
          <w:t>http://publicfiles.dep.state.fl.us/dear/labs/sas/sopdoc/sci_final.pdf</w:t>
        </w:r>
      </w:hyperlink>
      <w:r>
        <w:t>.</w:t>
      </w:r>
    </w:p>
    <w:p w:rsidR="00485094" w:rsidRPr="00F35C56" w:rsidRDefault="00485094" w:rsidP="00E86D10">
      <w:pPr>
        <w:pStyle w:val="References"/>
      </w:pPr>
      <w:r w:rsidRPr="00F35C56">
        <w:t xml:space="preserve">Frayer, W.E., and J.M. Hefner.  1991.  </w:t>
      </w:r>
      <w:r w:rsidRPr="00F35C56">
        <w:rPr>
          <w:i/>
        </w:rPr>
        <w:t xml:space="preserve">Florida wetlands status and trends, 1970s to 1980s.  </w:t>
      </w:r>
      <w:r w:rsidRPr="00F35C56">
        <w:t>Atlanta</w:t>
      </w:r>
      <w:r>
        <w:t xml:space="preserve">, GA:  </w:t>
      </w:r>
      <w:r w:rsidRPr="00F35C56">
        <w:t>U.S. Fish and Wildlife Service, Southeast Region</w:t>
      </w:r>
      <w:r>
        <w:t xml:space="preserve">.  Available:  </w:t>
      </w:r>
      <w:hyperlink r:id="rId273" w:history="1">
        <w:r w:rsidRPr="00C57FE5">
          <w:rPr>
            <w:rStyle w:val="Hyperlink"/>
          </w:rPr>
          <w:t>http://www.fws.gov/wetlands/_documents/gSandT/StateRegionalReports/FloridaWetlandsStatusTrends1970sto1980s.pdf</w:t>
        </w:r>
      </w:hyperlink>
      <w:r>
        <w:t>.</w:t>
      </w:r>
    </w:p>
    <w:p w:rsidR="00485094" w:rsidRPr="0075585F" w:rsidRDefault="00485094" w:rsidP="00E25E53">
      <w:pPr>
        <w:pStyle w:val="References"/>
        <w:rPr>
          <w:szCs w:val="22"/>
        </w:rPr>
      </w:pPr>
      <w:r w:rsidRPr="0075585F">
        <w:rPr>
          <w:szCs w:val="22"/>
        </w:rPr>
        <w:t>Fujiki</w:t>
      </w:r>
      <w:r>
        <w:rPr>
          <w:szCs w:val="22"/>
        </w:rPr>
        <w:t>,</w:t>
      </w:r>
      <w:r w:rsidRPr="0075585F">
        <w:rPr>
          <w:szCs w:val="22"/>
        </w:rPr>
        <w:t xml:space="preserve"> H</w:t>
      </w:r>
      <w:r>
        <w:rPr>
          <w:szCs w:val="22"/>
        </w:rPr>
        <w:t>.</w:t>
      </w:r>
      <w:r w:rsidRPr="0075585F">
        <w:rPr>
          <w:szCs w:val="22"/>
        </w:rPr>
        <w:t>,</w:t>
      </w:r>
      <w:r>
        <w:rPr>
          <w:szCs w:val="22"/>
        </w:rPr>
        <w:t xml:space="preserve"> M.</w:t>
      </w:r>
      <w:r w:rsidRPr="0075585F">
        <w:rPr>
          <w:szCs w:val="22"/>
        </w:rPr>
        <w:t xml:space="preserve"> Suganuma, </w:t>
      </w:r>
      <w:r>
        <w:rPr>
          <w:szCs w:val="22"/>
        </w:rPr>
        <w:t xml:space="preserve">H. </w:t>
      </w:r>
      <w:r w:rsidRPr="0075585F">
        <w:rPr>
          <w:szCs w:val="22"/>
        </w:rPr>
        <w:t xml:space="preserve">Surguri, </w:t>
      </w:r>
      <w:r>
        <w:rPr>
          <w:szCs w:val="22"/>
        </w:rPr>
        <w:t xml:space="preserve">S. </w:t>
      </w:r>
      <w:r w:rsidRPr="0075585F">
        <w:rPr>
          <w:szCs w:val="22"/>
        </w:rPr>
        <w:t xml:space="preserve">Yoshizawa, </w:t>
      </w:r>
      <w:r>
        <w:rPr>
          <w:szCs w:val="22"/>
        </w:rPr>
        <w:t xml:space="preserve">K. </w:t>
      </w:r>
      <w:r w:rsidRPr="0075585F">
        <w:rPr>
          <w:szCs w:val="22"/>
        </w:rPr>
        <w:t xml:space="preserve">Takagi, </w:t>
      </w:r>
      <w:r>
        <w:rPr>
          <w:szCs w:val="22"/>
        </w:rPr>
        <w:t xml:space="preserve">M. </w:t>
      </w:r>
      <w:r w:rsidRPr="0075585F">
        <w:rPr>
          <w:szCs w:val="22"/>
        </w:rPr>
        <w:t xml:space="preserve">Nakayasu, </w:t>
      </w:r>
      <w:r>
        <w:rPr>
          <w:szCs w:val="22"/>
        </w:rPr>
        <w:t xml:space="preserve">M. </w:t>
      </w:r>
      <w:r w:rsidRPr="0075585F">
        <w:rPr>
          <w:szCs w:val="22"/>
        </w:rPr>
        <w:t xml:space="preserve">Ojika, </w:t>
      </w:r>
      <w:r>
        <w:rPr>
          <w:szCs w:val="22"/>
        </w:rPr>
        <w:t xml:space="preserve">K. </w:t>
      </w:r>
      <w:r w:rsidRPr="0075585F">
        <w:rPr>
          <w:szCs w:val="22"/>
        </w:rPr>
        <w:t>Yamada</w:t>
      </w:r>
      <w:r>
        <w:rPr>
          <w:szCs w:val="22"/>
        </w:rPr>
        <w:t xml:space="preserve">, T. </w:t>
      </w:r>
      <w:r w:rsidRPr="0075585F">
        <w:rPr>
          <w:szCs w:val="22"/>
        </w:rPr>
        <w:t xml:space="preserve">Yasumoto, </w:t>
      </w:r>
      <w:r>
        <w:rPr>
          <w:szCs w:val="22"/>
        </w:rPr>
        <w:t xml:space="preserve">R.E. </w:t>
      </w:r>
      <w:r w:rsidRPr="0075585F">
        <w:rPr>
          <w:szCs w:val="22"/>
        </w:rPr>
        <w:t>Moore</w:t>
      </w:r>
      <w:r>
        <w:rPr>
          <w:szCs w:val="22"/>
        </w:rPr>
        <w:t xml:space="preserve">, and T. </w:t>
      </w:r>
      <w:r w:rsidRPr="0075585F">
        <w:rPr>
          <w:szCs w:val="22"/>
        </w:rPr>
        <w:t xml:space="preserve">Sugimura, T.  1990.  New tumor promoters from marine natural products. </w:t>
      </w:r>
      <w:r>
        <w:rPr>
          <w:szCs w:val="22"/>
        </w:rPr>
        <w:t xml:space="preserve"> </w:t>
      </w:r>
      <w:r w:rsidR="000309E2" w:rsidRPr="000309E2">
        <w:rPr>
          <w:i/>
          <w:szCs w:val="22"/>
        </w:rPr>
        <w:t>In:</w:t>
      </w:r>
      <w:r w:rsidR="005C7479">
        <w:rPr>
          <w:szCs w:val="22"/>
        </w:rPr>
        <w:t xml:space="preserve"> </w:t>
      </w:r>
      <w:r w:rsidRPr="0075585F">
        <w:rPr>
          <w:szCs w:val="22"/>
        </w:rPr>
        <w:t xml:space="preserve"> S. Hall and G. Strichartz (</w:t>
      </w:r>
      <w:r w:rsidR="00431B2F">
        <w:rPr>
          <w:szCs w:val="22"/>
        </w:rPr>
        <w:t>E</w:t>
      </w:r>
      <w:r w:rsidR="00431B2F" w:rsidRPr="0075585F">
        <w:rPr>
          <w:szCs w:val="22"/>
        </w:rPr>
        <w:t>ds</w:t>
      </w:r>
      <w:r w:rsidRPr="0075585F">
        <w:rPr>
          <w:szCs w:val="22"/>
        </w:rPr>
        <w:t>.)</w:t>
      </w:r>
      <w:r w:rsidR="005C7479">
        <w:rPr>
          <w:szCs w:val="22"/>
        </w:rPr>
        <w:t>,</w:t>
      </w:r>
      <w:r w:rsidRPr="0075585F">
        <w:rPr>
          <w:szCs w:val="22"/>
        </w:rPr>
        <w:t xml:space="preserve"> </w:t>
      </w:r>
      <w:r w:rsidRPr="00375554">
        <w:rPr>
          <w:i/>
          <w:szCs w:val="22"/>
        </w:rPr>
        <w:t xml:space="preserve">Marine toxins: </w:t>
      </w:r>
      <w:r w:rsidR="005C7479">
        <w:rPr>
          <w:i/>
          <w:szCs w:val="22"/>
        </w:rPr>
        <w:t xml:space="preserve"> </w:t>
      </w:r>
      <w:r w:rsidRPr="00375554">
        <w:rPr>
          <w:i/>
          <w:szCs w:val="22"/>
        </w:rPr>
        <w:t>Origin, structure and molecular pharmacology</w:t>
      </w:r>
      <w:r>
        <w:rPr>
          <w:szCs w:val="22"/>
        </w:rPr>
        <w:t xml:space="preserve"> (Washington, DC:  </w:t>
      </w:r>
      <w:r w:rsidRPr="0075585F">
        <w:rPr>
          <w:szCs w:val="22"/>
        </w:rPr>
        <w:t>American Chemical Society, pp</w:t>
      </w:r>
      <w:r>
        <w:rPr>
          <w:szCs w:val="22"/>
        </w:rPr>
        <w:t>.</w:t>
      </w:r>
      <w:r w:rsidRPr="0075585F">
        <w:rPr>
          <w:szCs w:val="22"/>
        </w:rPr>
        <w:t xml:space="preserve"> 232</w:t>
      </w:r>
      <w:r>
        <w:rPr>
          <w:szCs w:val="22"/>
        </w:rPr>
        <w:t>–</w:t>
      </w:r>
      <w:r w:rsidRPr="0075585F">
        <w:rPr>
          <w:szCs w:val="22"/>
        </w:rPr>
        <w:t>240</w:t>
      </w:r>
      <w:r>
        <w:rPr>
          <w:szCs w:val="22"/>
        </w:rPr>
        <w:t>)</w:t>
      </w:r>
      <w:r w:rsidRPr="0075585F">
        <w:rPr>
          <w:szCs w:val="22"/>
        </w:rPr>
        <w:t>.</w:t>
      </w:r>
    </w:p>
    <w:p w:rsidR="00485094" w:rsidRPr="001319C1" w:rsidRDefault="00485094" w:rsidP="00E25E53">
      <w:pPr>
        <w:pStyle w:val="References"/>
      </w:pPr>
      <w:r w:rsidRPr="001319C1">
        <w:t xml:space="preserve">Gabriel, M.C., D.M. Axelrad, T. Lange, and T. Dirk.  2010.  Mercury and sulfur monitoring:  Research and environmental assessment in south Florida.  </w:t>
      </w:r>
      <w:r w:rsidR="000309E2" w:rsidRPr="000309E2">
        <w:rPr>
          <w:i/>
        </w:rPr>
        <w:t>In:</w:t>
      </w:r>
      <w:r w:rsidRPr="001319C1">
        <w:t xml:space="preserve"> </w:t>
      </w:r>
      <w:r w:rsidRPr="001319C1">
        <w:rPr>
          <w:i/>
        </w:rPr>
        <w:t xml:space="preserve">2010 South Florida environmental </w:t>
      </w:r>
      <w:r>
        <w:rPr>
          <w:i/>
        </w:rPr>
        <w:t>r</w:t>
      </w:r>
      <w:r w:rsidRPr="001319C1">
        <w:rPr>
          <w:i/>
        </w:rPr>
        <w:t>eport</w:t>
      </w:r>
      <w:r w:rsidRPr="00E8612A">
        <w:rPr>
          <w:i/>
        </w:rPr>
        <w:t>, Volume I, Chapter 3B</w:t>
      </w:r>
      <w:r w:rsidRPr="001319C1">
        <w:t xml:space="preserve"> </w:t>
      </w:r>
      <w:r>
        <w:t>(</w:t>
      </w:r>
      <w:r w:rsidRPr="001319C1">
        <w:t>West Palm Beach, FL:  South Florida Water Management District</w:t>
      </w:r>
      <w:r>
        <w:t>)</w:t>
      </w:r>
      <w:r w:rsidRPr="001319C1">
        <w:t xml:space="preserve">.  Available:  </w:t>
      </w:r>
      <w:hyperlink r:id="rId274" w:history="1">
        <w:r w:rsidRPr="005F7EAB">
          <w:rPr>
            <w:rStyle w:val="Hyperlink"/>
            <w:rFonts w:cs="Arial"/>
            <w:szCs w:val="22"/>
          </w:rPr>
          <w:t>https://my.sfwmd.gov/portal/page/portal/</w:t>
        </w:r>
        <w:r w:rsidRPr="005F7EAB">
          <w:rPr>
            <w:rStyle w:val="Hyperlink"/>
            <w:rFonts w:cs="Arial"/>
            <w:szCs w:val="22"/>
          </w:rPr>
          <w:br/>
          <w:t>pg_grp_sfwmd_sfer/portlet_sfer/tab2236037/2010%20report/v1/chapters/v1_ch3B.pdf</w:t>
        </w:r>
      </w:hyperlink>
      <w:r w:rsidRPr="001319C1">
        <w:t>.</w:t>
      </w:r>
    </w:p>
    <w:p w:rsidR="00485094" w:rsidRDefault="00485094" w:rsidP="00E25E53">
      <w:pPr>
        <w:pStyle w:val="References"/>
      </w:pPr>
      <w:r w:rsidRPr="007E75F4">
        <w:t>Gao, X.</w:t>
      </w:r>
      <w:r>
        <w:t xml:space="preserve"> </w:t>
      </w:r>
      <w:r w:rsidRPr="007E75F4">
        <w:t xml:space="preserve"> 2007.  </w:t>
      </w:r>
      <w:r w:rsidRPr="007E75F4">
        <w:rPr>
          <w:i/>
        </w:rPr>
        <w:t xml:space="preserve">TMDL report:  Nutrient TMDLs for the Wekiva River (WBIDs 2956, 2956A, and 2956C) and Rock Springs Run (WBID 2967), Draft 11/15/07.  </w:t>
      </w:r>
      <w:r>
        <w:t>Tallahassee, FL:  Florida Department of Environmental Protection,</w:t>
      </w:r>
      <w:r w:rsidRPr="007E75F4">
        <w:t xml:space="preserve"> Watershed Assessment Section.</w:t>
      </w:r>
      <w:r>
        <w:t xml:space="preserve">  Available:  </w:t>
      </w:r>
      <w:hyperlink r:id="rId275" w:history="1">
        <w:r w:rsidRPr="00C57FE5">
          <w:rPr>
            <w:rStyle w:val="Hyperlink"/>
          </w:rPr>
          <w:t>http://www.dep.state.fl.us/water/tmdl/docs/tmdls/final/gp2/Wekiva_MainStem04182008.pdf</w:t>
        </w:r>
      </w:hyperlink>
      <w:r>
        <w:t>.</w:t>
      </w:r>
    </w:p>
    <w:p w:rsidR="00485094" w:rsidRDefault="00485094" w:rsidP="00E86D10">
      <w:pPr>
        <w:pStyle w:val="References"/>
      </w:pPr>
      <w:r>
        <w:t xml:space="preserve">Gerritsen, J., B. Jessup, E. Leppo, and J. White.  July 2000.  </w:t>
      </w:r>
      <w:r w:rsidRPr="00E86D10">
        <w:rPr>
          <w:i/>
        </w:rPr>
        <w:t xml:space="preserve">Development of Lake Condition Indexes (LCI) for Florida.   </w:t>
      </w:r>
      <w:r>
        <w:t xml:space="preserve">Prepared for the Florida Department of Environmental Protection by Tetra Tech, Inc., Owings Mills, MD.  Available:  </w:t>
      </w:r>
      <w:hyperlink r:id="rId276" w:history="1">
        <w:r w:rsidRPr="005F7EAB">
          <w:rPr>
            <w:rStyle w:val="Hyperlink"/>
          </w:rPr>
          <w:t>http://publicfiles.dep.state.fl.us/</w:t>
        </w:r>
        <w:r w:rsidRPr="005F7EAB">
          <w:rPr>
            <w:rStyle w:val="Hyperlink"/>
          </w:rPr>
          <w:br/>
          <w:t>dear/labs/sas/sopdoc/lci_final.pdf</w:t>
        </w:r>
      </w:hyperlink>
      <w:r>
        <w:t>.</w:t>
      </w:r>
    </w:p>
    <w:p w:rsidR="00485094" w:rsidRDefault="00485094" w:rsidP="00E25E53">
      <w:pPr>
        <w:pStyle w:val="References"/>
      </w:pPr>
      <w:r w:rsidRPr="00397DF3">
        <w:t xml:space="preserve">Gilbert, R.O.  </w:t>
      </w:r>
      <w:r>
        <w:t xml:space="preserve">1987.  </w:t>
      </w:r>
      <w:r w:rsidRPr="00A94548">
        <w:rPr>
          <w:i/>
        </w:rPr>
        <w:t>Statistical</w:t>
      </w:r>
      <w:r>
        <w:t xml:space="preserve"> </w:t>
      </w:r>
      <w:r w:rsidRPr="00A94548">
        <w:rPr>
          <w:i/>
        </w:rPr>
        <w:t>methods for environmental pollution monitoring</w:t>
      </w:r>
      <w:r>
        <w:t>.  New York, NY: Van Nostrand.</w:t>
      </w:r>
    </w:p>
    <w:p w:rsidR="00485094" w:rsidRDefault="00485094" w:rsidP="00E25E53">
      <w:pPr>
        <w:pStyle w:val="References"/>
      </w:pPr>
      <w:r>
        <w:t>Gulf of Mexico Alliance</w:t>
      </w:r>
      <w:r w:rsidR="005C7479">
        <w:t xml:space="preserve"> website</w:t>
      </w:r>
      <w:r>
        <w:t xml:space="preserve">.  2010.  Available:  </w:t>
      </w:r>
      <w:hyperlink r:id="rId277" w:history="1">
        <w:r w:rsidRPr="00C57FE5">
          <w:rPr>
            <w:rStyle w:val="Hyperlink"/>
          </w:rPr>
          <w:t>http://gulfofmexicoalliance.org/</w:t>
        </w:r>
      </w:hyperlink>
      <w:r>
        <w:t>.</w:t>
      </w:r>
    </w:p>
    <w:p w:rsidR="00485094" w:rsidRPr="00965FF0" w:rsidRDefault="00485094" w:rsidP="00E25E53">
      <w:pPr>
        <w:pStyle w:val="References"/>
      </w:pPr>
      <w:r>
        <w:t xml:space="preserve">Hand, J.  October 2004.  </w:t>
      </w:r>
      <w:r w:rsidRPr="00FE7836">
        <w:rPr>
          <w:i/>
        </w:rPr>
        <w:t>Typical water quality values</w:t>
      </w:r>
      <w:r>
        <w:rPr>
          <w:i/>
        </w:rPr>
        <w:t xml:space="preserve"> for Florida’s lakes, streams, and estuaries</w:t>
      </w:r>
      <w:r w:rsidRPr="00FE7836">
        <w:rPr>
          <w:i/>
        </w:rPr>
        <w:t>.</w:t>
      </w:r>
      <w:r>
        <w:rPr>
          <w:i/>
        </w:rPr>
        <w:t xml:space="preserve">  </w:t>
      </w:r>
      <w:r w:rsidRPr="00E73100">
        <w:t>Draft.</w:t>
      </w:r>
      <w:r>
        <w:rPr>
          <w:i/>
        </w:rPr>
        <w:t xml:space="preserve">  </w:t>
      </w:r>
      <w:r w:rsidRPr="00965FF0">
        <w:t>Tallahassee, FL:  Florida Department of Environmental Protection, Bureau of Watershed Management.</w:t>
      </w:r>
    </w:p>
    <w:p w:rsidR="00485094" w:rsidRDefault="00485094" w:rsidP="00FE7836">
      <w:pPr>
        <w:pStyle w:val="References"/>
      </w:pPr>
      <w:r w:rsidRPr="00E86D10">
        <w:t xml:space="preserve">Harrington, D., G. Maddox, and R. Hicks.  2008.  </w:t>
      </w:r>
      <w:r>
        <w:rPr>
          <w:i/>
        </w:rPr>
        <w:t>Florida Springs Initiative monitoring n</w:t>
      </w:r>
      <w:r w:rsidRPr="00E86D10">
        <w:rPr>
          <w:i/>
        </w:rPr>
        <w:t xml:space="preserve">etwork report 2008.  </w:t>
      </w:r>
      <w:r w:rsidRPr="00E86D10">
        <w:t xml:space="preserve">Tallahassee, FL:  Florida Department of Environmental Protection, Division of Environmental Assessment and Restoration.  Available:  </w:t>
      </w:r>
      <w:hyperlink r:id="rId278" w:history="1">
        <w:r w:rsidRPr="005F7EAB">
          <w:rPr>
            <w:rStyle w:val="Hyperlink"/>
          </w:rPr>
          <w:t>http://publicfiles.dep.state.</w:t>
        </w:r>
        <w:r w:rsidRPr="005F7EAB">
          <w:rPr>
            <w:rStyle w:val="Hyperlink"/>
          </w:rPr>
          <w:br/>
          <w:t>fl.us/DEAR/BMAP/Wekiva/Reports&amp;ReferenceDocuments/FDEP2008SpringsReport/2008FDEPSpringsDataReport_final.pdf</w:t>
        </w:r>
      </w:hyperlink>
      <w:r>
        <w:t>.</w:t>
      </w:r>
    </w:p>
    <w:p w:rsidR="00485094" w:rsidRDefault="00485094" w:rsidP="00FE7836">
      <w:pPr>
        <w:pStyle w:val="References"/>
      </w:pPr>
      <w:r w:rsidRPr="00F35C56">
        <w:t xml:space="preserve">Hefner, J.M. </w:t>
      </w:r>
      <w:r>
        <w:t xml:space="preserve"> </w:t>
      </w:r>
      <w:r w:rsidRPr="00F35C56">
        <w:t xml:space="preserve">1986. </w:t>
      </w:r>
      <w:r>
        <w:t xml:space="preserve"> </w:t>
      </w:r>
      <w:r w:rsidRPr="00F35C56">
        <w:t>Wetlands of Florida 1950s to 1970s.</w:t>
      </w:r>
      <w:r>
        <w:t xml:space="preserve"> </w:t>
      </w:r>
      <w:r w:rsidRPr="00F35C56">
        <w:t xml:space="preserve"> </w:t>
      </w:r>
      <w:r w:rsidR="000309E2" w:rsidRPr="000309E2">
        <w:rPr>
          <w:i/>
        </w:rPr>
        <w:t>In:</w:t>
      </w:r>
      <w:r w:rsidRPr="00F35C56">
        <w:t xml:space="preserve"> E.D. Estevez, J.</w:t>
      </w:r>
      <w:r w:rsidR="005C7479">
        <w:t xml:space="preserve"> </w:t>
      </w:r>
      <w:r w:rsidRPr="00F35C56">
        <w:t>Miller, J.</w:t>
      </w:r>
      <w:r w:rsidR="005C7479">
        <w:t xml:space="preserve"> </w:t>
      </w:r>
      <w:r w:rsidRPr="00F35C56">
        <w:t xml:space="preserve">Morris, and R. Hamman </w:t>
      </w:r>
      <w:r>
        <w:t>(</w:t>
      </w:r>
      <w:r w:rsidR="005C7479">
        <w:t>E</w:t>
      </w:r>
      <w:r w:rsidR="005C7479" w:rsidRPr="00F35C56">
        <w:t>ds</w:t>
      </w:r>
      <w:r>
        <w:t xml:space="preserve">.), </w:t>
      </w:r>
      <w:r w:rsidRPr="00F35C56">
        <w:rPr>
          <w:i/>
        </w:rPr>
        <w:t xml:space="preserve">Proceedings of the conference: </w:t>
      </w:r>
      <w:r>
        <w:rPr>
          <w:i/>
        </w:rPr>
        <w:t xml:space="preserve"> M</w:t>
      </w:r>
      <w:r w:rsidRPr="00F35C56">
        <w:rPr>
          <w:i/>
        </w:rPr>
        <w:t>anaging cumulative effects in Florida wetlands</w:t>
      </w:r>
      <w:r>
        <w:rPr>
          <w:i/>
        </w:rPr>
        <w:t xml:space="preserve"> (</w:t>
      </w:r>
      <w:r>
        <w:t xml:space="preserve">Madison, WI:  </w:t>
      </w:r>
      <w:r w:rsidRPr="00F35C56">
        <w:t>Omnipress</w:t>
      </w:r>
      <w:r>
        <w:t>)</w:t>
      </w:r>
      <w:r w:rsidRPr="00F35C56">
        <w:rPr>
          <w:i/>
        </w:rPr>
        <w:t xml:space="preserve">. </w:t>
      </w:r>
      <w:r>
        <w:rPr>
          <w:i/>
        </w:rPr>
        <w:t xml:space="preserve"> </w:t>
      </w:r>
      <w:r w:rsidRPr="00F35C56">
        <w:t>New College Env</w:t>
      </w:r>
      <w:r>
        <w:t xml:space="preserve">ironmental Studies Program, </w:t>
      </w:r>
      <w:r w:rsidRPr="00F35C56">
        <w:t>Publ</w:t>
      </w:r>
      <w:r>
        <w:t>ication No. 37.</w:t>
      </w:r>
    </w:p>
    <w:p w:rsidR="00485094" w:rsidRPr="0075585F" w:rsidRDefault="00485094" w:rsidP="00E25E53">
      <w:pPr>
        <w:pStyle w:val="References"/>
        <w:rPr>
          <w:color w:val="000000"/>
          <w:szCs w:val="22"/>
        </w:rPr>
      </w:pPr>
      <w:r>
        <w:rPr>
          <w:color w:val="000000"/>
          <w:szCs w:val="22"/>
        </w:rPr>
        <w:t>Heil, C.</w:t>
      </w:r>
      <w:r w:rsidRPr="0075585F">
        <w:rPr>
          <w:color w:val="000000"/>
          <w:szCs w:val="22"/>
        </w:rPr>
        <w:t xml:space="preserve">A., and K.A. Steidinger. </w:t>
      </w:r>
      <w:r>
        <w:rPr>
          <w:color w:val="000000"/>
          <w:szCs w:val="22"/>
        </w:rPr>
        <w:t xml:space="preserve"> </w:t>
      </w:r>
      <w:r w:rsidRPr="0075585F">
        <w:rPr>
          <w:color w:val="000000"/>
          <w:szCs w:val="22"/>
        </w:rPr>
        <w:t xml:space="preserve">2009. </w:t>
      </w:r>
      <w:r>
        <w:rPr>
          <w:color w:val="000000"/>
          <w:szCs w:val="22"/>
        </w:rPr>
        <w:t xml:space="preserve"> </w:t>
      </w:r>
      <w:r w:rsidRPr="0075585F">
        <w:rPr>
          <w:color w:val="000000"/>
          <w:szCs w:val="22"/>
        </w:rPr>
        <w:t xml:space="preserve">Monitoring, management, and mitigation of </w:t>
      </w:r>
      <w:r w:rsidRPr="0075585F">
        <w:rPr>
          <w:i/>
          <w:iCs/>
          <w:color w:val="000000"/>
          <w:szCs w:val="22"/>
        </w:rPr>
        <w:t xml:space="preserve">Karenia </w:t>
      </w:r>
      <w:r w:rsidRPr="0075585F">
        <w:rPr>
          <w:color w:val="000000"/>
          <w:szCs w:val="22"/>
        </w:rPr>
        <w:t xml:space="preserve">blooms in the eastern Gulf of Mexico. </w:t>
      </w:r>
      <w:r>
        <w:rPr>
          <w:color w:val="000000"/>
          <w:szCs w:val="22"/>
        </w:rPr>
        <w:t xml:space="preserve"> </w:t>
      </w:r>
      <w:r w:rsidRPr="001319C1">
        <w:rPr>
          <w:i/>
          <w:color w:val="000000"/>
          <w:szCs w:val="22"/>
        </w:rPr>
        <w:t>Harmful Algae 8: 611–617.</w:t>
      </w:r>
      <w:r w:rsidRPr="0075585F">
        <w:rPr>
          <w:color w:val="000000"/>
          <w:szCs w:val="22"/>
        </w:rPr>
        <w:t xml:space="preserve"> </w:t>
      </w:r>
    </w:p>
    <w:p w:rsidR="00485094" w:rsidRPr="0075585F" w:rsidRDefault="00485094" w:rsidP="00E25E53">
      <w:pPr>
        <w:pStyle w:val="References"/>
        <w:rPr>
          <w:color w:val="000000"/>
          <w:szCs w:val="22"/>
        </w:rPr>
      </w:pPr>
      <w:r w:rsidRPr="0075585F">
        <w:rPr>
          <w:color w:val="000000"/>
          <w:szCs w:val="22"/>
        </w:rPr>
        <w:t xml:space="preserve">Heil, D. 2009. </w:t>
      </w:r>
      <w:r>
        <w:rPr>
          <w:color w:val="000000"/>
          <w:szCs w:val="22"/>
        </w:rPr>
        <w:t xml:space="preserve"> </w:t>
      </w:r>
      <w:r w:rsidRPr="0075585F">
        <w:rPr>
          <w:i/>
          <w:iCs/>
          <w:color w:val="000000"/>
          <w:szCs w:val="22"/>
        </w:rPr>
        <w:t xml:space="preserve">Karenia brevis </w:t>
      </w:r>
      <w:r w:rsidRPr="0075585F">
        <w:rPr>
          <w:color w:val="000000"/>
          <w:szCs w:val="22"/>
        </w:rPr>
        <w:t>monitoring, management, and mitigation for</w:t>
      </w:r>
      <w:r>
        <w:rPr>
          <w:color w:val="000000"/>
          <w:szCs w:val="22"/>
        </w:rPr>
        <w:t xml:space="preserve"> Florida molluscan shellﬁsh har</w:t>
      </w:r>
      <w:r w:rsidRPr="0075585F">
        <w:rPr>
          <w:color w:val="000000"/>
          <w:szCs w:val="22"/>
        </w:rPr>
        <w:t xml:space="preserve">vesting areas. </w:t>
      </w:r>
      <w:r>
        <w:rPr>
          <w:color w:val="000000"/>
          <w:szCs w:val="22"/>
        </w:rPr>
        <w:t xml:space="preserve"> </w:t>
      </w:r>
      <w:r w:rsidRPr="001319C1">
        <w:rPr>
          <w:i/>
          <w:color w:val="000000"/>
          <w:szCs w:val="22"/>
        </w:rPr>
        <w:t>Harmful Algae 8(4): 608–610.</w:t>
      </w:r>
      <w:r w:rsidRPr="0075585F">
        <w:rPr>
          <w:color w:val="000000"/>
          <w:szCs w:val="22"/>
        </w:rPr>
        <w:t xml:space="preserve"> </w:t>
      </w:r>
    </w:p>
    <w:p w:rsidR="00485094" w:rsidRPr="00C45C83" w:rsidRDefault="00485094" w:rsidP="00C45C83">
      <w:pPr>
        <w:pStyle w:val="References"/>
        <w:rPr>
          <w:i/>
        </w:rPr>
      </w:pPr>
      <w:r w:rsidRPr="00E675E1">
        <w:t xml:space="preserve">Jones, G.W, and </w:t>
      </w:r>
      <w:r>
        <w:t xml:space="preserve">T. </w:t>
      </w:r>
      <w:r w:rsidRPr="00E675E1">
        <w:t>Pichler</w:t>
      </w:r>
      <w:r>
        <w:t xml:space="preserve">. </w:t>
      </w:r>
      <w:r w:rsidRPr="00E675E1">
        <w:t xml:space="preserve"> 2007. </w:t>
      </w:r>
      <w:r>
        <w:t xml:space="preserve"> </w:t>
      </w:r>
      <w:r w:rsidRPr="00E675E1">
        <w:t xml:space="preserve">The </w:t>
      </w:r>
      <w:r>
        <w:t>r</w:t>
      </w:r>
      <w:r w:rsidRPr="00E675E1">
        <w:t xml:space="preserve">elationship between </w:t>
      </w:r>
      <w:r>
        <w:t>p</w:t>
      </w:r>
      <w:r w:rsidRPr="00E675E1">
        <w:t xml:space="preserve">yrite </w:t>
      </w:r>
      <w:r>
        <w:t>s</w:t>
      </w:r>
      <w:r w:rsidRPr="00E675E1">
        <w:t xml:space="preserve">tability and </w:t>
      </w:r>
      <w:r>
        <w:t>a</w:t>
      </w:r>
      <w:r w:rsidRPr="00E675E1">
        <w:t xml:space="preserve">rsenic Mobility </w:t>
      </w:r>
      <w:r>
        <w:t>d</w:t>
      </w:r>
      <w:r w:rsidRPr="00E675E1">
        <w:t xml:space="preserve">uring </w:t>
      </w:r>
      <w:r>
        <w:t>a</w:t>
      </w:r>
      <w:r w:rsidRPr="00E675E1">
        <w:t xml:space="preserve">quifer </w:t>
      </w:r>
      <w:r>
        <w:t>s</w:t>
      </w:r>
      <w:r w:rsidRPr="00E675E1">
        <w:t xml:space="preserve">torage and </w:t>
      </w:r>
      <w:r>
        <w:t>r</w:t>
      </w:r>
      <w:r w:rsidRPr="00E675E1">
        <w:t xml:space="preserve">ecovery in </w:t>
      </w:r>
      <w:r>
        <w:t>s</w:t>
      </w:r>
      <w:r w:rsidRPr="00E675E1">
        <w:t xml:space="preserve">outhwest </w:t>
      </w:r>
      <w:r>
        <w:t>c</w:t>
      </w:r>
      <w:r w:rsidRPr="00E675E1">
        <w:t xml:space="preserve">entral Florida. </w:t>
      </w:r>
      <w:r>
        <w:t xml:space="preserve"> </w:t>
      </w:r>
      <w:r w:rsidRPr="00C45C83">
        <w:rPr>
          <w:i/>
        </w:rPr>
        <w:t>Environmental Science and Technology v. 41-3, pp. 723</w:t>
      </w:r>
      <w:r w:rsidR="00AA3594">
        <w:rPr>
          <w:i/>
        </w:rPr>
        <w:t>–</w:t>
      </w:r>
      <w:r w:rsidRPr="00C45C83">
        <w:rPr>
          <w:i/>
        </w:rPr>
        <w:t>730.</w:t>
      </w:r>
    </w:p>
    <w:p w:rsidR="00485094" w:rsidRPr="001319C1" w:rsidRDefault="00485094" w:rsidP="00E25E53">
      <w:pPr>
        <w:pStyle w:val="References"/>
        <w:rPr>
          <w:i/>
          <w:color w:val="000000"/>
          <w:szCs w:val="22"/>
        </w:rPr>
      </w:pPr>
      <w:r w:rsidRPr="0075585F">
        <w:rPr>
          <w:color w:val="000000"/>
          <w:szCs w:val="22"/>
        </w:rPr>
        <w:t xml:space="preserve">Kirkpatrick, B., </w:t>
      </w:r>
      <w:r>
        <w:rPr>
          <w:color w:val="000000"/>
          <w:szCs w:val="22"/>
        </w:rPr>
        <w:t xml:space="preserve">L.E. </w:t>
      </w:r>
      <w:r w:rsidRPr="0075585F">
        <w:rPr>
          <w:color w:val="000000"/>
          <w:szCs w:val="22"/>
        </w:rPr>
        <w:t xml:space="preserve">Fleming, </w:t>
      </w:r>
      <w:r>
        <w:rPr>
          <w:color w:val="000000"/>
          <w:szCs w:val="22"/>
        </w:rPr>
        <w:t>L.C.</w:t>
      </w:r>
      <w:r w:rsidRPr="0075585F">
        <w:rPr>
          <w:color w:val="000000"/>
          <w:szCs w:val="22"/>
        </w:rPr>
        <w:t xml:space="preserve"> Backer, </w:t>
      </w:r>
      <w:r>
        <w:rPr>
          <w:color w:val="000000"/>
          <w:szCs w:val="22"/>
        </w:rPr>
        <w:t>J.A.</w:t>
      </w:r>
      <w:r w:rsidRPr="0075585F">
        <w:rPr>
          <w:color w:val="000000"/>
          <w:szCs w:val="22"/>
        </w:rPr>
        <w:t xml:space="preserve"> Bean, </w:t>
      </w:r>
      <w:r>
        <w:rPr>
          <w:color w:val="000000"/>
          <w:szCs w:val="22"/>
        </w:rPr>
        <w:t>R.</w:t>
      </w:r>
      <w:r w:rsidRPr="0075585F">
        <w:rPr>
          <w:color w:val="000000"/>
          <w:szCs w:val="22"/>
        </w:rPr>
        <w:t xml:space="preserve"> Tamer, </w:t>
      </w:r>
      <w:r>
        <w:rPr>
          <w:color w:val="000000"/>
          <w:szCs w:val="22"/>
        </w:rPr>
        <w:t>G.</w:t>
      </w:r>
      <w:r w:rsidRPr="0075585F">
        <w:rPr>
          <w:color w:val="000000"/>
          <w:szCs w:val="22"/>
        </w:rPr>
        <w:t xml:space="preserve">  Kirkpatrick, </w:t>
      </w:r>
      <w:r>
        <w:rPr>
          <w:color w:val="000000"/>
          <w:szCs w:val="22"/>
        </w:rPr>
        <w:t>T.</w:t>
      </w:r>
      <w:r w:rsidRPr="0075585F">
        <w:rPr>
          <w:color w:val="000000"/>
          <w:szCs w:val="22"/>
        </w:rPr>
        <w:t xml:space="preserve"> Kane, </w:t>
      </w:r>
      <w:r>
        <w:rPr>
          <w:color w:val="000000"/>
          <w:szCs w:val="22"/>
        </w:rPr>
        <w:t>A.</w:t>
      </w:r>
      <w:r w:rsidRPr="0075585F">
        <w:rPr>
          <w:color w:val="000000"/>
          <w:szCs w:val="22"/>
        </w:rPr>
        <w:t xml:space="preserve"> Wanner, </w:t>
      </w:r>
      <w:r>
        <w:rPr>
          <w:color w:val="000000"/>
          <w:szCs w:val="22"/>
        </w:rPr>
        <w:t>D.</w:t>
      </w:r>
      <w:r w:rsidRPr="0075585F">
        <w:rPr>
          <w:color w:val="000000"/>
          <w:szCs w:val="22"/>
        </w:rPr>
        <w:t xml:space="preserve"> Dalpra, </w:t>
      </w:r>
      <w:r>
        <w:rPr>
          <w:color w:val="000000"/>
          <w:szCs w:val="22"/>
        </w:rPr>
        <w:t>A.</w:t>
      </w:r>
      <w:r w:rsidRPr="0075585F">
        <w:rPr>
          <w:color w:val="000000"/>
          <w:szCs w:val="22"/>
        </w:rPr>
        <w:t xml:space="preserve"> Reich, and </w:t>
      </w:r>
      <w:r>
        <w:rPr>
          <w:color w:val="000000"/>
          <w:szCs w:val="22"/>
        </w:rPr>
        <w:t xml:space="preserve">D.G. </w:t>
      </w:r>
      <w:r w:rsidRPr="0075585F">
        <w:rPr>
          <w:color w:val="000000"/>
          <w:szCs w:val="22"/>
        </w:rPr>
        <w:t>Baden.</w:t>
      </w:r>
      <w:r>
        <w:rPr>
          <w:color w:val="000000"/>
          <w:szCs w:val="22"/>
        </w:rPr>
        <w:t xml:space="preserve"> </w:t>
      </w:r>
      <w:r w:rsidRPr="0075585F">
        <w:rPr>
          <w:color w:val="000000"/>
          <w:szCs w:val="22"/>
        </w:rPr>
        <w:t xml:space="preserve"> 2006.</w:t>
      </w:r>
      <w:r>
        <w:rPr>
          <w:color w:val="000000"/>
          <w:szCs w:val="22"/>
        </w:rPr>
        <w:t xml:space="preserve"> </w:t>
      </w:r>
      <w:r w:rsidRPr="0075585F">
        <w:rPr>
          <w:color w:val="000000"/>
          <w:szCs w:val="22"/>
        </w:rPr>
        <w:t xml:space="preserve"> Environmental exposures to Florida red tides: </w:t>
      </w:r>
      <w:r>
        <w:rPr>
          <w:color w:val="000000"/>
          <w:szCs w:val="22"/>
        </w:rPr>
        <w:t xml:space="preserve"> Ef</w:t>
      </w:r>
      <w:r w:rsidRPr="0075585F">
        <w:rPr>
          <w:color w:val="000000"/>
          <w:szCs w:val="22"/>
        </w:rPr>
        <w:t>fects on emergenc</w:t>
      </w:r>
      <w:r>
        <w:rPr>
          <w:color w:val="000000"/>
          <w:szCs w:val="22"/>
        </w:rPr>
        <w:t>y room respiratory diagnoses ad</w:t>
      </w:r>
      <w:r w:rsidRPr="0075585F">
        <w:rPr>
          <w:color w:val="000000"/>
          <w:szCs w:val="22"/>
        </w:rPr>
        <w:t xml:space="preserve">missions. </w:t>
      </w:r>
      <w:r>
        <w:rPr>
          <w:color w:val="000000"/>
          <w:szCs w:val="22"/>
        </w:rPr>
        <w:t xml:space="preserve"> </w:t>
      </w:r>
      <w:r w:rsidRPr="001319C1">
        <w:rPr>
          <w:i/>
          <w:color w:val="000000"/>
          <w:szCs w:val="22"/>
        </w:rPr>
        <w:t xml:space="preserve">Harmful Algae 5: 526–533. </w:t>
      </w:r>
    </w:p>
    <w:p w:rsidR="00485094" w:rsidRPr="0075585F" w:rsidRDefault="00485094" w:rsidP="00E25E53">
      <w:pPr>
        <w:pStyle w:val="References"/>
        <w:rPr>
          <w:color w:val="000000"/>
          <w:szCs w:val="22"/>
        </w:rPr>
      </w:pPr>
      <w:r w:rsidRPr="0075585F">
        <w:rPr>
          <w:color w:val="000000"/>
          <w:szCs w:val="22"/>
        </w:rPr>
        <w:t xml:space="preserve">Kirkpatrick, B., </w:t>
      </w:r>
      <w:r>
        <w:rPr>
          <w:color w:val="000000"/>
          <w:szCs w:val="22"/>
        </w:rPr>
        <w:t xml:space="preserve">L. </w:t>
      </w:r>
      <w:r w:rsidRPr="0075585F">
        <w:rPr>
          <w:color w:val="000000"/>
          <w:szCs w:val="22"/>
        </w:rPr>
        <w:t xml:space="preserve">Fleming, </w:t>
      </w:r>
      <w:r>
        <w:rPr>
          <w:color w:val="000000"/>
          <w:szCs w:val="22"/>
        </w:rPr>
        <w:t>D.</w:t>
      </w:r>
      <w:r w:rsidRPr="0075585F">
        <w:rPr>
          <w:color w:val="000000"/>
          <w:szCs w:val="22"/>
        </w:rPr>
        <w:t xml:space="preserve"> SquicciarinI, </w:t>
      </w:r>
      <w:r>
        <w:rPr>
          <w:color w:val="000000"/>
          <w:szCs w:val="22"/>
        </w:rPr>
        <w:t>L.</w:t>
      </w:r>
      <w:r w:rsidRPr="0075585F">
        <w:rPr>
          <w:color w:val="000000"/>
          <w:szCs w:val="22"/>
        </w:rPr>
        <w:t xml:space="preserve"> Backer, </w:t>
      </w:r>
      <w:r>
        <w:rPr>
          <w:color w:val="000000"/>
          <w:szCs w:val="22"/>
        </w:rPr>
        <w:t>R.</w:t>
      </w:r>
      <w:r w:rsidRPr="0075585F">
        <w:rPr>
          <w:color w:val="000000"/>
          <w:szCs w:val="22"/>
        </w:rPr>
        <w:t xml:space="preserve"> Clark, </w:t>
      </w:r>
      <w:r>
        <w:rPr>
          <w:color w:val="000000"/>
          <w:szCs w:val="22"/>
        </w:rPr>
        <w:t>W.</w:t>
      </w:r>
      <w:r w:rsidRPr="0075585F">
        <w:rPr>
          <w:color w:val="000000"/>
          <w:szCs w:val="22"/>
        </w:rPr>
        <w:t xml:space="preserve"> Abraham, </w:t>
      </w:r>
      <w:r>
        <w:rPr>
          <w:color w:val="000000"/>
          <w:szCs w:val="22"/>
        </w:rPr>
        <w:t>J.</w:t>
      </w:r>
      <w:r w:rsidRPr="0075585F">
        <w:rPr>
          <w:color w:val="000000"/>
          <w:szCs w:val="22"/>
        </w:rPr>
        <w:t xml:space="preserve"> Benson, </w:t>
      </w:r>
      <w:r>
        <w:rPr>
          <w:color w:val="000000"/>
          <w:szCs w:val="22"/>
        </w:rPr>
        <w:t>Y.S.</w:t>
      </w:r>
      <w:r w:rsidRPr="0075585F">
        <w:rPr>
          <w:color w:val="000000"/>
          <w:szCs w:val="22"/>
        </w:rPr>
        <w:t xml:space="preserve"> Cheng, </w:t>
      </w:r>
      <w:r>
        <w:rPr>
          <w:color w:val="000000"/>
          <w:szCs w:val="22"/>
        </w:rPr>
        <w:t>D.</w:t>
      </w:r>
      <w:r w:rsidRPr="0075585F">
        <w:rPr>
          <w:color w:val="000000"/>
          <w:szCs w:val="22"/>
        </w:rPr>
        <w:t xml:space="preserve"> Johnson, </w:t>
      </w:r>
      <w:r>
        <w:rPr>
          <w:color w:val="000000"/>
          <w:szCs w:val="22"/>
        </w:rPr>
        <w:t>R.</w:t>
      </w:r>
      <w:r w:rsidRPr="0075585F">
        <w:rPr>
          <w:color w:val="000000"/>
          <w:szCs w:val="22"/>
        </w:rPr>
        <w:t xml:space="preserve"> Pierce, </w:t>
      </w:r>
      <w:r>
        <w:rPr>
          <w:color w:val="000000"/>
          <w:szCs w:val="22"/>
        </w:rPr>
        <w:t>J.</w:t>
      </w:r>
      <w:r w:rsidRPr="0075585F">
        <w:rPr>
          <w:color w:val="000000"/>
          <w:szCs w:val="22"/>
        </w:rPr>
        <w:t xml:space="preserve"> Zaias, </w:t>
      </w:r>
      <w:r>
        <w:rPr>
          <w:color w:val="000000"/>
          <w:szCs w:val="22"/>
        </w:rPr>
        <w:t>J.D.</w:t>
      </w:r>
      <w:r w:rsidRPr="0075585F">
        <w:rPr>
          <w:color w:val="000000"/>
          <w:szCs w:val="22"/>
        </w:rPr>
        <w:t xml:space="preserve"> Bossart, and </w:t>
      </w:r>
      <w:r>
        <w:rPr>
          <w:color w:val="000000"/>
          <w:szCs w:val="22"/>
        </w:rPr>
        <w:t xml:space="preserve">D.G. </w:t>
      </w:r>
      <w:r w:rsidRPr="0075585F">
        <w:rPr>
          <w:color w:val="000000"/>
          <w:szCs w:val="22"/>
        </w:rPr>
        <w:t>Baden.</w:t>
      </w:r>
      <w:r>
        <w:rPr>
          <w:color w:val="000000"/>
          <w:szCs w:val="22"/>
        </w:rPr>
        <w:t xml:space="preserve"> </w:t>
      </w:r>
      <w:r w:rsidRPr="0075585F">
        <w:rPr>
          <w:color w:val="000000"/>
          <w:szCs w:val="22"/>
        </w:rPr>
        <w:t xml:space="preserve"> 2004.</w:t>
      </w:r>
      <w:r>
        <w:rPr>
          <w:color w:val="000000"/>
          <w:szCs w:val="22"/>
        </w:rPr>
        <w:t xml:space="preserve"> </w:t>
      </w:r>
      <w:r w:rsidRPr="0075585F">
        <w:rPr>
          <w:color w:val="000000"/>
          <w:szCs w:val="22"/>
        </w:rPr>
        <w:t xml:space="preserve"> Literatu</w:t>
      </w:r>
      <w:r>
        <w:rPr>
          <w:color w:val="000000"/>
          <w:szCs w:val="22"/>
        </w:rPr>
        <w:t>re review of Florida red tide:  I</w:t>
      </w:r>
      <w:r w:rsidRPr="0075585F">
        <w:rPr>
          <w:color w:val="000000"/>
          <w:szCs w:val="22"/>
        </w:rPr>
        <w:t xml:space="preserve">mplications for human health. </w:t>
      </w:r>
      <w:r>
        <w:rPr>
          <w:color w:val="000000"/>
          <w:szCs w:val="22"/>
        </w:rPr>
        <w:t xml:space="preserve"> </w:t>
      </w:r>
      <w:r w:rsidRPr="001319C1">
        <w:rPr>
          <w:i/>
          <w:color w:val="000000"/>
          <w:szCs w:val="22"/>
        </w:rPr>
        <w:t>Harmful Algae 3: 99–115.</w:t>
      </w:r>
      <w:r w:rsidRPr="0075585F">
        <w:rPr>
          <w:color w:val="000000"/>
          <w:szCs w:val="22"/>
        </w:rPr>
        <w:t xml:space="preserve"> </w:t>
      </w:r>
    </w:p>
    <w:p w:rsidR="00485094" w:rsidRDefault="00485094" w:rsidP="00E25E53">
      <w:pPr>
        <w:pStyle w:val="References"/>
      </w:pPr>
      <w:r w:rsidRPr="00125711">
        <w:rPr>
          <w:lang w:val="de-DE"/>
        </w:rPr>
        <w:t xml:space="preserve">Kushlan, J.A.  1990.  Freshwater marshes.  </w:t>
      </w:r>
      <w:r w:rsidR="000309E2" w:rsidRPr="000309E2">
        <w:rPr>
          <w:i/>
        </w:rPr>
        <w:t>In:</w:t>
      </w:r>
      <w:r>
        <w:t xml:space="preserve">  R.L. Myers and J.J. Ewel (</w:t>
      </w:r>
      <w:r w:rsidR="005C7479">
        <w:t>Eds</w:t>
      </w:r>
      <w:r>
        <w:t xml:space="preserve">.), </w:t>
      </w:r>
      <w:r>
        <w:rPr>
          <w:i/>
        </w:rPr>
        <w:t xml:space="preserve">Ecosystems of Florida </w:t>
      </w:r>
      <w:r w:rsidRPr="00BA3299">
        <w:t>(</w:t>
      </w:r>
      <w:r>
        <w:t>Orlando, FL:  University of Central Florida Press).</w:t>
      </w:r>
    </w:p>
    <w:p w:rsidR="00485094" w:rsidRPr="001319C1" w:rsidRDefault="00485094" w:rsidP="00E25E53">
      <w:pPr>
        <w:pStyle w:val="References"/>
        <w:rPr>
          <w:i/>
          <w:color w:val="000000"/>
          <w:szCs w:val="22"/>
        </w:rPr>
      </w:pPr>
      <w:r>
        <w:rPr>
          <w:color w:val="000000"/>
          <w:szCs w:val="22"/>
        </w:rPr>
        <w:t>Landsberg, J.</w:t>
      </w:r>
      <w:r w:rsidRPr="0075585F">
        <w:rPr>
          <w:color w:val="000000"/>
          <w:szCs w:val="22"/>
        </w:rPr>
        <w:t xml:space="preserve">H. </w:t>
      </w:r>
      <w:r>
        <w:rPr>
          <w:color w:val="000000"/>
          <w:szCs w:val="22"/>
        </w:rPr>
        <w:t xml:space="preserve"> </w:t>
      </w:r>
      <w:r w:rsidRPr="0075585F">
        <w:rPr>
          <w:color w:val="000000"/>
          <w:szCs w:val="22"/>
        </w:rPr>
        <w:t xml:space="preserve">2002. </w:t>
      </w:r>
      <w:r>
        <w:rPr>
          <w:color w:val="000000"/>
          <w:szCs w:val="22"/>
        </w:rPr>
        <w:t xml:space="preserve"> </w:t>
      </w:r>
      <w:r w:rsidRPr="0075585F">
        <w:rPr>
          <w:color w:val="000000"/>
          <w:szCs w:val="22"/>
        </w:rPr>
        <w:t xml:space="preserve">The effects of harmful algal blooms on aquatic organisms. </w:t>
      </w:r>
      <w:r>
        <w:rPr>
          <w:color w:val="000000"/>
          <w:szCs w:val="22"/>
        </w:rPr>
        <w:t xml:space="preserve"> </w:t>
      </w:r>
      <w:r w:rsidRPr="001319C1">
        <w:rPr>
          <w:i/>
          <w:color w:val="000000"/>
          <w:szCs w:val="22"/>
        </w:rPr>
        <w:t xml:space="preserve">Reviews in Fisheries Science 10: 113–390. </w:t>
      </w:r>
    </w:p>
    <w:p w:rsidR="00485094" w:rsidRPr="001319C1" w:rsidRDefault="00485094" w:rsidP="00E25E53">
      <w:pPr>
        <w:pStyle w:val="References"/>
        <w:rPr>
          <w:i/>
          <w:szCs w:val="22"/>
        </w:rPr>
      </w:pPr>
      <w:r w:rsidRPr="0075585F">
        <w:rPr>
          <w:bCs/>
          <w:szCs w:val="22"/>
        </w:rPr>
        <w:t xml:space="preserve">Landsberg, J.H., </w:t>
      </w:r>
      <w:r>
        <w:rPr>
          <w:bCs/>
          <w:szCs w:val="22"/>
        </w:rPr>
        <w:t xml:space="preserve">S. </w:t>
      </w:r>
      <w:r w:rsidRPr="0075585F">
        <w:rPr>
          <w:bCs/>
          <w:szCs w:val="22"/>
        </w:rPr>
        <w:t xml:space="preserve">Hall, </w:t>
      </w:r>
      <w:r>
        <w:rPr>
          <w:bCs/>
          <w:szCs w:val="22"/>
        </w:rPr>
        <w:t>J.N.</w:t>
      </w:r>
      <w:r w:rsidRPr="0075585F">
        <w:rPr>
          <w:bCs/>
          <w:szCs w:val="22"/>
        </w:rPr>
        <w:t xml:space="preserve"> Johannessen, </w:t>
      </w:r>
      <w:r>
        <w:rPr>
          <w:bCs/>
          <w:szCs w:val="22"/>
        </w:rPr>
        <w:t>K.D.</w:t>
      </w:r>
      <w:r w:rsidRPr="0075585F">
        <w:rPr>
          <w:bCs/>
          <w:szCs w:val="22"/>
        </w:rPr>
        <w:t xml:space="preserve"> White, </w:t>
      </w:r>
      <w:r>
        <w:rPr>
          <w:bCs/>
          <w:szCs w:val="22"/>
        </w:rPr>
        <w:t>S.M.</w:t>
      </w:r>
      <w:r w:rsidRPr="0075585F">
        <w:rPr>
          <w:bCs/>
          <w:szCs w:val="22"/>
        </w:rPr>
        <w:t xml:space="preserve"> Conrad, </w:t>
      </w:r>
      <w:r w:rsidR="00EE4CFE">
        <w:rPr>
          <w:bCs/>
          <w:szCs w:val="22"/>
        </w:rPr>
        <w:t xml:space="preserve">and </w:t>
      </w:r>
      <w:r>
        <w:rPr>
          <w:bCs/>
          <w:szCs w:val="22"/>
        </w:rPr>
        <w:t>J.P.</w:t>
      </w:r>
      <w:r w:rsidRPr="0075585F">
        <w:rPr>
          <w:bCs/>
          <w:szCs w:val="22"/>
        </w:rPr>
        <w:t xml:space="preserve">  Abbott</w:t>
      </w:r>
      <w:r w:rsidR="00EE4CFE">
        <w:rPr>
          <w:bCs/>
          <w:szCs w:val="22"/>
        </w:rPr>
        <w:t xml:space="preserve"> et al.  </w:t>
      </w:r>
      <w:r w:rsidRPr="0075585F">
        <w:rPr>
          <w:szCs w:val="22"/>
        </w:rPr>
        <w:t xml:space="preserve">2006. </w:t>
      </w:r>
      <w:r>
        <w:rPr>
          <w:szCs w:val="22"/>
        </w:rPr>
        <w:t xml:space="preserve"> </w:t>
      </w:r>
      <w:r w:rsidRPr="0075585F">
        <w:rPr>
          <w:szCs w:val="22"/>
        </w:rPr>
        <w:t xml:space="preserve">Saxitoxin puffer fish poisoning in the United States, with the first report of </w:t>
      </w:r>
      <w:r w:rsidRPr="0075585F">
        <w:rPr>
          <w:i/>
          <w:szCs w:val="22"/>
        </w:rPr>
        <w:t xml:space="preserve">Pyrodinium bahamense </w:t>
      </w:r>
      <w:r w:rsidRPr="0075585F">
        <w:rPr>
          <w:szCs w:val="22"/>
        </w:rPr>
        <w:t xml:space="preserve">as the putative toxin source. </w:t>
      </w:r>
      <w:r>
        <w:rPr>
          <w:szCs w:val="22"/>
        </w:rPr>
        <w:t xml:space="preserve"> </w:t>
      </w:r>
      <w:r w:rsidRPr="001319C1">
        <w:rPr>
          <w:i/>
          <w:szCs w:val="22"/>
        </w:rPr>
        <w:t>Environ</w:t>
      </w:r>
      <w:r w:rsidR="00431B2F">
        <w:rPr>
          <w:i/>
          <w:szCs w:val="22"/>
        </w:rPr>
        <w:t>.</w:t>
      </w:r>
      <w:r w:rsidRPr="001319C1">
        <w:rPr>
          <w:i/>
          <w:szCs w:val="22"/>
        </w:rPr>
        <w:t xml:space="preserve"> Health </w:t>
      </w:r>
      <w:proofErr w:type="spellStart"/>
      <w:r w:rsidRPr="001319C1">
        <w:rPr>
          <w:i/>
          <w:szCs w:val="22"/>
        </w:rPr>
        <w:t>Persp</w:t>
      </w:r>
      <w:proofErr w:type="spellEnd"/>
      <w:r w:rsidR="00431B2F">
        <w:rPr>
          <w:i/>
          <w:szCs w:val="22"/>
        </w:rPr>
        <w:t>.</w:t>
      </w:r>
      <w:r w:rsidRPr="001319C1">
        <w:rPr>
          <w:i/>
          <w:szCs w:val="22"/>
        </w:rPr>
        <w:t xml:space="preserve"> 114: 1502–1507.</w:t>
      </w:r>
    </w:p>
    <w:p w:rsidR="00485094" w:rsidRDefault="00485094" w:rsidP="00376229">
      <w:pPr>
        <w:pStyle w:val="References"/>
      </w:pPr>
      <w:r>
        <w:t xml:space="preserve">Lane, C.R., M.T. Brown, M. Murray-Hudson, and M.B. Vivas.  September 2003.  </w:t>
      </w:r>
      <w:r w:rsidRPr="001E335C">
        <w:rPr>
          <w:i/>
        </w:rPr>
        <w:t>The Wetland Condition Index (WCI):  Biological indicators of Wetland condition for isolated depressional herbaceous wetlands in Florida.</w:t>
      </w:r>
      <w:r>
        <w:t xml:space="preserve">  Report submitted to the Florida Department of Environmental Protection under Contract #WM-683.  Gainesville, FL:  University of Florida, H.T. Odum Center for Wetlands.  Available:  </w:t>
      </w:r>
      <w:hyperlink r:id="rId279" w:history="1">
        <w:r w:rsidR="005C7479" w:rsidRPr="00BF2DFB">
          <w:rPr>
            <w:rStyle w:val="Hyperlink"/>
          </w:rPr>
          <w:t>http://publicfiles.dep.state.fl.us/dear/labs/</w:t>
        </w:r>
        <w:r w:rsidR="000309E2" w:rsidRPr="000309E2">
          <w:rPr>
            <w:rStyle w:val="Hyperlink"/>
          </w:rPr>
          <w:br/>
          <w:t>sas/library/docs/wet_herb.pdf</w:t>
        </w:r>
      </w:hyperlink>
      <w:r>
        <w:t>.</w:t>
      </w:r>
    </w:p>
    <w:p w:rsidR="00485094" w:rsidRPr="00431B2F" w:rsidRDefault="00485094" w:rsidP="00376229">
      <w:pPr>
        <w:pStyle w:val="References"/>
        <w:rPr>
          <w:i/>
        </w:rPr>
      </w:pPr>
      <w:proofErr w:type="spellStart"/>
      <w:r w:rsidRPr="000025CA">
        <w:rPr>
          <w:rFonts w:cs="Arial"/>
          <w:color w:val="000000"/>
          <w:szCs w:val="22"/>
        </w:rPr>
        <w:t>Lapointe</w:t>
      </w:r>
      <w:proofErr w:type="spellEnd"/>
      <w:r w:rsidRPr="000025CA">
        <w:rPr>
          <w:rFonts w:cs="Arial"/>
          <w:color w:val="000000"/>
          <w:szCs w:val="22"/>
        </w:rPr>
        <w:t xml:space="preserve">, B. E., and </w:t>
      </w:r>
      <w:r w:rsidR="00431B2F">
        <w:rPr>
          <w:rFonts w:cs="Arial"/>
          <w:color w:val="000000"/>
          <w:szCs w:val="22"/>
        </w:rPr>
        <w:t xml:space="preserve">B.J. </w:t>
      </w:r>
      <w:r w:rsidRPr="000025CA">
        <w:rPr>
          <w:rFonts w:cs="Arial"/>
          <w:color w:val="000000"/>
          <w:szCs w:val="22"/>
        </w:rPr>
        <w:t xml:space="preserve">Bedford. </w:t>
      </w:r>
      <w:r w:rsidR="00431B2F">
        <w:rPr>
          <w:rFonts w:cs="Arial"/>
          <w:color w:val="000000"/>
          <w:szCs w:val="22"/>
        </w:rPr>
        <w:t xml:space="preserve"> </w:t>
      </w:r>
      <w:r w:rsidRPr="000025CA">
        <w:rPr>
          <w:rFonts w:cs="Arial"/>
          <w:color w:val="000000"/>
          <w:szCs w:val="22"/>
        </w:rPr>
        <w:t xml:space="preserve">2007. </w:t>
      </w:r>
      <w:r w:rsidR="00431B2F">
        <w:rPr>
          <w:rFonts w:cs="Arial"/>
          <w:color w:val="000000"/>
          <w:szCs w:val="22"/>
        </w:rPr>
        <w:t xml:space="preserve"> </w:t>
      </w:r>
      <w:r w:rsidRPr="000025CA">
        <w:rPr>
          <w:rFonts w:cs="Arial"/>
          <w:color w:val="000000"/>
          <w:szCs w:val="22"/>
        </w:rPr>
        <w:t xml:space="preserve">Drift </w:t>
      </w:r>
      <w:proofErr w:type="spellStart"/>
      <w:r w:rsidRPr="000025CA">
        <w:rPr>
          <w:rFonts w:cs="Arial"/>
          <w:color w:val="000000"/>
          <w:szCs w:val="22"/>
        </w:rPr>
        <w:t>rhodophyte</w:t>
      </w:r>
      <w:proofErr w:type="spellEnd"/>
      <w:r w:rsidRPr="000025CA">
        <w:rPr>
          <w:rFonts w:cs="Arial"/>
          <w:color w:val="000000"/>
          <w:szCs w:val="22"/>
        </w:rPr>
        <w:t xml:space="preserve"> blooms emerge in Lee County, Florida, USA: </w:t>
      </w:r>
      <w:r w:rsidR="00431B2F">
        <w:rPr>
          <w:rFonts w:cs="Arial"/>
          <w:color w:val="000000"/>
          <w:szCs w:val="22"/>
        </w:rPr>
        <w:t xml:space="preserve"> </w:t>
      </w:r>
      <w:r w:rsidRPr="000025CA">
        <w:rPr>
          <w:rFonts w:cs="Arial"/>
          <w:color w:val="000000"/>
          <w:szCs w:val="22"/>
        </w:rPr>
        <w:t xml:space="preserve">Evidence of escalating coastal eutrophication. </w:t>
      </w:r>
      <w:r w:rsidR="00431B2F">
        <w:rPr>
          <w:rFonts w:cs="Arial"/>
          <w:color w:val="000000"/>
          <w:szCs w:val="22"/>
        </w:rPr>
        <w:t xml:space="preserve"> </w:t>
      </w:r>
      <w:r w:rsidR="000309E2" w:rsidRPr="000309E2">
        <w:rPr>
          <w:rFonts w:cs="Arial"/>
          <w:i/>
          <w:color w:val="000000"/>
          <w:szCs w:val="22"/>
        </w:rPr>
        <w:t>Harmful Algae 6:421</w:t>
      </w:r>
      <w:r w:rsidR="00AA3594">
        <w:rPr>
          <w:rFonts w:cs="Arial"/>
          <w:i/>
          <w:color w:val="000000"/>
          <w:szCs w:val="22"/>
        </w:rPr>
        <w:t>–</w:t>
      </w:r>
      <w:r w:rsidR="000309E2" w:rsidRPr="000309E2">
        <w:rPr>
          <w:rFonts w:cs="Arial"/>
          <w:i/>
          <w:color w:val="000000"/>
          <w:szCs w:val="22"/>
        </w:rPr>
        <w:t>437.</w:t>
      </w:r>
    </w:p>
    <w:p w:rsidR="00485094" w:rsidRDefault="00485094" w:rsidP="001E335C">
      <w:pPr>
        <w:pStyle w:val="References"/>
      </w:pPr>
      <w:r>
        <w:t xml:space="preserve">Long, E.R., and L.G. Morgan.  1990.  </w:t>
      </w:r>
      <w:r>
        <w:rPr>
          <w:i/>
        </w:rPr>
        <w:t>The potential for biological effects of sediment-sorbed contaminants tested in the National Status and Trends Program.</w:t>
      </w:r>
      <w:r>
        <w:t xml:space="preserve">  National Oceanic and Atmospheric Administration Technical Memorandum NOS OMA 52.  Seattle, WA:  National Oceanic and Atmospheric Administration.  </w:t>
      </w:r>
    </w:p>
    <w:p w:rsidR="00485094" w:rsidRPr="00E25E53" w:rsidRDefault="00485094" w:rsidP="00E25E53">
      <w:pPr>
        <w:pStyle w:val="References"/>
        <w:rPr>
          <w:lang w:val="de-DE"/>
        </w:rPr>
      </w:pPr>
      <w:r w:rsidRPr="00125711">
        <w:rPr>
          <w:lang w:val="de-DE"/>
        </w:rPr>
        <w:t>MacDonald, D.D.  1994</w:t>
      </w:r>
      <w:r w:rsidRPr="001319C1">
        <w:rPr>
          <w:lang w:val="de-DE"/>
        </w:rPr>
        <w:t xml:space="preserve">.  </w:t>
      </w:r>
      <w:r w:rsidRPr="00E25E53">
        <w:rPr>
          <w:rStyle w:val="FootnoteReference"/>
          <w:i/>
          <w:vertAlign w:val="baseline"/>
          <w:lang w:val="de-DE"/>
        </w:rPr>
        <w:t>Approach to the assessment of sediment quality in Florida coastal waters</w:t>
      </w:r>
      <w:r w:rsidRPr="00E25E53">
        <w:rPr>
          <w:i/>
          <w:lang w:val="de-DE"/>
        </w:rPr>
        <w:t>.</w:t>
      </w:r>
      <w:r w:rsidRPr="00E25E53">
        <w:rPr>
          <w:lang w:val="de-DE"/>
        </w:rPr>
        <w:t xml:space="preserve">  </w:t>
      </w:r>
      <w:r w:rsidRPr="00E25E53">
        <w:rPr>
          <w:rStyle w:val="FootnoteReference"/>
          <w:vertAlign w:val="baseline"/>
          <w:lang w:val="de-DE"/>
        </w:rPr>
        <w:t>M</w:t>
      </w:r>
      <w:r>
        <w:rPr>
          <w:lang w:val="de-DE"/>
        </w:rPr>
        <w:t>a</w:t>
      </w:r>
      <w:r w:rsidRPr="00E25E53">
        <w:rPr>
          <w:rStyle w:val="FootnoteReference"/>
          <w:vertAlign w:val="baseline"/>
          <w:lang w:val="de-DE"/>
        </w:rPr>
        <w:t>cDonald Environmental Sciences Ltd.</w:t>
      </w:r>
      <w:r>
        <w:rPr>
          <w:lang w:val="de-DE"/>
        </w:rPr>
        <w:t xml:space="preserve">  Prepared for the Florida Department of Environmental Protection.  Available:  </w:t>
      </w:r>
      <w:r w:rsidR="00A74EF3">
        <w:fldChar w:fldCharType="begin"/>
      </w:r>
      <w:r w:rsidR="00A74EF3">
        <w:instrText>HYPERLINK "http://www.dep.state.fl.us/waste/quick_topics/publications/documents/sediment/volume2.pdf"</w:instrText>
      </w:r>
      <w:r w:rsidR="00A74EF3">
        <w:fldChar w:fldCharType="separate"/>
      </w:r>
      <w:r w:rsidRPr="005F7EAB">
        <w:rPr>
          <w:rStyle w:val="Hyperlink"/>
          <w:lang w:val="de-DE"/>
        </w:rPr>
        <w:t>http://www.dep.state.fl.us/waste/quick_topics/</w:t>
      </w:r>
      <w:r w:rsidRPr="005F7EAB">
        <w:rPr>
          <w:rStyle w:val="Hyperlink"/>
          <w:lang w:val="de-DE"/>
        </w:rPr>
        <w:br/>
        <w:t>publications/documents/sediment/volume2.pdf</w:t>
      </w:r>
      <w:r w:rsidR="00A74EF3">
        <w:fldChar w:fldCharType="end"/>
      </w:r>
      <w:r>
        <w:rPr>
          <w:lang w:val="de-DE"/>
        </w:rPr>
        <w:t>.</w:t>
      </w:r>
    </w:p>
    <w:p w:rsidR="00485094" w:rsidRDefault="00485094" w:rsidP="003917BD">
      <w:pPr>
        <w:pStyle w:val="References"/>
        <w:rPr>
          <w:i/>
        </w:rPr>
      </w:pPr>
      <w:r w:rsidRPr="006B1693">
        <w:t xml:space="preserve">MacDonald Environmental Sciences Ltd. and </w:t>
      </w:r>
      <w:r>
        <w:t xml:space="preserve">U.S. </w:t>
      </w:r>
      <w:r w:rsidRPr="006B1693">
        <w:t>Geological Survey</w:t>
      </w:r>
      <w:r>
        <w:t>.</w:t>
      </w:r>
      <w:r w:rsidRPr="006B1693">
        <w:t xml:space="preserve">  2003.  </w:t>
      </w:r>
      <w:r w:rsidRPr="00E25E53">
        <w:rPr>
          <w:i/>
        </w:rPr>
        <w:t>Development and evaluation of numerical sediment quality assessment guidelines for Florida inland waters.</w:t>
      </w:r>
      <w:r>
        <w:rPr>
          <w:i/>
        </w:rPr>
        <w:t xml:space="preserve">  </w:t>
      </w:r>
      <w:r w:rsidRPr="00136F87">
        <w:t xml:space="preserve">Available:  </w:t>
      </w:r>
      <w:hyperlink r:id="rId280" w:history="1">
        <w:r w:rsidRPr="005F7EAB">
          <w:rPr>
            <w:rStyle w:val="Hyperlink"/>
          </w:rPr>
          <w:t>http://www.dep.state.fl.us/water/monitoring/docs/seds/SQAGs_for_</w:t>
        </w:r>
        <w:r w:rsidRPr="005F7EAB">
          <w:rPr>
            <w:rStyle w:val="Hyperlink"/>
          </w:rPr>
          <w:br/>
          <w:t>Florida_Inland_Waters_01_03.PDF</w:t>
        </w:r>
      </w:hyperlink>
      <w:r>
        <w:rPr>
          <w:i/>
        </w:rPr>
        <w:t>.</w:t>
      </w:r>
    </w:p>
    <w:p w:rsidR="00485094" w:rsidRPr="003917BD" w:rsidRDefault="00485094" w:rsidP="003917BD">
      <w:pPr>
        <w:pStyle w:val="References"/>
        <w:rPr>
          <w:rFonts w:cs="Arial"/>
          <w:color w:val="000000"/>
        </w:rPr>
      </w:pPr>
      <w:proofErr w:type="spellStart"/>
      <w:r w:rsidRPr="003917BD">
        <w:rPr>
          <w:rFonts w:cs="Arial"/>
          <w:color w:val="000000"/>
        </w:rPr>
        <w:t>Marella</w:t>
      </w:r>
      <w:proofErr w:type="spellEnd"/>
      <w:r w:rsidRPr="003917BD">
        <w:rPr>
          <w:rFonts w:cs="Arial"/>
          <w:color w:val="000000"/>
        </w:rPr>
        <w:t xml:space="preserve">, R.L. </w:t>
      </w:r>
      <w:r>
        <w:rPr>
          <w:rFonts w:cs="Arial"/>
          <w:color w:val="000000"/>
        </w:rPr>
        <w:t xml:space="preserve"> 2009. </w:t>
      </w:r>
      <w:r w:rsidRPr="003917BD">
        <w:rPr>
          <w:rFonts w:cs="Arial"/>
          <w:color w:val="000000"/>
        </w:rPr>
        <w:t xml:space="preserve"> Water withdrawals, use, and trends in Florida, 2005</w:t>
      </w:r>
      <w:r w:rsidR="00431B2F">
        <w:rPr>
          <w:rFonts w:cs="Arial"/>
          <w:color w:val="000000"/>
        </w:rPr>
        <w:t xml:space="preserve">.  </w:t>
      </w:r>
      <w:r w:rsidRPr="003917BD">
        <w:rPr>
          <w:rFonts w:cs="Arial"/>
          <w:color w:val="000000"/>
        </w:rPr>
        <w:t>U.S. Geological Survey Scientific Investigations Report 2009-5125</w:t>
      </w:r>
      <w:r w:rsidR="00431B2F">
        <w:rPr>
          <w:rFonts w:cs="Arial"/>
          <w:color w:val="000000"/>
        </w:rPr>
        <w:t>.</w:t>
      </w:r>
      <w:r>
        <w:rPr>
          <w:rFonts w:cs="Arial"/>
          <w:color w:val="000000"/>
        </w:rPr>
        <w:t xml:space="preserve">  Available:  </w:t>
      </w:r>
      <w:hyperlink r:id="rId281" w:history="1">
        <w:r w:rsidR="005C7479" w:rsidRPr="00BF2DFB">
          <w:rPr>
            <w:rStyle w:val="Hyperlink"/>
            <w:rFonts w:cs="Arial"/>
          </w:rPr>
          <w:t>http://pubs.usgs.gov/</w:t>
        </w:r>
        <w:r w:rsidR="000309E2" w:rsidRPr="000309E2">
          <w:rPr>
            <w:rStyle w:val="Hyperlink"/>
            <w:rFonts w:cs="Arial"/>
          </w:rPr>
          <w:br/>
          <w:t>sir/2009/5125/</w:t>
        </w:r>
      </w:hyperlink>
      <w:r w:rsidR="00431B2F">
        <w:t>.</w:t>
      </w:r>
    </w:p>
    <w:p w:rsidR="00485094" w:rsidRDefault="00485094" w:rsidP="00FA232C">
      <w:pPr>
        <w:pStyle w:val="References"/>
      </w:pPr>
      <w:r>
        <w:t xml:space="preserve">National Oceanic and Atmospheric Administration.  2010.  </w:t>
      </w:r>
      <w:r w:rsidRPr="00B820CA">
        <w:rPr>
          <w:i/>
        </w:rPr>
        <w:t>Harmful Algal Bloom Operational Forecast System</w:t>
      </w:r>
      <w:r>
        <w:rPr>
          <w:i/>
        </w:rPr>
        <w:t xml:space="preserve"> website</w:t>
      </w:r>
      <w:r w:rsidRPr="00B820CA">
        <w:rPr>
          <w:i/>
        </w:rPr>
        <w:t xml:space="preserve">.  </w:t>
      </w:r>
      <w:r>
        <w:t xml:space="preserve">Available:  </w:t>
      </w:r>
      <w:hyperlink r:id="rId282" w:history="1">
        <w:r w:rsidRPr="00C57FE5">
          <w:rPr>
            <w:rStyle w:val="Hyperlink"/>
          </w:rPr>
          <w:t>http://tidesandcurrents.noaa.gov/hab/</w:t>
        </w:r>
      </w:hyperlink>
      <w:r>
        <w:t>.</w:t>
      </w:r>
    </w:p>
    <w:p w:rsidR="00485094" w:rsidRDefault="00485094" w:rsidP="007B1DF7">
      <w:pPr>
        <w:pStyle w:val="References"/>
        <w:rPr>
          <w:rFonts w:ascii="AGaramondPro-Regular" w:hAnsi="AGaramondPro-Regular" w:cs="AGaramondPro-Regular"/>
          <w:color w:val="231F20"/>
        </w:rPr>
      </w:pPr>
      <w:r>
        <w:t xml:space="preserve">Natural Resources Defense Council.  April 2007.  </w:t>
      </w:r>
      <w:r w:rsidRPr="002F434A">
        <w:rPr>
          <w:rFonts w:ascii="AGaramondPro-Regular" w:hAnsi="AGaramondPro-Regular" w:cs="AGaramondPro-Regular"/>
          <w:i/>
          <w:color w:val="231F20"/>
        </w:rPr>
        <w:t xml:space="preserve">Florida’s coastal and ocean future:  A blueprint for economic and environmental leadership. </w:t>
      </w:r>
      <w:r>
        <w:rPr>
          <w:rFonts w:ascii="AGaramondPro-Regular" w:hAnsi="AGaramondPro-Regular" w:cs="AGaramondPro-Regular"/>
          <w:color w:val="231F20"/>
        </w:rPr>
        <w:t xml:space="preserve"> </w:t>
      </w:r>
      <w:r>
        <w:t xml:space="preserve">Florida Ocean and Coastal Coalition.  </w:t>
      </w:r>
      <w:r>
        <w:rPr>
          <w:rFonts w:ascii="AGaramondPro-Regular" w:hAnsi="AGaramondPro-Regular" w:cs="AGaramondPro-Regular"/>
          <w:color w:val="231F20"/>
        </w:rPr>
        <w:t xml:space="preserve">Issue Paper.  Available:  </w:t>
      </w:r>
      <w:hyperlink r:id="rId283" w:history="1">
        <w:r w:rsidRPr="00C57FE5">
          <w:rPr>
            <w:rStyle w:val="Hyperlink"/>
            <w:rFonts w:ascii="AGaramondPro-Regular" w:hAnsi="AGaramondPro-Regular" w:cs="AGaramondPro-Regular"/>
          </w:rPr>
          <w:t>http://www.nrdc.org/water/oceans/florida/flfuture.pdf</w:t>
        </w:r>
      </w:hyperlink>
      <w:r>
        <w:rPr>
          <w:rFonts w:ascii="AGaramondPro-Regular" w:hAnsi="AGaramondPro-Regular" w:cs="AGaramondPro-Regular"/>
          <w:color w:val="231F20"/>
        </w:rPr>
        <w:t>.</w:t>
      </w:r>
    </w:p>
    <w:p w:rsidR="00485094" w:rsidRDefault="00485094" w:rsidP="00E25E53">
      <w:pPr>
        <w:pStyle w:val="References"/>
        <w:rPr>
          <w:szCs w:val="22"/>
        </w:rPr>
      </w:pPr>
      <w:r>
        <w:rPr>
          <w:szCs w:val="22"/>
        </w:rPr>
        <w:t xml:space="preserve">Netstate.com website.  2010.  </w:t>
      </w:r>
      <w:r w:rsidRPr="007A2902">
        <w:rPr>
          <w:i/>
          <w:szCs w:val="22"/>
        </w:rPr>
        <w:t>The state of Florida.</w:t>
      </w:r>
      <w:r>
        <w:rPr>
          <w:szCs w:val="22"/>
        </w:rPr>
        <w:t xml:space="preserve">  Available:  </w:t>
      </w:r>
      <w:hyperlink r:id="rId284" w:history="1">
        <w:r w:rsidRPr="005F7EAB">
          <w:rPr>
            <w:rStyle w:val="Hyperlink"/>
            <w:szCs w:val="22"/>
          </w:rPr>
          <w:t>http://www.netstate.com/</w:t>
        </w:r>
        <w:r w:rsidRPr="005F7EAB">
          <w:rPr>
            <w:rStyle w:val="Hyperlink"/>
            <w:szCs w:val="22"/>
          </w:rPr>
          <w:br/>
          <w:t>states/intro/fl_intro.htm</w:t>
        </w:r>
      </w:hyperlink>
      <w:r>
        <w:rPr>
          <w:szCs w:val="22"/>
        </w:rPr>
        <w:t>.</w:t>
      </w:r>
    </w:p>
    <w:p w:rsidR="00485094" w:rsidRDefault="00485094" w:rsidP="00E25E53">
      <w:pPr>
        <w:pStyle w:val="References"/>
        <w:rPr>
          <w:szCs w:val="22"/>
        </w:rPr>
      </w:pPr>
      <w:r>
        <w:rPr>
          <w:szCs w:val="22"/>
        </w:rPr>
        <w:t xml:space="preserve">Northwest Florida Water Management District.  September 19, 2007.  </w:t>
      </w:r>
      <w:r w:rsidRPr="00B820CA">
        <w:rPr>
          <w:i/>
          <w:szCs w:val="22"/>
        </w:rPr>
        <w:t xml:space="preserve">Environmental resource permitting in Florida’s Panhandle.  </w:t>
      </w:r>
      <w:r>
        <w:rPr>
          <w:szCs w:val="22"/>
        </w:rPr>
        <w:t xml:space="preserve">Brochure.  District Publication Number PIC 07-01.  Available:  </w:t>
      </w:r>
      <w:hyperlink r:id="rId285" w:history="1">
        <w:r w:rsidRPr="00C57FE5">
          <w:rPr>
            <w:rStyle w:val="Hyperlink"/>
            <w:szCs w:val="22"/>
          </w:rPr>
          <w:t>http://www.dep.state.fl.us/water/wetlands/docs/erp/nwerp_brochure.pdf</w:t>
        </w:r>
      </w:hyperlink>
      <w:r>
        <w:rPr>
          <w:szCs w:val="22"/>
        </w:rPr>
        <w:t>.</w:t>
      </w:r>
    </w:p>
    <w:p w:rsidR="00485094" w:rsidRDefault="00485094" w:rsidP="00E25E53">
      <w:pPr>
        <w:pStyle w:val="References"/>
      </w:pPr>
      <w:r>
        <w:rPr>
          <w:szCs w:val="22"/>
        </w:rPr>
        <w:t xml:space="preserve">Obreza, </w:t>
      </w:r>
      <w:r w:rsidRPr="00B605D1">
        <w:rPr>
          <w:szCs w:val="22"/>
        </w:rPr>
        <w:t>T</w:t>
      </w:r>
      <w:r>
        <w:rPr>
          <w:szCs w:val="22"/>
        </w:rPr>
        <w:t xml:space="preserve">., M. Clark, B. Boman, T. Borisova, and M. Cohen, et al.  A guide to EPA’s proposed numeric nutrient water quality criteria for Florida.  SL316.  Gainesville, FL:  </w:t>
      </w:r>
      <w:r w:rsidRPr="00F6674C">
        <w:t>University of Florida Institute of Food and Agricultural Sciences</w:t>
      </w:r>
      <w:r>
        <w:t xml:space="preserve">.  Available:  </w:t>
      </w:r>
      <w:hyperlink r:id="rId286" w:history="1">
        <w:r w:rsidRPr="005F7EAB">
          <w:rPr>
            <w:rStyle w:val="Hyperlink"/>
          </w:rPr>
          <w:t>http://edis.ifas.</w:t>
        </w:r>
        <w:r w:rsidRPr="005F7EAB">
          <w:rPr>
            <w:rStyle w:val="Hyperlink"/>
          </w:rPr>
          <w:br/>
          <w:t>ufl.edu/pdffiles/SS/SS52800.pdf</w:t>
        </w:r>
      </w:hyperlink>
      <w:r>
        <w:t>.</w:t>
      </w:r>
    </w:p>
    <w:p w:rsidR="00485094" w:rsidRDefault="00485094" w:rsidP="00376229">
      <w:pPr>
        <w:pStyle w:val="References"/>
        <w:rPr>
          <w:rFonts w:cs="Arial"/>
          <w:color w:val="000000"/>
          <w:szCs w:val="22"/>
        </w:rPr>
      </w:pPr>
      <w:r w:rsidRPr="001319C1">
        <w:rPr>
          <w:szCs w:val="22"/>
        </w:rPr>
        <w:t xml:space="preserve">Ollis, S., and G. Redfield.  2010.  </w:t>
      </w:r>
      <w:r w:rsidRPr="005263D3">
        <w:rPr>
          <w:szCs w:val="22"/>
        </w:rPr>
        <w:t xml:space="preserve">Introduction.  </w:t>
      </w:r>
      <w:r w:rsidR="000309E2" w:rsidRPr="000309E2">
        <w:rPr>
          <w:i/>
          <w:szCs w:val="22"/>
        </w:rPr>
        <w:t>In:</w:t>
      </w:r>
      <w:r>
        <w:rPr>
          <w:i/>
          <w:szCs w:val="22"/>
        </w:rPr>
        <w:t xml:space="preserve">  </w:t>
      </w:r>
      <w:r w:rsidRPr="001319C1">
        <w:rPr>
          <w:i/>
          <w:iCs/>
          <w:szCs w:val="22"/>
        </w:rPr>
        <w:t>2010 South Florida environmental report</w:t>
      </w:r>
      <w:r>
        <w:rPr>
          <w:i/>
          <w:iCs/>
          <w:szCs w:val="22"/>
        </w:rPr>
        <w:t xml:space="preserve">, </w:t>
      </w:r>
      <w:r w:rsidRPr="001319C1">
        <w:rPr>
          <w:szCs w:val="22"/>
        </w:rPr>
        <w:t xml:space="preserve"> </w:t>
      </w:r>
      <w:r w:rsidRPr="0068128A">
        <w:rPr>
          <w:i/>
          <w:iCs/>
          <w:szCs w:val="22"/>
        </w:rPr>
        <w:t xml:space="preserve">Volume I, </w:t>
      </w:r>
      <w:r w:rsidRPr="0068128A">
        <w:rPr>
          <w:i/>
          <w:szCs w:val="22"/>
        </w:rPr>
        <w:t>Chapter 1</w:t>
      </w:r>
      <w:r>
        <w:rPr>
          <w:szCs w:val="22"/>
        </w:rPr>
        <w:t xml:space="preserve"> (</w:t>
      </w:r>
      <w:r w:rsidRPr="001319C1">
        <w:rPr>
          <w:szCs w:val="22"/>
        </w:rPr>
        <w:t>West Palm Beach, FL:  South Flori</w:t>
      </w:r>
      <w:r>
        <w:rPr>
          <w:szCs w:val="22"/>
        </w:rPr>
        <w:t xml:space="preserve">da Water Management District).  </w:t>
      </w:r>
      <w:r w:rsidRPr="001319C1">
        <w:rPr>
          <w:szCs w:val="22"/>
        </w:rPr>
        <w:t xml:space="preserve">Available: </w:t>
      </w:r>
      <w:r>
        <w:rPr>
          <w:szCs w:val="22"/>
        </w:rPr>
        <w:t xml:space="preserve"> </w:t>
      </w:r>
      <w:hyperlink r:id="rId287" w:history="1">
        <w:r w:rsidR="005C7479" w:rsidRPr="00BF2DFB">
          <w:rPr>
            <w:rStyle w:val="Hyperlink"/>
            <w:rFonts w:cs="Arial"/>
            <w:szCs w:val="22"/>
          </w:rPr>
          <w:t>https://my.sfwmd.gov/portal/page/portal/pg_grp_sfwmd_sfer/</w:t>
        </w:r>
        <w:r w:rsidR="005C7479" w:rsidRPr="00BF2DFB">
          <w:rPr>
            <w:rStyle w:val="Hyperlink"/>
            <w:rFonts w:cs="Arial"/>
            <w:szCs w:val="22"/>
          </w:rPr>
          <w:br/>
          <w:t>portlet_sfer/tab2236037/2010%20report/v1/c</w:t>
        </w:r>
        <w:r w:rsidR="000309E2" w:rsidRPr="000309E2">
          <w:rPr>
            <w:rStyle w:val="Hyperlink"/>
            <w:rFonts w:cs="Arial"/>
            <w:szCs w:val="22"/>
          </w:rPr>
          <w:t>hapters/v1_ch1.pdf</w:t>
        </w:r>
      </w:hyperlink>
      <w:r w:rsidRPr="001319C1">
        <w:rPr>
          <w:rFonts w:cs="Arial"/>
          <w:color w:val="000000"/>
          <w:szCs w:val="22"/>
        </w:rPr>
        <w:t>.</w:t>
      </w:r>
    </w:p>
    <w:p w:rsidR="00485094" w:rsidRDefault="00485094" w:rsidP="00376229">
      <w:pPr>
        <w:pStyle w:val="References"/>
        <w:rPr>
          <w:rFonts w:cs="Arial"/>
          <w:color w:val="000000"/>
          <w:szCs w:val="22"/>
        </w:rPr>
      </w:pPr>
      <w:r w:rsidRPr="000025CA">
        <w:rPr>
          <w:rFonts w:cs="Arial"/>
          <w:color w:val="000000"/>
          <w:szCs w:val="22"/>
        </w:rPr>
        <w:t xml:space="preserve">Phlips, E. J., </w:t>
      </w:r>
      <w:r w:rsidR="00431B2F">
        <w:rPr>
          <w:rFonts w:cs="Arial"/>
          <w:color w:val="000000"/>
          <w:szCs w:val="22"/>
        </w:rPr>
        <w:t xml:space="preserve">S. </w:t>
      </w:r>
      <w:r w:rsidRPr="000025CA">
        <w:rPr>
          <w:rFonts w:cs="Arial"/>
          <w:color w:val="000000"/>
          <w:szCs w:val="22"/>
        </w:rPr>
        <w:t xml:space="preserve">Badylak, and </w:t>
      </w:r>
      <w:r w:rsidR="00431B2F">
        <w:rPr>
          <w:rFonts w:cs="Arial"/>
          <w:color w:val="000000"/>
          <w:szCs w:val="22"/>
        </w:rPr>
        <w:t xml:space="preserve">T.L. </w:t>
      </w:r>
      <w:r w:rsidRPr="000025CA">
        <w:rPr>
          <w:rFonts w:cs="Arial"/>
          <w:color w:val="000000"/>
          <w:szCs w:val="22"/>
        </w:rPr>
        <w:t xml:space="preserve">Lynch.  1999. Blooms of the </w:t>
      </w:r>
      <w:proofErr w:type="spellStart"/>
      <w:r w:rsidRPr="000025CA">
        <w:rPr>
          <w:rFonts w:cs="Arial"/>
          <w:color w:val="000000"/>
          <w:szCs w:val="22"/>
        </w:rPr>
        <w:t>picoplanktonic</w:t>
      </w:r>
      <w:proofErr w:type="spellEnd"/>
      <w:r w:rsidRPr="000025CA">
        <w:rPr>
          <w:rFonts w:cs="Arial"/>
          <w:color w:val="000000"/>
          <w:szCs w:val="22"/>
        </w:rPr>
        <w:t xml:space="preserve"> </w:t>
      </w:r>
      <w:proofErr w:type="spellStart"/>
      <w:r w:rsidRPr="000025CA">
        <w:rPr>
          <w:rFonts w:cs="Arial"/>
          <w:color w:val="000000"/>
          <w:szCs w:val="22"/>
        </w:rPr>
        <w:t>Cyanobacterium</w:t>
      </w:r>
      <w:proofErr w:type="spellEnd"/>
      <w:r w:rsidRPr="000025CA">
        <w:rPr>
          <w:rFonts w:cs="Arial"/>
          <w:color w:val="000000"/>
          <w:szCs w:val="22"/>
        </w:rPr>
        <w:t xml:space="preserve"> </w:t>
      </w:r>
      <w:proofErr w:type="spellStart"/>
      <w:r w:rsidRPr="000025CA">
        <w:rPr>
          <w:rFonts w:cs="Arial"/>
          <w:color w:val="000000"/>
          <w:szCs w:val="22"/>
        </w:rPr>
        <w:t>Synechococcus</w:t>
      </w:r>
      <w:proofErr w:type="spellEnd"/>
      <w:r w:rsidRPr="000025CA">
        <w:rPr>
          <w:rFonts w:cs="Arial"/>
          <w:color w:val="000000"/>
          <w:szCs w:val="22"/>
        </w:rPr>
        <w:t xml:space="preserve"> in Florida Bay. </w:t>
      </w:r>
      <w:r>
        <w:rPr>
          <w:rFonts w:cs="Arial"/>
          <w:color w:val="000000"/>
          <w:szCs w:val="22"/>
        </w:rPr>
        <w:t xml:space="preserve"> </w:t>
      </w:r>
      <w:proofErr w:type="spellStart"/>
      <w:r w:rsidR="000309E2" w:rsidRPr="000309E2">
        <w:rPr>
          <w:rFonts w:cs="Arial"/>
          <w:i/>
          <w:color w:val="000000"/>
          <w:szCs w:val="22"/>
        </w:rPr>
        <w:t>Limnol</w:t>
      </w:r>
      <w:proofErr w:type="spellEnd"/>
      <w:r w:rsidR="000309E2" w:rsidRPr="000309E2">
        <w:rPr>
          <w:rFonts w:cs="Arial"/>
          <w:i/>
          <w:color w:val="000000"/>
          <w:szCs w:val="22"/>
        </w:rPr>
        <w:t xml:space="preserve">. </w:t>
      </w:r>
      <w:proofErr w:type="spellStart"/>
      <w:r w:rsidR="000309E2" w:rsidRPr="000309E2">
        <w:rPr>
          <w:rFonts w:cs="Arial"/>
          <w:i/>
          <w:color w:val="000000"/>
          <w:szCs w:val="22"/>
        </w:rPr>
        <w:t>Oceanogr</w:t>
      </w:r>
      <w:proofErr w:type="spellEnd"/>
      <w:r w:rsidR="000309E2" w:rsidRPr="000309E2">
        <w:rPr>
          <w:rFonts w:cs="Arial"/>
          <w:i/>
          <w:color w:val="000000"/>
          <w:szCs w:val="22"/>
        </w:rPr>
        <w:t>. 44:1166</w:t>
      </w:r>
      <w:r w:rsidR="00431B2F">
        <w:rPr>
          <w:rFonts w:cs="Arial"/>
          <w:i/>
          <w:color w:val="000000"/>
          <w:szCs w:val="22"/>
        </w:rPr>
        <w:t>–</w:t>
      </w:r>
      <w:r w:rsidR="000309E2" w:rsidRPr="000309E2">
        <w:rPr>
          <w:rFonts w:cs="Arial"/>
          <w:i/>
          <w:color w:val="000000"/>
          <w:szCs w:val="22"/>
        </w:rPr>
        <w:t>1175.</w:t>
      </w:r>
    </w:p>
    <w:p w:rsidR="00485094" w:rsidRDefault="00485094" w:rsidP="00376229">
      <w:pPr>
        <w:pStyle w:val="References"/>
        <w:rPr>
          <w:rFonts w:cs="Arial"/>
          <w:color w:val="000000"/>
          <w:szCs w:val="22"/>
        </w:rPr>
      </w:pPr>
      <w:r w:rsidRPr="000025CA">
        <w:rPr>
          <w:rFonts w:cs="Arial"/>
          <w:color w:val="000000"/>
          <w:szCs w:val="22"/>
        </w:rPr>
        <w:t xml:space="preserve">Phlips, E. J., </w:t>
      </w:r>
      <w:r w:rsidR="00431B2F">
        <w:rPr>
          <w:rFonts w:cs="Arial"/>
          <w:color w:val="000000"/>
          <w:szCs w:val="22"/>
        </w:rPr>
        <w:t xml:space="preserve">S. </w:t>
      </w:r>
      <w:r w:rsidRPr="000025CA">
        <w:rPr>
          <w:rFonts w:cs="Arial"/>
          <w:color w:val="000000"/>
          <w:szCs w:val="22"/>
        </w:rPr>
        <w:t xml:space="preserve">Badylak, </w:t>
      </w:r>
      <w:r w:rsidR="00431B2F">
        <w:rPr>
          <w:rFonts w:cs="Arial"/>
          <w:color w:val="000000"/>
          <w:szCs w:val="22"/>
        </w:rPr>
        <w:t>E.L.</w:t>
      </w:r>
      <w:r w:rsidRPr="000025CA">
        <w:rPr>
          <w:rFonts w:cs="Arial"/>
          <w:color w:val="000000"/>
          <w:szCs w:val="22"/>
        </w:rPr>
        <w:t xml:space="preserve"> Bledsoe, and </w:t>
      </w:r>
      <w:r w:rsidR="00431B2F">
        <w:rPr>
          <w:rFonts w:cs="Arial"/>
          <w:color w:val="000000"/>
          <w:szCs w:val="22"/>
        </w:rPr>
        <w:t xml:space="preserve">M. </w:t>
      </w:r>
      <w:r w:rsidRPr="000025CA">
        <w:rPr>
          <w:rFonts w:cs="Arial"/>
          <w:color w:val="000000"/>
          <w:szCs w:val="22"/>
        </w:rPr>
        <w:t>Cichra.</w:t>
      </w:r>
      <w:r w:rsidR="00431B2F">
        <w:rPr>
          <w:rFonts w:cs="Arial"/>
          <w:color w:val="000000"/>
          <w:szCs w:val="22"/>
        </w:rPr>
        <w:t xml:space="preserve"> </w:t>
      </w:r>
      <w:r w:rsidRPr="000025CA">
        <w:rPr>
          <w:rFonts w:cs="Arial"/>
          <w:color w:val="000000"/>
          <w:szCs w:val="22"/>
        </w:rPr>
        <w:t xml:space="preserve"> 2006.  Factors influencing</w:t>
      </w:r>
      <w:r>
        <w:rPr>
          <w:rFonts w:cs="Arial"/>
          <w:color w:val="000000"/>
          <w:szCs w:val="22"/>
        </w:rPr>
        <w:t xml:space="preserve"> </w:t>
      </w:r>
      <w:r w:rsidRPr="000025CA">
        <w:rPr>
          <w:rFonts w:cs="Arial"/>
          <w:color w:val="000000"/>
          <w:szCs w:val="22"/>
        </w:rPr>
        <w:t xml:space="preserve">the distribution and abundance of Pyrodinium bahamense in coastal ecosystems of Florida. </w:t>
      </w:r>
      <w:r>
        <w:rPr>
          <w:rFonts w:cs="Arial"/>
          <w:color w:val="000000"/>
          <w:szCs w:val="22"/>
        </w:rPr>
        <w:t xml:space="preserve"> </w:t>
      </w:r>
      <w:r w:rsidR="000309E2" w:rsidRPr="000309E2">
        <w:rPr>
          <w:rFonts w:cs="Arial"/>
          <w:i/>
          <w:color w:val="000000"/>
          <w:szCs w:val="22"/>
        </w:rPr>
        <w:t xml:space="preserve">Mar. Ecol. </w:t>
      </w:r>
      <w:proofErr w:type="spellStart"/>
      <w:r w:rsidR="000309E2" w:rsidRPr="000309E2">
        <w:rPr>
          <w:rFonts w:cs="Arial"/>
          <w:i/>
          <w:color w:val="000000"/>
          <w:szCs w:val="22"/>
        </w:rPr>
        <w:t>Progr</w:t>
      </w:r>
      <w:proofErr w:type="spellEnd"/>
      <w:r w:rsidR="000309E2" w:rsidRPr="000309E2">
        <w:rPr>
          <w:rFonts w:cs="Arial"/>
          <w:i/>
          <w:color w:val="000000"/>
          <w:szCs w:val="22"/>
        </w:rPr>
        <w:t>. Ser. 322:99</w:t>
      </w:r>
      <w:r w:rsidR="00AA3594">
        <w:rPr>
          <w:rFonts w:cs="Arial"/>
          <w:i/>
          <w:color w:val="000000"/>
          <w:szCs w:val="22"/>
        </w:rPr>
        <w:t>–</w:t>
      </w:r>
      <w:r w:rsidR="000309E2" w:rsidRPr="000309E2">
        <w:rPr>
          <w:rFonts w:cs="Arial"/>
          <w:i/>
          <w:color w:val="000000"/>
          <w:szCs w:val="22"/>
        </w:rPr>
        <w:t>115.</w:t>
      </w:r>
      <w:r w:rsidRPr="000025CA">
        <w:rPr>
          <w:rFonts w:cs="Arial"/>
          <w:color w:val="000000"/>
          <w:szCs w:val="22"/>
        </w:rPr>
        <w:t xml:space="preserve"> </w:t>
      </w:r>
    </w:p>
    <w:p w:rsidR="00485094" w:rsidRPr="00431B2F" w:rsidRDefault="00485094" w:rsidP="00376229">
      <w:pPr>
        <w:pStyle w:val="References"/>
        <w:rPr>
          <w:rFonts w:cs="Arial"/>
          <w:i/>
          <w:color w:val="000000"/>
          <w:szCs w:val="22"/>
        </w:rPr>
      </w:pPr>
      <w:r w:rsidRPr="000025CA">
        <w:rPr>
          <w:rFonts w:cs="Arial"/>
          <w:color w:val="000000"/>
          <w:szCs w:val="22"/>
        </w:rPr>
        <w:t xml:space="preserve">Phlips, E. J., </w:t>
      </w:r>
      <w:r w:rsidR="00431B2F">
        <w:rPr>
          <w:rFonts w:cs="Arial"/>
          <w:color w:val="000000"/>
          <w:szCs w:val="22"/>
        </w:rPr>
        <w:t xml:space="preserve">S. </w:t>
      </w:r>
      <w:r w:rsidRPr="000025CA">
        <w:rPr>
          <w:rFonts w:cs="Arial"/>
          <w:color w:val="000000"/>
          <w:szCs w:val="22"/>
        </w:rPr>
        <w:t xml:space="preserve">Badylak, </w:t>
      </w:r>
      <w:r w:rsidR="00431B2F">
        <w:rPr>
          <w:rFonts w:cs="Arial"/>
          <w:color w:val="000000"/>
          <w:szCs w:val="22"/>
        </w:rPr>
        <w:t>M.</w:t>
      </w:r>
      <w:r w:rsidRPr="000025CA">
        <w:rPr>
          <w:rFonts w:cs="Arial"/>
          <w:color w:val="000000"/>
          <w:szCs w:val="22"/>
        </w:rPr>
        <w:t xml:space="preserve"> </w:t>
      </w:r>
      <w:proofErr w:type="spellStart"/>
      <w:r w:rsidRPr="000025CA">
        <w:rPr>
          <w:rFonts w:cs="Arial"/>
          <w:color w:val="000000"/>
          <w:szCs w:val="22"/>
        </w:rPr>
        <w:t>Christman</w:t>
      </w:r>
      <w:proofErr w:type="spellEnd"/>
      <w:r w:rsidRPr="000025CA">
        <w:rPr>
          <w:rFonts w:cs="Arial"/>
          <w:color w:val="000000"/>
          <w:szCs w:val="22"/>
        </w:rPr>
        <w:t xml:space="preserve">, and </w:t>
      </w:r>
      <w:r w:rsidR="00431B2F">
        <w:rPr>
          <w:rFonts w:cs="Arial"/>
          <w:color w:val="000000"/>
          <w:szCs w:val="22"/>
        </w:rPr>
        <w:t xml:space="preserve">M. </w:t>
      </w:r>
      <w:proofErr w:type="spellStart"/>
      <w:r w:rsidRPr="000025CA">
        <w:rPr>
          <w:rFonts w:cs="Arial"/>
          <w:color w:val="000000"/>
          <w:szCs w:val="22"/>
        </w:rPr>
        <w:t>Lasi</w:t>
      </w:r>
      <w:proofErr w:type="spellEnd"/>
      <w:r w:rsidRPr="000025CA">
        <w:rPr>
          <w:rFonts w:cs="Arial"/>
          <w:color w:val="000000"/>
          <w:szCs w:val="22"/>
        </w:rPr>
        <w:t xml:space="preserve">.  2010a.  Climatic trends and temporal patterns of phytoplankton composition, abundance and succession in the Indian River Lagoon, Florida, USA.  </w:t>
      </w:r>
      <w:r w:rsidR="000309E2" w:rsidRPr="000309E2">
        <w:rPr>
          <w:rFonts w:cs="Arial"/>
          <w:i/>
          <w:color w:val="000000"/>
          <w:szCs w:val="22"/>
        </w:rPr>
        <w:t>Estuaries and Coasts 33:498</w:t>
      </w:r>
      <w:r w:rsidR="00AA3594">
        <w:rPr>
          <w:rFonts w:cs="Arial"/>
          <w:i/>
          <w:color w:val="000000"/>
          <w:szCs w:val="22"/>
        </w:rPr>
        <w:t>–</w:t>
      </w:r>
      <w:r w:rsidR="000309E2" w:rsidRPr="000309E2">
        <w:rPr>
          <w:rFonts w:cs="Arial"/>
          <w:i/>
          <w:color w:val="000000"/>
          <w:szCs w:val="22"/>
        </w:rPr>
        <w:t>513.</w:t>
      </w:r>
    </w:p>
    <w:p w:rsidR="00485094" w:rsidRDefault="00485094" w:rsidP="00376229">
      <w:pPr>
        <w:pStyle w:val="References"/>
        <w:rPr>
          <w:rFonts w:cs="Arial"/>
          <w:color w:val="000000"/>
          <w:szCs w:val="22"/>
        </w:rPr>
      </w:pPr>
      <w:r w:rsidRPr="000025CA">
        <w:rPr>
          <w:rFonts w:cs="Arial"/>
          <w:color w:val="000000"/>
          <w:szCs w:val="22"/>
        </w:rPr>
        <w:t xml:space="preserve">Phlips, E. J., </w:t>
      </w:r>
      <w:r w:rsidR="00431B2F">
        <w:rPr>
          <w:rFonts w:cs="Arial"/>
          <w:color w:val="000000"/>
          <w:szCs w:val="22"/>
        </w:rPr>
        <w:t xml:space="preserve">S. </w:t>
      </w:r>
      <w:r w:rsidRPr="000025CA">
        <w:rPr>
          <w:rFonts w:cs="Arial"/>
          <w:color w:val="000000"/>
          <w:szCs w:val="22"/>
        </w:rPr>
        <w:t xml:space="preserve">Badylak, </w:t>
      </w:r>
      <w:r w:rsidR="00431B2F">
        <w:rPr>
          <w:rFonts w:cs="Arial"/>
          <w:color w:val="000000"/>
          <w:szCs w:val="22"/>
        </w:rPr>
        <w:t>M.</w:t>
      </w:r>
      <w:r w:rsidRPr="000025CA">
        <w:rPr>
          <w:rFonts w:cs="Arial"/>
          <w:color w:val="000000"/>
          <w:szCs w:val="22"/>
        </w:rPr>
        <w:t xml:space="preserve"> </w:t>
      </w:r>
      <w:proofErr w:type="spellStart"/>
      <w:r w:rsidRPr="000025CA">
        <w:rPr>
          <w:rFonts w:cs="Arial"/>
          <w:color w:val="000000"/>
          <w:szCs w:val="22"/>
        </w:rPr>
        <w:t>Christman</w:t>
      </w:r>
      <w:proofErr w:type="spellEnd"/>
      <w:r w:rsidRPr="000025CA">
        <w:rPr>
          <w:rFonts w:cs="Arial"/>
          <w:color w:val="000000"/>
          <w:szCs w:val="22"/>
        </w:rPr>
        <w:t xml:space="preserve">, </w:t>
      </w:r>
      <w:r w:rsidR="00431B2F">
        <w:rPr>
          <w:rFonts w:cs="Arial"/>
          <w:color w:val="000000"/>
          <w:szCs w:val="22"/>
        </w:rPr>
        <w:t>J.</w:t>
      </w:r>
      <w:r w:rsidRPr="000025CA">
        <w:rPr>
          <w:rFonts w:cs="Arial"/>
          <w:color w:val="000000"/>
          <w:szCs w:val="22"/>
        </w:rPr>
        <w:t xml:space="preserve"> </w:t>
      </w:r>
      <w:proofErr w:type="spellStart"/>
      <w:r w:rsidRPr="000025CA">
        <w:rPr>
          <w:rFonts w:cs="Arial"/>
          <w:color w:val="000000"/>
          <w:szCs w:val="22"/>
        </w:rPr>
        <w:t>Wolney</w:t>
      </w:r>
      <w:proofErr w:type="spellEnd"/>
      <w:r w:rsidRPr="000025CA">
        <w:rPr>
          <w:rFonts w:cs="Arial"/>
          <w:color w:val="000000"/>
          <w:szCs w:val="22"/>
        </w:rPr>
        <w:t xml:space="preserve">, </w:t>
      </w:r>
      <w:r w:rsidR="00431B2F">
        <w:rPr>
          <w:rFonts w:cs="Arial"/>
          <w:color w:val="000000"/>
          <w:szCs w:val="22"/>
        </w:rPr>
        <w:t>J.</w:t>
      </w:r>
      <w:r w:rsidRPr="000025CA">
        <w:rPr>
          <w:rFonts w:cs="Arial"/>
          <w:color w:val="000000"/>
          <w:szCs w:val="22"/>
        </w:rPr>
        <w:t xml:space="preserve"> Garland, </w:t>
      </w:r>
      <w:r w:rsidR="00431B2F">
        <w:rPr>
          <w:rFonts w:cs="Arial"/>
          <w:color w:val="000000"/>
          <w:szCs w:val="22"/>
        </w:rPr>
        <w:t>and L.</w:t>
      </w:r>
      <w:r w:rsidRPr="000025CA">
        <w:rPr>
          <w:rFonts w:cs="Arial"/>
          <w:color w:val="000000"/>
          <w:szCs w:val="22"/>
        </w:rPr>
        <w:t xml:space="preserve"> Hall</w:t>
      </w:r>
      <w:r w:rsidR="00431B2F">
        <w:rPr>
          <w:rFonts w:cs="Arial"/>
          <w:color w:val="000000"/>
          <w:szCs w:val="22"/>
        </w:rPr>
        <w:t xml:space="preserve"> et al.  </w:t>
      </w:r>
      <w:r w:rsidRPr="000025CA">
        <w:rPr>
          <w:rFonts w:cs="Arial"/>
          <w:color w:val="000000"/>
          <w:szCs w:val="22"/>
        </w:rPr>
        <w:t xml:space="preserve">2010b.  Scales of variability of harmful algae blooms in the Indian River, Florida, USA.  </w:t>
      </w:r>
      <w:r w:rsidR="000309E2" w:rsidRPr="000309E2">
        <w:rPr>
          <w:rFonts w:cs="Arial"/>
          <w:i/>
          <w:color w:val="000000"/>
          <w:szCs w:val="22"/>
        </w:rPr>
        <w:t>Harmful Algae,</w:t>
      </w:r>
      <w:r w:rsidRPr="000025CA">
        <w:rPr>
          <w:rFonts w:cs="Arial"/>
          <w:color w:val="000000"/>
          <w:szCs w:val="22"/>
        </w:rPr>
        <w:t xml:space="preserve"> accepted for publication. </w:t>
      </w:r>
    </w:p>
    <w:p w:rsidR="00485094" w:rsidRDefault="00485094" w:rsidP="00376229">
      <w:pPr>
        <w:pStyle w:val="References"/>
      </w:pPr>
      <w:r>
        <w:t>P</w:t>
      </w:r>
      <w:r w:rsidRPr="00271E81">
        <w:t xml:space="preserve">hlips, </w:t>
      </w:r>
      <w:r>
        <w:t>E.J</w:t>
      </w:r>
      <w:r w:rsidRPr="00271E81">
        <w:t xml:space="preserve">., </w:t>
      </w:r>
      <w:r>
        <w:t>E</w:t>
      </w:r>
      <w:r w:rsidRPr="00271E81">
        <w:t xml:space="preserve">. </w:t>
      </w:r>
      <w:r>
        <w:t>B</w:t>
      </w:r>
      <w:r w:rsidRPr="00271E81">
        <w:t xml:space="preserve">ledsoe, </w:t>
      </w:r>
      <w:r>
        <w:t>M</w:t>
      </w:r>
      <w:r w:rsidRPr="00271E81">
        <w:t xml:space="preserve">. </w:t>
      </w:r>
      <w:r>
        <w:t>C</w:t>
      </w:r>
      <w:r w:rsidRPr="00271E81">
        <w:t xml:space="preserve">ichra, </w:t>
      </w:r>
      <w:r>
        <w:t>S</w:t>
      </w:r>
      <w:r w:rsidRPr="00271E81">
        <w:t xml:space="preserve">. </w:t>
      </w:r>
      <w:r>
        <w:t>B</w:t>
      </w:r>
      <w:r w:rsidRPr="00271E81">
        <w:t xml:space="preserve">adylak, and </w:t>
      </w:r>
      <w:r>
        <w:t>J</w:t>
      </w:r>
      <w:r w:rsidRPr="00271E81">
        <w:t>.</w:t>
      </w:r>
      <w:r>
        <w:t>F</w:t>
      </w:r>
      <w:r w:rsidRPr="00271E81">
        <w:t>rost.</w:t>
      </w:r>
      <w:r>
        <w:t xml:space="preserve"> </w:t>
      </w:r>
      <w:r w:rsidRPr="00431F94">
        <w:t xml:space="preserve"> 2002.</w:t>
      </w:r>
      <w:r>
        <w:t xml:space="preserve"> </w:t>
      </w:r>
      <w:r w:rsidRPr="00431F94">
        <w:t xml:space="preserve">The distribution of potentially toxic cyanobacteria in Florida. </w:t>
      </w:r>
      <w:r>
        <w:t xml:space="preserve"> </w:t>
      </w:r>
      <w:r w:rsidR="000309E2" w:rsidRPr="000309E2">
        <w:rPr>
          <w:i/>
        </w:rPr>
        <w:t>In:</w:t>
      </w:r>
      <w:r>
        <w:t xml:space="preserve">  </w:t>
      </w:r>
      <w:r w:rsidRPr="00431F94">
        <w:t>D. Johnson and R.D. Harbison</w:t>
      </w:r>
      <w:r>
        <w:t xml:space="preserve"> (</w:t>
      </w:r>
      <w:r w:rsidR="005C7479">
        <w:t>E</w:t>
      </w:r>
      <w:r w:rsidR="005C7479" w:rsidRPr="00431F94">
        <w:t>ds</w:t>
      </w:r>
      <w:r w:rsidRPr="00431F94">
        <w:t>.</w:t>
      </w:r>
      <w:r>
        <w:t>),</w:t>
      </w:r>
      <w:r w:rsidRPr="00431F94">
        <w:t xml:space="preserve"> </w:t>
      </w:r>
      <w:r w:rsidRPr="008654A0">
        <w:rPr>
          <w:i/>
        </w:rPr>
        <w:t>Proceedings of health effects of exposure to cyanobacteria toxins:  State of the science,</w:t>
      </w:r>
      <w:r w:rsidRPr="00431F94">
        <w:t xml:space="preserve"> August 13–14, 2002</w:t>
      </w:r>
      <w:r>
        <w:t xml:space="preserve">, </w:t>
      </w:r>
      <w:r w:rsidRPr="00431F94">
        <w:t xml:space="preserve">Sarasota, </w:t>
      </w:r>
      <w:r>
        <w:t>FL, pp. 22–29</w:t>
      </w:r>
      <w:r w:rsidRPr="00431F94">
        <w:t xml:space="preserve">. </w:t>
      </w:r>
      <w:r>
        <w:t xml:space="preserve"> </w:t>
      </w:r>
      <w:r w:rsidRPr="00431F94">
        <w:t>Available</w:t>
      </w:r>
      <w:r>
        <w:t xml:space="preserve">: </w:t>
      </w:r>
      <w:r w:rsidRPr="00431F94">
        <w:t xml:space="preserve"> </w:t>
      </w:r>
      <w:hyperlink r:id="rId288" w:history="1">
        <w:r w:rsidRPr="00431F94">
          <w:rPr>
            <w:rStyle w:val="Hyperlink"/>
            <w:rFonts w:cs="Arial"/>
            <w:bCs/>
            <w:szCs w:val="22"/>
          </w:rPr>
          <w:t>http://www.doh.state.fl.us/environment/community/</w:t>
        </w:r>
        <w:r w:rsidRPr="00A20C26">
          <w:rPr>
            <w:rStyle w:val="Hyperlink"/>
            <w:rFonts w:cs="Arial"/>
            <w:bCs/>
          </w:rPr>
          <w:t xml:space="preserve"> </w:t>
        </w:r>
        <w:r w:rsidRPr="00431F94">
          <w:rPr>
            <w:rStyle w:val="Hyperlink"/>
            <w:rFonts w:cs="Arial"/>
            <w:bCs/>
            <w:szCs w:val="22"/>
          </w:rPr>
          <w:t>aquatic/pdfs/Cyanobacteria_200208.pdf</w:t>
        </w:r>
      </w:hyperlink>
      <w:r>
        <w:t>.</w:t>
      </w:r>
    </w:p>
    <w:p w:rsidR="00485094" w:rsidRDefault="00485094" w:rsidP="003917BD">
      <w:pPr>
        <w:pStyle w:val="References"/>
        <w:rPr>
          <w:rFonts w:cs="Arial"/>
          <w:color w:val="000000"/>
          <w:szCs w:val="22"/>
        </w:rPr>
      </w:pPr>
      <w:r>
        <w:rPr>
          <w:color w:val="000000"/>
          <w:szCs w:val="22"/>
        </w:rPr>
        <w:t>Poli, M.</w:t>
      </w:r>
      <w:r w:rsidRPr="0075585F">
        <w:rPr>
          <w:color w:val="000000"/>
          <w:szCs w:val="22"/>
        </w:rPr>
        <w:t xml:space="preserve">A., </w:t>
      </w:r>
      <w:r>
        <w:rPr>
          <w:color w:val="000000"/>
          <w:szCs w:val="22"/>
        </w:rPr>
        <w:t xml:space="preserve">S.M. </w:t>
      </w:r>
      <w:r w:rsidRPr="0075585F">
        <w:rPr>
          <w:color w:val="000000"/>
          <w:szCs w:val="22"/>
        </w:rPr>
        <w:t xml:space="preserve">Musser, </w:t>
      </w:r>
      <w:r>
        <w:rPr>
          <w:color w:val="000000"/>
          <w:szCs w:val="22"/>
        </w:rPr>
        <w:t>R.W.</w:t>
      </w:r>
      <w:r w:rsidRPr="0075585F">
        <w:rPr>
          <w:color w:val="000000"/>
          <w:szCs w:val="22"/>
        </w:rPr>
        <w:t xml:space="preserve"> Dickey, </w:t>
      </w:r>
      <w:r>
        <w:rPr>
          <w:color w:val="000000"/>
          <w:szCs w:val="22"/>
        </w:rPr>
        <w:t>P.</w:t>
      </w:r>
      <w:r w:rsidRPr="0075585F">
        <w:rPr>
          <w:color w:val="000000"/>
          <w:szCs w:val="22"/>
        </w:rPr>
        <w:t xml:space="preserve"> </w:t>
      </w:r>
      <w:proofErr w:type="spellStart"/>
      <w:r w:rsidRPr="0075585F">
        <w:rPr>
          <w:color w:val="000000"/>
          <w:szCs w:val="22"/>
        </w:rPr>
        <w:t>Eilers</w:t>
      </w:r>
      <w:proofErr w:type="spellEnd"/>
      <w:r w:rsidRPr="0075585F">
        <w:rPr>
          <w:color w:val="000000"/>
          <w:szCs w:val="22"/>
        </w:rPr>
        <w:t xml:space="preserve">, </w:t>
      </w:r>
      <w:r>
        <w:rPr>
          <w:color w:val="000000"/>
          <w:szCs w:val="22"/>
        </w:rPr>
        <w:t>and S.</w:t>
      </w:r>
      <w:r w:rsidRPr="0075585F">
        <w:rPr>
          <w:color w:val="000000"/>
          <w:szCs w:val="22"/>
        </w:rPr>
        <w:t xml:space="preserve"> Hall.</w:t>
      </w:r>
      <w:r>
        <w:rPr>
          <w:color w:val="000000"/>
          <w:szCs w:val="22"/>
        </w:rPr>
        <w:t xml:space="preserve"> </w:t>
      </w:r>
      <w:r w:rsidRPr="0075585F">
        <w:rPr>
          <w:color w:val="000000"/>
          <w:szCs w:val="22"/>
        </w:rPr>
        <w:t xml:space="preserve"> 2000.</w:t>
      </w:r>
      <w:r>
        <w:rPr>
          <w:color w:val="000000"/>
          <w:szCs w:val="22"/>
        </w:rPr>
        <w:t xml:space="preserve"> </w:t>
      </w:r>
      <w:r w:rsidRPr="0075585F">
        <w:rPr>
          <w:color w:val="000000"/>
          <w:szCs w:val="22"/>
        </w:rPr>
        <w:t xml:space="preserve"> Neurotoxic shellﬁsh </w:t>
      </w:r>
      <w:r w:rsidRPr="0093436B">
        <w:rPr>
          <w:rFonts w:cs="Arial"/>
          <w:color w:val="000000"/>
          <w:szCs w:val="22"/>
        </w:rPr>
        <w:t>poison</w:t>
      </w:r>
      <w:r w:rsidRPr="0093436B">
        <w:rPr>
          <w:rFonts w:cs="Arial"/>
          <w:color w:val="000000"/>
          <w:szCs w:val="22"/>
        </w:rPr>
        <w:softHyphen/>
        <w:t xml:space="preserve">ing and brevetoxin metabolites:  A case study from Florida.  </w:t>
      </w:r>
      <w:r w:rsidRPr="0093436B">
        <w:rPr>
          <w:rFonts w:cs="Arial"/>
          <w:i/>
          <w:color w:val="000000"/>
          <w:szCs w:val="22"/>
        </w:rPr>
        <w:t>Toxicon 38: 981–993.</w:t>
      </w:r>
      <w:r w:rsidRPr="0093436B">
        <w:rPr>
          <w:rFonts w:cs="Arial"/>
          <w:color w:val="000000"/>
          <w:szCs w:val="22"/>
        </w:rPr>
        <w:t xml:space="preserve"> </w:t>
      </w:r>
    </w:p>
    <w:p w:rsidR="00485094" w:rsidRPr="003917BD" w:rsidRDefault="00485094" w:rsidP="003917BD">
      <w:pPr>
        <w:pStyle w:val="References"/>
      </w:pPr>
      <w:r>
        <w:t>Price, R. E. and T. Pichler.</w:t>
      </w:r>
      <w:r w:rsidRPr="003917BD">
        <w:t xml:space="preserve"> </w:t>
      </w:r>
      <w:r>
        <w:t xml:space="preserve"> </w:t>
      </w:r>
      <w:r w:rsidRPr="003917BD">
        <w:t>2006</w:t>
      </w:r>
      <w:r>
        <w:t xml:space="preserve">. </w:t>
      </w:r>
      <w:r w:rsidRPr="003917BD">
        <w:t xml:space="preserve"> Abundance and mineralogical association of arsenic in the Suwannee Limestone (Florida): implications for arsenic release during water-rock interaction. </w:t>
      </w:r>
      <w:r>
        <w:t xml:space="preserve"> </w:t>
      </w:r>
      <w:r w:rsidRPr="003917BD">
        <w:t xml:space="preserve">Invited paper for special issue of </w:t>
      </w:r>
      <w:r w:rsidR="000309E2" w:rsidRPr="000309E2">
        <w:rPr>
          <w:i/>
        </w:rPr>
        <w:t>Chemical Geology 228 (1-3), 44</w:t>
      </w:r>
      <w:r w:rsidR="00AA3594">
        <w:rPr>
          <w:i/>
        </w:rPr>
        <w:t>–</w:t>
      </w:r>
      <w:r w:rsidR="000309E2" w:rsidRPr="000309E2">
        <w:rPr>
          <w:i/>
        </w:rPr>
        <w:t>56.</w:t>
      </w:r>
    </w:p>
    <w:p w:rsidR="00485094" w:rsidRDefault="00485094" w:rsidP="001E335C">
      <w:pPr>
        <w:pStyle w:val="References"/>
        <w:rPr>
          <w:szCs w:val="22"/>
        </w:rPr>
      </w:pPr>
      <w:r>
        <w:rPr>
          <w:szCs w:val="22"/>
        </w:rPr>
        <w:t xml:space="preserve">Reiss, K.C., and M.T. Brown.  June 2005a.  </w:t>
      </w:r>
      <w:r w:rsidRPr="001E335C">
        <w:rPr>
          <w:i/>
          <w:szCs w:val="22"/>
        </w:rPr>
        <w:t>The Florida Wetland Condition Index (FWCI):  Developing biological indicators for isolated depressional forested wetlands.</w:t>
      </w:r>
      <w:r>
        <w:rPr>
          <w:szCs w:val="22"/>
        </w:rPr>
        <w:t xml:space="preserve">  </w:t>
      </w:r>
      <w:r w:rsidRPr="001E335C">
        <w:rPr>
          <w:szCs w:val="22"/>
        </w:rPr>
        <w:t xml:space="preserve">Report </w:t>
      </w:r>
      <w:r>
        <w:rPr>
          <w:szCs w:val="22"/>
        </w:rPr>
        <w:t>s</w:t>
      </w:r>
      <w:r w:rsidRPr="001E335C">
        <w:rPr>
          <w:szCs w:val="22"/>
        </w:rPr>
        <w:t>ubmitted to the</w:t>
      </w:r>
      <w:r>
        <w:rPr>
          <w:szCs w:val="22"/>
        </w:rPr>
        <w:t xml:space="preserve"> </w:t>
      </w:r>
      <w:r w:rsidRPr="001E335C">
        <w:rPr>
          <w:szCs w:val="22"/>
        </w:rPr>
        <w:t>Florida Department of Environmental Protection</w:t>
      </w:r>
      <w:r>
        <w:rPr>
          <w:szCs w:val="22"/>
        </w:rPr>
        <w:t xml:space="preserve"> u</w:t>
      </w:r>
      <w:r w:rsidRPr="001E335C">
        <w:rPr>
          <w:szCs w:val="22"/>
        </w:rPr>
        <w:t>nder Contract #WM-683</w:t>
      </w:r>
      <w:r>
        <w:rPr>
          <w:szCs w:val="22"/>
        </w:rPr>
        <w:t xml:space="preserve">.  Gainesville, FL:  University of Florida, </w:t>
      </w:r>
      <w:r w:rsidRPr="001E335C">
        <w:rPr>
          <w:szCs w:val="22"/>
        </w:rPr>
        <w:t>Howard T. Odum Center for Wetlands</w:t>
      </w:r>
      <w:r>
        <w:rPr>
          <w:szCs w:val="22"/>
        </w:rPr>
        <w:t xml:space="preserve">.  Available: </w:t>
      </w:r>
      <w:hyperlink r:id="rId289" w:history="1">
        <w:r w:rsidRPr="00C57FE5">
          <w:rPr>
            <w:rStyle w:val="Hyperlink"/>
            <w:szCs w:val="22"/>
          </w:rPr>
          <w:t>http://publicfiles.dep.state.fl.us/dear/labs/sas/library/docs/wet_depf.pdf</w:t>
        </w:r>
      </w:hyperlink>
      <w:r>
        <w:rPr>
          <w:szCs w:val="22"/>
        </w:rPr>
        <w:t>.</w:t>
      </w:r>
    </w:p>
    <w:p w:rsidR="00485094" w:rsidRPr="001E335C" w:rsidRDefault="00485094" w:rsidP="001E335C">
      <w:pPr>
        <w:pStyle w:val="References"/>
        <w:rPr>
          <w:szCs w:val="22"/>
        </w:rPr>
      </w:pPr>
      <w:r w:rsidRPr="0026647D">
        <w:t xml:space="preserve">———.  </w:t>
      </w:r>
      <w:r>
        <w:t xml:space="preserve">June 2005b.  </w:t>
      </w:r>
      <w:r w:rsidRPr="001E335C">
        <w:rPr>
          <w:i/>
          <w:szCs w:val="22"/>
        </w:rPr>
        <w:t xml:space="preserve">Pilot </w:t>
      </w:r>
      <w:r>
        <w:rPr>
          <w:i/>
          <w:szCs w:val="22"/>
        </w:rPr>
        <w:t>s</w:t>
      </w:r>
      <w:r w:rsidRPr="001E335C">
        <w:rPr>
          <w:i/>
          <w:szCs w:val="22"/>
        </w:rPr>
        <w:t>tudy—The Florida Wetland Condition Index (FWCI):</w:t>
      </w:r>
      <w:r w:rsidRPr="001E335C">
        <w:rPr>
          <w:szCs w:val="22"/>
        </w:rPr>
        <w:t xml:space="preserve"> </w:t>
      </w:r>
      <w:r w:rsidRPr="001E335C">
        <w:rPr>
          <w:i/>
          <w:szCs w:val="22"/>
        </w:rPr>
        <w:t>Preliminary development of biological indicators for forested strand and floodplain wetlands.</w:t>
      </w:r>
      <w:r>
        <w:rPr>
          <w:szCs w:val="22"/>
        </w:rPr>
        <w:t xml:space="preserve">  </w:t>
      </w:r>
      <w:r w:rsidRPr="001E335C">
        <w:rPr>
          <w:szCs w:val="22"/>
        </w:rPr>
        <w:t xml:space="preserve">Report </w:t>
      </w:r>
      <w:r>
        <w:rPr>
          <w:szCs w:val="22"/>
        </w:rPr>
        <w:t>s</w:t>
      </w:r>
      <w:r w:rsidRPr="001E335C">
        <w:rPr>
          <w:szCs w:val="22"/>
        </w:rPr>
        <w:t>ubmitted to the</w:t>
      </w:r>
      <w:r>
        <w:rPr>
          <w:szCs w:val="22"/>
        </w:rPr>
        <w:t xml:space="preserve"> </w:t>
      </w:r>
      <w:r w:rsidRPr="001E335C">
        <w:rPr>
          <w:szCs w:val="22"/>
        </w:rPr>
        <w:t>Florida Department of Environmental Protection</w:t>
      </w:r>
      <w:r>
        <w:rPr>
          <w:szCs w:val="22"/>
        </w:rPr>
        <w:t xml:space="preserve"> u</w:t>
      </w:r>
      <w:r w:rsidRPr="001E335C">
        <w:rPr>
          <w:szCs w:val="22"/>
        </w:rPr>
        <w:t>nder Contract #WM-683</w:t>
      </w:r>
      <w:r>
        <w:rPr>
          <w:szCs w:val="22"/>
        </w:rPr>
        <w:t xml:space="preserve">.  Gainesville, FL:  University of Florida, </w:t>
      </w:r>
      <w:r w:rsidRPr="001E335C">
        <w:rPr>
          <w:szCs w:val="22"/>
        </w:rPr>
        <w:t>Howard T. Odum Center for Wetlands</w:t>
      </w:r>
      <w:r>
        <w:rPr>
          <w:szCs w:val="22"/>
        </w:rPr>
        <w:t xml:space="preserve">.  Available:  </w:t>
      </w:r>
      <w:hyperlink r:id="rId290" w:history="1">
        <w:r w:rsidRPr="00C57FE5">
          <w:rPr>
            <w:rStyle w:val="Hyperlink"/>
            <w:szCs w:val="22"/>
          </w:rPr>
          <w:t>http://publicfiles.dep.state.fl.us/dear/labs/sas/library/docs/wet_stfp.pdf</w:t>
        </w:r>
      </w:hyperlink>
      <w:r>
        <w:rPr>
          <w:szCs w:val="22"/>
        </w:rPr>
        <w:t>.</w:t>
      </w:r>
    </w:p>
    <w:p w:rsidR="00485094" w:rsidRPr="0075585F" w:rsidRDefault="00485094" w:rsidP="001E335C">
      <w:pPr>
        <w:pStyle w:val="References"/>
        <w:rPr>
          <w:szCs w:val="22"/>
        </w:rPr>
      </w:pPr>
      <w:r w:rsidRPr="00285A41">
        <w:rPr>
          <w:szCs w:val="22"/>
        </w:rPr>
        <w:t xml:space="preserve">Sato, K., A. Kitahara, K. Satoh, T. Ichikawa, M. Tatematsu, and N. Ito.  1984.  The placental form of glutathione S-transferase as a new marker protein for preneoplasia in rat chemical carcinogenesis.  </w:t>
      </w:r>
      <w:r w:rsidRPr="00285A41">
        <w:rPr>
          <w:i/>
          <w:szCs w:val="22"/>
        </w:rPr>
        <w:t>Gann 75: 199–202.</w:t>
      </w:r>
    </w:p>
    <w:p w:rsidR="00485094" w:rsidRPr="006B1693" w:rsidRDefault="00485094" w:rsidP="00E25E53">
      <w:pPr>
        <w:pStyle w:val="References"/>
      </w:pPr>
      <w:r>
        <w:t xml:space="preserve">Schropp, S., and H. Windom.  </w:t>
      </w:r>
      <w:r w:rsidRPr="006B1693">
        <w:t xml:space="preserve">1988.  </w:t>
      </w:r>
      <w:r w:rsidRPr="00E25E53">
        <w:rPr>
          <w:i/>
        </w:rPr>
        <w:t xml:space="preserve">A guide to the interpretation of metals concentrations in estuarine sediments.  </w:t>
      </w:r>
      <w:r>
        <w:t xml:space="preserve">Tallassee, FL:  </w:t>
      </w:r>
      <w:r w:rsidRPr="006B1693">
        <w:t>Florida Department of Environmental Regulation</w:t>
      </w:r>
      <w:r>
        <w:t xml:space="preserve">, </w:t>
      </w:r>
      <w:r w:rsidRPr="006B1693">
        <w:t>Coastal Zone Management Sectio</w:t>
      </w:r>
      <w:r>
        <w:t xml:space="preserve">n.  Available:  </w:t>
      </w:r>
      <w:hyperlink r:id="rId291" w:history="1">
        <w:r w:rsidRPr="005F7EAB">
          <w:rPr>
            <w:rStyle w:val="Hyperlink"/>
          </w:rPr>
          <w:t>http://www.dep.state.fl.us/WATER/</w:t>
        </w:r>
        <w:r w:rsidRPr="005F7EAB">
          <w:rPr>
            <w:rStyle w:val="Hyperlink"/>
          </w:rPr>
          <w:br/>
          <w:t>monitoring/docs/seds/estuarine.pdf</w:t>
        </w:r>
      </w:hyperlink>
      <w:r>
        <w:t>.</w:t>
      </w:r>
    </w:p>
    <w:p w:rsidR="00485094" w:rsidRDefault="00485094" w:rsidP="007A2902">
      <w:pPr>
        <w:pStyle w:val="References"/>
      </w:pPr>
      <w:r>
        <w:t xml:space="preserve">Scott, T.M., G.H. Means, R.P. Meegan, R.C. Means, S.B. Upchurch, R.E. Copeland, J. Jones, T. Roberts, and A. Willet.  2004.  </w:t>
      </w:r>
      <w:r w:rsidRPr="007A2902">
        <w:rPr>
          <w:i/>
        </w:rPr>
        <w:t>Springs of Florida.</w:t>
      </w:r>
      <w:r>
        <w:t xml:space="preserve">  Florida Geological Survey.  Bulletin 66.  Available:  </w:t>
      </w:r>
      <w:hyperlink r:id="rId292" w:history="1">
        <w:r w:rsidRPr="005F7EAB">
          <w:rPr>
            <w:rStyle w:val="Hyperlink"/>
          </w:rPr>
          <w:t>http://www.dep.state.fl.us/geology/geologictopics/springs/bulletin66.htm</w:t>
        </w:r>
      </w:hyperlink>
      <w:r>
        <w:t>.</w:t>
      </w:r>
    </w:p>
    <w:p w:rsidR="00485094" w:rsidRDefault="00485094" w:rsidP="00DE3850">
      <w:pPr>
        <w:pStyle w:val="References"/>
      </w:pPr>
      <w:r>
        <w:t xml:space="preserve">Seal, T., F. Calder, G. Sloane, S. Schropp, and H. Windom.  1994.  </w:t>
      </w:r>
      <w:r w:rsidRPr="00CA461C">
        <w:rPr>
          <w:i/>
        </w:rPr>
        <w:t>Florida coastal sediment contaminants atlas:  A summary of coastal sediment quality surveys.</w:t>
      </w:r>
      <w:r>
        <w:t xml:space="preserve">  Florida Department of Environmental Protection.  Available:  </w:t>
      </w:r>
      <w:hyperlink r:id="rId293" w:history="1">
        <w:r w:rsidRPr="00CA461C">
          <w:rPr>
            <w:rStyle w:val="Hyperlink"/>
          </w:rPr>
          <w:t>http://publicfiles.dep.state.fl.us/FGS/</w:t>
        </w:r>
        <w:r w:rsidRPr="00CA461C">
          <w:rPr>
            <w:rStyle w:val="Hyperlink"/>
          </w:rPr>
          <w:br/>
          <w:t>FGS_Publications/FGS%20Library%20Documents/FLCoastSedContamAtlas.pdf</w:t>
        </w:r>
      </w:hyperlink>
      <w:r>
        <w:t>.</w:t>
      </w:r>
    </w:p>
    <w:p w:rsidR="00485094" w:rsidRDefault="00485094" w:rsidP="00DE3850">
      <w:pPr>
        <w:pStyle w:val="References"/>
      </w:pPr>
      <w:r>
        <w:t xml:space="preserve"> South Florida Water Management District website.  2010a.   Available:  </w:t>
      </w:r>
      <w:hyperlink r:id="rId294" w:history="1">
        <w:r w:rsidRPr="005F7EAB">
          <w:rPr>
            <w:rStyle w:val="Hyperlink"/>
          </w:rPr>
          <w:t>http://www.sfwmd.</w:t>
        </w:r>
        <w:r w:rsidRPr="005F7EAB">
          <w:rPr>
            <w:rStyle w:val="Hyperlink"/>
          </w:rPr>
          <w:br/>
          <w:t>gov/portal/page/portal/sfwmdmain/home%20page</w:t>
        </w:r>
      </w:hyperlink>
      <w:r>
        <w:t>.</w:t>
      </w:r>
    </w:p>
    <w:p w:rsidR="00485094" w:rsidRDefault="00485094" w:rsidP="007B1DF7">
      <w:pPr>
        <w:pStyle w:val="References"/>
      </w:pPr>
      <w:r w:rsidRPr="0026647D">
        <w:t xml:space="preserve">———.  </w:t>
      </w:r>
      <w:r>
        <w:t xml:space="preserve">2010b.  </w:t>
      </w:r>
      <w:r w:rsidRPr="00FF0DCB">
        <w:rPr>
          <w:i/>
        </w:rPr>
        <w:t>About Everglades</w:t>
      </w:r>
      <w:r>
        <w:rPr>
          <w:i/>
        </w:rPr>
        <w:t xml:space="preserve"> website</w:t>
      </w:r>
      <w:r w:rsidRPr="00FF0DCB">
        <w:rPr>
          <w:i/>
        </w:rPr>
        <w:t>.</w:t>
      </w:r>
      <w:r>
        <w:t xml:space="preserve">  Available:  </w:t>
      </w:r>
      <w:hyperlink r:id="rId295" w:history="1">
        <w:r w:rsidRPr="00AA5408">
          <w:rPr>
            <w:rStyle w:val="Hyperlink"/>
          </w:rPr>
          <w:t>https://my.sfwmd.gov/portal/page/</w:t>
        </w:r>
        <w:r w:rsidRPr="00AA5408">
          <w:rPr>
            <w:rStyle w:val="Hyperlink"/>
          </w:rPr>
          <w:br/>
          <w:t>portal/pg_grp_sfwmd_watershed/subtabs_evergladesflbay_home/tab1834093/flbayalgalbloom.pdf</w:t>
        </w:r>
      </w:hyperlink>
      <w:r>
        <w:t>.</w:t>
      </w:r>
    </w:p>
    <w:p w:rsidR="00485094" w:rsidRPr="0075585F" w:rsidRDefault="00485094" w:rsidP="00E25E53">
      <w:pPr>
        <w:pStyle w:val="References"/>
        <w:rPr>
          <w:color w:val="000000"/>
          <w:szCs w:val="22"/>
        </w:rPr>
      </w:pPr>
      <w:r w:rsidRPr="0075585F">
        <w:rPr>
          <w:color w:val="000000"/>
          <w:szCs w:val="22"/>
        </w:rPr>
        <w:t>Steidinge</w:t>
      </w:r>
      <w:r>
        <w:rPr>
          <w:color w:val="000000"/>
          <w:szCs w:val="22"/>
        </w:rPr>
        <w:t>r, K.A.</w:t>
      </w:r>
      <w:r w:rsidRPr="0075585F">
        <w:rPr>
          <w:color w:val="000000"/>
          <w:szCs w:val="22"/>
        </w:rPr>
        <w:t xml:space="preserve">, </w:t>
      </w:r>
      <w:r>
        <w:rPr>
          <w:color w:val="000000"/>
          <w:szCs w:val="22"/>
        </w:rPr>
        <w:t xml:space="preserve">P. </w:t>
      </w:r>
      <w:r w:rsidRPr="0075585F">
        <w:rPr>
          <w:color w:val="000000"/>
          <w:szCs w:val="22"/>
        </w:rPr>
        <w:t xml:space="preserve">Carlson, </w:t>
      </w:r>
      <w:r>
        <w:rPr>
          <w:color w:val="000000"/>
          <w:szCs w:val="22"/>
        </w:rPr>
        <w:t>D.</w:t>
      </w:r>
      <w:r w:rsidRPr="0075585F">
        <w:rPr>
          <w:color w:val="000000"/>
          <w:szCs w:val="22"/>
        </w:rPr>
        <w:t xml:space="preserve"> Baden, </w:t>
      </w:r>
      <w:r>
        <w:rPr>
          <w:color w:val="000000"/>
          <w:szCs w:val="22"/>
        </w:rPr>
        <w:t>C.</w:t>
      </w:r>
      <w:r w:rsidRPr="0075585F">
        <w:rPr>
          <w:color w:val="000000"/>
          <w:szCs w:val="22"/>
        </w:rPr>
        <w:t xml:space="preserve"> Ro</w:t>
      </w:r>
      <w:r w:rsidRPr="0075585F">
        <w:rPr>
          <w:color w:val="000000"/>
          <w:szCs w:val="22"/>
        </w:rPr>
        <w:softHyphen/>
        <w:t xml:space="preserve">driguez, and </w:t>
      </w:r>
      <w:r>
        <w:rPr>
          <w:color w:val="000000"/>
          <w:szCs w:val="22"/>
        </w:rPr>
        <w:t xml:space="preserve">J. </w:t>
      </w:r>
      <w:r w:rsidRPr="0075585F">
        <w:rPr>
          <w:color w:val="000000"/>
          <w:szCs w:val="22"/>
        </w:rPr>
        <w:t>Seagle</w:t>
      </w:r>
      <w:r>
        <w:rPr>
          <w:color w:val="000000"/>
          <w:szCs w:val="22"/>
        </w:rPr>
        <w:t xml:space="preserve">. </w:t>
      </w:r>
      <w:r w:rsidRPr="0075585F">
        <w:rPr>
          <w:color w:val="000000"/>
          <w:szCs w:val="22"/>
        </w:rPr>
        <w:t xml:space="preserve"> 1998.</w:t>
      </w:r>
      <w:r>
        <w:rPr>
          <w:color w:val="000000"/>
          <w:szCs w:val="22"/>
        </w:rPr>
        <w:t xml:space="preserve"> </w:t>
      </w:r>
      <w:r w:rsidRPr="0075585F">
        <w:rPr>
          <w:color w:val="000000"/>
          <w:szCs w:val="22"/>
        </w:rPr>
        <w:t xml:space="preserve"> Neurotoxic shellﬁsh poisoning due to toxin retention in the clam </w:t>
      </w:r>
      <w:r>
        <w:rPr>
          <w:i/>
          <w:iCs/>
          <w:color w:val="000000"/>
          <w:szCs w:val="22"/>
        </w:rPr>
        <w:t>Chione can</w:t>
      </w:r>
      <w:r w:rsidRPr="0075585F">
        <w:rPr>
          <w:i/>
          <w:iCs/>
          <w:color w:val="000000"/>
          <w:szCs w:val="22"/>
        </w:rPr>
        <w:t xml:space="preserve">cellata. </w:t>
      </w:r>
      <w:r>
        <w:rPr>
          <w:i/>
          <w:iCs/>
          <w:color w:val="000000"/>
          <w:szCs w:val="22"/>
        </w:rPr>
        <w:t xml:space="preserve"> </w:t>
      </w:r>
      <w:r w:rsidR="000309E2" w:rsidRPr="000309E2">
        <w:rPr>
          <w:i/>
          <w:iCs/>
          <w:color w:val="000000"/>
          <w:szCs w:val="22"/>
        </w:rPr>
        <w:t>In</w:t>
      </w:r>
      <w:r w:rsidRPr="00375554">
        <w:rPr>
          <w:iCs/>
          <w:color w:val="000000"/>
          <w:szCs w:val="22"/>
        </w:rPr>
        <w:t xml:space="preserve">:  </w:t>
      </w:r>
      <w:r w:rsidRPr="00375554">
        <w:rPr>
          <w:color w:val="000000"/>
          <w:szCs w:val="22"/>
        </w:rPr>
        <w:t>B</w:t>
      </w:r>
      <w:r>
        <w:rPr>
          <w:color w:val="000000"/>
          <w:szCs w:val="22"/>
        </w:rPr>
        <w:t>. Reguera, J. Blanco, M.L. Fer</w:t>
      </w:r>
      <w:r w:rsidRPr="0075585F">
        <w:rPr>
          <w:color w:val="000000"/>
          <w:szCs w:val="22"/>
        </w:rPr>
        <w:t>nández, and T. Wyatt</w:t>
      </w:r>
      <w:r>
        <w:rPr>
          <w:color w:val="000000"/>
          <w:szCs w:val="22"/>
        </w:rPr>
        <w:t xml:space="preserve"> (</w:t>
      </w:r>
      <w:r w:rsidR="005C7479">
        <w:rPr>
          <w:color w:val="000000"/>
          <w:szCs w:val="22"/>
        </w:rPr>
        <w:t>E</w:t>
      </w:r>
      <w:r w:rsidR="005C7479" w:rsidRPr="0075585F">
        <w:rPr>
          <w:color w:val="000000"/>
          <w:szCs w:val="22"/>
        </w:rPr>
        <w:t>ds</w:t>
      </w:r>
      <w:r w:rsidRPr="0075585F">
        <w:rPr>
          <w:color w:val="000000"/>
          <w:szCs w:val="22"/>
        </w:rPr>
        <w:t>.</w:t>
      </w:r>
      <w:r>
        <w:rPr>
          <w:color w:val="000000"/>
          <w:szCs w:val="22"/>
        </w:rPr>
        <w:t>),</w:t>
      </w:r>
      <w:r w:rsidRPr="0075585F">
        <w:rPr>
          <w:color w:val="000000"/>
          <w:szCs w:val="22"/>
        </w:rPr>
        <w:t xml:space="preserve"> </w:t>
      </w:r>
      <w:r w:rsidRPr="00375554">
        <w:rPr>
          <w:i/>
          <w:color w:val="000000"/>
          <w:szCs w:val="22"/>
        </w:rPr>
        <w:t>Harmful algae</w:t>
      </w:r>
      <w:r>
        <w:rPr>
          <w:color w:val="000000"/>
          <w:szCs w:val="22"/>
        </w:rPr>
        <w:t xml:space="preserve"> (Paris, France:  </w:t>
      </w:r>
      <w:r w:rsidRPr="0075585F">
        <w:rPr>
          <w:color w:val="000000"/>
          <w:szCs w:val="22"/>
        </w:rPr>
        <w:t>Xunta de Galicia and Intergovernmental Oceanogra</w:t>
      </w:r>
      <w:r>
        <w:rPr>
          <w:color w:val="000000"/>
          <w:szCs w:val="22"/>
        </w:rPr>
        <w:t>phic Com</w:t>
      </w:r>
      <w:r w:rsidRPr="0075585F">
        <w:rPr>
          <w:color w:val="000000"/>
          <w:szCs w:val="22"/>
        </w:rPr>
        <w:t>mission of UNESCO</w:t>
      </w:r>
      <w:r>
        <w:rPr>
          <w:color w:val="000000"/>
          <w:szCs w:val="22"/>
        </w:rPr>
        <w:t>, pp. 457–458)</w:t>
      </w:r>
      <w:r w:rsidRPr="0075585F">
        <w:rPr>
          <w:color w:val="000000"/>
          <w:szCs w:val="22"/>
        </w:rPr>
        <w:t xml:space="preserve">. </w:t>
      </w:r>
    </w:p>
    <w:p w:rsidR="00485094" w:rsidRPr="00DF48BE" w:rsidRDefault="00485094" w:rsidP="00E25E53">
      <w:pPr>
        <w:pStyle w:val="References"/>
        <w:rPr>
          <w:color w:val="002060"/>
          <w:szCs w:val="22"/>
          <w:u w:val="single"/>
        </w:rPr>
      </w:pPr>
      <w:r>
        <w:rPr>
          <w:color w:val="000000"/>
          <w:szCs w:val="22"/>
        </w:rPr>
        <w:t>Steidinger, K.A.,</w:t>
      </w:r>
      <w:r w:rsidRPr="0075585F">
        <w:rPr>
          <w:color w:val="000000"/>
          <w:szCs w:val="22"/>
        </w:rPr>
        <w:t xml:space="preserve"> </w:t>
      </w:r>
      <w:r>
        <w:rPr>
          <w:color w:val="000000"/>
          <w:szCs w:val="22"/>
        </w:rPr>
        <w:t xml:space="preserve">J.H. </w:t>
      </w:r>
      <w:r w:rsidRPr="0075585F">
        <w:rPr>
          <w:color w:val="000000"/>
          <w:szCs w:val="22"/>
        </w:rPr>
        <w:t xml:space="preserve">Landsberg, </w:t>
      </w:r>
      <w:r>
        <w:rPr>
          <w:color w:val="000000"/>
          <w:szCs w:val="22"/>
        </w:rPr>
        <w:t>C.R.</w:t>
      </w:r>
      <w:r w:rsidRPr="0075585F">
        <w:rPr>
          <w:color w:val="000000"/>
          <w:szCs w:val="22"/>
        </w:rPr>
        <w:t xml:space="preserve"> Tomas, and </w:t>
      </w:r>
      <w:r>
        <w:rPr>
          <w:color w:val="000000"/>
          <w:szCs w:val="22"/>
        </w:rPr>
        <w:t xml:space="preserve">J.W. </w:t>
      </w:r>
      <w:r w:rsidRPr="0075585F">
        <w:rPr>
          <w:color w:val="000000"/>
          <w:szCs w:val="22"/>
        </w:rPr>
        <w:t>Burns.</w:t>
      </w:r>
      <w:r>
        <w:rPr>
          <w:color w:val="000000"/>
          <w:szCs w:val="22"/>
        </w:rPr>
        <w:t xml:space="preserve">  </w:t>
      </w:r>
      <w:r w:rsidRPr="0075585F">
        <w:rPr>
          <w:color w:val="000000"/>
          <w:szCs w:val="22"/>
        </w:rPr>
        <w:t>1999.</w:t>
      </w:r>
      <w:r>
        <w:rPr>
          <w:color w:val="000000"/>
          <w:szCs w:val="22"/>
        </w:rPr>
        <w:t xml:space="preserve">  </w:t>
      </w:r>
      <w:r w:rsidRPr="00375554">
        <w:rPr>
          <w:i/>
          <w:color w:val="000000"/>
          <w:szCs w:val="22"/>
        </w:rPr>
        <w:t>Harmful algal blooms in Florida.</w:t>
      </w:r>
      <w:r w:rsidRPr="0075585F">
        <w:rPr>
          <w:color w:val="000000"/>
          <w:szCs w:val="22"/>
        </w:rPr>
        <w:t xml:space="preserve"> </w:t>
      </w:r>
      <w:r>
        <w:rPr>
          <w:color w:val="000000"/>
          <w:szCs w:val="22"/>
        </w:rPr>
        <w:t xml:space="preserve"> </w:t>
      </w:r>
      <w:r w:rsidRPr="0075585F">
        <w:rPr>
          <w:color w:val="000000"/>
          <w:szCs w:val="22"/>
        </w:rPr>
        <w:t xml:space="preserve">Unpublished technical report submitted to the Florida Harmful Algal Bloom Task Force. </w:t>
      </w:r>
      <w:r>
        <w:rPr>
          <w:color w:val="000000"/>
          <w:szCs w:val="22"/>
        </w:rPr>
        <w:t xml:space="preserve"> </w:t>
      </w:r>
      <w:r w:rsidR="005D2A20" w:rsidRPr="00DF48BE">
        <w:rPr>
          <w:color w:val="002060"/>
          <w:szCs w:val="22"/>
        </w:rPr>
        <w:t>St. Petersburg, FL</w:t>
      </w:r>
      <w:r w:rsidR="005D2A20">
        <w:rPr>
          <w:color w:val="000000"/>
          <w:szCs w:val="22"/>
        </w:rPr>
        <w:t xml:space="preserve">:  </w:t>
      </w:r>
      <w:r w:rsidRPr="0075585F">
        <w:rPr>
          <w:color w:val="000000"/>
          <w:szCs w:val="22"/>
        </w:rPr>
        <w:t xml:space="preserve">Florida Fish and Wildlife Conservation Commission, Fish and Wildlife Research </w:t>
      </w:r>
      <w:r w:rsidRPr="00DF48BE">
        <w:rPr>
          <w:color w:val="002060"/>
          <w:szCs w:val="22"/>
        </w:rPr>
        <w:t xml:space="preserve">Institute. </w:t>
      </w:r>
      <w:r>
        <w:rPr>
          <w:color w:val="002060"/>
          <w:szCs w:val="22"/>
        </w:rPr>
        <w:t xml:space="preserve"> Available:  </w:t>
      </w:r>
      <w:hyperlink r:id="rId296" w:history="1">
        <w:r w:rsidRPr="005F7EAB">
          <w:rPr>
            <w:rStyle w:val="Hyperlink"/>
            <w:szCs w:val="22"/>
          </w:rPr>
          <w:t>http://research.myfwc.com/features/</w:t>
        </w:r>
        <w:r w:rsidRPr="005F7EAB">
          <w:rPr>
            <w:rStyle w:val="Hyperlink"/>
            <w:szCs w:val="22"/>
          </w:rPr>
          <w:br/>
          <w:t>view_article.asp?id=26925</w:t>
        </w:r>
      </w:hyperlink>
      <w:r>
        <w:rPr>
          <w:color w:val="002060"/>
          <w:szCs w:val="22"/>
        </w:rPr>
        <w:t>.</w:t>
      </w:r>
    </w:p>
    <w:p w:rsidR="00485094" w:rsidRPr="0075585F" w:rsidRDefault="00485094" w:rsidP="00E25E53">
      <w:pPr>
        <w:pStyle w:val="References"/>
        <w:rPr>
          <w:szCs w:val="22"/>
        </w:rPr>
      </w:pPr>
      <w:r w:rsidRPr="0075585F">
        <w:rPr>
          <w:szCs w:val="22"/>
        </w:rPr>
        <w:t xml:space="preserve">Steidinger, K.A., </w:t>
      </w:r>
      <w:r>
        <w:rPr>
          <w:szCs w:val="22"/>
        </w:rPr>
        <w:t xml:space="preserve">J.H. </w:t>
      </w:r>
      <w:r w:rsidRPr="0075585F">
        <w:rPr>
          <w:szCs w:val="22"/>
        </w:rPr>
        <w:t xml:space="preserve">Landsberg, </w:t>
      </w:r>
      <w:r>
        <w:rPr>
          <w:szCs w:val="22"/>
        </w:rPr>
        <w:t xml:space="preserve">E.W. Truby, </w:t>
      </w:r>
      <w:r w:rsidRPr="0075585F">
        <w:rPr>
          <w:szCs w:val="22"/>
        </w:rPr>
        <w:t xml:space="preserve">and </w:t>
      </w:r>
      <w:r>
        <w:rPr>
          <w:szCs w:val="22"/>
        </w:rPr>
        <w:t xml:space="preserve">B.S. </w:t>
      </w:r>
      <w:r w:rsidRPr="0075585F">
        <w:rPr>
          <w:szCs w:val="22"/>
        </w:rPr>
        <w:t xml:space="preserve">Roberts. </w:t>
      </w:r>
      <w:r>
        <w:rPr>
          <w:szCs w:val="22"/>
        </w:rPr>
        <w:t xml:space="preserve"> </w:t>
      </w:r>
      <w:r w:rsidRPr="0075585F">
        <w:rPr>
          <w:szCs w:val="22"/>
        </w:rPr>
        <w:t xml:space="preserve">1998. </w:t>
      </w:r>
      <w:r>
        <w:rPr>
          <w:szCs w:val="22"/>
        </w:rPr>
        <w:t xml:space="preserve"> </w:t>
      </w:r>
      <w:r w:rsidRPr="0075585F">
        <w:rPr>
          <w:szCs w:val="22"/>
        </w:rPr>
        <w:t>First report of</w:t>
      </w:r>
      <w:r>
        <w:rPr>
          <w:szCs w:val="22"/>
        </w:rPr>
        <w:t xml:space="preserve"> </w:t>
      </w:r>
      <w:r w:rsidRPr="0075585F">
        <w:rPr>
          <w:i/>
          <w:szCs w:val="22"/>
        </w:rPr>
        <w:t>Gymnodinium pulchellum</w:t>
      </w:r>
      <w:r w:rsidRPr="0075585F">
        <w:rPr>
          <w:szCs w:val="22"/>
        </w:rPr>
        <w:t xml:space="preserve"> Larsen 1994 (Dinophyceae) in North America and associated fish kills in the Indian River, Florida.</w:t>
      </w:r>
      <w:r>
        <w:rPr>
          <w:szCs w:val="22"/>
        </w:rPr>
        <w:t xml:space="preserve"> </w:t>
      </w:r>
      <w:r w:rsidRPr="0075585F">
        <w:rPr>
          <w:szCs w:val="22"/>
        </w:rPr>
        <w:t xml:space="preserve"> </w:t>
      </w:r>
      <w:r w:rsidRPr="00375554">
        <w:rPr>
          <w:i/>
          <w:szCs w:val="22"/>
        </w:rPr>
        <w:t>J</w:t>
      </w:r>
      <w:r w:rsidR="005D2A20">
        <w:rPr>
          <w:i/>
          <w:szCs w:val="22"/>
        </w:rPr>
        <w:t>.</w:t>
      </w:r>
      <w:r w:rsidRPr="00375554">
        <w:rPr>
          <w:i/>
          <w:szCs w:val="22"/>
        </w:rPr>
        <w:t xml:space="preserve"> Phycology 34: 431</w:t>
      </w:r>
      <w:r w:rsidR="00AA3594">
        <w:rPr>
          <w:i/>
          <w:szCs w:val="22"/>
        </w:rPr>
        <w:t>–</w:t>
      </w:r>
      <w:r w:rsidRPr="00375554">
        <w:rPr>
          <w:i/>
          <w:szCs w:val="22"/>
        </w:rPr>
        <w:t>437.</w:t>
      </w:r>
    </w:p>
    <w:p w:rsidR="00485094" w:rsidRPr="007E75F4" w:rsidRDefault="00485094" w:rsidP="00E25E53">
      <w:pPr>
        <w:pStyle w:val="References"/>
      </w:pPr>
      <w:r>
        <w:t>Stevenson, R.</w:t>
      </w:r>
      <w:r w:rsidRPr="007E75F4">
        <w:t>J, A</w:t>
      </w:r>
      <w:r>
        <w:t>. Pinowska, A. Albertin, and J.</w:t>
      </w:r>
      <w:r w:rsidRPr="007E75F4">
        <w:t>O. Sickman</w:t>
      </w:r>
      <w:r>
        <w:t xml:space="preserve">.  </w:t>
      </w:r>
      <w:r w:rsidRPr="007E75F4">
        <w:t xml:space="preserve">2007.  </w:t>
      </w:r>
      <w:r w:rsidRPr="007E75F4">
        <w:rPr>
          <w:i/>
        </w:rPr>
        <w:t xml:space="preserve">Ecological condition of alga and nutrients in Florida springs:  The synthesis report.  </w:t>
      </w:r>
      <w:r w:rsidRPr="007E75F4">
        <w:t>Michigan State Univ</w:t>
      </w:r>
      <w:r>
        <w:t xml:space="preserve">ersity, Department </w:t>
      </w:r>
      <w:r w:rsidRPr="007E75F4">
        <w:t xml:space="preserve">of Zoology, </w:t>
      </w:r>
      <w:r>
        <w:t>F</w:t>
      </w:r>
      <w:r w:rsidRPr="007E75F4">
        <w:t xml:space="preserve">DEP Contract WM858. </w:t>
      </w:r>
      <w:r>
        <w:t xml:space="preserve"> Available:  </w:t>
      </w:r>
      <w:hyperlink r:id="rId297" w:history="1">
        <w:r w:rsidRPr="005F7EAB">
          <w:rPr>
            <w:rStyle w:val="Hyperlink"/>
          </w:rPr>
          <w:t>http://publicfiles.dep.</w:t>
        </w:r>
        <w:r w:rsidRPr="005F7EAB">
          <w:rPr>
            <w:rStyle w:val="Hyperlink"/>
          </w:rPr>
          <w:br/>
          <w:t>state.fl.us/dear/labs/sas/library/docs/springs/synthesisreport.pdf</w:t>
        </w:r>
      </w:hyperlink>
      <w:r>
        <w:t>.</w:t>
      </w:r>
    </w:p>
    <w:p w:rsidR="00485094" w:rsidRDefault="00485094" w:rsidP="00E25E53">
      <w:pPr>
        <w:pStyle w:val="References"/>
      </w:pPr>
      <w:r>
        <w:t xml:space="preserve">Suwannee River Water Management District website.  2010.  </w:t>
      </w:r>
      <w:r w:rsidRPr="005C2590">
        <w:rPr>
          <w:i/>
        </w:rPr>
        <w:t>Nitrate information.</w:t>
      </w:r>
      <w:r>
        <w:t xml:space="preserve">  Available:  </w:t>
      </w:r>
      <w:hyperlink r:id="rId298" w:history="1">
        <w:r w:rsidRPr="00677862">
          <w:rPr>
            <w:rStyle w:val="Hyperlink"/>
          </w:rPr>
          <w:t>http://www.srwmd.state.fl.us/index.aspx?NID=151</w:t>
        </w:r>
      </w:hyperlink>
      <w:r>
        <w:t>.</w:t>
      </w:r>
    </w:p>
    <w:p w:rsidR="00485094" w:rsidRDefault="00485094" w:rsidP="00E25E53">
      <w:pPr>
        <w:pStyle w:val="References"/>
      </w:pPr>
      <w:r w:rsidRPr="00F35C56">
        <w:t>Tiner, R.W</w:t>
      </w:r>
      <w:r>
        <w:t>.,</w:t>
      </w:r>
      <w:r w:rsidRPr="00F35C56">
        <w:t xml:space="preserve"> Jr. </w:t>
      </w:r>
      <w:r>
        <w:t xml:space="preserve"> </w:t>
      </w:r>
      <w:r w:rsidRPr="00F35C56">
        <w:t xml:space="preserve">1984. </w:t>
      </w:r>
      <w:r>
        <w:t xml:space="preserve"> </w:t>
      </w:r>
      <w:r w:rsidRPr="00F35C56">
        <w:rPr>
          <w:i/>
        </w:rPr>
        <w:t>Wetlands of the United States:  Current status and recent trends.</w:t>
      </w:r>
      <w:r w:rsidRPr="00F35C56">
        <w:t xml:space="preserve"> </w:t>
      </w:r>
      <w:r>
        <w:t xml:space="preserve"> </w:t>
      </w:r>
      <w:r w:rsidRPr="00F35C56">
        <w:t>Washington, DC</w:t>
      </w:r>
      <w:r>
        <w:t xml:space="preserve">:  </w:t>
      </w:r>
      <w:r w:rsidRPr="00F35C56">
        <w:t>U.S. Fish and Wildlife Service, National Wetlands Inventory.</w:t>
      </w:r>
    </w:p>
    <w:p w:rsidR="00485094" w:rsidRDefault="00485094" w:rsidP="00E25E53">
      <w:pPr>
        <w:pStyle w:val="References"/>
      </w:pPr>
      <w:r>
        <w:t xml:space="preserve">University of Central Florida.  2010.  </w:t>
      </w:r>
      <w:r w:rsidRPr="00B54C2B">
        <w:rPr>
          <w:i/>
        </w:rPr>
        <w:t>Stormwater Management Academy website.</w:t>
      </w:r>
      <w:r>
        <w:t xml:space="preserve">  Available:  </w:t>
      </w:r>
      <w:hyperlink r:id="rId299" w:history="1">
        <w:r w:rsidRPr="00C57FE5">
          <w:rPr>
            <w:rStyle w:val="Hyperlink"/>
          </w:rPr>
          <w:t>http://www.stormwater.ucf.edu/</w:t>
        </w:r>
      </w:hyperlink>
      <w:r>
        <w:t xml:space="preserve">. </w:t>
      </w:r>
    </w:p>
    <w:p w:rsidR="00485094" w:rsidRDefault="00485094" w:rsidP="00E25E53">
      <w:pPr>
        <w:pStyle w:val="References"/>
      </w:pPr>
      <w:r>
        <w:t xml:space="preserve">University of Florida Institute of Food and Agricultural Sciences.  February 2010.  </w:t>
      </w:r>
      <w:r w:rsidRPr="00B54C2B">
        <w:rPr>
          <w:i/>
        </w:rPr>
        <w:t xml:space="preserve">A guide to EPA’s proposed numeric nutrient water quality criteria for Florida. </w:t>
      </w:r>
      <w:r>
        <w:t xml:space="preserve"> SL316. </w:t>
      </w:r>
      <w:r w:rsidRPr="00B54C2B">
        <w:t xml:space="preserve"> </w:t>
      </w:r>
      <w:r>
        <w:t xml:space="preserve">Gainesville, FL:  </w:t>
      </w:r>
      <w:r w:rsidRPr="00B54C2B">
        <w:t>Soil and Water Science Department, Florida Cooperative Extension Service</w:t>
      </w:r>
      <w:r>
        <w:t xml:space="preserve">.  Available:  </w:t>
      </w:r>
      <w:hyperlink r:id="rId300" w:history="1">
        <w:r w:rsidRPr="00C57FE5">
          <w:rPr>
            <w:rStyle w:val="Hyperlink"/>
          </w:rPr>
          <w:t>http://edis.ifas.ufl.edu/pdffiles/SS/SS52800.pdf</w:t>
        </w:r>
      </w:hyperlink>
      <w:r>
        <w:t>.</w:t>
      </w:r>
    </w:p>
    <w:p w:rsidR="00485094" w:rsidRDefault="00485094" w:rsidP="00E25E53">
      <w:pPr>
        <w:pStyle w:val="References"/>
      </w:pPr>
      <w:r>
        <w:t xml:space="preserve">———.  2010.  </w:t>
      </w:r>
      <w:r w:rsidRPr="00A81A6F">
        <w:rPr>
          <w:i/>
        </w:rPr>
        <w:t>LakeWatch</w:t>
      </w:r>
      <w:r>
        <w:rPr>
          <w:i/>
        </w:rPr>
        <w:t xml:space="preserve"> website</w:t>
      </w:r>
      <w:r w:rsidRPr="00A81A6F">
        <w:rPr>
          <w:i/>
        </w:rPr>
        <w:t>.</w:t>
      </w:r>
      <w:r>
        <w:t xml:space="preserve">  Available:  </w:t>
      </w:r>
      <w:hyperlink r:id="rId301" w:history="1">
        <w:r w:rsidRPr="00C57FE5">
          <w:rPr>
            <w:rStyle w:val="Hyperlink"/>
          </w:rPr>
          <w:t>http://lakewatch.ifas.ufl.edu/</w:t>
        </w:r>
      </w:hyperlink>
      <w:r>
        <w:t>.</w:t>
      </w:r>
    </w:p>
    <w:p w:rsidR="00485094" w:rsidRDefault="00485094" w:rsidP="00E25E53">
      <w:pPr>
        <w:pStyle w:val="References"/>
        <w:rPr>
          <w:snapToGrid w:val="0"/>
        </w:rPr>
      </w:pPr>
      <w:r>
        <w:t xml:space="preserve">University of South Florida.  2010.  </w:t>
      </w:r>
      <w:r w:rsidRPr="00A81A6F">
        <w:rPr>
          <w:i/>
        </w:rPr>
        <w:t>Bay Regional Atmospheric Chemistry Experiment website.</w:t>
      </w:r>
      <w:r>
        <w:t xml:space="preserve">  Available:  </w:t>
      </w:r>
      <w:hyperlink r:id="rId302" w:history="1">
        <w:r w:rsidRPr="00C57FE5">
          <w:rPr>
            <w:rStyle w:val="Hyperlink"/>
            <w:snapToGrid w:val="0"/>
          </w:rPr>
          <w:t>http://hsc.usf.edu/publichealth/EOH/BRACE/</w:t>
        </w:r>
      </w:hyperlink>
      <w:r>
        <w:rPr>
          <w:snapToGrid w:val="0"/>
        </w:rPr>
        <w:t>.</w:t>
      </w:r>
    </w:p>
    <w:p w:rsidR="00485094" w:rsidRDefault="00485094" w:rsidP="00E25E53">
      <w:pPr>
        <w:pStyle w:val="References"/>
      </w:pPr>
      <w:r>
        <w:t xml:space="preserve">U.S. Census Bureau website.  2010a.  </w:t>
      </w:r>
      <w:r w:rsidRPr="00DA23A4">
        <w:rPr>
          <w:i/>
        </w:rPr>
        <w:t>Quickfacts.</w:t>
      </w:r>
      <w:r>
        <w:t xml:space="preserve">  Available:  </w:t>
      </w:r>
      <w:hyperlink r:id="rId303" w:history="1">
        <w:r w:rsidRPr="005F7EAB">
          <w:rPr>
            <w:rStyle w:val="Hyperlink"/>
          </w:rPr>
          <w:t>http://quickfacts.census.gov/</w:t>
        </w:r>
        <w:r w:rsidRPr="005F7EAB">
          <w:rPr>
            <w:rStyle w:val="Hyperlink"/>
          </w:rPr>
          <w:br/>
          <w:t>qfd/states/12000.html</w:t>
        </w:r>
      </w:hyperlink>
      <w:r>
        <w:t>.</w:t>
      </w:r>
    </w:p>
    <w:p w:rsidR="00485094" w:rsidRDefault="00485094" w:rsidP="00E25E53">
      <w:pPr>
        <w:pStyle w:val="References"/>
      </w:pPr>
      <w:r>
        <w:t xml:space="preserve">———.  2010b.  </w:t>
      </w:r>
      <w:r w:rsidRPr="00DA23A4">
        <w:rPr>
          <w:i/>
        </w:rPr>
        <w:t>State resident population—Projections: 2010 to 2030.</w:t>
      </w:r>
      <w:r>
        <w:t xml:space="preserve">  Available:  </w:t>
      </w:r>
      <w:hyperlink r:id="rId304" w:history="1">
        <w:r w:rsidRPr="00C07403">
          <w:rPr>
            <w:rStyle w:val="Hyperlink"/>
          </w:rPr>
          <w:t>http://www.census.gov/compendia/statab/2010/tables/10s0014.pdf</w:t>
        </w:r>
      </w:hyperlink>
      <w:r>
        <w:t>.</w:t>
      </w:r>
    </w:p>
    <w:p w:rsidR="00485094" w:rsidRDefault="00485094" w:rsidP="00E25E53">
      <w:pPr>
        <w:pStyle w:val="References"/>
      </w:pPr>
      <w:r>
        <w:t xml:space="preserve">———.  2010c.  </w:t>
      </w:r>
      <w:r w:rsidRPr="00DA23A4">
        <w:rPr>
          <w:i/>
        </w:rPr>
        <w:t>Resident population by age and state:  2008.</w:t>
      </w:r>
      <w:r>
        <w:t xml:space="preserve">  Available:  </w:t>
      </w:r>
      <w:hyperlink r:id="rId305" w:history="1">
        <w:r w:rsidRPr="00C07403">
          <w:rPr>
            <w:rStyle w:val="Hyperlink"/>
          </w:rPr>
          <w:t>http://www.census.gov/compendia/statab/2010/tables/10s0016.pdf</w:t>
        </w:r>
      </w:hyperlink>
      <w:r>
        <w:t>.</w:t>
      </w:r>
    </w:p>
    <w:p w:rsidR="00485094" w:rsidRDefault="00485094" w:rsidP="00E25E53">
      <w:pPr>
        <w:pStyle w:val="References"/>
      </w:pPr>
      <w:r>
        <w:t xml:space="preserve">———.  2010d.  </w:t>
      </w:r>
      <w:r w:rsidRPr="00DA23A4">
        <w:rPr>
          <w:i/>
        </w:rPr>
        <w:t>Resident population by age and state—Projections: 2010 and 2015.</w:t>
      </w:r>
      <w:r>
        <w:t xml:space="preserve">  Available:  </w:t>
      </w:r>
      <w:hyperlink r:id="rId306" w:history="1">
        <w:r w:rsidRPr="00E04677">
          <w:rPr>
            <w:rStyle w:val="Hyperlink"/>
          </w:rPr>
          <w:t>http://www.census.gov/compendia/statab/2010/tables/10s0018.pdf</w:t>
        </w:r>
      </w:hyperlink>
      <w:r>
        <w:t>.</w:t>
      </w:r>
    </w:p>
    <w:p w:rsidR="00485094" w:rsidRDefault="00485094" w:rsidP="00E86D10">
      <w:pPr>
        <w:pStyle w:val="References"/>
      </w:pPr>
      <w:r w:rsidRPr="00397DF3">
        <w:t xml:space="preserve">U.S. Environmental Protection Agency.  </w:t>
      </w:r>
      <w:r>
        <w:t xml:space="preserve">November 19, 2001.  </w:t>
      </w:r>
      <w:r w:rsidRPr="00E86D10">
        <w:rPr>
          <w:i/>
        </w:rPr>
        <w:t>2002 Integrated water quality monitoring and assessment report guidance.</w:t>
      </w:r>
      <w:r>
        <w:t xml:space="preserve">  Memorandum.  Available:  </w:t>
      </w:r>
      <w:hyperlink r:id="rId307" w:history="1">
        <w:r w:rsidRPr="00C57FE5">
          <w:rPr>
            <w:rStyle w:val="Hyperlink"/>
          </w:rPr>
          <w:t>http://www.epa.gov/owow/TMDL/2002wqma.html</w:t>
        </w:r>
      </w:hyperlink>
      <w:r>
        <w:t>.</w:t>
      </w:r>
    </w:p>
    <w:p w:rsidR="00485094" w:rsidRDefault="00485094" w:rsidP="00E25E53">
      <w:pPr>
        <w:pStyle w:val="References"/>
      </w:pPr>
      <w:r>
        <w:t xml:space="preserve">———.  </w:t>
      </w:r>
      <w:r w:rsidRPr="00397DF3">
        <w:t xml:space="preserve">March 2003.  </w:t>
      </w:r>
      <w:r w:rsidRPr="00397DF3">
        <w:rPr>
          <w:i/>
        </w:rPr>
        <w:t>Elements of a state water monitoring and assessment program</w:t>
      </w:r>
      <w:r>
        <w:t>.</w:t>
      </w:r>
      <w:r w:rsidRPr="00397DF3">
        <w:t xml:space="preserve"> </w:t>
      </w:r>
      <w:r>
        <w:t xml:space="preserve"> </w:t>
      </w:r>
      <w:r w:rsidRPr="00397DF3">
        <w:t>Washington, DC:  Office of Wetlands, Oceans and Watersheds</w:t>
      </w:r>
      <w:r>
        <w:t xml:space="preserve">.  </w:t>
      </w:r>
      <w:r w:rsidRPr="00397DF3">
        <w:t>EPA 841-B-03-003.  Available</w:t>
      </w:r>
      <w:r>
        <w:t xml:space="preserve">:  </w:t>
      </w:r>
      <w:hyperlink r:id="rId308" w:history="1">
        <w:r w:rsidRPr="006836C8">
          <w:rPr>
            <w:rStyle w:val="Hyperlink"/>
          </w:rPr>
          <w:t>http://www.epa.gov/owow/monitoring/elements/</w:t>
        </w:r>
      </w:hyperlink>
      <w:r w:rsidRPr="00397DF3">
        <w:t>.</w:t>
      </w:r>
    </w:p>
    <w:p w:rsidR="00485094" w:rsidRDefault="00485094" w:rsidP="00E25E53">
      <w:pPr>
        <w:pStyle w:val="References"/>
      </w:pPr>
      <w:r>
        <w:t xml:space="preserve">———.  July 29, 2005.  </w:t>
      </w:r>
      <w:r>
        <w:rPr>
          <w:i/>
        </w:rPr>
        <w:t>Guidance for 2004 assessment, listing, and reporting requirements under Sections 303(d) and 305 (b) of the Clean Water Act.</w:t>
      </w:r>
      <w:r>
        <w:t xml:space="preserve">  Watershed Branch, Office of Wetlands, Oceans and Watersheds.</w:t>
      </w:r>
    </w:p>
    <w:p w:rsidR="00485094" w:rsidRPr="00F21058" w:rsidRDefault="00485094" w:rsidP="00E25E53">
      <w:pPr>
        <w:pStyle w:val="References"/>
      </w:pPr>
      <w:r w:rsidRPr="00F21058">
        <w:t xml:space="preserve">———.  </w:t>
      </w:r>
      <w:r>
        <w:t xml:space="preserve">2006a.  </w:t>
      </w:r>
      <w:r w:rsidRPr="00F21058">
        <w:rPr>
          <w:i/>
        </w:rPr>
        <w:t>Ecoregions of Florida</w:t>
      </w:r>
      <w:r>
        <w:rPr>
          <w:i/>
        </w:rPr>
        <w:t xml:space="preserve"> website</w:t>
      </w:r>
      <w:r w:rsidRPr="00F21058">
        <w:rPr>
          <w:i/>
        </w:rPr>
        <w:t>.</w:t>
      </w:r>
      <w:r>
        <w:t xml:space="preserve">  Available:  </w:t>
      </w:r>
      <w:hyperlink r:id="rId309" w:history="1">
        <w:r w:rsidRPr="005F7EAB">
          <w:rPr>
            <w:rStyle w:val="Hyperlink"/>
          </w:rPr>
          <w:t>http://www.epa.gov/wed/pages/</w:t>
        </w:r>
        <w:r w:rsidRPr="005F7EAB">
          <w:rPr>
            <w:rStyle w:val="Hyperlink"/>
          </w:rPr>
          <w:br/>
          <w:t>ecoregions/fl_eco.htm</w:t>
        </w:r>
      </w:hyperlink>
      <w:r w:rsidRPr="00F21058">
        <w:t>.</w:t>
      </w:r>
    </w:p>
    <w:p w:rsidR="00485094" w:rsidRDefault="00485094" w:rsidP="00E25E53">
      <w:pPr>
        <w:pStyle w:val="References"/>
      </w:pPr>
      <w:r>
        <w:t xml:space="preserve">———.  2006b.  </w:t>
      </w:r>
      <w:r w:rsidRPr="00F21058">
        <w:rPr>
          <w:i/>
        </w:rPr>
        <w:t xml:space="preserve">Region 4:  Total </w:t>
      </w:r>
      <w:r>
        <w:rPr>
          <w:i/>
        </w:rPr>
        <w:t>m</w:t>
      </w:r>
      <w:r w:rsidRPr="00F21058">
        <w:rPr>
          <w:i/>
        </w:rPr>
        <w:t xml:space="preserve">aximum </w:t>
      </w:r>
      <w:r>
        <w:rPr>
          <w:i/>
        </w:rPr>
        <w:t>d</w:t>
      </w:r>
      <w:r w:rsidRPr="00F21058">
        <w:rPr>
          <w:i/>
        </w:rPr>
        <w:t xml:space="preserve">aily </w:t>
      </w:r>
      <w:r>
        <w:rPr>
          <w:i/>
        </w:rPr>
        <w:t>l</w:t>
      </w:r>
      <w:r w:rsidRPr="00F21058">
        <w:rPr>
          <w:i/>
        </w:rPr>
        <w:t>oads in Florida</w:t>
      </w:r>
      <w:r>
        <w:rPr>
          <w:i/>
        </w:rPr>
        <w:t xml:space="preserve"> website</w:t>
      </w:r>
      <w:r w:rsidRPr="00F21058">
        <w:rPr>
          <w:i/>
        </w:rPr>
        <w:t>.</w:t>
      </w:r>
      <w:r>
        <w:t xml:space="preserve">  Available:  </w:t>
      </w:r>
      <w:hyperlink r:id="rId310" w:history="1">
        <w:r w:rsidRPr="0056159B">
          <w:rPr>
            <w:rStyle w:val="Hyperlink"/>
          </w:rPr>
          <w:t>http://www.epa.gov/region4/water/tmdl/florida/</w:t>
        </w:r>
      </w:hyperlink>
      <w:r>
        <w:t>.</w:t>
      </w:r>
    </w:p>
    <w:p w:rsidR="00485094" w:rsidRDefault="00485094" w:rsidP="00E25E53">
      <w:pPr>
        <w:pStyle w:val="References"/>
      </w:pPr>
      <w:r>
        <w:t xml:space="preserve">———.  2006c.  </w:t>
      </w:r>
      <w:r w:rsidRPr="00F21058">
        <w:rPr>
          <w:i/>
        </w:rPr>
        <w:t>National STORET Program</w:t>
      </w:r>
      <w:r>
        <w:rPr>
          <w:i/>
        </w:rPr>
        <w:t xml:space="preserve"> website</w:t>
      </w:r>
      <w:r w:rsidRPr="00F21058">
        <w:rPr>
          <w:i/>
        </w:rPr>
        <w:t>.</w:t>
      </w:r>
      <w:r>
        <w:t xml:space="preserve">  </w:t>
      </w:r>
      <w:hyperlink r:id="rId311" w:history="1">
        <w:r w:rsidRPr="0056159B">
          <w:rPr>
            <w:rStyle w:val="Hyperlink"/>
          </w:rPr>
          <w:t>http://www.epa.gov/storet/</w:t>
        </w:r>
      </w:hyperlink>
      <w:r>
        <w:t>.</w:t>
      </w:r>
    </w:p>
    <w:p w:rsidR="00485094" w:rsidRDefault="00485094" w:rsidP="00A81A6F">
      <w:pPr>
        <w:pStyle w:val="References"/>
      </w:pPr>
      <w:r>
        <w:t xml:space="preserve">———.  2008.  </w:t>
      </w:r>
      <w:r w:rsidRPr="00A81A6F">
        <w:rPr>
          <w:i/>
        </w:rPr>
        <w:t>Clean watersheds needs survey 2004:  Report to Congress.</w:t>
      </w:r>
      <w:r>
        <w:t xml:space="preserve">  Available:  </w:t>
      </w:r>
      <w:hyperlink r:id="rId312" w:history="1">
        <w:r w:rsidRPr="00C57FE5">
          <w:rPr>
            <w:rStyle w:val="Hyperlink"/>
          </w:rPr>
          <w:t>http://www.epa.gov/cwns/2004rtc/cwns2004rtc.pdf</w:t>
        </w:r>
      </w:hyperlink>
      <w:r>
        <w:t>.</w:t>
      </w:r>
    </w:p>
    <w:p w:rsidR="00485094" w:rsidRDefault="00485094" w:rsidP="00A81A6F">
      <w:pPr>
        <w:pStyle w:val="References"/>
      </w:pPr>
      <w:r>
        <w:t xml:space="preserve">———.  2009.  </w:t>
      </w:r>
      <w:r w:rsidRPr="00A81A6F">
        <w:rPr>
          <w:i/>
        </w:rPr>
        <w:t>Contaminant Candidate 3 list.</w:t>
      </w:r>
      <w:r>
        <w:t xml:space="preserve">  Available:  </w:t>
      </w:r>
      <w:hyperlink r:id="rId313" w:anchor="chemical" w:history="1">
        <w:r w:rsidRPr="00C57FE5">
          <w:rPr>
            <w:rStyle w:val="Hyperlink"/>
          </w:rPr>
          <w:t>http://www.epa.gov/ogwdw000/ccl/ccl3.html#chemical</w:t>
        </w:r>
      </w:hyperlink>
      <w:r>
        <w:t>.</w:t>
      </w:r>
    </w:p>
    <w:p w:rsidR="00485094" w:rsidRDefault="00485094" w:rsidP="009D22C7">
      <w:pPr>
        <w:pStyle w:val="References"/>
      </w:pPr>
      <w:r>
        <w:t xml:space="preserve">———.  January 14, 2009.  </w:t>
      </w:r>
      <w:r w:rsidRPr="0017783C">
        <w:rPr>
          <w:i/>
        </w:rPr>
        <w:t>Letter to Michael Sole, FDEP Secretary, from Benjamin Grumbles, Assistant Administrator.</w:t>
      </w:r>
      <w:r>
        <w:t xml:space="preserve">  Washington, DC:  Office of Water.  </w:t>
      </w:r>
    </w:p>
    <w:p w:rsidR="00485094" w:rsidRDefault="00485094" w:rsidP="00A81A6F">
      <w:pPr>
        <w:pStyle w:val="References"/>
      </w:pPr>
      <w:r>
        <w:t xml:space="preserve">———.  2010a.  </w:t>
      </w:r>
      <w:r w:rsidRPr="00A81A6F">
        <w:rPr>
          <w:i/>
        </w:rPr>
        <w:t>Clean Watersheds Needs Survey</w:t>
      </w:r>
      <w:r>
        <w:rPr>
          <w:i/>
        </w:rPr>
        <w:t xml:space="preserve"> website</w:t>
      </w:r>
      <w:r w:rsidRPr="00A81A6F">
        <w:rPr>
          <w:i/>
        </w:rPr>
        <w:t>.</w:t>
      </w:r>
      <w:r>
        <w:t xml:space="preserve">  Available:  </w:t>
      </w:r>
      <w:hyperlink r:id="rId314" w:history="1">
        <w:r w:rsidRPr="00C57FE5">
          <w:rPr>
            <w:rStyle w:val="Hyperlink"/>
          </w:rPr>
          <w:t>http://www.epa.gov/cwns/</w:t>
        </w:r>
      </w:hyperlink>
      <w:r>
        <w:t>.</w:t>
      </w:r>
    </w:p>
    <w:p w:rsidR="00485094" w:rsidRDefault="00485094" w:rsidP="00A81A6F">
      <w:pPr>
        <w:pStyle w:val="References"/>
      </w:pPr>
      <w:r>
        <w:t xml:space="preserve">———.  2010b.  </w:t>
      </w:r>
      <w:r w:rsidRPr="0017783C">
        <w:rPr>
          <w:i/>
        </w:rPr>
        <w:t>STORET/WQX</w:t>
      </w:r>
      <w:r>
        <w:rPr>
          <w:i/>
        </w:rPr>
        <w:t xml:space="preserve"> website</w:t>
      </w:r>
      <w:r w:rsidRPr="0017783C">
        <w:rPr>
          <w:i/>
        </w:rPr>
        <w:t>.</w:t>
      </w:r>
      <w:r>
        <w:t xml:space="preserve">  Available:  </w:t>
      </w:r>
      <w:hyperlink r:id="rId315" w:history="1">
        <w:r w:rsidRPr="00C57FE5">
          <w:rPr>
            <w:rStyle w:val="Hyperlink"/>
          </w:rPr>
          <w:t>http://www.epa.gov/storet/</w:t>
        </w:r>
      </w:hyperlink>
      <w:r>
        <w:t>.</w:t>
      </w:r>
    </w:p>
    <w:p w:rsidR="00485094" w:rsidRDefault="00485094" w:rsidP="00E25E53">
      <w:pPr>
        <w:pStyle w:val="References"/>
      </w:pPr>
      <w:r>
        <w:t xml:space="preserve">U.S. Fish and Wildlife Service, National Wetlands Inventory, Branch of Resource and Mapping Support.  2010.  </w:t>
      </w:r>
      <w:r w:rsidRPr="0017783C">
        <w:rPr>
          <w:i/>
        </w:rPr>
        <w:t>Wetlands Status and Trends website.</w:t>
      </w:r>
      <w:r>
        <w:t xml:space="preserve">  Available:  </w:t>
      </w:r>
      <w:hyperlink r:id="rId316" w:history="1">
        <w:r w:rsidRPr="005F7EAB">
          <w:rPr>
            <w:rStyle w:val="Hyperlink"/>
          </w:rPr>
          <w:t>http://www.fws.gov/</w:t>
        </w:r>
        <w:r w:rsidRPr="005F7EAB">
          <w:rPr>
            <w:rStyle w:val="Hyperlink"/>
          </w:rPr>
          <w:br/>
          <w:t>wetlands/StatusAndTrends/</w:t>
        </w:r>
      </w:hyperlink>
      <w:r>
        <w:t>.</w:t>
      </w:r>
    </w:p>
    <w:p w:rsidR="00485094" w:rsidRDefault="00485094" w:rsidP="00E25E53">
      <w:pPr>
        <w:pStyle w:val="References"/>
      </w:pPr>
      <w:r>
        <w:t xml:space="preserve">U.S. Geological Survey.  2006.  </w:t>
      </w:r>
      <w:r w:rsidRPr="004E22EE">
        <w:rPr>
          <w:i/>
        </w:rPr>
        <w:t>Water resources of the United States website.</w:t>
      </w:r>
      <w:r>
        <w:t xml:space="preserve">  Available:  </w:t>
      </w:r>
      <w:hyperlink r:id="rId317" w:history="1">
        <w:r w:rsidRPr="0056159B">
          <w:rPr>
            <w:rStyle w:val="Hyperlink"/>
          </w:rPr>
          <w:t>http://water.usgs.gov/</w:t>
        </w:r>
      </w:hyperlink>
      <w:r>
        <w:t>.</w:t>
      </w:r>
    </w:p>
    <w:p w:rsidR="00485094" w:rsidRDefault="00485094" w:rsidP="00E25E53">
      <w:pPr>
        <w:pStyle w:val="References"/>
      </w:pPr>
      <w:r>
        <w:t xml:space="preserve">———.  2008.  </w:t>
      </w:r>
      <w:r w:rsidRPr="00C4487F">
        <w:rPr>
          <w:i/>
        </w:rPr>
        <w:t xml:space="preserve">Historical water use by category, 1970–2000.  </w:t>
      </w:r>
      <w:r>
        <w:t xml:space="preserve">Available:  </w:t>
      </w:r>
      <w:hyperlink r:id="rId318" w:history="1">
        <w:r w:rsidRPr="005F7EAB">
          <w:rPr>
            <w:rStyle w:val="Hyperlink"/>
          </w:rPr>
          <w:t>http://fl.water.usgs.</w:t>
        </w:r>
        <w:r w:rsidRPr="005F7EAB">
          <w:rPr>
            <w:rStyle w:val="Hyperlink"/>
          </w:rPr>
          <w:br/>
          <w:t>gov/WaterUse/Historical_Tables_Miscellaneous/florida-historical-category.1970-2000.htm</w:t>
        </w:r>
      </w:hyperlink>
      <w:r>
        <w:t>.</w:t>
      </w:r>
    </w:p>
    <w:p w:rsidR="00485094" w:rsidRDefault="00485094" w:rsidP="00DC7515">
      <w:pPr>
        <w:pStyle w:val="References"/>
      </w:pPr>
      <w:r>
        <w:t xml:space="preserve">U.S. Geological Survey and </w:t>
      </w:r>
      <w:r w:rsidRPr="00DC7515">
        <w:t>Florida Water Science Center Environmental Data Server</w:t>
      </w:r>
      <w:r>
        <w:t xml:space="preserve"> website.  2010.  Available:  </w:t>
      </w:r>
      <w:hyperlink r:id="rId319" w:history="1">
        <w:r w:rsidRPr="0056159B">
          <w:rPr>
            <w:rStyle w:val="Hyperlink"/>
          </w:rPr>
          <w:t>http://www.envirobase.usgs.gov/</w:t>
        </w:r>
      </w:hyperlink>
      <w:r>
        <w:t>.</w:t>
      </w:r>
    </w:p>
    <w:p w:rsidR="00485094" w:rsidRDefault="00485094" w:rsidP="00E25E53">
      <w:pPr>
        <w:pStyle w:val="References"/>
      </w:pPr>
      <w:r w:rsidRPr="00FE7836">
        <w:t xml:space="preserve">Vogel, M.  April 2006.  Economic yearbook 2006:  Good migrations.  </w:t>
      </w:r>
      <w:r w:rsidRPr="00FE7836">
        <w:rPr>
          <w:i/>
        </w:rPr>
        <w:t xml:space="preserve">Florida Trend.  </w:t>
      </w:r>
      <w:r w:rsidRPr="00FE7836">
        <w:t xml:space="preserve">Available:  </w:t>
      </w:r>
      <w:hyperlink r:id="rId320" w:history="1">
        <w:r w:rsidRPr="00FE7836">
          <w:rPr>
            <w:rStyle w:val="Hyperlink"/>
          </w:rPr>
          <w:t>http://www.floridatrend.com/article.asp?id=5795</w:t>
        </w:r>
      </w:hyperlink>
      <w:r w:rsidRPr="00FE7836">
        <w:t>.</w:t>
      </w:r>
    </w:p>
    <w:p w:rsidR="00485094" w:rsidRDefault="00485094" w:rsidP="00E25E53">
      <w:pPr>
        <w:pStyle w:val="References"/>
      </w:pPr>
      <w:r>
        <w:t xml:space="preserve">Water Quality Association.  2006.  </w:t>
      </w:r>
      <w:r w:rsidRPr="0026647D">
        <w:rPr>
          <w:i/>
        </w:rPr>
        <w:t>Water quality glossary:</w:t>
      </w:r>
      <w:r>
        <w:t xml:space="preserve">  </w:t>
      </w:r>
      <w:r w:rsidRPr="00F45E91">
        <w:rPr>
          <w:i/>
        </w:rPr>
        <w:t>pH.</w:t>
      </w:r>
      <w:r>
        <w:t xml:space="preserve">  Available:  </w:t>
      </w:r>
      <w:hyperlink r:id="rId321" w:history="1">
        <w:r w:rsidRPr="005F7EAB">
          <w:rPr>
            <w:rStyle w:val="Hyperlink"/>
          </w:rPr>
          <w:t>http://www.wqa.</w:t>
        </w:r>
        <w:r w:rsidRPr="005F7EAB">
          <w:rPr>
            <w:rStyle w:val="Hyperlink"/>
          </w:rPr>
          <w:br/>
          <w:t>org/glossary.cfm?gl=1146</w:t>
        </w:r>
      </w:hyperlink>
      <w:r>
        <w:t>.</w:t>
      </w:r>
    </w:p>
    <w:p w:rsidR="00485094" w:rsidRPr="00375554" w:rsidRDefault="00485094" w:rsidP="00E25E53">
      <w:pPr>
        <w:pStyle w:val="References"/>
        <w:rPr>
          <w:i/>
          <w:color w:val="000000"/>
          <w:szCs w:val="22"/>
        </w:rPr>
      </w:pPr>
      <w:r>
        <w:rPr>
          <w:color w:val="000000"/>
          <w:szCs w:val="22"/>
        </w:rPr>
        <w:t>Watkins, S.</w:t>
      </w:r>
      <w:r w:rsidRPr="0075585F">
        <w:rPr>
          <w:color w:val="000000"/>
          <w:szCs w:val="22"/>
        </w:rPr>
        <w:t xml:space="preserve">M., </w:t>
      </w:r>
      <w:r>
        <w:rPr>
          <w:color w:val="000000"/>
          <w:szCs w:val="22"/>
        </w:rPr>
        <w:t xml:space="preserve">A. </w:t>
      </w:r>
      <w:r w:rsidRPr="0075585F">
        <w:rPr>
          <w:color w:val="000000"/>
          <w:szCs w:val="22"/>
        </w:rPr>
        <w:t xml:space="preserve">Reich, </w:t>
      </w:r>
      <w:r>
        <w:rPr>
          <w:color w:val="000000"/>
          <w:szCs w:val="22"/>
        </w:rPr>
        <w:t xml:space="preserve">L.E. </w:t>
      </w:r>
      <w:r w:rsidRPr="0075585F">
        <w:rPr>
          <w:color w:val="000000"/>
          <w:szCs w:val="22"/>
        </w:rPr>
        <w:t xml:space="preserve">Fleming, and </w:t>
      </w:r>
      <w:r>
        <w:rPr>
          <w:color w:val="000000"/>
          <w:szCs w:val="22"/>
        </w:rPr>
        <w:t xml:space="preserve">R. </w:t>
      </w:r>
      <w:r w:rsidRPr="0075585F">
        <w:rPr>
          <w:color w:val="000000"/>
          <w:szCs w:val="22"/>
        </w:rPr>
        <w:t>Hammond.</w:t>
      </w:r>
      <w:r>
        <w:rPr>
          <w:color w:val="000000"/>
          <w:szCs w:val="22"/>
        </w:rPr>
        <w:t xml:space="preserve"> </w:t>
      </w:r>
      <w:r w:rsidRPr="0075585F">
        <w:rPr>
          <w:color w:val="000000"/>
          <w:szCs w:val="22"/>
        </w:rPr>
        <w:t xml:space="preserve"> 2008.</w:t>
      </w:r>
      <w:r>
        <w:rPr>
          <w:color w:val="000000"/>
          <w:szCs w:val="22"/>
        </w:rPr>
        <w:t xml:space="preserve"> </w:t>
      </w:r>
      <w:r w:rsidRPr="0075585F">
        <w:rPr>
          <w:color w:val="000000"/>
          <w:szCs w:val="22"/>
        </w:rPr>
        <w:t xml:space="preserve"> Neurotoxic shellﬁsh poisoning. </w:t>
      </w:r>
      <w:r>
        <w:rPr>
          <w:color w:val="000000"/>
          <w:szCs w:val="22"/>
        </w:rPr>
        <w:t xml:space="preserve"> </w:t>
      </w:r>
      <w:r w:rsidRPr="00375554">
        <w:rPr>
          <w:i/>
          <w:color w:val="000000"/>
          <w:szCs w:val="22"/>
        </w:rPr>
        <w:t xml:space="preserve">Marine Drugs 6: 431–455. </w:t>
      </w:r>
    </w:p>
    <w:p w:rsidR="00485094" w:rsidRDefault="00485094" w:rsidP="00E86D10">
      <w:pPr>
        <w:pStyle w:val="References"/>
      </w:pPr>
      <w:r>
        <w:t xml:space="preserve">Wayland, R.H.  November 19, 2001.  </w:t>
      </w:r>
      <w:r w:rsidRPr="00E86D10">
        <w:rPr>
          <w:i/>
        </w:rPr>
        <w:t xml:space="preserve">2002 Integrated water quality monitoring and assessment report guidance.  </w:t>
      </w:r>
      <w:r>
        <w:t xml:space="preserve">Memorandum.  Washington, DC:  U.S. Environmental Protection Agency.  Available:  </w:t>
      </w:r>
      <w:hyperlink r:id="rId322" w:history="1">
        <w:r w:rsidRPr="00C57FE5">
          <w:rPr>
            <w:rStyle w:val="Hyperlink"/>
          </w:rPr>
          <w:t>http://www.epa.gov/owow/tmdl/2002wqma.html</w:t>
        </w:r>
      </w:hyperlink>
      <w:r>
        <w:t>.</w:t>
      </w:r>
    </w:p>
    <w:p w:rsidR="00485094" w:rsidRPr="00375554" w:rsidRDefault="00485094" w:rsidP="00E25E53">
      <w:pPr>
        <w:pStyle w:val="References"/>
        <w:rPr>
          <w:i/>
        </w:rPr>
      </w:pPr>
      <w:r>
        <w:t>Wekell, J.</w:t>
      </w:r>
      <w:r w:rsidRPr="0075585F">
        <w:t xml:space="preserve">C., </w:t>
      </w:r>
      <w:r>
        <w:t xml:space="preserve">J. </w:t>
      </w:r>
      <w:r w:rsidRPr="0075585F">
        <w:t xml:space="preserve">Hurst, and </w:t>
      </w:r>
      <w:r>
        <w:t xml:space="preserve">K.A. </w:t>
      </w:r>
      <w:r w:rsidRPr="0075585F">
        <w:t>Lefebvre.</w:t>
      </w:r>
      <w:r>
        <w:t xml:space="preserve"> </w:t>
      </w:r>
      <w:r w:rsidRPr="0075585F">
        <w:t xml:space="preserve"> 2004.</w:t>
      </w:r>
      <w:r>
        <w:t xml:space="preserve"> </w:t>
      </w:r>
      <w:r w:rsidRPr="0075585F">
        <w:t xml:space="preserve"> The origin of the regula</w:t>
      </w:r>
      <w:r>
        <w:t>tory limits for PSP and ASP tox</w:t>
      </w:r>
      <w:r w:rsidRPr="0075585F">
        <w:t>ins in shellﬁsh.</w:t>
      </w:r>
      <w:r>
        <w:t xml:space="preserve"> </w:t>
      </w:r>
      <w:r w:rsidRPr="0075585F">
        <w:t xml:space="preserve"> </w:t>
      </w:r>
      <w:r w:rsidRPr="00375554">
        <w:rPr>
          <w:i/>
        </w:rPr>
        <w:t>J</w:t>
      </w:r>
      <w:r w:rsidR="005D2A20">
        <w:rPr>
          <w:i/>
        </w:rPr>
        <w:t>.</w:t>
      </w:r>
      <w:r w:rsidRPr="00375554">
        <w:rPr>
          <w:i/>
        </w:rPr>
        <w:t xml:space="preserve"> Shellﬁsh Res</w:t>
      </w:r>
      <w:r w:rsidR="005D2A20">
        <w:rPr>
          <w:i/>
        </w:rPr>
        <w:t>.</w:t>
      </w:r>
      <w:r w:rsidRPr="00375554">
        <w:rPr>
          <w:i/>
        </w:rPr>
        <w:t xml:space="preserve"> 23: 927–930. </w:t>
      </w:r>
    </w:p>
    <w:p w:rsidR="00485094" w:rsidRDefault="00485094" w:rsidP="00E25E53">
      <w:pPr>
        <w:pStyle w:val="References"/>
        <w:rPr>
          <w:rFonts w:cs="Arial"/>
          <w:bCs/>
        </w:rPr>
      </w:pPr>
      <w:r w:rsidRPr="00CC5857">
        <w:rPr>
          <w:rFonts w:cs="Arial"/>
          <w:bCs/>
        </w:rPr>
        <w:t xml:space="preserve">Welch, P.S.  1948.  </w:t>
      </w:r>
      <w:r w:rsidRPr="00CC5857">
        <w:rPr>
          <w:rFonts w:cs="Arial"/>
          <w:bCs/>
          <w:i/>
        </w:rPr>
        <w:t>Limnological methods.</w:t>
      </w:r>
      <w:r w:rsidRPr="00CC5857">
        <w:rPr>
          <w:rFonts w:cs="Arial"/>
          <w:bCs/>
        </w:rPr>
        <w:t xml:space="preserve">  New York, NY:  John Wiley and Sons, Inc.</w:t>
      </w:r>
    </w:p>
    <w:p w:rsidR="00485094" w:rsidRPr="00271E81" w:rsidRDefault="00485094" w:rsidP="00E25E53">
      <w:pPr>
        <w:pStyle w:val="References"/>
        <w:rPr>
          <w:rFonts w:cs="Arial"/>
          <w:bCs/>
        </w:rPr>
      </w:pPr>
      <w:r w:rsidRPr="00431F94">
        <w:rPr>
          <w:rFonts w:cs="Arial"/>
          <w:bCs/>
        </w:rPr>
        <w:t xml:space="preserve">Williams, </w:t>
      </w:r>
      <w:r>
        <w:rPr>
          <w:rFonts w:cs="Arial"/>
          <w:bCs/>
        </w:rPr>
        <w:t>C.</w:t>
      </w:r>
      <w:r w:rsidRPr="00271E81">
        <w:rPr>
          <w:rFonts w:cs="Arial"/>
          <w:bCs/>
        </w:rPr>
        <w:t xml:space="preserve">D., </w:t>
      </w:r>
      <w:r>
        <w:rPr>
          <w:rFonts w:cs="Arial"/>
          <w:bCs/>
        </w:rPr>
        <w:t>M.</w:t>
      </w:r>
      <w:r w:rsidRPr="00271E81">
        <w:rPr>
          <w:rFonts w:cs="Arial"/>
          <w:bCs/>
        </w:rPr>
        <w:t xml:space="preserve">T. Aubel, </w:t>
      </w:r>
      <w:r>
        <w:rPr>
          <w:rFonts w:cs="Arial"/>
          <w:bCs/>
        </w:rPr>
        <w:t>A.</w:t>
      </w:r>
      <w:r w:rsidRPr="00271E81">
        <w:rPr>
          <w:rFonts w:cs="Arial"/>
          <w:bCs/>
        </w:rPr>
        <w:t>D. Chapman,</w:t>
      </w:r>
      <w:r w:rsidRPr="00431F94">
        <w:rPr>
          <w:rFonts w:cs="Arial"/>
          <w:bCs/>
        </w:rPr>
        <w:t xml:space="preserve"> </w:t>
      </w:r>
      <w:r w:rsidRPr="00271E81">
        <w:rPr>
          <w:rFonts w:cs="Arial"/>
          <w:bCs/>
        </w:rPr>
        <w:t xml:space="preserve">and </w:t>
      </w:r>
      <w:r>
        <w:rPr>
          <w:rFonts w:cs="Arial"/>
          <w:bCs/>
        </w:rPr>
        <w:t>P.</w:t>
      </w:r>
      <w:r w:rsidRPr="00271E81">
        <w:rPr>
          <w:rFonts w:cs="Arial"/>
          <w:bCs/>
        </w:rPr>
        <w:t>E. D</w:t>
      </w:r>
      <w:r w:rsidRPr="00431F94">
        <w:rPr>
          <w:rFonts w:cs="Arial"/>
          <w:bCs/>
        </w:rPr>
        <w:t>’</w:t>
      </w:r>
      <w:r>
        <w:rPr>
          <w:rFonts w:cs="Arial"/>
          <w:bCs/>
        </w:rPr>
        <w:t>A</w:t>
      </w:r>
      <w:r w:rsidRPr="00271E81">
        <w:rPr>
          <w:rFonts w:cs="Arial"/>
          <w:bCs/>
        </w:rPr>
        <w:t>iuto</w:t>
      </w:r>
      <w:r w:rsidRPr="00431F94">
        <w:rPr>
          <w:rFonts w:cs="Arial"/>
          <w:bCs/>
        </w:rPr>
        <w:t xml:space="preserve">. </w:t>
      </w:r>
      <w:r>
        <w:rPr>
          <w:rFonts w:cs="Arial"/>
          <w:bCs/>
        </w:rPr>
        <w:t xml:space="preserve"> </w:t>
      </w:r>
      <w:r w:rsidRPr="00431F94">
        <w:rPr>
          <w:rFonts w:cs="Arial"/>
          <w:bCs/>
        </w:rPr>
        <w:t>2007.</w:t>
      </w:r>
      <w:r>
        <w:rPr>
          <w:rFonts w:cs="Arial"/>
          <w:bCs/>
        </w:rPr>
        <w:t xml:space="preserve"> </w:t>
      </w:r>
      <w:r w:rsidRPr="00431F94">
        <w:rPr>
          <w:rFonts w:cs="Arial"/>
          <w:bCs/>
        </w:rPr>
        <w:t xml:space="preserve"> Identification of cyanobacterial toxins in Florida’s freshwater systems. </w:t>
      </w:r>
      <w:r>
        <w:rPr>
          <w:rFonts w:cs="Arial"/>
          <w:bCs/>
        </w:rPr>
        <w:t xml:space="preserve"> </w:t>
      </w:r>
      <w:r w:rsidRPr="00431F94">
        <w:rPr>
          <w:rFonts w:cs="Arial"/>
          <w:bCs/>
          <w:i/>
        </w:rPr>
        <w:t>Lake and Reservoir Management 23: 144–152</w:t>
      </w:r>
      <w:r w:rsidRPr="00431F94">
        <w:rPr>
          <w:rFonts w:cs="Arial"/>
          <w:bCs/>
        </w:rPr>
        <w:t>.</w:t>
      </w:r>
    </w:p>
    <w:p w:rsidR="00485094" w:rsidRDefault="00485094" w:rsidP="00E25E53">
      <w:pPr>
        <w:pStyle w:val="References"/>
        <w:rPr>
          <w:rFonts w:cs="Arial"/>
          <w:bCs/>
        </w:rPr>
      </w:pPr>
      <w:r>
        <w:rPr>
          <w:rFonts w:cs="Arial"/>
          <w:bCs/>
        </w:rPr>
        <w:t>W</w:t>
      </w:r>
      <w:r w:rsidRPr="00271E81">
        <w:rPr>
          <w:rFonts w:cs="Arial"/>
          <w:bCs/>
        </w:rPr>
        <w:t xml:space="preserve">illiams, </w:t>
      </w:r>
      <w:r>
        <w:rPr>
          <w:rFonts w:cs="Arial"/>
          <w:bCs/>
        </w:rPr>
        <w:t>C.D</w:t>
      </w:r>
      <w:r w:rsidRPr="00271E81">
        <w:rPr>
          <w:rFonts w:cs="Arial"/>
          <w:bCs/>
        </w:rPr>
        <w:t xml:space="preserve">., </w:t>
      </w:r>
      <w:r>
        <w:rPr>
          <w:rFonts w:cs="Arial"/>
          <w:bCs/>
        </w:rPr>
        <w:t>J</w:t>
      </w:r>
      <w:r w:rsidRPr="00271E81">
        <w:rPr>
          <w:rFonts w:cs="Arial"/>
          <w:bCs/>
        </w:rPr>
        <w:t xml:space="preserve">. </w:t>
      </w:r>
      <w:r>
        <w:rPr>
          <w:rFonts w:cs="Arial"/>
          <w:bCs/>
        </w:rPr>
        <w:t>B</w:t>
      </w:r>
      <w:r w:rsidRPr="00271E81">
        <w:rPr>
          <w:rFonts w:cs="Arial"/>
          <w:bCs/>
        </w:rPr>
        <w:t xml:space="preserve">urns, </w:t>
      </w:r>
      <w:r>
        <w:rPr>
          <w:rFonts w:cs="Arial"/>
          <w:bCs/>
        </w:rPr>
        <w:t>A</w:t>
      </w:r>
      <w:r w:rsidRPr="00271E81">
        <w:rPr>
          <w:rFonts w:cs="Arial"/>
          <w:bCs/>
        </w:rPr>
        <w:t xml:space="preserve">. </w:t>
      </w:r>
      <w:r>
        <w:rPr>
          <w:rFonts w:cs="Arial"/>
          <w:bCs/>
        </w:rPr>
        <w:t>C</w:t>
      </w:r>
      <w:r w:rsidRPr="00271E81">
        <w:rPr>
          <w:rFonts w:cs="Arial"/>
          <w:bCs/>
        </w:rPr>
        <w:t xml:space="preserve">hapman, </w:t>
      </w:r>
      <w:r>
        <w:rPr>
          <w:rFonts w:cs="Arial"/>
          <w:bCs/>
        </w:rPr>
        <w:t>M</w:t>
      </w:r>
      <w:r w:rsidRPr="00271E81">
        <w:rPr>
          <w:rFonts w:cs="Arial"/>
          <w:bCs/>
        </w:rPr>
        <w:t xml:space="preserve">. </w:t>
      </w:r>
      <w:r>
        <w:rPr>
          <w:rFonts w:cs="Arial"/>
          <w:bCs/>
        </w:rPr>
        <w:t>P</w:t>
      </w:r>
      <w:r w:rsidRPr="00271E81">
        <w:rPr>
          <w:rFonts w:cs="Arial"/>
          <w:bCs/>
        </w:rPr>
        <w:t xml:space="preserve">awlowicz, and </w:t>
      </w:r>
      <w:r>
        <w:rPr>
          <w:rFonts w:cs="Arial"/>
          <w:bCs/>
        </w:rPr>
        <w:t>W</w:t>
      </w:r>
      <w:r w:rsidRPr="00271E81">
        <w:rPr>
          <w:rFonts w:cs="Arial"/>
          <w:bCs/>
        </w:rPr>
        <w:t xml:space="preserve">. </w:t>
      </w:r>
      <w:r>
        <w:rPr>
          <w:rFonts w:cs="Arial"/>
          <w:bCs/>
        </w:rPr>
        <w:t>C</w:t>
      </w:r>
      <w:r w:rsidRPr="00271E81">
        <w:rPr>
          <w:rFonts w:cs="Arial"/>
          <w:bCs/>
        </w:rPr>
        <w:t>armichael</w:t>
      </w:r>
      <w:r w:rsidRPr="00431F94">
        <w:rPr>
          <w:rFonts w:cs="Arial"/>
          <w:bCs/>
        </w:rPr>
        <w:t xml:space="preserve">. </w:t>
      </w:r>
      <w:r>
        <w:rPr>
          <w:rFonts w:cs="Arial"/>
          <w:bCs/>
        </w:rPr>
        <w:t xml:space="preserve"> </w:t>
      </w:r>
      <w:r w:rsidRPr="00431F94">
        <w:rPr>
          <w:rFonts w:cs="Arial"/>
          <w:bCs/>
        </w:rPr>
        <w:t xml:space="preserve">2006. </w:t>
      </w:r>
      <w:r>
        <w:rPr>
          <w:rFonts w:cs="Arial"/>
          <w:bCs/>
        </w:rPr>
        <w:t xml:space="preserve"> </w:t>
      </w:r>
      <w:r w:rsidRPr="008654A0">
        <w:rPr>
          <w:rFonts w:cs="Arial"/>
          <w:bCs/>
          <w:i/>
        </w:rPr>
        <w:t>Assessment of cyanotoxins in Florida’s surface waters and associated drinking water resources.</w:t>
      </w:r>
      <w:r w:rsidRPr="00431F94">
        <w:rPr>
          <w:rFonts w:cs="Arial"/>
          <w:bCs/>
        </w:rPr>
        <w:t xml:space="preserve"> </w:t>
      </w:r>
      <w:r>
        <w:rPr>
          <w:rFonts w:cs="Arial"/>
          <w:bCs/>
        </w:rPr>
        <w:t xml:space="preserve"> </w:t>
      </w:r>
      <w:r w:rsidRPr="00431F94">
        <w:rPr>
          <w:rFonts w:cs="Arial"/>
          <w:bCs/>
        </w:rPr>
        <w:t>Final report to the St. Johns River Water Management District, Palatka, F</w:t>
      </w:r>
      <w:r>
        <w:rPr>
          <w:rFonts w:cs="Arial"/>
          <w:bCs/>
        </w:rPr>
        <w:t>L</w:t>
      </w:r>
      <w:r w:rsidRPr="00431F94">
        <w:rPr>
          <w:rFonts w:cs="Arial"/>
          <w:bCs/>
        </w:rPr>
        <w:t>.</w:t>
      </w:r>
      <w:r>
        <w:rPr>
          <w:rFonts w:cs="Arial"/>
          <w:bCs/>
        </w:rPr>
        <w:t xml:space="preserve">  Available:  </w:t>
      </w:r>
      <w:hyperlink r:id="rId323" w:history="1">
        <w:r w:rsidRPr="00C57FE5">
          <w:rPr>
            <w:rStyle w:val="Hyperlink"/>
            <w:rFonts w:cs="Arial"/>
            <w:bCs/>
          </w:rPr>
          <w:t>http://www.greenwaterlab.com/newsite/articles/Assessment%20of%20Cyanotoxins%202001.pdf</w:t>
        </w:r>
      </w:hyperlink>
      <w:r>
        <w:rPr>
          <w:rFonts w:cs="Arial"/>
          <w:bCs/>
        </w:rPr>
        <w:t>.</w:t>
      </w:r>
    </w:p>
    <w:p w:rsidR="00485094" w:rsidRDefault="00485094" w:rsidP="009C365A">
      <w:pPr>
        <w:pStyle w:val="Bodytext"/>
      </w:pPr>
    </w:p>
    <w:sectPr w:rsidR="00485094" w:rsidSect="00B43F8D">
      <w:headerReference w:type="even" r:id="rId324"/>
      <w:footerReference w:type="even" r:id="rId325"/>
      <w:footerReference w:type="default" r:id="rId326"/>
      <w:headerReference w:type="first" r:id="rId32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5953" w:rsidRDefault="00A75953" w:rsidP="00D87176">
      <w:r>
        <w:separator/>
      </w:r>
    </w:p>
  </w:endnote>
  <w:endnote w:type="continuationSeparator" w:id="0">
    <w:p w:rsidR="00A75953" w:rsidRDefault="00A75953" w:rsidP="00D871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Arial Bold">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HGHKB L+ Avant Garde">
    <w:altName w:val="Century Gothic"/>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00"/>
    <w:family w:val="roman"/>
    <w:notTrueType/>
    <w:pitch w:val="default"/>
    <w:sig w:usb0="00000003" w:usb1="00000000" w:usb2="00000000" w:usb3="00000000" w:csb0="00000001" w:csb1="00000000"/>
  </w:font>
  <w:font w:name="AGaramondPro-Regular">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953" w:rsidRDefault="00A75953" w:rsidP="004F5E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75953" w:rsidRDefault="00A7595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953" w:rsidRPr="00D17492" w:rsidRDefault="00A75953" w:rsidP="00673FAB">
    <w:pPr>
      <w:pStyle w:val="Footer"/>
      <w:framePr w:wrap="around" w:vAnchor="text" w:hAnchor="margin" w:xAlign="center" w:y="-223"/>
      <w:rPr>
        <w:rStyle w:val="PageNumber"/>
        <w:rFonts w:ascii="Arial" w:hAnsi="Arial" w:cs="Arial"/>
        <w:sz w:val="20"/>
        <w:szCs w:val="20"/>
      </w:rPr>
    </w:pPr>
    <w:r w:rsidRPr="00D17492">
      <w:rPr>
        <w:rStyle w:val="PageNumber"/>
        <w:rFonts w:ascii="Arial" w:hAnsi="Arial" w:cs="Arial"/>
        <w:sz w:val="20"/>
        <w:szCs w:val="20"/>
      </w:rPr>
      <w:fldChar w:fldCharType="begin"/>
    </w:r>
    <w:r w:rsidRPr="00D17492">
      <w:rPr>
        <w:rStyle w:val="PageNumber"/>
        <w:rFonts w:ascii="Arial" w:hAnsi="Arial" w:cs="Arial"/>
        <w:sz w:val="20"/>
        <w:szCs w:val="20"/>
      </w:rPr>
      <w:instrText xml:space="preserve">PAGE  </w:instrText>
    </w:r>
    <w:r w:rsidRPr="00D17492">
      <w:rPr>
        <w:rStyle w:val="PageNumber"/>
        <w:rFonts w:ascii="Arial" w:hAnsi="Arial" w:cs="Arial"/>
        <w:sz w:val="20"/>
        <w:szCs w:val="20"/>
      </w:rPr>
      <w:fldChar w:fldCharType="separate"/>
    </w:r>
    <w:r w:rsidR="00872F0E">
      <w:rPr>
        <w:rStyle w:val="PageNumber"/>
        <w:rFonts w:ascii="Arial" w:hAnsi="Arial" w:cs="Arial"/>
        <w:noProof/>
        <w:sz w:val="20"/>
        <w:szCs w:val="20"/>
      </w:rPr>
      <w:t>99</w:t>
    </w:r>
    <w:r w:rsidRPr="00D17492">
      <w:rPr>
        <w:rStyle w:val="PageNumber"/>
        <w:rFonts w:ascii="Arial" w:hAnsi="Arial" w:cs="Arial"/>
        <w:sz w:val="20"/>
        <w:szCs w:val="20"/>
      </w:rPr>
      <w:fldChar w:fldCharType="end"/>
    </w:r>
  </w:p>
  <w:p w:rsidR="00A75953" w:rsidRPr="00673FAB" w:rsidRDefault="00A75953">
    <w:pPr>
      <w:pStyle w:val="Footer"/>
      <w:rPr>
        <w:rFonts w:ascii="Arial" w:hAnsi="Arial" w:cs="Arial"/>
        <w:i/>
        <w:sz w:val="22"/>
        <w:szCs w:val="22"/>
      </w:rPr>
    </w:pPr>
    <w:r w:rsidRPr="00673FAB">
      <w:rPr>
        <w:rFonts w:ascii="Arial" w:hAnsi="Arial" w:cs="Arial"/>
        <w:i/>
        <w:sz w:val="22"/>
        <w:szCs w:val="22"/>
      </w:rPr>
      <w:t>Florida Department of Environmental Protection</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953" w:rsidRDefault="00A75953" w:rsidP="003B37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75953" w:rsidRDefault="00A75953">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953" w:rsidRDefault="00A75953" w:rsidP="00E6035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75953" w:rsidRDefault="00A75953">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953" w:rsidRPr="00D865EB" w:rsidRDefault="00A75953" w:rsidP="00BB22DA">
    <w:pPr>
      <w:pStyle w:val="Footer"/>
      <w:framePr w:wrap="around" w:vAnchor="text" w:hAnchor="margin" w:xAlign="center" w:y="-357"/>
      <w:rPr>
        <w:rStyle w:val="PageNumber"/>
        <w:rFonts w:ascii="Arial" w:hAnsi="Arial" w:cs="Arial"/>
        <w:sz w:val="20"/>
        <w:szCs w:val="20"/>
      </w:rPr>
    </w:pPr>
    <w:r w:rsidRPr="00D865EB">
      <w:rPr>
        <w:rStyle w:val="PageNumber"/>
        <w:rFonts w:ascii="Arial" w:hAnsi="Arial" w:cs="Arial"/>
        <w:sz w:val="20"/>
        <w:szCs w:val="20"/>
      </w:rPr>
      <w:fldChar w:fldCharType="begin"/>
    </w:r>
    <w:r w:rsidRPr="00D865EB">
      <w:rPr>
        <w:rStyle w:val="PageNumber"/>
        <w:rFonts w:ascii="Arial" w:hAnsi="Arial" w:cs="Arial"/>
        <w:sz w:val="20"/>
        <w:szCs w:val="20"/>
      </w:rPr>
      <w:instrText xml:space="preserve">PAGE  </w:instrText>
    </w:r>
    <w:r w:rsidRPr="00D865EB">
      <w:rPr>
        <w:rStyle w:val="PageNumber"/>
        <w:rFonts w:ascii="Arial" w:hAnsi="Arial" w:cs="Arial"/>
        <w:sz w:val="20"/>
        <w:szCs w:val="20"/>
      </w:rPr>
      <w:fldChar w:fldCharType="separate"/>
    </w:r>
    <w:r w:rsidR="00872F0E">
      <w:rPr>
        <w:rStyle w:val="PageNumber"/>
        <w:rFonts w:ascii="Arial" w:hAnsi="Arial" w:cs="Arial"/>
        <w:noProof/>
        <w:sz w:val="20"/>
        <w:szCs w:val="20"/>
      </w:rPr>
      <w:t>157</w:t>
    </w:r>
    <w:r w:rsidRPr="00D865EB">
      <w:rPr>
        <w:rStyle w:val="PageNumber"/>
        <w:rFonts w:ascii="Arial" w:hAnsi="Arial" w:cs="Arial"/>
        <w:sz w:val="20"/>
        <w:szCs w:val="20"/>
      </w:rPr>
      <w:fldChar w:fldCharType="end"/>
    </w:r>
  </w:p>
  <w:p w:rsidR="00A75953" w:rsidRPr="00BB22DA" w:rsidRDefault="00A75953">
    <w:pPr>
      <w:pStyle w:val="Footer"/>
      <w:rPr>
        <w:rFonts w:ascii="Arial" w:hAnsi="Arial" w:cs="Arial"/>
        <w:i/>
      </w:rPr>
    </w:pPr>
    <w:r w:rsidRPr="00BB22DA">
      <w:rPr>
        <w:rFonts w:ascii="Arial" w:hAnsi="Arial" w:cs="Arial"/>
        <w:i/>
      </w:rPr>
      <w:t>Florida Department of Environmental Protection</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953" w:rsidRDefault="00A75953" w:rsidP="000231E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75953" w:rsidRDefault="00A75953">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953" w:rsidRDefault="00A75953">
    <w:pPr>
      <w:pStyle w:val="Footer"/>
      <w:jc w:val="center"/>
    </w:pPr>
    <w:r w:rsidRPr="00396066">
      <w:rPr>
        <w:rFonts w:ascii="Arial" w:hAnsi="Arial" w:cs="Arial"/>
        <w:sz w:val="20"/>
        <w:szCs w:val="20"/>
      </w:rPr>
      <w:fldChar w:fldCharType="begin"/>
    </w:r>
    <w:r w:rsidRPr="00396066">
      <w:rPr>
        <w:rFonts w:ascii="Arial" w:hAnsi="Arial" w:cs="Arial"/>
        <w:sz w:val="20"/>
        <w:szCs w:val="20"/>
      </w:rPr>
      <w:instrText xml:space="preserve"> PAGE   \* MERGEFORMAT </w:instrText>
    </w:r>
    <w:r w:rsidRPr="00396066">
      <w:rPr>
        <w:rFonts w:ascii="Arial" w:hAnsi="Arial" w:cs="Arial"/>
        <w:sz w:val="20"/>
        <w:szCs w:val="20"/>
      </w:rPr>
      <w:fldChar w:fldCharType="separate"/>
    </w:r>
    <w:r w:rsidR="00872F0E">
      <w:rPr>
        <w:rFonts w:ascii="Arial" w:hAnsi="Arial" w:cs="Arial"/>
        <w:noProof/>
        <w:sz w:val="20"/>
        <w:szCs w:val="20"/>
      </w:rPr>
      <w:t>192</w:t>
    </w:r>
    <w:r w:rsidRPr="00396066">
      <w:rPr>
        <w:rFonts w:ascii="Arial" w:hAnsi="Arial" w:cs="Arial"/>
        <w:sz w:val="20"/>
        <w:szCs w:val="20"/>
      </w:rPr>
      <w:fldChar w:fldCharType="end"/>
    </w:r>
  </w:p>
  <w:p w:rsidR="00A75953" w:rsidRPr="00396066" w:rsidRDefault="00A75953">
    <w:pPr>
      <w:pStyle w:val="Footer"/>
      <w:rPr>
        <w:rFonts w:ascii="Arial" w:hAnsi="Arial" w:cs="Arial"/>
        <w:i/>
        <w:sz w:val="22"/>
        <w:szCs w:val="22"/>
      </w:rPr>
    </w:pPr>
    <w:r w:rsidRPr="00396066">
      <w:rPr>
        <w:rFonts w:ascii="Arial" w:hAnsi="Arial" w:cs="Arial"/>
        <w:i/>
        <w:sz w:val="22"/>
        <w:szCs w:val="22"/>
      </w:rPr>
      <w:t>Florida Department of Environmental Protection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5953" w:rsidRDefault="00A75953" w:rsidP="00D87176">
      <w:r>
        <w:separator/>
      </w:r>
    </w:p>
  </w:footnote>
  <w:footnote w:type="continuationSeparator" w:id="0">
    <w:p w:rsidR="00A75953" w:rsidRDefault="00A75953" w:rsidP="00D87176">
      <w:r>
        <w:continuationSeparator/>
      </w:r>
    </w:p>
  </w:footnote>
  <w:footnote w:id="1">
    <w:p w:rsidR="00A75953" w:rsidRDefault="00A75953" w:rsidP="00E10C9E">
      <w:pPr>
        <w:pStyle w:val="FootnoteText"/>
      </w:pPr>
      <w:r w:rsidRPr="00C51968">
        <w:rPr>
          <w:rStyle w:val="FootnoteReference"/>
          <w:szCs w:val="16"/>
        </w:rPr>
        <w:footnoteRef/>
      </w:r>
      <w:r w:rsidRPr="00C51968">
        <w:rPr>
          <w:szCs w:val="16"/>
        </w:rPr>
        <w:t xml:space="preserve"> </w:t>
      </w:r>
      <w:r w:rsidRPr="00C51968">
        <w:rPr>
          <w:rFonts w:ascii="Tahoma" w:hAnsi="Tahoma" w:cs="Tahoma"/>
          <w:color w:val="000000"/>
          <w:szCs w:val="16"/>
        </w:rPr>
        <w:t>Much of the information in this section was abstracted from Abbott et al., 2009.</w:t>
      </w:r>
      <w:r>
        <w:rPr>
          <w:rFonts w:ascii="Tahoma" w:hAnsi="Tahoma" w:cs="Tahoma"/>
          <w:color w:val="000000"/>
          <w:szCs w:val="16"/>
        </w:rPr>
        <w:t xml:space="preserve"> </w:t>
      </w:r>
      <w:r w:rsidRPr="00C51968">
        <w:rPr>
          <w:rFonts w:ascii="Tahoma" w:hAnsi="Tahoma" w:cs="Tahoma"/>
          <w:color w:val="000000"/>
          <w:szCs w:val="16"/>
        </w:rPr>
        <w:t xml:space="preserve"> Other sources are listed in the </w:t>
      </w:r>
      <w:r w:rsidRPr="002A4619">
        <w:rPr>
          <w:rFonts w:ascii="Tahoma" w:hAnsi="Tahoma" w:cs="Tahoma"/>
          <w:b/>
          <w:color w:val="000000"/>
          <w:szCs w:val="16"/>
        </w:rPr>
        <w:t>References</w:t>
      </w:r>
      <w:r w:rsidRPr="00C51968">
        <w:rPr>
          <w:rFonts w:ascii="Tahoma" w:hAnsi="Tahoma" w:cs="Tahoma"/>
          <w:color w:val="000000"/>
          <w:szCs w:val="16"/>
        </w:rPr>
        <w:t xml:space="preserve"> section at the end of this report.</w:t>
      </w:r>
    </w:p>
  </w:footnote>
  <w:footnote w:id="2">
    <w:p w:rsidR="00A75953" w:rsidRPr="00EF702D" w:rsidRDefault="00A75953" w:rsidP="00EA3D58">
      <w:pPr>
        <w:pStyle w:val="Bodytext"/>
        <w:rPr>
          <w:rFonts w:cs="Arial"/>
          <w:sz w:val="16"/>
          <w:szCs w:val="16"/>
        </w:rPr>
      </w:pPr>
      <w:r w:rsidRPr="00EF702D">
        <w:rPr>
          <w:rStyle w:val="FootnoteReference"/>
          <w:sz w:val="16"/>
          <w:szCs w:val="16"/>
        </w:rPr>
        <w:footnoteRef/>
      </w:r>
      <w:r w:rsidRPr="00EF702D">
        <w:rPr>
          <w:sz w:val="16"/>
          <w:szCs w:val="16"/>
        </w:rPr>
        <w:t xml:space="preserve"> </w:t>
      </w:r>
      <w:r w:rsidRPr="00EF702D">
        <w:rPr>
          <w:rFonts w:cs="Arial"/>
          <w:sz w:val="16"/>
          <w:szCs w:val="16"/>
        </w:rPr>
        <w:t>At the federal level, Section 305(b) of the 1972 CWA (Federal Wat</w:t>
      </w:r>
      <w:r>
        <w:rPr>
          <w:rFonts w:cs="Arial"/>
          <w:sz w:val="16"/>
          <w:szCs w:val="16"/>
        </w:rPr>
        <w:t>er Pollution Control Act, 33 U.</w:t>
      </w:r>
      <w:r w:rsidRPr="00EF702D">
        <w:rPr>
          <w:rFonts w:cs="Arial"/>
          <w:sz w:val="16"/>
          <w:szCs w:val="16"/>
        </w:rPr>
        <w:t xml:space="preserve">S. Code 1251–1375, as amended) directs each state to (1) prepare and submit a report every two years that includes a description of water quality of all of its navigable surface waters to the EPA, and (2) </w:t>
      </w:r>
      <w:r>
        <w:rPr>
          <w:rFonts w:cs="Arial"/>
          <w:sz w:val="16"/>
          <w:szCs w:val="16"/>
        </w:rPr>
        <w:t xml:space="preserve">analyze </w:t>
      </w:r>
      <w:r w:rsidRPr="00BC2D02">
        <w:rPr>
          <w:rFonts w:cs="Arial"/>
          <w:sz w:val="16"/>
          <w:szCs w:val="16"/>
        </w:rPr>
        <w:t>the extent to which navigable waters</w:t>
      </w:r>
      <w:r>
        <w:rPr>
          <w:rFonts w:cs="Arial"/>
          <w:sz w:val="16"/>
          <w:szCs w:val="16"/>
        </w:rPr>
        <w:t xml:space="preserve"> </w:t>
      </w:r>
      <w:r w:rsidRPr="00BC2D02">
        <w:rPr>
          <w:rFonts w:cs="Arial"/>
          <w:sz w:val="16"/>
          <w:szCs w:val="16"/>
        </w:rPr>
        <w:t>provide for the protection and propagation of a</w:t>
      </w:r>
      <w:r>
        <w:rPr>
          <w:rFonts w:cs="Arial"/>
          <w:sz w:val="16"/>
          <w:szCs w:val="16"/>
        </w:rPr>
        <w:t xml:space="preserve"> </w:t>
      </w:r>
      <w:r w:rsidRPr="00BC2D02">
        <w:rPr>
          <w:rFonts w:cs="Arial"/>
          <w:sz w:val="16"/>
          <w:szCs w:val="16"/>
        </w:rPr>
        <w:t>balanced population of shellfish, fish, and</w:t>
      </w:r>
      <w:r>
        <w:rPr>
          <w:rFonts w:cs="Arial"/>
          <w:sz w:val="16"/>
          <w:szCs w:val="16"/>
        </w:rPr>
        <w:t xml:space="preserve"> wildlife</w:t>
      </w:r>
      <w:r w:rsidRPr="00EF702D">
        <w:rPr>
          <w:rFonts w:cs="Arial"/>
          <w:sz w:val="16"/>
          <w:szCs w:val="16"/>
        </w:rPr>
        <w:t>.  Section 303(d) of the CWA requires states to submit to the EPA lists of surface waters that are impaired (i.e., that do not meet their designated uses, such as drinking water, recreation, and shellfish harvesting, as defined by applicable water quality standards).  TMDLs must be developed for each of these impaired waters on a schedule.  Also, Section 106 (e)(1) of the CWA directs the EPA to determine whether states meet the prerequisites for monitoring their aquatic resources.</w:t>
      </w:r>
    </w:p>
    <w:p w:rsidR="00A75953" w:rsidRPr="00EF702D" w:rsidRDefault="00A75953" w:rsidP="00EA3D58">
      <w:pPr>
        <w:pStyle w:val="Bodytext"/>
        <w:rPr>
          <w:rFonts w:cs="Arial"/>
          <w:sz w:val="16"/>
          <w:szCs w:val="16"/>
        </w:rPr>
      </w:pPr>
    </w:p>
    <w:p w:rsidR="00A75953" w:rsidRDefault="00A75953" w:rsidP="00EA3D58">
      <w:pPr>
        <w:pStyle w:val="FootnoteText"/>
      </w:pPr>
      <w:r w:rsidRPr="00EF702D">
        <w:rPr>
          <w:rFonts w:cs="Arial"/>
          <w:szCs w:val="16"/>
        </w:rPr>
        <w:t>Monitoring is required under Florida law through a series of rules that govern FDEP’s regulatory activities.</w:t>
      </w:r>
      <w:r>
        <w:rPr>
          <w:rFonts w:cs="Arial"/>
          <w:szCs w:val="16"/>
        </w:rPr>
        <w:t xml:space="preserve"> </w:t>
      </w:r>
      <w:r w:rsidRPr="00EF702D">
        <w:rPr>
          <w:rFonts w:cs="Arial"/>
          <w:szCs w:val="16"/>
        </w:rPr>
        <w:t xml:space="preserve"> The 1997 Water Quality Assurance Act (Section 403.063, F.S.) directs FDEP to establish and maintain a ground water quality monitoring network designed to detect or predict contamination of the state’s ground water resources.</w:t>
      </w:r>
      <w:r>
        <w:rPr>
          <w:rFonts w:cs="Arial"/>
          <w:szCs w:val="16"/>
        </w:rPr>
        <w:t xml:space="preserve"> </w:t>
      </w:r>
      <w:r w:rsidRPr="00EF702D">
        <w:rPr>
          <w:rFonts w:cs="Arial"/>
          <w:szCs w:val="16"/>
        </w:rPr>
        <w:t xml:space="preserve"> In addition, Section 62-40.540, F.A.C., </w:t>
      </w:r>
      <w:smartTag w:uri="urn:schemas-microsoft-com:office:smarttags" w:element="place">
        <w:smartTag w:uri="urn:schemas-microsoft-com:office:smarttags" w:element="State">
          <w:r w:rsidRPr="00EF702D">
            <w:rPr>
              <w:rFonts w:cs="Arial"/>
              <w:szCs w:val="16"/>
            </w:rPr>
            <w:t>Florida</w:t>
          </w:r>
        </w:smartTag>
      </w:smartTag>
      <w:r w:rsidRPr="00EF702D">
        <w:rPr>
          <w:rFonts w:cs="Arial"/>
          <w:szCs w:val="16"/>
        </w:rPr>
        <w:t>’s Water Policy, states that FDEP “. . . shall coordinate district, state agency, and local government water quality monitoring activities in order to improve data quality and reduce costs.”</w:t>
      </w:r>
    </w:p>
  </w:footnote>
  <w:footnote w:id="3">
    <w:p w:rsidR="00A75953" w:rsidRDefault="00A75953" w:rsidP="00EA3D58">
      <w:pPr>
        <w:pStyle w:val="FootnoteText"/>
      </w:pPr>
      <w:r w:rsidRPr="00EF702D">
        <w:rPr>
          <w:rStyle w:val="FootnoteReference"/>
          <w:rFonts w:cs="Arial"/>
          <w:szCs w:val="16"/>
        </w:rPr>
        <w:footnoteRef/>
      </w:r>
      <w:r w:rsidRPr="00EF702D">
        <w:rPr>
          <w:rFonts w:cs="Arial"/>
          <w:szCs w:val="16"/>
        </w:rPr>
        <w:t xml:space="preserve"> Metadata </w:t>
      </w:r>
      <w:r>
        <w:rPr>
          <w:rFonts w:cs="Arial"/>
          <w:szCs w:val="16"/>
        </w:rPr>
        <w:t>consist of</w:t>
      </w:r>
      <w:r w:rsidRPr="00EF702D">
        <w:rPr>
          <w:rFonts w:cs="Arial"/>
          <w:szCs w:val="16"/>
        </w:rPr>
        <w:t xml:space="preserve"> information about other data, including when and how the data were collected, by whom, and how they were formatted.</w:t>
      </w:r>
    </w:p>
  </w:footnote>
  <w:footnote w:id="4">
    <w:p w:rsidR="00A75953" w:rsidRPr="00E67613" w:rsidRDefault="00A75953" w:rsidP="00EA3D58">
      <w:pPr>
        <w:pStyle w:val="FootnoteText"/>
      </w:pPr>
      <w:r>
        <w:rPr>
          <w:rStyle w:val="FootnoteReference"/>
        </w:rPr>
        <w:footnoteRef/>
      </w:r>
      <w:r>
        <w:t xml:space="preserve"> </w:t>
      </w:r>
      <w:r w:rsidRPr="00E67613">
        <w:t>The qualifiers are as follows:</w:t>
      </w:r>
    </w:p>
    <w:p w:rsidR="00A75953" w:rsidRPr="00E67613" w:rsidRDefault="00A75953" w:rsidP="00EA3D58">
      <w:pPr>
        <w:pStyle w:val="FootnoteText"/>
      </w:pPr>
    </w:p>
    <w:p w:rsidR="00A75953" w:rsidRPr="00944B6E" w:rsidRDefault="00A75953" w:rsidP="00EA3D58">
      <w:pPr>
        <w:pStyle w:val="Footnotetextbulleted"/>
      </w:pPr>
      <w:r w:rsidRPr="00944B6E">
        <w:t xml:space="preserve">The F value qualifier indicates </w:t>
      </w:r>
      <w:r>
        <w:t xml:space="preserve">that </w:t>
      </w:r>
      <w:r w:rsidRPr="00944B6E">
        <w:t>the reported value failed to meet the established field quality control criteria for either precision or accuracy, or the sample matrix interfered with the ability to make an accurate field determination, or the value is questionable because of improper field sampling protocols.</w:t>
      </w:r>
    </w:p>
    <w:p w:rsidR="00A75953" w:rsidRPr="00944B6E" w:rsidRDefault="00A75953" w:rsidP="00EA3D58">
      <w:pPr>
        <w:pStyle w:val="Footnotetextbulleted"/>
      </w:pPr>
      <w:r w:rsidRPr="00944B6E">
        <w:t>Data qualified with an O indicate that the site was sampled but a chemical analy</w:t>
      </w:r>
      <w:r>
        <w:t>sis was lost or not performed.</w:t>
      </w:r>
    </w:p>
    <w:p w:rsidR="00A75953" w:rsidRPr="00944B6E" w:rsidRDefault="00A75953" w:rsidP="00EA3D58">
      <w:pPr>
        <w:pStyle w:val="Footnotetextbulleted"/>
      </w:pPr>
      <w:r w:rsidRPr="001635B4">
        <w:rPr>
          <w:snapToGrid w:val="0"/>
          <w:color w:val="000000"/>
        </w:rPr>
        <w:t xml:space="preserve">The V value qualifier </w:t>
      </w:r>
      <w:r w:rsidRPr="00944B6E">
        <w:t xml:space="preserve">indicates that the analyte was detected in both the sample and any of the associated blanks at similar concentrations. </w:t>
      </w:r>
    </w:p>
    <w:p w:rsidR="00A75953" w:rsidRDefault="00A75953" w:rsidP="00EA3D58">
      <w:pPr>
        <w:pStyle w:val="Footnotetextbulleted"/>
      </w:pPr>
      <w:r w:rsidRPr="00944B6E">
        <w:t xml:space="preserve">Data </w:t>
      </w:r>
      <w:r>
        <w:t>with</w:t>
      </w:r>
      <w:r w:rsidRPr="00944B6E">
        <w:t xml:space="preserve"> the Y value qualifier indicate </w:t>
      </w:r>
      <w:r>
        <w:t xml:space="preserve">the </w:t>
      </w:r>
      <w:r w:rsidRPr="00944B6E">
        <w:rPr>
          <w:snapToGrid w:val="0"/>
          <w:color w:val="000000"/>
        </w:rPr>
        <w:t xml:space="preserve">laboratory analysis </w:t>
      </w:r>
      <w:r>
        <w:rPr>
          <w:snapToGrid w:val="0"/>
          <w:color w:val="000000"/>
        </w:rPr>
        <w:t>is</w:t>
      </w:r>
      <w:r w:rsidRPr="00944B6E">
        <w:rPr>
          <w:snapToGrid w:val="0"/>
          <w:color w:val="000000"/>
        </w:rPr>
        <w:t xml:space="preserve"> from an unpreserved or improperly preserved sample</w:t>
      </w:r>
      <w:r>
        <w:rPr>
          <w:snapToGrid w:val="0"/>
          <w:color w:val="000000"/>
        </w:rPr>
        <w:t>,</w:t>
      </w:r>
      <w:r w:rsidRPr="00944B6E">
        <w:rPr>
          <w:snapToGrid w:val="0"/>
          <w:color w:val="000000"/>
        </w:rPr>
        <w:t xml:space="preserve"> and therefore the data may not be accurate.  </w:t>
      </w:r>
    </w:p>
  </w:footnote>
  <w:footnote w:id="5">
    <w:p w:rsidR="00A75953" w:rsidRPr="003D799D" w:rsidRDefault="00A75953">
      <w:pPr>
        <w:pStyle w:val="FootnoteText"/>
        <w:rPr>
          <w:snapToGrid w:val="0"/>
          <w:color w:val="000000"/>
        </w:rPr>
      </w:pPr>
      <w:r>
        <w:rPr>
          <w:rStyle w:val="FootnoteReference"/>
        </w:rPr>
        <w:footnoteRef/>
      </w:r>
      <w:r>
        <w:t xml:space="preserve"> Category 4c consists of waters that do not</w:t>
      </w:r>
      <w:r w:rsidRPr="000309E2">
        <w:rPr>
          <w:snapToGrid w:val="0"/>
          <w:color w:val="000000"/>
        </w:rPr>
        <w:t xml:space="preserve"> attain use because of natural causes, and thus a TMDL is not required.</w:t>
      </w:r>
    </w:p>
  </w:footnote>
  <w:footnote w:id="6">
    <w:p w:rsidR="00A75953" w:rsidRDefault="00A75953">
      <w:pPr>
        <w:pStyle w:val="FootnoteText"/>
      </w:pPr>
      <w:r w:rsidRPr="000309E2">
        <w:rPr>
          <w:rStyle w:val="FootnoteReference"/>
          <w:snapToGrid w:val="0"/>
          <w:color w:val="000000"/>
        </w:rPr>
        <w:footnoteRef/>
      </w:r>
      <w:r w:rsidRPr="000309E2">
        <w:rPr>
          <w:snapToGrid w:val="0"/>
          <w:color w:val="000000"/>
        </w:rPr>
        <w:t xml:space="preserve"> The numbers in </w:t>
      </w:r>
      <w:r w:rsidRPr="000309E2">
        <w:rPr>
          <w:b/>
          <w:i/>
          <w:snapToGrid w:val="0"/>
          <w:color w:val="000000"/>
        </w:rPr>
        <w:t>Table 8.1</w:t>
      </w:r>
      <w:r w:rsidRPr="000309E2">
        <w:rPr>
          <w:snapToGrid w:val="0"/>
          <w:color w:val="000000"/>
        </w:rPr>
        <w:t xml:space="preserve"> are different from th</w:t>
      </w:r>
      <w:r w:rsidRPr="00A60DC3">
        <w:t xml:space="preserve">ose in </w:t>
      </w:r>
      <w:r w:rsidRPr="00A60DC3">
        <w:rPr>
          <w:b/>
          <w:i/>
        </w:rPr>
        <w:t>Table 6.1</w:t>
      </w:r>
      <w:r w:rsidRPr="00A60DC3">
        <w:t xml:space="preserve"> because the WBID system is used to generate results for </w:t>
      </w:r>
      <w:r w:rsidRPr="00A60DC3">
        <w:rPr>
          <w:b/>
          <w:i/>
        </w:rPr>
        <w:t>Table 8.1</w:t>
      </w:r>
      <w:r>
        <w:t>,</w:t>
      </w:r>
      <w:r w:rsidRPr="00A60DC3">
        <w:t xml:space="preserve"> and only specific waters that are deemed to be the mainstream waters in the state are used in the WBID system.  Very small, </w:t>
      </w:r>
      <w:proofErr w:type="spellStart"/>
      <w:r w:rsidRPr="00A60DC3">
        <w:t>unsampled</w:t>
      </w:r>
      <w:proofErr w:type="spellEnd"/>
      <w:r w:rsidRPr="00A60DC3">
        <w:t xml:space="preserve"> waters are generally not included</w:t>
      </w:r>
      <w:r>
        <w:t xml:space="preserve">.  </w:t>
      </w:r>
      <w:r w:rsidRPr="005C33A6">
        <w:t xml:space="preserve">Although both mileage estimates come from the most recent NHD coverages, </w:t>
      </w:r>
      <w:r w:rsidRPr="005C33A6">
        <w:rPr>
          <w:b/>
          <w:i/>
        </w:rPr>
        <w:t>Table 6.1</w:t>
      </w:r>
      <w:r w:rsidRPr="005C33A6">
        <w:t xml:space="preserve"> uses all the available NHD mileages.</w:t>
      </w:r>
    </w:p>
  </w:footnote>
  <w:footnote w:id="7">
    <w:p w:rsidR="00A75953" w:rsidRDefault="00A75953" w:rsidP="00525390">
      <w:pPr>
        <w:pStyle w:val="FootnoteText"/>
      </w:pPr>
      <w:r w:rsidRPr="00473985">
        <w:rPr>
          <w:rStyle w:val="FootnoteReference"/>
          <w:rFonts w:cs="Arial"/>
          <w:szCs w:val="16"/>
        </w:rPr>
        <w:footnoteRef/>
      </w:r>
      <w:r w:rsidRPr="00DC54B0">
        <w:rPr>
          <w:rStyle w:val="FootnoteReference"/>
          <w:rFonts w:cs="Arial"/>
          <w:szCs w:val="16"/>
        </w:rPr>
        <w:t xml:space="preserve"> </w:t>
      </w:r>
      <w:r w:rsidRPr="00D145F4">
        <w:rPr>
          <w:rStyle w:val="FootnoteReference"/>
          <w:rFonts w:cs="Arial"/>
          <w:szCs w:val="16"/>
          <w:vertAlign w:val="baseline"/>
        </w:rPr>
        <w:t>The expanded database is summarized in</w:t>
      </w:r>
      <w:r>
        <w:rPr>
          <w:rFonts w:cs="Arial"/>
          <w:szCs w:val="16"/>
        </w:rPr>
        <w:t xml:space="preserve"> the</w:t>
      </w:r>
      <w:r w:rsidRPr="00DC54B0">
        <w:rPr>
          <w:rStyle w:val="FootnoteReference"/>
          <w:rFonts w:cs="Arial"/>
          <w:szCs w:val="16"/>
        </w:rPr>
        <w:t xml:space="preserve"> </w:t>
      </w:r>
      <w:hyperlink r:id="rId1" w:history="1">
        <w:r w:rsidRPr="00D145F4">
          <w:rPr>
            <w:rStyle w:val="Hyperlink"/>
            <w:rFonts w:cs="Arial"/>
            <w:i/>
            <w:szCs w:val="16"/>
          </w:rPr>
          <w:t>Florida Coastal Sediment Contaminants Atlas</w:t>
        </w:r>
      </w:hyperlink>
      <w:r w:rsidRPr="00DC54B0">
        <w:rPr>
          <w:rStyle w:val="FootnoteReference"/>
          <w:rFonts w:cs="Arial"/>
          <w:szCs w:val="16"/>
        </w:rPr>
        <w:t xml:space="preserve"> </w:t>
      </w:r>
      <w:r w:rsidRPr="00DC54B0">
        <w:rPr>
          <w:rFonts w:cs="Arial"/>
          <w:szCs w:val="16"/>
        </w:rPr>
        <w:t>(</w:t>
      </w:r>
      <w:r w:rsidRPr="00D145F4">
        <w:rPr>
          <w:rStyle w:val="FootnoteReference"/>
          <w:rFonts w:cs="Arial"/>
          <w:szCs w:val="16"/>
          <w:vertAlign w:val="baseline"/>
        </w:rPr>
        <w:t>F</w:t>
      </w:r>
      <w:r w:rsidRPr="00DC54B0">
        <w:rPr>
          <w:rFonts w:cs="Arial"/>
          <w:szCs w:val="16"/>
        </w:rPr>
        <w:t>DEP</w:t>
      </w:r>
      <w:r w:rsidRPr="00D145F4">
        <w:rPr>
          <w:rStyle w:val="FootnoteReference"/>
          <w:rFonts w:cs="Arial"/>
          <w:szCs w:val="16"/>
          <w:vertAlign w:val="baseline"/>
        </w:rPr>
        <w:t>, 1994</w:t>
      </w:r>
      <w:r w:rsidRPr="00DC54B0">
        <w:rPr>
          <w:rFonts w:cs="Arial"/>
          <w:szCs w:val="16"/>
        </w:rPr>
        <w:t>)</w:t>
      </w:r>
      <w:r>
        <w:rPr>
          <w:rStyle w:val="FootnoteReference"/>
          <w:rFonts w:cs="Arial"/>
          <w:szCs w:val="16"/>
        </w:rPr>
        <w:t>.</w:t>
      </w:r>
    </w:p>
  </w:footnote>
  <w:footnote w:id="8">
    <w:p w:rsidR="00A75953" w:rsidRDefault="00A75953" w:rsidP="00B215C8">
      <w:pPr>
        <w:pStyle w:val="FootnoteText"/>
      </w:pPr>
      <w:r w:rsidRPr="00621ED0">
        <w:rPr>
          <w:rStyle w:val="FootnoteReference"/>
          <w:rFonts w:cs="Arial"/>
          <w:szCs w:val="16"/>
        </w:rPr>
        <w:footnoteRef/>
      </w:r>
      <w:r w:rsidRPr="00621ED0">
        <w:rPr>
          <w:rFonts w:cs="Arial"/>
          <w:szCs w:val="16"/>
        </w:rPr>
        <w:t xml:space="preserve"> </w:t>
      </w:r>
      <w:r>
        <w:rPr>
          <w:rFonts w:cs="Arial"/>
          <w:szCs w:val="16"/>
        </w:rPr>
        <w:t>W</w:t>
      </w:r>
      <w:r w:rsidRPr="00621ED0">
        <w:rPr>
          <w:rFonts w:cs="Arial"/>
          <w:szCs w:val="16"/>
        </w:rPr>
        <w:t>etlands owned entirely by one person other than the state are not considered waters of the state; this would include isolated wetlands owned entirely by one permit (Section 403.031[13], F.S.).</w:t>
      </w:r>
    </w:p>
  </w:footnote>
  <w:footnote w:id="9">
    <w:p w:rsidR="00A75953" w:rsidRDefault="00A75953" w:rsidP="00B215C8">
      <w:pPr>
        <w:pStyle w:val="FootnoteText"/>
      </w:pPr>
      <w:r>
        <w:rPr>
          <w:rStyle w:val="FootnoteReference"/>
        </w:rPr>
        <w:footnoteRef/>
      </w:r>
      <w:r>
        <w:t xml:space="preserve"> Section 373.461(3)(a), F.S., and Section 11.7 of the St. Johns River Water Management District </w:t>
      </w:r>
      <w:r w:rsidRPr="00CA461C">
        <w:rPr>
          <w:i/>
        </w:rPr>
        <w:t>Applicant’s Handbook: Management and Storage of Surface Waters</w:t>
      </w:r>
      <w:r>
        <w:rPr>
          <w:i/>
        </w:rPr>
        <w:t>.</w:t>
      </w:r>
    </w:p>
  </w:footnote>
  <w:footnote w:id="10">
    <w:p w:rsidR="00A75953" w:rsidRDefault="00A75953" w:rsidP="00B215C8">
      <w:pPr>
        <w:pStyle w:val="FootnoteText"/>
      </w:pPr>
      <w:r w:rsidRPr="00EF702D">
        <w:rPr>
          <w:rStyle w:val="FootnoteReference"/>
          <w:rFonts w:cs="Arial"/>
          <w:szCs w:val="16"/>
        </w:rPr>
        <w:footnoteRef/>
      </w:r>
      <w:r>
        <w:rPr>
          <w:rFonts w:cs="Arial"/>
          <w:snapToGrid w:val="0"/>
          <w:szCs w:val="16"/>
        </w:rPr>
        <w:t xml:space="preserve"> </w:t>
      </w:r>
      <w:r w:rsidRPr="00EF702D">
        <w:rPr>
          <w:rFonts w:cs="Arial"/>
          <w:snapToGrid w:val="0"/>
          <w:szCs w:val="16"/>
        </w:rPr>
        <w:t>Although this last designation, created in 1989, applies to Everglades and Biscayne National Parks, it has not been confirmed by the Florida</w:t>
      </w:r>
      <w:r>
        <w:rPr>
          <w:rFonts w:cs="Arial"/>
          <w:snapToGrid w:val="0"/>
          <w:szCs w:val="16"/>
        </w:rPr>
        <w:t xml:space="preserve"> L</w:t>
      </w:r>
      <w:r w:rsidRPr="00EF702D">
        <w:rPr>
          <w:rFonts w:cs="Arial"/>
          <w:snapToGrid w:val="0"/>
          <w:szCs w:val="16"/>
        </w:rPr>
        <w:t>egislature.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953" w:rsidRPr="00C605B2" w:rsidRDefault="00A75953" w:rsidP="004637F9">
    <w:pPr>
      <w:pStyle w:val="Header"/>
      <w:pBdr>
        <w:bottom w:val="single" w:sz="4" w:space="1" w:color="auto"/>
      </w:pBdr>
      <w:jc w:val="center"/>
      <w:rPr>
        <w:rFonts w:ascii="Arial" w:hAnsi="Arial" w:cs="Arial"/>
        <w:b/>
        <w:sz w:val="20"/>
        <w:szCs w:val="20"/>
      </w:rPr>
    </w:pPr>
    <w:r w:rsidRPr="00C605B2">
      <w:rPr>
        <w:rFonts w:ascii="Arial" w:hAnsi="Arial" w:cs="Arial"/>
        <w:b/>
        <w:sz w:val="20"/>
        <w:szCs w:val="20"/>
      </w:rPr>
      <w:t>20</w:t>
    </w:r>
    <w:r>
      <w:rPr>
        <w:rFonts w:ascii="Arial" w:hAnsi="Arial" w:cs="Arial"/>
        <w:b/>
        <w:sz w:val="20"/>
        <w:szCs w:val="20"/>
      </w:rPr>
      <w:t>10</w:t>
    </w:r>
    <w:r w:rsidRPr="00C605B2">
      <w:rPr>
        <w:rFonts w:ascii="Arial" w:hAnsi="Arial" w:cs="Arial"/>
        <w:b/>
        <w:sz w:val="20"/>
        <w:szCs w:val="20"/>
      </w:rPr>
      <w:t xml:space="preserve"> Integrated </w:t>
    </w:r>
    <w:r>
      <w:rPr>
        <w:rFonts w:ascii="Arial" w:hAnsi="Arial" w:cs="Arial"/>
        <w:b/>
        <w:sz w:val="20"/>
        <w:szCs w:val="20"/>
      </w:rPr>
      <w:t>Water Quality Assessment for Florida, June 2010</w:t>
    </w:r>
  </w:p>
  <w:p w:rsidR="00A75953" w:rsidRDefault="00A75953">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953" w:rsidRDefault="00A7595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953" w:rsidRPr="00C605B2" w:rsidRDefault="00A75953" w:rsidP="00E31650">
    <w:pPr>
      <w:pStyle w:val="Header"/>
      <w:pBdr>
        <w:bottom w:val="single" w:sz="4" w:space="1" w:color="auto"/>
      </w:pBdr>
      <w:jc w:val="center"/>
      <w:rPr>
        <w:rFonts w:ascii="Arial" w:hAnsi="Arial" w:cs="Arial"/>
        <w:b/>
        <w:sz w:val="20"/>
        <w:szCs w:val="20"/>
      </w:rPr>
    </w:pPr>
    <w:r w:rsidRPr="00C605B2">
      <w:rPr>
        <w:rFonts w:ascii="Arial" w:hAnsi="Arial" w:cs="Arial"/>
        <w:b/>
        <w:sz w:val="20"/>
        <w:szCs w:val="20"/>
      </w:rPr>
      <w:t>20</w:t>
    </w:r>
    <w:r>
      <w:rPr>
        <w:rFonts w:ascii="Arial" w:hAnsi="Arial" w:cs="Arial"/>
        <w:b/>
        <w:sz w:val="20"/>
        <w:szCs w:val="20"/>
      </w:rPr>
      <w:t>10</w:t>
    </w:r>
    <w:r w:rsidRPr="00C605B2">
      <w:rPr>
        <w:rFonts w:ascii="Arial" w:hAnsi="Arial" w:cs="Arial"/>
        <w:b/>
        <w:sz w:val="20"/>
        <w:szCs w:val="20"/>
      </w:rPr>
      <w:t xml:space="preserve"> Integrated </w:t>
    </w:r>
    <w:r>
      <w:rPr>
        <w:rFonts w:ascii="Arial" w:hAnsi="Arial" w:cs="Arial"/>
        <w:b/>
        <w:sz w:val="20"/>
        <w:szCs w:val="20"/>
      </w:rPr>
      <w:t>Water Quality Assessment for Florida, September 2010</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953" w:rsidRDefault="00A7595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margin-left:0;margin-top:0;width:221.25pt;height:74.25pt;z-index:-251658240;mso-position-horizontal:center;mso-position-horizontal-relative:margin;mso-position-vertical:center;mso-position-vertical-relative:margin" o:allowincell="f" fillcolor="silver" stroked="f">
          <v:fill opacity=".5"/>
          <v:textpath style="font-family:&quot;Arial&quot;;font-size:66pt" string="DRAFT"/>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953" w:rsidRDefault="00A7595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221.25pt;height:74.25pt;z-index:-251657216;mso-position-horizontal:center;mso-position-horizontal-relative:margin;mso-position-vertical:center;mso-position-vertical-relative:margin" o:allowincell="f" fillcolor="silver" stroked="f">
          <v:fill opacity=".5"/>
          <v:textpath style="font-family:&quot;Arial&quot;;font-size:66pt" string="DRAFT"/>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953" w:rsidRDefault="00A7595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221.25pt;height:74.25pt;z-index:-251660288;mso-position-horizontal:center;mso-position-horizontal-relative:margin;mso-position-vertical:center;mso-position-vertical-relative:margin" o:allowincell="f" fillcolor="silver" stroked="f">
          <v:fill opacity=".5"/>
          <v:textpath style="font-family:&quot;Arial&quot;;font-size:66pt" string="DRAFT"/>
          <w10:wrap anchorx="margin" anchory="margin"/>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953" w:rsidRDefault="00A7595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221.25pt;height:74.25pt;z-index:-251659264;mso-position-horizontal:center;mso-position-horizontal-relative:margin;mso-position-vertical:center;mso-position-vertical-relative:margin" o:allowincell="f" fillcolor="silver" stroked="f">
          <v:fill opacity=".5"/>
          <v:textpath style="font-family:&quot;Arial&quot;;font-size:66pt" string="DRAFT"/>
          <w10:wrap anchorx="margin" anchory="margin"/>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953" w:rsidRDefault="00A75953">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953" w:rsidRDefault="00A75953">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953" w:rsidRDefault="00A7595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EC6BE24"/>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661E22C2"/>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068ECF88"/>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22B281BA"/>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F3A006A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B72170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AA62EC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C28744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2A2971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20A91C6"/>
    <w:lvl w:ilvl="0">
      <w:start w:val="1"/>
      <w:numFmt w:val="bullet"/>
      <w:lvlText w:val=""/>
      <w:lvlJc w:val="left"/>
      <w:pPr>
        <w:tabs>
          <w:tab w:val="num" w:pos="360"/>
        </w:tabs>
        <w:ind w:left="360" w:hanging="360"/>
      </w:pPr>
      <w:rPr>
        <w:rFonts w:ascii="Symbol" w:hAnsi="Symbol" w:hint="default"/>
      </w:rPr>
    </w:lvl>
  </w:abstractNum>
  <w:abstractNum w:abstractNumId="10">
    <w:nsid w:val="00BB406E"/>
    <w:multiLevelType w:val="hybridMultilevel"/>
    <w:tmpl w:val="542EBD4C"/>
    <w:lvl w:ilvl="0" w:tplc="14A210E4">
      <w:start w:val="1"/>
      <w:numFmt w:val="bullet"/>
      <w:lvlText w:val=""/>
      <w:lvlJc w:val="left"/>
      <w:pPr>
        <w:ind w:left="720" w:hanging="360"/>
      </w:pPr>
      <w:rPr>
        <w:rFonts w:ascii="Symbol" w:hAnsi="Symbol" w:hint="default"/>
      </w:rPr>
    </w:lvl>
    <w:lvl w:ilvl="1" w:tplc="4498F116" w:tentative="1">
      <w:start w:val="1"/>
      <w:numFmt w:val="bullet"/>
      <w:lvlText w:val="o"/>
      <w:lvlJc w:val="left"/>
      <w:pPr>
        <w:ind w:left="1440" w:hanging="360"/>
      </w:pPr>
      <w:rPr>
        <w:rFonts w:ascii="Courier New" w:hAnsi="Courier New" w:hint="default"/>
      </w:rPr>
    </w:lvl>
    <w:lvl w:ilvl="2" w:tplc="9814A870" w:tentative="1">
      <w:start w:val="1"/>
      <w:numFmt w:val="bullet"/>
      <w:lvlText w:val=""/>
      <w:lvlJc w:val="left"/>
      <w:pPr>
        <w:ind w:left="2160" w:hanging="360"/>
      </w:pPr>
      <w:rPr>
        <w:rFonts w:ascii="Wingdings" w:hAnsi="Wingdings" w:hint="default"/>
      </w:rPr>
    </w:lvl>
    <w:lvl w:ilvl="3" w:tplc="49849EC2" w:tentative="1">
      <w:start w:val="1"/>
      <w:numFmt w:val="bullet"/>
      <w:lvlText w:val=""/>
      <w:lvlJc w:val="left"/>
      <w:pPr>
        <w:ind w:left="2880" w:hanging="360"/>
      </w:pPr>
      <w:rPr>
        <w:rFonts w:ascii="Symbol" w:hAnsi="Symbol" w:hint="default"/>
      </w:rPr>
    </w:lvl>
    <w:lvl w:ilvl="4" w:tplc="191A83F2" w:tentative="1">
      <w:start w:val="1"/>
      <w:numFmt w:val="bullet"/>
      <w:lvlText w:val="o"/>
      <w:lvlJc w:val="left"/>
      <w:pPr>
        <w:ind w:left="3600" w:hanging="360"/>
      </w:pPr>
      <w:rPr>
        <w:rFonts w:ascii="Courier New" w:hAnsi="Courier New" w:hint="default"/>
      </w:rPr>
    </w:lvl>
    <w:lvl w:ilvl="5" w:tplc="44140CFA" w:tentative="1">
      <w:start w:val="1"/>
      <w:numFmt w:val="bullet"/>
      <w:lvlText w:val=""/>
      <w:lvlJc w:val="left"/>
      <w:pPr>
        <w:ind w:left="4320" w:hanging="360"/>
      </w:pPr>
      <w:rPr>
        <w:rFonts w:ascii="Wingdings" w:hAnsi="Wingdings" w:hint="default"/>
      </w:rPr>
    </w:lvl>
    <w:lvl w:ilvl="6" w:tplc="2258F618" w:tentative="1">
      <w:start w:val="1"/>
      <w:numFmt w:val="bullet"/>
      <w:lvlText w:val=""/>
      <w:lvlJc w:val="left"/>
      <w:pPr>
        <w:ind w:left="5040" w:hanging="360"/>
      </w:pPr>
      <w:rPr>
        <w:rFonts w:ascii="Symbol" w:hAnsi="Symbol" w:hint="default"/>
      </w:rPr>
    </w:lvl>
    <w:lvl w:ilvl="7" w:tplc="96F84EC2" w:tentative="1">
      <w:start w:val="1"/>
      <w:numFmt w:val="bullet"/>
      <w:lvlText w:val="o"/>
      <w:lvlJc w:val="left"/>
      <w:pPr>
        <w:ind w:left="5760" w:hanging="360"/>
      </w:pPr>
      <w:rPr>
        <w:rFonts w:ascii="Courier New" w:hAnsi="Courier New" w:hint="default"/>
      </w:rPr>
    </w:lvl>
    <w:lvl w:ilvl="8" w:tplc="F3908920" w:tentative="1">
      <w:start w:val="1"/>
      <w:numFmt w:val="bullet"/>
      <w:lvlText w:val=""/>
      <w:lvlJc w:val="left"/>
      <w:pPr>
        <w:ind w:left="6480" w:hanging="360"/>
      </w:pPr>
      <w:rPr>
        <w:rFonts w:ascii="Wingdings" w:hAnsi="Wingdings" w:hint="default"/>
      </w:rPr>
    </w:lvl>
  </w:abstractNum>
  <w:abstractNum w:abstractNumId="11">
    <w:nsid w:val="08386D1E"/>
    <w:multiLevelType w:val="hybridMultilevel"/>
    <w:tmpl w:val="88AE0D86"/>
    <w:lvl w:ilvl="0" w:tplc="04090001">
      <w:start w:val="1"/>
      <w:numFmt w:val="bullet"/>
      <w:pStyle w:val="Listbulletsubhead"/>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BEB7A32"/>
    <w:multiLevelType w:val="hybridMultilevel"/>
    <w:tmpl w:val="0B3447DE"/>
    <w:lvl w:ilvl="0" w:tplc="068A229E">
      <w:start w:val="1"/>
      <w:numFmt w:val="bullet"/>
      <w:lvlText w:val=""/>
      <w:lvlJc w:val="left"/>
      <w:pPr>
        <w:tabs>
          <w:tab w:val="num" w:pos="720"/>
        </w:tabs>
        <w:ind w:left="720" w:hanging="360"/>
      </w:pPr>
      <w:rPr>
        <w:rFonts w:ascii="Symbol" w:hAnsi="Symbol" w:hint="default"/>
      </w:rPr>
    </w:lvl>
    <w:lvl w:ilvl="1" w:tplc="04090003">
      <w:start w:val="1"/>
      <w:numFmt w:val="bullet"/>
      <w:pStyle w:val="Sub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7A945EA"/>
    <w:multiLevelType w:val="singleLevel"/>
    <w:tmpl w:val="F08E23F8"/>
    <w:lvl w:ilvl="0">
      <w:start w:val="1"/>
      <w:numFmt w:val="bullet"/>
      <w:pStyle w:val="Bullet"/>
      <w:lvlText w:val=""/>
      <w:lvlJc w:val="left"/>
      <w:pPr>
        <w:tabs>
          <w:tab w:val="num" w:pos="720"/>
        </w:tabs>
        <w:ind w:left="720" w:hanging="360"/>
      </w:pPr>
      <w:rPr>
        <w:rFonts w:ascii="Symbol" w:hAnsi="Symbol" w:hint="default"/>
      </w:rPr>
    </w:lvl>
  </w:abstractNum>
  <w:abstractNum w:abstractNumId="14">
    <w:nsid w:val="2B4B2031"/>
    <w:multiLevelType w:val="hybridMultilevel"/>
    <w:tmpl w:val="9794A682"/>
    <w:lvl w:ilvl="0" w:tplc="E62849D6">
      <w:start w:val="1"/>
      <w:numFmt w:val="bullet"/>
      <w:pStyle w:val="ListBullet2"/>
      <w:lvlText w:val="−"/>
      <w:lvlJc w:val="left"/>
      <w:pPr>
        <w:tabs>
          <w:tab w:val="num" w:pos="720"/>
        </w:tabs>
        <w:ind w:left="720" w:hanging="360"/>
      </w:pPr>
      <w:rPr>
        <w:rFonts w:ascii="Arial" w:hAnsi="Arial" w:hint="default"/>
      </w:rPr>
    </w:lvl>
    <w:lvl w:ilvl="1" w:tplc="F558ED80">
      <w:start w:val="1"/>
      <w:numFmt w:val="bullet"/>
      <w:lvlText w:val=""/>
      <w:lvlJc w:val="left"/>
      <w:pPr>
        <w:tabs>
          <w:tab w:val="num" w:pos="1440"/>
        </w:tabs>
        <w:ind w:left="1440" w:hanging="360"/>
      </w:pPr>
      <w:rPr>
        <w:rFonts w:ascii="Symbol" w:hAnsi="Symbol" w:hint="default"/>
      </w:rPr>
    </w:lvl>
    <w:lvl w:ilvl="2" w:tplc="CC8A60FE" w:tentative="1">
      <w:start w:val="1"/>
      <w:numFmt w:val="lowerRoman"/>
      <w:lvlText w:val="%3."/>
      <w:lvlJc w:val="right"/>
      <w:pPr>
        <w:tabs>
          <w:tab w:val="num" w:pos="2160"/>
        </w:tabs>
        <w:ind w:left="2160" w:hanging="180"/>
      </w:pPr>
      <w:rPr>
        <w:rFonts w:cs="Times New Roman"/>
      </w:rPr>
    </w:lvl>
    <w:lvl w:ilvl="3" w:tplc="4B30C010" w:tentative="1">
      <w:start w:val="1"/>
      <w:numFmt w:val="decimal"/>
      <w:lvlText w:val="%4."/>
      <w:lvlJc w:val="left"/>
      <w:pPr>
        <w:tabs>
          <w:tab w:val="num" w:pos="2880"/>
        </w:tabs>
        <w:ind w:left="2880" w:hanging="360"/>
      </w:pPr>
      <w:rPr>
        <w:rFonts w:cs="Times New Roman"/>
      </w:rPr>
    </w:lvl>
    <w:lvl w:ilvl="4" w:tplc="97449DEE" w:tentative="1">
      <w:start w:val="1"/>
      <w:numFmt w:val="lowerLetter"/>
      <w:lvlText w:val="%5."/>
      <w:lvlJc w:val="left"/>
      <w:pPr>
        <w:tabs>
          <w:tab w:val="num" w:pos="3600"/>
        </w:tabs>
        <w:ind w:left="3600" w:hanging="360"/>
      </w:pPr>
      <w:rPr>
        <w:rFonts w:cs="Times New Roman"/>
      </w:rPr>
    </w:lvl>
    <w:lvl w:ilvl="5" w:tplc="5EDC7D40" w:tentative="1">
      <w:start w:val="1"/>
      <w:numFmt w:val="lowerRoman"/>
      <w:lvlText w:val="%6."/>
      <w:lvlJc w:val="right"/>
      <w:pPr>
        <w:tabs>
          <w:tab w:val="num" w:pos="4320"/>
        </w:tabs>
        <w:ind w:left="4320" w:hanging="180"/>
      </w:pPr>
      <w:rPr>
        <w:rFonts w:cs="Times New Roman"/>
      </w:rPr>
    </w:lvl>
    <w:lvl w:ilvl="6" w:tplc="6D56DC6E" w:tentative="1">
      <w:start w:val="1"/>
      <w:numFmt w:val="decimal"/>
      <w:lvlText w:val="%7."/>
      <w:lvlJc w:val="left"/>
      <w:pPr>
        <w:tabs>
          <w:tab w:val="num" w:pos="5040"/>
        </w:tabs>
        <w:ind w:left="5040" w:hanging="360"/>
      </w:pPr>
      <w:rPr>
        <w:rFonts w:cs="Times New Roman"/>
      </w:rPr>
    </w:lvl>
    <w:lvl w:ilvl="7" w:tplc="E9B41F40" w:tentative="1">
      <w:start w:val="1"/>
      <w:numFmt w:val="lowerLetter"/>
      <w:lvlText w:val="%8."/>
      <w:lvlJc w:val="left"/>
      <w:pPr>
        <w:tabs>
          <w:tab w:val="num" w:pos="5760"/>
        </w:tabs>
        <w:ind w:left="5760" w:hanging="360"/>
      </w:pPr>
      <w:rPr>
        <w:rFonts w:cs="Times New Roman"/>
      </w:rPr>
    </w:lvl>
    <w:lvl w:ilvl="8" w:tplc="346A0FFE" w:tentative="1">
      <w:start w:val="1"/>
      <w:numFmt w:val="lowerRoman"/>
      <w:lvlText w:val="%9."/>
      <w:lvlJc w:val="right"/>
      <w:pPr>
        <w:tabs>
          <w:tab w:val="num" w:pos="6480"/>
        </w:tabs>
        <w:ind w:left="6480" w:hanging="180"/>
      </w:pPr>
      <w:rPr>
        <w:rFonts w:cs="Times New Roman"/>
      </w:rPr>
    </w:lvl>
  </w:abstractNum>
  <w:abstractNum w:abstractNumId="15">
    <w:nsid w:val="3052004C"/>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4013F7D"/>
    <w:multiLevelType w:val="hybridMultilevel"/>
    <w:tmpl w:val="5B564742"/>
    <w:lvl w:ilvl="0" w:tplc="FFFFFFFF">
      <w:start w:val="1"/>
      <w:numFmt w:val="bullet"/>
      <w:pStyle w:val="ListBullet"/>
      <w:lvlText w:val=""/>
      <w:lvlJc w:val="left"/>
      <w:pPr>
        <w:tabs>
          <w:tab w:val="num" w:pos="630"/>
        </w:tabs>
        <w:ind w:left="63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9874100"/>
    <w:multiLevelType w:val="multilevel"/>
    <w:tmpl w:val="ACF269C2"/>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8">
    <w:nsid w:val="3A0E6A7E"/>
    <w:multiLevelType w:val="hybridMultilevel"/>
    <w:tmpl w:val="A414458C"/>
    <w:lvl w:ilvl="0" w:tplc="B02867CA">
      <w:start w:val="1"/>
      <w:numFmt w:val="decimal"/>
      <w:lvlText w:val="%1."/>
      <w:lvlJc w:val="left"/>
      <w:pPr>
        <w:tabs>
          <w:tab w:val="num" w:pos="720"/>
        </w:tabs>
        <w:ind w:left="720" w:hanging="360"/>
      </w:pPr>
      <w:rPr>
        <w:rFonts w:cs="Times New Roman" w:hint="default"/>
      </w:rPr>
    </w:lvl>
    <w:lvl w:ilvl="1" w:tplc="44D88894" w:tentative="1">
      <w:start w:val="1"/>
      <w:numFmt w:val="lowerLetter"/>
      <w:lvlText w:val="%2."/>
      <w:lvlJc w:val="left"/>
      <w:pPr>
        <w:tabs>
          <w:tab w:val="num" w:pos="1800"/>
        </w:tabs>
        <w:ind w:left="1800" w:hanging="360"/>
      </w:pPr>
      <w:rPr>
        <w:rFonts w:cs="Times New Roman"/>
      </w:rPr>
    </w:lvl>
    <w:lvl w:ilvl="2" w:tplc="29F6053E" w:tentative="1">
      <w:start w:val="1"/>
      <w:numFmt w:val="lowerRoman"/>
      <w:lvlText w:val="%3."/>
      <w:lvlJc w:val="right"/>
      <w:pPr>
        <w:tabs>
          <w:tab w:val="num" w:pos="2520"/>
        </w:tabs>
        <w:ind w:left="2520" w:hanging="180"/>
      </w:pPr>
      <w:rPr>
        <w:rFonts w:cs="Times New Roman"/>
      </w:rPr>
    </w:lvl>
    <w:lvl w:ilvl="3" w:tplc="8FFC22F0" w:tentative="1">
      <w:start w:val="1"/>
      <w:numFmt w:val="decimal"/>
      <w:lvlText w:val="%4."/>
      <w:lvlJc w:val="left"/>
      <w:pPr>
        <w:tabs>
          <w:tab w:val="num" w:pos="3240"/>
        </w:tabs>
        <w:ind w:left="3240" w:hanging="360"/>
      </w:pPr>
      <w:rPr>
        <w:rFonts w:cs="Times New Roman"/>
      </w:rPr>
    </w:lvl>
    <w:lvl w:ilvl="4" w:tplc="B700F90C" w:tentative="1">
      <w:start w:val="1"/>
      <w:numFmt w:val="lowerLetter"/>
      <w:lvlText w:val="%5."/>
      <w:lvlJc w:val="left"/>
      <w:pPr>
        <w:tabs>
          <w:tab w:val="num" w:pos="3960"/>
        </w:tabs>
        <w:ind w:left="3960" w:hanging="360"/>
      </w:pPr>
      <w:rPr>
        <w:rFonts w:cs="Times New Roman"/>
      </w:rPr>
    </w:lvl>
    <w:lvl w:ilvl="5" w:tplc="04B04CC8" w:tentative="1">
      <w:start w:val="1"/>
      <w:numFmt w:val="lowerRoman"/>
      <w:lvlText w:val="%6."/>
      <w:lvlJc w:val="right"/>
      <w:pPr>
        <w:tabs>
          <w:tab w:val="num" w:pos="4680"/>
        </w:tabs>
        <w:ind w:left="4680" w:hanging="180"/>
      </w:pPr>
      <w:rPr>
        <w:rFonts w:cs="Times New Roman"/>
      </w:rPr>
    </w:lvl>
    <w:lvl w:ilvl="6" w:tplc="F484019A" w:tentative="1">
      <w:start w:val="1"/>
      <w:numFmt w:val="decimal"/>
      <w:lvlText w:val="%7."/>
      <w:lvlJc w:val="left"/>
      <w:pPr>
        <w:tabs>
          <w:tab w:val="num" w:pos="5400"/>
        </w:tabs>
        <w:ind w:left="5400" w:hanging="360"/>
      </w:pPr>
      <w:rPr>
        <w:rFonts w:cs="Times New Roman"/>
      </w:rPr>
    </w:lvl>
    <w:lvl w:ilvl="7" w:tplc="CC206906" w:tentative="1">
      <w:start w:val="1"/>
      <w:numFmt w:val="lowerLetter"/>
      <w:lvlText w:val="%8."/>
      <w:lvlJc w:val="left"/>
      <w:pPr>
        <w:tabs>
          <w:tab w:val="num" w:pos="6120"/>
        </w:tabs>
        <w:ind w:left="6120" w:hanging="360"/>
      </w:pPr>
      <w:rPr>
        <w:rFonts w:cs="Times New Roman"/>
      </w:rPr>
    </w:lvl>
    <w:lvl w:ilvl="8" w:tplc="A87AC532" w:tentative="1">
      <w:start w:val="1"/>
      <w:numFmt w:val="lowerRoman"/>
      <w:lvlText w:val="%9."/>
      <w:lvlJc w:val="right"/>
      <w:pPr>
        <w:tabs>
          <w:tab w:val="num" w:pos="6840"/>
        </w:tabs>
        <w:ind w:left="6840" w:hanging="180"/>
      </w:pPr>
      <w:rPr>
        <w:rFonts w:cs="Times New Roman"/>
      </w:rPr>
    </w:lvl>
  </w:abstractNum>
  <w:abstractNum w:abstractNumId="19">
    <w:nsid w:val="4C3722E0"/>
    <w:multiLevelType w:val="hybridMultilevel"/>
    <w:tmpl w:val="610A1456"/>
    <w:lvl w:ilvl="0" w:tplc="5F9E8844">
      <w:start w:val="1"/>
      <w:numFmt w:val="bullet"/>
      <w:pStyle w:val="Footnotetextbulleted"/>
      <w:lvlText w:val=""/>
      <w:lvlJc w:val="left"/>
      <w:pPr>
        <w:ind w:left="720" w:hanging="360"/>
      </w:pPr>
      <w:rPr>
        <w:rFonts w:ascii="Symbol" w:hAnsi="Symbol" w:hint="default"/>
      </w:rPr>
    </w:lvl>
    <w:lvl w:ilvl="1" w:tplc="2138AB2A" w:tentative="1">
      <w:start w:val="1"/>
      <w:numFmt w:val="bullet"/>
      <w:lvlText w:val="o"/>
      <w:lvlJc w:val="left"/>
      <w:pPr>
        <w:ind w:left="1440" w:hanging="360"/>
      </w:pPr>
      <w:rPr>
        <w:rFonts w:ascii="Courier New" w:hAnsi="Courier New" w:hint="default"/>
      </w:rPr>
    </w:lvl>
    <w:lvl w:ilvl="2" w:tplc="14F09DA4" w:tentative="1">
      <w:start w:val="1"/>
      <w:numFmt w:val="bullet"/>
      <w:lvlText w:val=""/>
      <w:lvlJc w:val="left"/>
      <w:pPr>
        <w:ind w:left="2160" w:hanging="360"/>
      </w:pPr>
      <w:rPr>
        <w:rFonts w:ascii="Wingdings" w:hAnsi="Wingdings" w:hint="default"/>
      </w:rPr>
    </w:lvl>
    <w:lvl w:ilvl="3" w:tplc="1AA4504A" w:tentative="1">
      <w:start w:val="1"/>
      <w:numFmt w:val="bullet"/>
      <w:lvlText w:val=""/>
      <w:lvlJc w:val="left"/>
      <w:pPr>
        <w:ind w:left="2880" w:hanging="360"/>
      </w:pPr>
      <w:rPr>
        <w:rFonts w:ascii="Symbol" w:hAnsi="Symbol" w:hint="default"/>
      </w:rPr>
    </w:lvl>
    <w:lvl w:ilvl="4" w:tplc="7A3CE806" w:tentative="1">
      <w:start w:val="1"/>
      <w:numFmt w:val="bullet"/>
      <w:lvlText w:val="o"/>
      <w:lvlJc w:val="left"/>
      <w:pPr>
        <w:ind w:left="3600" w:hanging="360"/>
      </w:pPr>
      <w:rPr>
        <w:rFonts w:ascii="Courier New" w:hAnsi="Courier New" w:hint="default"/>
      </w:rPr>
    </w:lvl>
    <w:lvl w:ilvl="5" w:tplc="CFFC74AA" w:tentative="1">
      <w:start w:val="1"/>
      <w:numFmt w:val="bullet"/>
      <w:lvlText w:val=""/>
      <w:lvlJc w:val="left"/>
      <w:pPr>
        <w:ind w:left="4320" w:hanging="360"/>
      </w:pPr>
      <w:rPr>
        <w:rFonts w:ascii="Wingdings" w:hAnsi="Wingdings" w:hint="default"/>
      </w:rPr>
    </w:lvl>
    <w:lvl w:ilvl="6" w:tplc="374E39BA" w:tentative="1">
      <w:start w:val="1"/>
      <w:numFmt w:val="bullet"/>
      <w:lvlText w:val=""/>
      <w:lvlJc w:val="left"/>
      <w:pPr>
        <w:ind w:left="5040" w:hanging="360"/>
      </w:pPr>
      <w:rPr>
        <w:rFonts w:ascii="Symbol" w:hAnsi="Symbol" w:hint="default"/>
      </w:rPr>
    </w:lvl>
    <w:lvl w:ilvl="7" w:tplc="1BC84F78" w:tentative="1">
      <w:start w:val="1"/>
      <w:numFmt w:val="bullet"/>
      <w:lvlText w:val="o"/>
      <w:lvlJc w:val="left"/>
      <w:pPr>
        <w:ind w:left="5760" w:hanging="360"/>
      </w:pPr>
      <w:rPr>
        <w:rFonts w:ascii="Courier New" w:hAnsi="Courier New" w:hint="default"/>
      </w:rPr>
    </w:lvl>
    <w:lvl w:ilvl="8" w:tplc="272880D4" w:tentative="1">
      <w:start w:val="1"/>
      <w:numFmt w:val="bullet"/>
      <w:lvlText w:val=""/>
      <w:lvlJc w:val="left"/>
      <w:pPr>
        <w:ind w:left="6480" w:hanging="360"/>
      </w:pPr>
      <w:rPr>
        <w:rFonts w:ascii="Wingdings" w:hAnsi="Wingdings" w:hint="default"/>
      </w:rPr>
    </w:lvl>
  </w:abstractNum>
  <w:abstractNum w:abstractNumId="20">
    <w:nsid w:val="50FF0B14"/>
    <w:multiLevelType w:val="hybridMultilevel"/>
    <w:tmpl w:val="8C981228"/>
    <w:lvl w:ilvl="0" w:tplc="08981A52">
      <w:start w:val="1"/>
      <w:numFmt w:val="bullet"/>
      <w:pStyle w:val="CommentSubject"/>
      <w:lvlText w:val=""/>
      <w:lvlJc w:val="left"/>
      <w:pPr>
        <w:tabs>
          <w:tab w:val="num" w:pos="720"/>
        </w:tabs>
        <w:ind w:left="720" w:hanging="360"/>
      </w:pPr>
      <w:rPr>
        <w:rFonts w:ascii="Symbol" w:hAnsi="Symbol" w:hint="default"/>
      </w:rPr>
    </w:lvl>
    <w:lvl w:ilvl="1" w:tplc="05BC6E06" w:tentative="1">
      <w:start w:val="1"/>
      <w:numFmt w:val="bullet"/>
      <w:lvlText w:val="o"/>
      <w:lvlJc w:val="left"/>
      <w:pPr>
        <w:tabs>
          <w:tab w:val="num" w:pos="1440"/>
        </w:tabs>
        <w:ind w:left="1440" w:hanging="360"/>
      </w:pPr>
      <w:rPr>
        <w:rFonts w:ascii="Courier New" w:hAnsi="Courier New" w:hint="default"/>
      </w:rPr>
    </w:lvl>
    <w:lvl w:ilvl="2" w:tplc="4372F9D0" w:tentative="1">
      <w:start w:val="1"/>
      <w:numFmt w:val="bullet"/>
      <w:lvlText w:val=""/>
      <w:lvlJc w:val="left"/>
      <w:pPr>
        <w:tabs>
          <w:tab w:val="num" w:pos="2160"/>
        </w:tabs>
        <w:ind w:left="2160" w:hanging="360"/>
      </w:pPr>
      <w:rPr>
        <w:rFonts w:ascii="Wingdings" w:hAnsi="Wingdings" w:hint="default"/>
      </w:rPr>
    </w:lvl>
    <w:lvl w:ilvl="3" w:tplc="30D4C63E" w:tentative="1">
      <w:start w:val="1"/>
      <w:numFmt w:val="bullet"/>
      <w:lvlText w:val=""/>
      <w:lvlJc w:val="left"/>
      <w:pPr>
        <w:tabs>
          <w:tab w:val="num" w:pos="2880"/>
        </w:tabs>
        <w:ind w:left="2880" w:hanging="360"/>
      </w:pPr>
      <w:rPr>
        <w:rFonts w:ascii="Symbol" w:hAnsi="Symbol" w:hint="default"/>
      </w:rPr>
    </w:lvl>
    <w:lvl w:ilvl="4" w:tplc="AFECA43A" w:tentative="1">
      <w:start w:val="1"/>
      <w:numFmt w:val="bullet"/>
      <w:lvlText w:val="o"/>
      <w:lvlJc w:val="left"/>
      <w:pPr>
        <w:tabs>
          <w:tab w:val="num" w:pos="3600"/>
        </w:tabs>
        <w:ind w:left="3600" w:hanging="360"/>
      </w:pPr>
      <w:rPr>
        <w:rFonts w:ascii="Courier New" w:hAnsi="Courier New" w:hint="default"/>
      </w:rPr>
    </w:lvl>
    <w:lvl w:ilvl="5" w:tplc="CB96AF30" w:tentative="1">
      <w:start w:val="1"/>
      <w:numFmt w:val="bullet"/>
      <w:lvlText w:val=""/>
      <w:lvlJc w:val="left"/>
      <w:pPr>
        <w:tabs>
          <w:tab w:val="num" w:pos="4320"/>
        </w:tabs>
        <w:ind w:left="4320" w:hanging="360"/>
      </w:pPr>
      <w:rPr>
        <w:rFonts w:ascii="Wingdings" w:hAnsi="Wingdings" w:hint="default"/>
      </w:rPr>
    </w:lvl>
    <w:lvl w:ilvl="6" w:tplc="64FA303A" w:tentative="1">
      <w:start w:val="1"/>
      <w:numFmt w:val="bullet"/>
      <w:lvlText w:val=""/>
      <w:lvlJc w:val="left"/>
      <w:pPr>
        <w:tabs>
          <w:tab w:val="num" w:pos="5040"/>
        </w:tabs>
        <w:ind w:left="5040" w:hanging="360"/>
      </w:pPr>
      <w:rPr>
        <w:rFonts w:ascii="Symbol" w:hAnsi="Symbol" w:hint="default"/>
      </w:rPr>
    </w:lvl>
    <w:lvl w:ilvl="7" w:tplc="678CEFCA" w:tentative="1">
      <w:start w:val="1"/>
      <w:numFmt w:val="bullet"/>
      <w:lvlText w:val="o"/>
      <w:lvlJc w:val="left"/>
      <w:pPr>
        <w:tabs>
          <w:tab w:val="num" w:pos="5760"/>
        </w:tabs>
        <w:ind w:left="5760" w:hanging="360"/>
      </w:pPr>
      <w:rPr>
        <w:rFonts w:ascii="Courier New" w:hAnsi="Courier New" w:hint="default"/>
      </w:rPr>
    </w:lvl>
    <w:lvl w:ilvl="8" w:tplc="BB1A434A" w:tentative="1">
      <w:start w:val="1"/>
      <w:numFmt w:val="bullet"/>
      <w:lvlText w:val=""/>
      <w:lvlJc w:val="left"/>
      <w:pPr>
        <w:tabs>
          <w:tab w:val="num" w:pos="6480"/>
        </w:tabs>
        <w:ind w:left="6480" w:hanging="360"/>
      </w:pPr>
      <w:rPr>
        <w:rFonts w:ascii="Wingdings" w:hAnsi="Wingdings" w:hint="default"/>
      </w:rPr>
    </w:lvl>
  </w:abstractNum>
  <w:abstractNum w:abstractNumId="21">
    <w:nsid w:val="570E7387"/>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22">
    <w:nsid w:val="5C4F1F20"/>
    <w:multiLevelType w:val="hybridMultilevel"/>
    <w:tmpl w:val="77FA370A"/>
    <w:lvl w:ilvl="0" w:tplc="1BC82D7E">
      <w:start w:val="1"/>
      <w:numFmt w:val="bullet"/>
      <w:pStyle w:val="Listbulletsub"/>
      <w:lvlText w:val="o"/>
      <w:lvlJc w:val="left"/>
      <w:pPr>
        <w:ind w:left="720" w:hanging="360"/>
      </w:pPr>
      <w:rPr>
        <w:rFonts w:ascii="Courier New" w:hAnsi="Courier New" w:hint="default"/>
      </w:rPr>
    </w:lvl>
    <w:lvl w:ilvl="1" w:tplc="9DF40106" w:tentative="1">
      <w:start w:val="1"/>
      <w:numFmt w:val="bullet"/>
      <w:lvlText w:val="o"/>
      <w:lvlJc w:val="left"/>
      <w:pPr>
        <w:ind w:left="1440" w:hanging="360"/>
      </w:pPr>
      <w:rPr>
        <w:rFonts w:ascii="Courier New" w:hAnsi="Courier New" w:hint="default"/>
      </w:rPr>
    </w:lvl>
    <w:lvl w:ilvl="2" w:tplc="A080C036" w:tentative="1">
      <w:start w:val="1"/>
      <w:numFmt w:val="bullet"/>
      <w:lvlText w:val=""/>
      <w:lvlJc w:val="left"/>
      <w:pPr>
        <w:ind w:left="2160" w:hanging="360"/>
      </w:pPr>
      <w:rPr>
        <w:rFonts w:ascii="Wingdings" w:hAnsi="Wingdings" w:hint="default"/>
      </w:rPr>
    </w:lvl>
    <w:lvl w:ilvl="3" w:tplc="82BCED68" w:tentative="1">
      <w:start w:val="1"/>
      <w:numFmt w:val="bullet"/>
      <w:lvlText w:val=""/>
      <w:lvlJc w:val="left"/>
      <w:pPr>
        <w:ind w:left="2880" w:hanging="360"/>
      </w:pPr>
      <w:rPr>
        <w:rFonts w:ascii="Symbol" w:hAnsi="Symbol" w:hint="default"/>
      </w:rPr>
    </w:lvl>
    <w:lvl w:ilvl="4" w:tplc="41864290" w:tentative="1">
      <w:start w:val="1"/>
      <w:numFmt w:val="bullet"/>
      <w:lvlText w:val="o"/>
      <w:lvlJc w:val="left"/>
      <w:pPr>
        <w:ind w:left="3600" w:hanging="360"/>
      </w:pPr>
      <w:rPr>
        <w:rFonts w:ascii="Courier New" w:hAnsi="Courier New" w:hint="default"/>
      </w:rPr>
    </w:lvl>
    <w:lvl w:ilvl="5" w:tplc="0526BFE2" w:tentative="1">
      <w:start w:val="1"/>
      <w:numFmt w:val="bullet"/>
      <w:lvlText w:val=""/>
      <w:lvlJc w:val="left"/>
      <w:pPr>
        <w:ind w:left="4320" w:hanging="360"/>
      </w:pPr>
      <w:rPr>
        <w:rFonts w:ascii="Wingdings" w:hAnsi="Wingdings" w:hint="default"/>
      </w:rPr>
    </w:lvl>
    <w:lvl w:ilvl="6" w:tplc="E904E6C2" w:tentative="1">
      <w:start w:val="1"/>
      <w:numFmt w:val="bullet"/>
      <w:lvlText w:val=""/>
      <w:lvlJc w:val="left"/>
      <w:pPr>
        <w:ind w:left="5040" w:hanging="360"/>
      </w:pPr>
      <w:rPr>
        <w:rFonts w:ascii="Symbol" w:hAnsi="Symbol" w:hint="default"/>
      </w:rPr>
    </w:lvl>
    <w:lvl w:ilvl="7" w:tplc="33500AEE" w:tentative="1">
      <w:start w:val="1"/>
      <w:numFmt w:val="bullet"/>
      <w:lvlText w:val="o"/>
      <w:lvlJc w:val="left"/>
      <w:pPr>
        <w:ind w:left="5760" w:hanging="360"/>
      </w:pPr>
      <w:rPr>
        <w:rFonts w:ascii="Courier New" w:hAnsi="Courier New" w:hint="default"/>
      </w:rPr>
    </w:lvl>
    <w:lvl w:ilvl="8" w:tplc="9458936A" w:tentative="1">
      <w:start w:val="1"/>
      <w:numFmt w:val="bullet"/>
      <w:lvlText w:val=""/>
      <w:lvlJc w:val="left"/>
      <w:pPr>
        <w:ind w:left="6480" w:hanging="360"/>
      </w:pPr>
      <w:rPr>
        <w:rFonts w:ascii="Wingdings" w:hAnsi="Wingdings" w:hint="default"/>
      </w:rPr>
    </w:lvl>
  </w:abstractNum>
  <w:abstractNum w:abstractNumId="23">
    <w:nsid w:val="620B017C"/>
    <w:multiLevelType w:val="singleLevel"/>
    <w:tmpl w:val="FDD09E46"/>
    <w:lvl w:ilvl="0">
      <w:start w:val="1"/>
      <w:numFmt w:val="decimal"/>
      <w:pStyle w:val="Numberedlist"/>
      <w:lvlText w:val="%1."/>
      <w:lvlJc w:val="left"/>
      <w:pPr>
        <w:tabs>
          <w:tab w:val="num" w:pos="360"/>
        </w:tabs>
        <w:ind w:left="360" w:hanging="360"/>
      </w:pPr>
      <w:rPr>
        <w:rFonts w:cs="Times New Roman" w:hint="default"/>
      </w:rPr>
    </w:lvl>
  </w:abstractNum>
  <w:abstractNum w:abstractNumId="24">
    <w:nsid w:val="68875DAA"/>
    <w:multiLevelType w:val="hybridMultilevel"/>
    <w:tmpl w:val="2BD2863C"/>
    <w:lvl w:ilvl="0" w:tplc="BC48C990">
      <w:start w:val="1"/>
      <w:numFmt w:val="bullet"/>
      <w:pStyle w:val="BodyText3"/>
      <w:lvlText w:val=""/>
      <w:lvlJc w:val="left"/>
      <w:pPr>
        <w:tabs>
          <w:tab w:val="num" w:pos="360"/>
        </w:tabs>
        <w:ind w:left="360" w:hanging="360"/>
      </w:pPr>
      <w:rPr>
        <w:rFonts w:ascii="Symbol" w:hAnsi="Symbol" w:hint="default"/>
      </w:rPr>
    </w:lvl>
    <w:lvl w:ilvl="1" w:tplc="40BE24CA" w:tentative="1">
      <w:start w:val="1"/>
      <w:numFmt w:val="bullet"/>
      <w:lvlText w:val="o"/>
      <w:lvlJc w:val="left"/>
      <w:pPr>
        <w:tabs>
          <w:tab w:val="num" w:pos="1080"/>
        </w:tabs>
        <w:ind w:left="1080" w:hanging="360"/>
      </w:pPr>
      <w:rPr>
        <w:rFonts w:ascii="Courier New" w:hAnsi="Courier New" w:hint="default"/>
      </w:rPr>
    </w:lvl>
    <w:lvl w:ilvl="2" w:tplc="E536EDC2" w:tentative="1">
      <w:start w:val="1"/>
      <w:numFmt w:val="bullet"/>
      <w:lvlText w:val=""/>
      <w:lvlJc w:val="left"/>
      <w:pPr>
        <w:tabs>
          <w:tab w:val="num" w:pos="1800"/>
        </w:tabs>
        <w:ind w:left="1800" w:hanging="360"/>
      </w:pPr>
      <w:rPr>
        <w:rFonts w:ascii="Wingdings" w:hAnsi="Wingdings" w:hint="default"/>
      </w:rPr>
    </w:lvl>
    <w:lvl w:ilvl="3" w:tplc="D60C4A44" w:tentative="1">
      <w:start w:val="1"/>
      <w:numFmt w:val="bullet"/>
      <w:lvlText w:val=""/>
      <w:lvlJc w:val="left"/>
      <w:pPr>
        <w:tabs>
          <w:tab w:val="num" w:pos="2520"/>
        </w:tabs>
        <w:ind w:left="2520" w:hanging="360"/>
      </w:pPr>
      <w:rPr>
        <w:rFonts w:ascii="Symbol" w:hAnsi="Symbol" w:hint="default"/>
      </w:rPr>
    </w:lvl>
    <w:lvl w:ilvl="4" w:tplc="8BEC7468" w:tentative="1">
      <w:start w:val="1"/>
      <w:numFmt w:val="bullet"/>
      <w:lvlText w:val="o"/>
      <w:lvlJc w:val="left"/>
      <w:pPr>
        <w:tabs>
          <w:tab w:val="num" w:pos="3240"/>
        </w:tabs>
        <w:ind w:left="3240" w:hanging="360"/>
      </w:pPr>
      <w:rPr>
        <w:rFonts w:ascii="Courier New" w:hAnsi="Courier New" w:hint="default"/>
      </w:rPr>
    </w:lvl>
    <w:lvl w:ilvl="5" w:tplc="3454C33A" w:tentative="1">
      <w:start w:val="1"/>
      <w:numFmt w:val="bullet"/>
      <w:lvlText w:val=""/>
      <w:lvlJc w:val="left"/>
      <w:pPr>
        <w:tabs>
          <w:tab w:val="num" w:pos="3960"/>
        </w:tabs>
        <w:ind w:left="3960" w:hanging="360"/>
      </w:pPr>
      <w:rPr>
        <w:rFonts w:ascii="Wingdings" w:hAnsi="Wingdings" w:hint="default"/>
      </w:rPr>
    </w:lvl>
    <w:lvl w:ilvl="6" w:tplc="0AD4BF10" w:tentative="1">
      <w:start w:val="1"/>
      <w:numFmt w:val="bullet"/>
      <w:lvlText w:val=""/>
      <w:lvlJc w:val="left"/>
      <w:pPr>
        <w:tabs>
          <w:tab w:val="num" w:pos="4680"/>
        </w:tabs>
        <w:ind w:left="4680" w:hanging="360"/>
      </w:pPr>
      <w:rPr>
        <w:rFonts w:ascii="Symbol" w:hAnsi="Symbol" w:hint="default"/>
      </w:rPr>
    </w:lvl>
    <w:lvl w:ilvl="7" w:tplc="6904600E" w:tentative="1">
      <w:start w:val="1"/>
      <w:numFmt w:val="bullet"/>
      <w:lvlText w:val="o"/>
      <w:lvlJc w:val="left"/>
      <w:pPr>
        <w:tabs>
          <w:tab w:val="num" w:pos="5400"/>
        </w:tabs>
        <w:ind w:left="5400" w:hanging="360"/>
      </w:pPr>
      <w:rPr>
        <w:rFonts w:ascii="Courier New" w:hAnsi="Courier New" w:hint="default"/>
      </w:rPr>
    </w:lvl>
    <w:lvl w:ilvl="8" w:tplc="8B68A84C" w:tentative="1">
      <w:start w:val="1"/>
      <w:numFmt w:val="bullet"/>
      <w:lvlText w:val=""/>
      <w:lvlJc w:val="left"/>
      <w:pPr>
        <w:tabs>
          <w:tab w:val="num" w:pos="6120"/>
        </w:tabs>
        <w:ind w:left="6120" w:hanging="360"/>
      </w:pPr>
      <w:rPr>
        <w:rFonts w:ascii="Wingdings" w:hAnsi="Wingdings" w:hint="default"/>
      </w:rPr>
    </w:lvl>
  </w:abstractNum>
  <w:abstractNum w:abstractNumId="25">
    <w:nsid w:val="758A761C"/>
    <w:multiLevelType w:val="multilevel"/>
    <w:tmpl w:val="0CB4DA86"/>
    <w:lvl w:ilvl="0">
      <w:start w:val="1"/>
      <w:numFmt w:val="decimal"/>
      <w:pStyle w:val="StylenumberedbodytextBold"/>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b/>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6">
    <w:nsid w:val="7D2E18E3"/>
    <w:multiLevelType w:val="hybridMultilevel"/>
    <w:tmpl w:val="DD1CF47A"/>
    <w:lvl w:ilvl="0" w:tplc="42564E46">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hint="default"/>
      </w:rPr>
    </w:lvl>
    <w:lvl w:ilvl="8" w:tplc="04090005" w:tentative="1">
      <w:start w:val="1"/>
      <w:numFmt w:val="bullet"/>
      <w:lvlText w:val=""/>
      <w:lvlJc w:val="left"/>
      <w:pPr>
        <w:ind w:left="7128" w:hanging="360"/>
      </w:pPr>
      <w:rPr>
        <w:rFonts w:ascii="Wingdings" w:hAnsi="Wingdings" w:hint="default"/>
      </w:rPr>
    </w:lvl>
  </w:abstractNum>
  <w:num w:numId="1">
    <w:abstractNumId w:val="9"/>
  </w:num>
  <w:num w:numId="2">
    <w:abstractNumId w:val="7"/>
  </w:num>
  <w:num w:numId="3">
    <w:abstractNumId w:val="14"/>
  </w:num>
  <w:num w:numId="4">
    <w:abstractNumId w:val="11"/>
  </w:num>
  <w:num w:numId="5">
    <w:abstractNumId w:val="13"/>
  </w:num>
  <w:num w:numId="6">
    <w:abstractNumId w:val="25"/>
  </w:num>
  <w:num w:numId="7">
    <w:abstractNumId w:val="24"/>
  </w:num>
  <w:num w:numId="8">
    <w:abstractNumId w:val="18"/>
  </w:num>
  <w:num w:numId="9">
    <w:abstractNumId w:val="18"/>
    <w:lvlOverride w:ilvl="0">
      <w:startOverride w:val="1"/>
    </w:lvlOverride>
  </w:num>
  <w:num w:numId="10">
    <w:abstractNumId w:val="16"/>
  </w:num>
  <w:num w:numId="11">
    <w:abstractNumId w:val="20"/>
  </w:num>
  <w:num w:numId="12">
    <w:abstractNumId w:val="21"/>
  </w:num>
  <w:num w:numId="13">
    <w:abstractNumId w:val="23"/>
  </w:num>
  <w:num w:numId="14">
    <w:abstractNumId w:val="12"/>
  </w:num>
  <w:num w:numId="15">
    <w:abstractNumId w:val="26"/>
  </w:num>
  <w:num w:numId="16">
    <w:abstractNumId w:val="10"/>
  </w:num>
  <w:num w:numId="17">
    <w:abstractNumId w:val="19"/>
  </w:num>
  <w:num w:numId="18">
    <w:abstractNumId w:val="22"/>
  </w:num>
  <w:num w:numId="19">
    <w:abstractNumId w:val="17"/>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E04"/>
  <w:defaultTabStop w:val="720"/>
  <w:drawingGridHorizontalSpacing w:val="120"/>
  <w:drawingGridVerticalSpacing w:val="187"/>
  <w:displayHorizontalDrawingGridEvery w:val="2"/>
  <w:noPunctuationKerning/>
  <w:characterSpacingControl w:val="doNotCompress"/>
  <w:hdrShapeDefaults>
    <o:shapedefaults v:ext="edit" spidmax="2053">
      <o:colormenu v:ext="edit" strokecolor="none"/>
    </o:shapedefaults>
    <o:shapelayout v:ext="edit">
      <o:idmap v:ext="edit" data="2"/>
    </o:shapelayout>
  </w:hdrShapeDefaults>
  <w:footnotePr>
    <w:numFmt w:val="lowerLetter"/>
    <w:footnote w:id="-1"/>
    <w:footnote w:id="0"/>
  </w:footnotePr>
  <w:endnotePr>
    <w:endnote w:id="-1"/>
    <w:endnote w:id="0"/>
  </w:endnotePr>
  <w:compat/>
  <w:rsids>
    <w:rsidRoot w:val="00617E31"/>
    <w:rsid w:val="00000364"/>
    <w:rsid w:val="000007F3"/>
    <w:rsid w:val="00000949"/>
    <w:rsid w:val="00000A8F"/>
    <w:rsid w:val="00000F20"/>
    <w:rsid w:val="00000F42"/>
    <w:rsid w:val="00001050"/>
    <w:rsid w:val="00001542"/>
    <w:rsid w:val="00001D8C"/>
    <w:rsid w:val="000025CA"/>
    <w:rsid w:val="000036CC"/>
    <w:rsid w:val="00003FEC"/>
    <w:rsid w:val="00004B28"/>
    <w:rsid w:val="0000585E"/>
    <w:rsid w:val="00005CF2"/>
    <w:rsid w:val="00005F6C"/>
    <w:rsid w:val="00006092"/>
    <w:rsid w:val="0000624D"/>
    <w:rsid w:val="00006580"/>
    <w:rsid w:val="00006B5A"/>
    <w:rsid w:val="0001048A"/>
    <w:rsid w:val="0001060D"/>
    <w:rsid w:val="000107DD"/>
    <w:rsid w:val="00010A12"/>
    <w:rsid w:val="00010A5A"/>
    <w:rsid w:val="00010AC6"/>
    <w:rsid w:val="00010E67"/>
    <w:rsid w:val="00010FF3"/>
    <w:rsid w:val="0001156C"/>
    <w:rsid w:val="000125C6"/>
    <w:rsid w:val="00012923"/>
    <w:rsid w:val="00012D7B"/>
    <w:rsid w:val="00013194"/>
    <w:rsid w:val="00013350"/>
    <w:rsid w:val="000137B3"/>
    <w:rsid w:val="00013C7B"/>
    <w:rsid w:val="00013EE9"/>
    <w:rsid w:val="000140CF"/>
    <w:rsid w:val="00014809"/>
    <w:rsid w:val="00015D24"/>
    <w:rsid w:val="00016A28"/>
    <w:rsid w:val="00016C5F"/>
    <w:rsid w:val="00016CDD"/>
    <w:rsid w:val="00016D11"/>
    <w:rsid w:val="00017752"/>
    <w:rsid w:val="00020138"/>
    <w:rsid w:val="0002039F"/>
    <w:rsid w:val="00020917"/>
    <w:rsid w:val="000210C5"/>
    <w:rsid w:val="000215AB"/>
    <w:rsid w:val="00021B2F"/>
    <w:rsid w:val="000220C3"/>
    <w:rsid w:val="000224D4"/>
    <w:rsid w:val="000225B6"/>
    <w:rsid w:val="0002274D"/>
    <w:rsid w:val="00022AB1"/>
    <w:rsid w:val="000231E3"/>
    <w:rsid w:val="000233A1"/>
    <w:rsid w:val="00023663"/>
    <w:rsid w:val="0002372B"/>
    <w:rsid w:val="00023FA0"/>
    <w:rsid w:val="00024BBD"/>
    <w:rsid w:val="00024F4A"/>
    <w:rsid w:val="000254C0"/>
    <w:rsid w:val="000258D3"/>
    <w:rsid w:val="00025BF8"/>
    <w:rsid w:val="00026328"/>
    <w:rsid w:val="000268AC"/>
    <w:rsid w:val="000268B0"/>
    <w:rsid w:val="00026CF0"/>
    <w:rsid w:val="000270E6"/>
    <w:rsid w:val="000271F4"/>
    <w:rsid w:val="00027277"/>
    <w:rsid w:val="00027609"/>
    <w:rsid w:val="000276AF"/>
    <w:rsid w:val="00027B0E"/>
    <w:rsid w:val="00030356"/>
    <w:rsid w:val="000303BC"/>
    <w:rsid w:val="000309E2"/>
    <w:rsid w:val="000317B9"/>
    <w:rsid w:val="00031817"/>
    <w:rsid w:val="0003275E"/>
    <w:rsid w:val="00033D98"/>
    <w:rsid w:val="00034F11"/>
    <w:rsid w:val="00035B69"/>
    <w:rsid w:val="00035D93"/>
    <w:rsid w:val="00035DD2"/>
    <w:rsid w:val="00036290"/>
    <w:rsid w:val="000364DC"/>
    <w:rsid w:val="0003669E"/>
    <w:rsid w:val="00036C69"/>
    <w:rsid w:val="00037148"/>
    <w:rsid w:val="00037173"/>
    <w:rsid w:val="000379DA"/>
    <w:rsid w:val="00037C68"/>
    <w:rsid w:val="00037E0F"/>
    <w:rsid w:val="00037F51"/>
    <w:rsid w:val="000400D8"/>
    <w:rsid w:val="000401CA"/>
    <w:rsid w:val="0004087C"/>
    <w:rsid w:val="00041160"/>
    <w:rsid w:val="00041B72"/>
    <w:rsid w:val="0004233C"/>
    <w:rsid w:val="00042B91"/>
    <w:rsid w:val="00043061"/>
    <w:rsid w:val="00043110"/>
    <w:rsid w:val="00043762"/>
    <w:rsid w:val="00043A71"/>
    <w:rsid w:val="00043C51"/>
    <w:rsid w:val="00043E50"/>
    <w:rsid w:val="0004470A"/>
    <w:rsid w:val="00044ABF"/>
    <w:rsid w:val="00044CA5"/>
    <w:rsid w:val="0004519B"/>
    <w:rsid w:val="000451D8"/>
    <w:rsid w:val="000458DC"/>
    <w:rsid w:val="00045E05"/>
    <w:rsid w:val="00046826"/>
    <w:rsid w:val="0004797A"/>
    <w:rsid w:val="0005023C"/>
    <w:rsid w:val="00050569"/>
    <w:rsid w:val="00050863"/>
    <w:rsid w:val="000509A2"/>
    <w:rsid w:val="00050C6A"/>
    <w:rsid w:val="00050DEB"/>
    <w:rsid w:val="000511AC"/>
    <w:rsid w:val="000513E2"/>
    <w:rsid w:val="00051B37"/>
    <w:rsid w:val="0005212E"/>
    <w:rsid w:val="000524CB"/>
    <w:rsid w:val="00052872"/>
    <w:rsid w:val="00053164"/>
    <w:rsid w:val="00053766"/>
    <w:rsid w:val="000538FA"/>
    <w:rsid w:val="00053E33"/>
    <w:rsid w:val="00053F7A"/>
    <w:rsid w:val="000542E5"/>
    <w:rsid w:val="0005447D"/>
    <w:rsid w:val="00054657"/>
    <w:rsid w:val="0005481D"/>
    <w:rsid w:val="00054A44"/>
    <w:rsid w:val="00054F9A"/>
    <w:rsid w:val="000552BE"/>
    <w:rsid w:val="00055A60"/>
    <w:rsid w:val="00055DFC"/>
    <w:rsid w:val="000564EA"/>
    <w:rsid w:val="00056E75"/>
    <w:rsid w:val="00057073"/>
    <w:rsid w:val="00057213"/>
    <w:rsid w:val="00057328"/>
    <w:rsid w:val="00057676"/>
    <w:rsid w:val="000576B4"/>
    <w:rsid w:val="00057760"/>
    <w:rsid w:val="0005791C"/>
    <w:rsid w:val="00057A40"/>
    <w:rsid w:val="00057DBC"/>
    <w:rsid w:val="0006010F"/>
    <w:rsid w:val="000608B7"/>
    <w:rsid w:val="000609E3"/>
    <w:rsid w:val="00060AA0"/>
    <w:rsid w:val="00060FFD"/>
    <w:rsid w:val="000615B5"/>
    <w:rsid w:val="00061741"/>
    <w:rsid w:val="00062DD6"/>
    <w:rsid w:val="00063599"/>
    <w:rsid w:val="00063635"/>
    <w:rsid w:val="00063DD9"/>
    <w:rsid w:val="00065680"/>
    <w:rsid w:val="00065A57"/>
    <w:rsid w:val="00065A87"/>
    <w:rsid w:val="00065BE4"/>
    <w:rsid w:val="00065DA9"/>
    <w:rsid w:val="0006666E"/>
    <w:rsid w:val="00066ECC"/>
    <w:rsid w:val="00067071"/>
    <w:rsid w:val="00067E89"/>
    <w:rsid w:val="00071338"/>
    <w:rsid w:val="00072556"/>
    <w:rsid w:val="00072A59"/>
    <w:rsid w:val="00072C64"/>
    <w:rsid w:val="00072D59"/>
    <w:rsid w:val="0007335C"/>
    <w:rsid w:val="000740D5"/>
    <w:rsid w:val="000750BA"/>
    <w:rsid w:val="00075119"/>
    <w:rsid w:val="00075600"/>
    <w:rsid w:val="00075887"/>
    <w:rsid w:val="00075E02"/>
    <w:rsid w:val="00076746"/>
    <w:rsid w:val="00076ABE"/>
    <w:rsid w:val="00076AE5"/>
    <w:rsid w:val="00077278"/>
    <w:rsid w:val="00077430"/>
    <w:rsid w:val="00077678"/>
    <w:rsid w:val="00077A89"/>
    <w:rsid w:val="00077D19"/>
    <w:rsid w:val="00080B72"/>
    <w:rsid w:val="00080D93"/>
    <w:rsid w:val="00080ECF"/>
    <w:rsid w:val="000816DE"/>
    <w:rsid w:val="00081A61"/>
    <w:rsid w:val="00081C84"/>
    <w:rsid w:val="000820CB"/>
    <w:rsid w:val="0008214F"/>
    <w:rsid w:val="0008240B"/>
    <w:rsid w:val="00082790"/>
    <w:rsid w:val="0008315F"/>
    <w:rsid w:val="00084130"/>
    <w:rsid w:val="000841E3"/>
    <w:rsid w:val="0008467F"/>
    <w:rsid w:val="00084A3D"/>
    <w:rsid w:val="00084DB2"/>
    <w:rsid w:val="00085382"/>
    <w:rsid w:val="00085C73"/>
    <w:rsid w:val="00085F95"/>
    <w:rsid w:val="00086008"/>
    <w:rsid w:val="00086386"/>
    <w:rsid w:val="000867A1"/>
    <w:rsid w:val="0008690E"/>
    <w:rsid w:val="00086EED"/>
    <w:rsid w:val="000877C3"/>
    <w:rsid w:val="00090089"/>
    <w:rsid w:val="000901AA"/>
    <w:rsid w:val="000901E5"/>
    <w:rsid w:val="000907C5"/>
    <w:rsid w:val="0009121C"/>
    <w:rsid w:val="000913A2"/>
    <w:rsid w:val="00091737"/>
    <w:rsid w:val="00091774"/>
    <w:rsid w:val="00091A9A"/>
    <w:rsid w:val="00091FFA"/>
    <w:rsid w:val="000932BE"/>
    <w:rsid w:val="0009429B"/>
    <w:rsid w:val="000943AF"/>
    <w:rsid w:val="000945E1"/>
    <w:rsid w:val="00094947"/>
    <w:rsid w:val="0009515F"/>
    <w:rsid w:val="000956CA"/>
    <w:rsid w:val="00096D26"/>
    <w:rsid w:val="0009722C"/>
    <w:rsid w:val="00097ED9"/>
    <w:rsid w:val="000A0002"/>
    <w:rsid w:val="000A0B3D"/>
    <w:rsid w:val="000A0CD6"/>
    <w:rsid w:val="000A0DAC"/>
    <w:rsid w:val="000A133B"/>
    <w:rsid w:val="000A1C60"/>
    <w:rsid w:val="000A1DD2"/>
    <w:rsid w:val="000A1EAC"/>
    <w:rsid w:val="000A27B8"/>
    <w:rsid w:val="000A2FED"/>
    <w:rsid w:val="000A36F9"/>
    <w:rsid w:val="000A3FF0"/>
    <w:rsid w:val="000A40C8"/>
    <w:rsid w:val="000A4132"/>
    <w:rsid w:val="000A42AD"/>
    <w:rsid w:val="000A43FF"/>
    <w:rsid w:val="000A45F4"/>
    <w:rsid w:val="000A478D"/>
    <w:rsid w:val="000A48A8"/>
    <w:rsid w:val="000A4B32"/>
    <w:rsid w:val="000A4D55"/>
    <w:rsid w:val="000A56E4"/>
    <w:rsid w:val="000A5739"/>
    <w:rsid w:val="000A6359"/>
    <w:rsid w:val="000A636F"/>
    <w:rsid w:val="000A6419"/>
    <w:rsid w:val="000A6A55"/>
    <w:rsid w:val="000A752E"/>
    <w:rsid w:val="000A7924"/>
    <w:rsid w:val="000A79F3"/>
    <w:rsid w:val="000A7BA2"/>
    <w:rsid w:val="000B031F"/>
    <w:rsid w:val="000B0F26"/>
    <w:rsid w:val="000B1647"/>
    <w:rsid w:val="000B1ABF"/>
    <w:rsid w:val="000B1D8D"/>
    <w:rsid w:val="000B1EC6"/>
    <w:rsid w:val="000B2A6B"/>
    <w:rsid w:val="000B2C2B"/>
    <w:rsid w:val="000B3331"/>
    <w:rsid w:val="000B3CCC"/>
    <w:rsid w:val="000B3DE6"/>
    <w:rsid w:val="000B41E6"/>
    <w:rsid w:val="000B464B"/>
    <w:rsid w:val="000B4B58"/>
    <w:rsid w:val="000B5C92"/>
    <w:rsid w:val="000B61DD"/>
    <w:rsid w:val="000B6343"/>
    <w:rsid w:val="000B6948"/>
    <w:rsid w:val="000B6D87"/>
    <w:rsid w:val="000B7711"/>
    <w:rsid w:val="000C0456"/>
    <w:rsid w:val="000C12D0"/>
    <w:rsid w:val="000C1588"/>
    <w:rsid w:val="000C1980"/>
    <w:rsid w:val="000C28CE"/>
    <w:rsid w:val="000C2D25"/>
    <w:rsid w:val="000C3216"/>
    <w:rsid w:val="000C3C73"/>
    <w:rsid w:val="000C3F88"/>
    <w:rsid w:val="000C3FC8"/>
    <w:rsid w:val="000C3FD2"/>
    <w:rsid w:val="000C41D6"/>
    <w:rsid w:val="000C429C"/>
    <w:rsid w:val="000C4527"/>
    <w:rsid w:val="000C459B"/>
    <w:rsid w:val="000C4683"/>
    <w:rsid w:val="000C4AA7"/>
    <w:rsid w:val="000C5380"/>
    <w:rsid w:val="000C597A"/>
    <w:rsid w:val="000C5B93"/>
    <w:rsid w:val="000C5FE9"/>
    <w:rsid w:val="000C61D8"/>
    <w:rsid w:val="000C62E9"/>
    <w:rsid w:val="000C661D"/>
    <w:rsid w:val="000C664A"/>
    <w:rsid w:val="000C7359"/>
    <w:rsid w:val="000C7982"/>
    <w:rsid w:val="000D0401"/>
    <w:rsid w:val="000D0587"/>
    <w:rsid w:val="000D0ACA"/>
    <w:rsid w:val="000D1363"/>
    <w:rsid w:val="000D13CF"/>
    <w:rsid w:val="000D14BE"/>
    <w:rsid w:val="000D19B9"/>
    <w:rsid w:val="000D1C65"/>
    <w:rsid w:val="000D1D31"/>
    <w:rsid w:val="000D2D80"/>
    <w:rsid w:val="000D2D8F"/>
    <w:rsid w:val="000D2F61"/>
    <w:rsid w:val="000D304A"/>
    <w:rsid w:val="000D32C0"/>
    <w:rsid w:val="000D343F"/>
    <w:rsid w:val="000D3A82"/>
    <w:rsid w:val="000D3ED7"/>
    <w:rsid w:val="000D46EC"/>
    <w:rsid w:val="000D4B05"/>
    <w:rsid w:val="000D5062"/>
    <w:rsid w:val="000D7170"/>
    <w:rsid w:val="000D7DC5"/>
    <w:rsid w:val="000E00C6"/>
    <w:rsid w:val="000E04AC"/>
    <w:rsid w:val="000E1039"/>
    <w:rsid w:val="000E1CAA"/>
    <w:rsid w:val="000E1E95"/>
    <w:rsid w:val="000E2492"/>
    <w:rsid w:val="000E26A8"/>
    <w:rsid w:val="000E301F"/>
    <w:rsid w:val="000E32E8"/>
    <w:rsid w:val="000E33FC"/>
    <w:rsid w:val="000E352E"/>
    <w:rsid w:val="000E3EF7"/>
    <w:rsid w:val="000E4A54"/>
    <w:rsid w:val="000E4A93"/>
    <w:rsid w:val="000E4B91"/>
    <w:rsid w:val="000E654F"/>
    <w:rsid w:val="000E78D1"/>
    <w:rsid w:val="000E7D84"/>
    <w:rsid w:val="000F02EF"/>
    <w:rsid w:val="000F0531"/>
    <w:rsid w:val="000F12A3"/>
    <w:rsid w:val="000F162D"/>
    <w:rsid w:val="000F1BD8"/>
    <w:rsid w:val="000F200C"/>
    <w:rsid w:val="000F2267"/>
    <w:rsid w:val="000F25D3"/>
    <w:rsid w:val="000F268F"/>
    <w:rsid w:val="000F2735"/>
    <w:rsid w:val="000F2909"/>
    <w:rsid w:val="000F2E01"/>
    <w:rsid w:val="000F3010"/>
    <w:rsid w:val="000F305F"/>
    <w:rsid w:val="000F332D"/>
    <w:rsid w:val="000F352A"/>
    <w:rsid w:val="000F3BBB"/>
    <w:rsid w:val="000F4D67"/>
    <w:rsid w:val="000F5D94"/>
    <w:rsid w:val="000F6101"/>
    <w:rsid w:val="000F742A"/>
    <w:rsid w:val="000F756E"/>
    <w:rsid w:val="00100349"/>
    <w:rsid w:val="00100A69"/>
    <w:rsid w:val="00100BDC"/>
    <w:rsid w:val="0010178F"/>
    <w:rsid w:val="001017CF"/>
    <w:rsid w:val="00101AF9"/>
    <w:rsid w:val="00101C99"/>
    <w:rsid w:val="00102AEC"/>
    <w:rsid w:val="00102E6D"/>
    <w:rsid w:val="0010349E"/>
    <w:rsid w:val="0010357F"/>
    <w:rsid w:val="0010452C"/>
    <w:rsid w:val="0010506B"/>
    <w:rsid w:val="00105497"/>
    <w:rsid w:val="00105925"/>
    <w:rsid w:val="00105E70"/>
    <w:rsid w:val="0010628C"/>
    <w:rsid w:val="00106881"/>
    <w:rsid w:val="001068E2"/>
    <w:rsid w:val="00106950"/>
    <w:rsid w:val="00106BA5"/>
    <w:rsid w:val="00106CDE"/>
    <w:rsid w:val="00106F0B"/>
    <w:rsid w:val="00106F96"/>
    <w:rsid w:val="001074A3"/>
    <w:rsid w:val="0010776A"/>
    <w:rsid w:val="00107E65"/>
    <w:rsid w:val="00107F0B"/>
    <w:rsid w:val="0011009D"/>
    <w:rsid w:val="00110B42"/>
    <w:rsid w:val="00110D89"/>
    <w:rsid w:val="00110EB8"/>
    <w:rsid w:val="00111008"/>
    <w:rsid w:val="001114DC"/>
    <w:rsid w:val="001116E4"/>
    <w:rsid w:val="00111A18"/>
    <w:rsid w:val="00111BF2"/>
    <w:rsid w:val="00111C11"/>
    <w:rsid w:val="001120BA"/>
    <w:rsid w:val="00112545"/>
    <w:rsid w:val="00112598"/>
    <w:rsid w:val="00112620"/>
    <w:rsid w:val="00112982"/>
    <w:rsid w:val="00112F66"/>
    <w:rsid w:val="00113CED"/>
    <w:rsid w:val="00113E28"/>
    <w:rsid w:val="0011425C"/>
    <w:rsid w:val="001144FE"/>
    <w:rsid w:val="001146A9"/>
    <w:rsid w:val="001148BD"/>
    <w:rsid w:val="001148FC"/>
    <w:rsid w:val="00114C1B"/>
    <w:rsid w:val="00115132"/>
    <w:rsid w:val="00115403"/>
    <w:rsid w:val="001154FC"/>
    <w:rsid w:val="00115516"/>
    <w:rsid w:val="00116219"/>
    <w:rsid w:val="00116B21"/>
    <w:rsid w:val="00116DAF"/>
    <w:rsid w:val="00116E25"/>
    <w:rsid w:val="0011748B"/>
    <w:rsid w:val="00120457"/>
    <w:rsid w:val="001207F2"/>
    <w:rsid w:val="00121440"/>
    <w:rsid w:val="001215CE"/>
    <w:rsid w:val="0012256E"/>
    <w:rsid w:val="00122889"/>
    <w:rsid w:val="001228B2"/>
    <w:rsid w:val="00123584"/>
    <w:rsid w:val="00123620"/>
    <w:rsid w:val="00124177"/>
    <w:rsid w:val="00124CDA"/>
    <w:rsid w:val="00125134"/>
    <w:rsid w:val="00125711"/>
    <w:rsid w:val="00125720"/>
    <w:rsid w:val="00125D31"/>
    <w:rsid w:val="00125DF1"/>
    <w:rsid w:val="00126449"/>
    <w:rsid w:val="00126ABC"/>
    <w:rsid w:val="00126EFF"/>
    <w:rsid w:val="00127110"/>
    <w:rsid w:val="001272A3"/>
    <w:rsid w:val="0012746B"/>
    <w:rsid w:val="001302A3"/>
    <w:rsid w:val="001303C9"/>
    <w:rsid w:val="001306CC"/>
    <w:rsid w:val="001319C1"/>
    <w:rsid w:val="00131E19"/>
    <w:rsid w:val="00132C33"/>
    <w:rsid w:val="00132F04"/>
    <w:rsid w:val="001330D8"/>
    <w:rsid w:val="00133BE6"/>
    <w:rsid w:val="00133E1C"/>
    <w:rsid w:val="0013428D"/>
    <w:rsid w:val="00134577"/>
    <w:rsid w:val="00134930"/>
    <w:rsid w:val="00134A26"/>
    <w:rsid w:val="00134AAF"/>
    <w:rsid w:val="00134EF8"/>
    <w:rsid w:val="001357FD"/>
    <w:rsid w:val="0013597E"/>
    <w:rsid w:val="001359DD"/>
    <w:rsid w:val="00135A5C"/>
    <w:rsid w:val="00135C60"/>
    <w:rsid w:val="001360AB"/>
    <w:rsid w:val="0013697E"/>
    <w:rsid w:val="00136AF5"/>
    <w:rsid w:val="00136CBF"/>
    <w:rsid w:val="00136F87"/>
    <w:rsid w:val="001373EB"/>
    <w:rsid w:val="00137ABB"/>
    <w:rsid w:val="00137D4C"/>
    <w:rsid w:val="00137F76"/>
    <w:rsid w:val="00140F06"/>
    <w:rsid w:val="0014101D"/>
    <w:rsid w:val="0014122D"/>
    <w:rsid w:val="0014204A"/>
    <w:rsid w:val="001420F0"/>
    <w:rsid w:val="00142F11"/>
    <w:rsid w:val="0014309D"/>
    <w:rsid w:val="00143C1A"/>
    <w:rsid w:val="00143E01"/>
    <w:rsid w:val="00144288"/>
    <w:rsid w:val="00144290"/>
    <w:rsid w:val="00144308"/>
    <w:rsid w:val="00144331"/>
    <w:rsid w:val="00144D1F"/>
    <w:rsid w:val="001452E8"/>
    <w:rsid w:val="0014571E"/>
    <w:rsid w:val="001467A4"/>
    <w:rsid w:val="00146EF5"/>
    <w:rsid w:val="00147383"/>
    <w:rsid w:val="00147542"/>
    <w:rsid w:val="001475BD"/>
    <w:rsid w:val="00147861"/>
    <w:rsid w:val="00147E39"/>
    <w:rsid w:val="00147F4C"/>
    <w:rsid w:val="00150494"/>
    <w:rsid w:val="001508E0"/>
    <w:rsid w:val="00151A0C"/>
    <w:rsid w:val="00151C1E"/>
    <w:rsid w:val="00151C78"/>
    <w:rsid w:val="00152227"/>
    <w:rsid w:val="001523AB"/>
    <w:rsid w:val="001527A2"/>
    <w:rsid w:val="00153418"/>
    <w:rsid w:val="001542DD"/>
    <w:rsid w:val="001546BD"/>
    <w:rsid w:val="00155429"/>
    <w:rsid w:val="00155799"/>
    <w:rsid w:val="00156276"/>
    <w:rsid w:val="001562D5"/>
    <w:rsid w:val="0015646F"/>
    <w:rsid w:val="00156645"/>
    <w:rsid w:val="001568C8"/>
    <w:rsid w:val="00156914"/>
    <w:rsid w:val="00156993"/>
    <w:rsid w:val="00156E85"/>
    <w:rsid w:val="00156F9E"/>
    <w:rsid w:val="0016005B"/>
    <w:rsid w:val="00160068"/>
    <w:rsid w:val="001601D8"/>
    <w:rsid w:val="00160F33"/>
    <w:rsid w:val="00161242"/>
    <w:rsid w:val="00161289"/>
    <w:rsid w:val="001612AF"/>
    <w:rsid w:val="00161381"/>
    <w:rsid w:val="00161439"/>
    <w:rsid w:val="00161688"/>
    <w:rsid w:val="00161AC5"/>
    <w:rsid w:val="00161DA9"/>
    <w:rsid w:val="00161E00"/>
    <w:rsid w:val="001621A4"/>
    <w:rsid w:val="001626D3"/>
    <w:rsid w:val="001635B4"/>
    <w:rsid w:val="00163ED2"/>
    <w:rsid w:val="0016448A"/>
    <w:rsid w:val="00165468"/>
    <w:rsid w:val="00165D3D"/>
    <w:rsid w:val="00166762"/>
    <w:rsid w:val="00166797"/>
    <w:rsid w:val="0016694C"/>
    <w:rsid w:val="00167F7E"/>
    <w:rsid w:val="001700E3"/>
    <w:rsid w:val="001704BE"/>
    <w:rsid w:val="0017056A"/>
    <w:rsid w:val="00170C65"/>
    <w:rsid w:val="00170E55"/>
    <w:rsid w:val="001717CD"/>
    <w:rsid w:val="001725EE"/>
    <w:rsid w:val="00172A13"/>
    <w:rsid w:val="001731E4"/>
    <w:rsid w:val="001734A9"/>
    <w:rsid w:val="00173666"/>
    <w:rsid w:val="001736B9"/>
    <w:rsid w:val="00173D87"/>
    <w:rsid w:val="0017457C"/>
    <w:rsid w:val="00174C25"/>
    <w:rsid w:val="00174C90"/>
    <w:rsid w:val="00174E4C"/>
    <w:rsid w:val="00174ED1"/>
    <w:rsid w:val="001754C0"/>
    <w:rsid w:val="00175786"/>
    <w:rsid w:val="001757EF"/>
    <w:rsid w:val="0017581E"/>
    <w:rsid w:val="00175CD8"/>
    <w:rsid w:val="00175E5A"/>
    <w:rsid w:val="001761D9"/>
    <w:rsid w:val="0017624D"/>
    <w:rsid w:val="001763DC"/>
    <w:rsid w:val="001764CC"/>
    <w:rsid w:val="001768EC"/>
    <w:rsid w:val="00176C00"/>
    <w:rsid w:val="00177062"/>
    <w:rsid w:val="0017783C"/>
    <w:rsid w:val="001807AF"/>
    <w:rsid w:val="0018094B"/>
    <w:rsid w:val="00180A06"/>
    <w:rsid w:val="00180ED3"/>
    <w:rsid w:val="001810A8"/>
    <w:rsid w:val="00181111"/>
    <w:rsid w:val="00181DFE"/>
    <w:rsid w:val="001820A7"/>
    <w:rsid w:val="00182B66"/>
    <w:rsid w:val="0018348A"/>
    <w:rsid w:val="00184168"/>
    <w:rsid w:val="001844F4"/>
    <w:rsid w:val="00184F00"/>
    <w:rsid w:val="00185AED"/>
    <w:rsid w:val="0018616F"/>
    <w:rsid w:val="001864B0"/>
    <w:rsid w:val="00186811"/>
    <w:rsid w:val="00186F26"/>
    <w:rsid w:val="00187468"/>
    <w:rsid w:val="00187BFE"/>
    <w:rsid w:val="00190B38"/>
    <w:rsid w:val="00190B9A"/>
    <w:rsid w:val="00190C07"/>
    <w:rsid w:val="00190D4F"/>
    <w:rsid w:val="0019139D"/>
    <w:rsid w:val="001922D8"/>
    <w:rsid w:val="00192CE0"/>
    <w:rsid w:val="001931BA"/>
    <w:rsid w:val="001936BF"/>
    <w:rsid w:val="00193718"/>
    <w:rsid w:val="00193E51"/>
    <w:rsid w:val="00194011"/>
    <w:rsid w:val="00195237"/>
    <w:rsid w:val="00195B65"/>
    <w:rsid w:val="001964AA"/>
    <w:rsid w:val="00196C12"/>
    <w:rsid w:val="00196D26"/>
    <w:rsid w:val="0019776B"/>
    <w:rsid w:val="001A020B"/>
    <w:rsid w:val="001A0327"/>
    <w:rsid w:val="001A08D1"/>
    <w:rsid w:val="001A0AC6"/>
    <w:rsid w:val="001A0DC9"/>
    <w:rsid w:val="001A1337"/>
    <w:rsid w:val="001A288B"/>
    <w:rsid w:val="001A28F8"/>
    <w:rsid w:val="001A2996"/>
    <w:rsid w:val="001A3D6D"/>
    <w:rsid w:val="001A4338"/>
    <w:rsid w:val="001A4617"/>
    <w:rsid w:val="001A4D04"/>
    <w:rsid w:val="001A5824"/>
    <w:rsid w:val="001A5896"/>
    <w:rsid w:val="001A6A23"/>
    <w:rsid w:val="001A7340"/>
    <w:rsid w:val="001A74C0"/>
    <w:rsid w:val="001A7795"/>
    <w:rsid w:val="001A77D7"/>
    <w:rsid w:val="001A77DB"/>
    <w:rsid w:val="001A7BB6"/>
    <w:rsid w:val="001A7CB3"/>
    <w:rsid w:val="001A7FF4"/>
    <w:rsid w:val="001B009E"/>
    <w:rsid w:val="001B0146"/>
    <w:rsid w:val="001B032F"/>
    <w:rsid w:val="001B084A"/>
    <w:rsid w:val="001B0F18"/>
    <w:rsid w:val="001B12B2"/>
    <w:rsid w:val="001B166E"/>
    <w:rsid w:val="001B1815"/>
    <w:rsid w:val="001B1F9E"/>
    <w:rsid w:val="001B27EA"/>
    <w:rsid w:val="001B2D77"/>
    <w:rsid w:val="001B3214"/>
    <w:rsid w:val="001B3355"/>
    <w:rsid w:val="001B3731"/>
    <w:rsid w:val="001B40B3"/>
    <w:rsid w:val="001B458D"/>
    <w:rsid w:val="001B478F"/>
    <w:rsid w:val="001B4844"/>
    <w:rsid w:val="001B4B3B"/>
    <w:rsid w:val="001B5059"/>
    <w:rsid w:val="001B574A"/>
    <w:rsid w:val="001B6051"/>
    <w:rsid w:val="001C0441"/>
    <w:rsid w:val="001C044D"/>
    <w:rsid w:val="001C054F"/>
    <w:rsid w:val="001C0E38"/>
    <w:rsid w:val="001C1837"/>
    <w:rsid w:val="001C1CCD"/>
    <w:rsid w:val="001C2211"/>
    <w:rsid w:val="001C3DBA"/>
    <w:rsid w:val="001C4010"/>
    <w:rsid w:val="001C50EA"/>
    <w:rsid w:val="001C5217"/>
    <w:rsid w:val="001C5550"/>
    <w:rsid w:val="001C582C"/>
    <w:rsid w:val="001C70C3"/>
    <w:rsid w:val="001C760A"/>
    <w:rsid w:val="001C777F"/>
    <w:rsid w:val="001C7A5A"/>
    <w:rsid w:val="001C7F0E"/>
    <w:rsid w:val="001D0081"/>
    <w:rsid w:val="001D0528"/>
    <w:rsid w:val="001D071D"/>
    <w:rsid w:val="001D0759"/>
    <w:rsid w:val="001D0860"/>
    <w:rsid w:val="001D0DD4"/>
    <w:rsid w:val="001D11C3"/>
    <w:rsid w:val="001D12B7"/>
    <w:rsid w:val="001D15C9"/>
    <w:rsid w:val="001D300E"/>
    <w:rsid w:val="001D38C4"/>
    <w:rsid w:val="001D3925"/>
    <w:rsid w:val="001D504B"/>
    <w:rsid w:val="001D5289"/>
    <w:rsid w:val="001D52D7"/>
    <w:rsid w:val="001D53F3"/>
    <w:rsid w:val="001D5553"/>
    <w:rsid w:val="001D5760"/>
    <w:rsid w:val="001D58FD"/>
    <w:rsid w:val="001D5A2A"/>
    <w:rsid w:val="001D62E0"/>
    <w:rsid w:val="001D6407"/>
    <w:rsid w:val="001D647C"/>
    <w:rsid w:val="001D64DF"/>
    <w:rsid w:val="001D694E"/>
    <w:rsid w:val="001D699C"/>
    <w:rsid w:val="001D6AE7"/>
    <w:rsid w:val="001D7631"/>
    <w:rsid w:val="001D7DDB"/>
    <w:rsid w:val="001E0740"/>
    <w:rsid w:val="001E0CFB"/>
    <w:rsid w:val="001E0E14"/>
    <w:rsid w:val="001E1061"/>
    <w:rsid w:val="001E159E"/>
    <w:rsid w:val="001E1958"/>
    <w:rsid w:val="001E2593"/>
    <w:rsid w:val="001E2EEF"/>
    <w:rsid w:val="001E2FCD"/>
    <w:rsid w:val="001E335C"/>
    <w:rsid w:val="001E34D6"/>
    <w:rsid w:val="001E364B"/>
    <w:rsid w:val="001E38FD"/>
    <w:rsid w:val="001E3BCE"/>
    <w:rsid w:val="001E4306"/>
    <w:rsid w:val="001E4754"/>
    <w:rsid w:val="001E50AA"/>
    <w:rsid w:val="001E542B"/>
    <w:rsid w:val="001E5E8C"/>
    <w:rsid w:val="001E6C04"/>
    <w:rsid w:val="001E7237"/>
    <w:rsid w:val="001F00C8"/>
    <w:rsid w:val="001F00C9"/>
    <w:rsid w:val="001F0185"/>
    <w:rsid w:val="001F0496"/>
    <w:rsid w:val="001F0605"/>
    <w:rsid w:val="001F11CC"/>
    <w:rsid w:val="001F1334"/>
    <w:rsid w:val="001F136F"/>
    <w:rsid w:val="001F158B"/>
    <w:rsid w:val="001F1B0E"/>
    <w:rsid w:val="001F318F"/>
    <w:rsid w:val="001F3220"/>
    <w:rsid w:val="001F34AB"/>
    <w:rsid w:val="001F3C83"/>
    <w:rsid w:val="001F4DB5"/>
    <w:rsid w:val="001F53E1"/>
    <w:rsid w:val="001F686A"/>
    <w:rsid w:val="001F6D3D"/>
    <w:rsid w:val="001F7C63"/>
    <w:rsid w:val="002007C8"/>
    <w:rsid w:val="00200ACD"/>
    <w:rsid w:val="00200B84"/>
    <w:rsid w:val="00200C0E"/>
    <w:rsid w:val="00200C76"/>
    <w:rsid w:val="002013CB"/>
    <w:rsid w:val="00201696"/>
    <w:rsid w:val="002018EE"/>
    <w:rsid w:val="002019BE"/>
    <w:rsid w:val="0020254D"/>
    <w:rsid w:val="00202A70"/>
    <w:rsid w:val="00202B9C"/>
    <w:rsid w:val="0020337B"/>
    <w:rsid w:val="0020348D"/>
    <w:rsid w:val="002039C3"/>
    <w:rsid w:val="00203C4C"/>
    <w:rsid w:val="00204262"/>
    <w:rsid w:val="00205817"/>
    <w:rsid w:val="00206981"/>
    <w:rsid w:val="0020776F"/>
    <w:rsid w:val="002103C2"/>
    <w:rsid w:val="00210AFC"/>
    <w:rsid w:val="00210B19"/>
    <w:rsid w:val="00210B78"/>
    <w:rsid w:val="00211135"/>
    <w:rsid w:val="00211241"/>
    <w:rsid w:val="0021186B"/>
    <w:rsid w:val="00211DEA"/>
    <w:rsid w:val="00211F16"/>
    <w:rsid w:val="00212BE7"/>
    <w:rsid w:val="00212E11"/>
    <w:rsid w:val="0021372F"/>
    <w:rsid w:val="00213953"/>
    <w:rsid w:val="00213A2D"/>
    <w:rsid w:val="00213B6C"/>
    <w:rsid w:val="00213E18"/>
    <w:rsid w:val="0021451C"/>
    <w:rsid w:val="00214CD5"/>
    <w:rsid w:val="0021538A"/>
    <w:rsid w:val="002154E8"/>
    <w:rsid w:val="00216282"/>
    <w:rsid w:val="00216D51"/>
    <w:rsid w:val="0021726A"/>
    <w:rsid w:val="002172E1"/>
    <w:rsid w:val="002173CC"/>
    <w:rsid w:val="00217EEB"/>
    <w:rsid w:val="0022000B"/>
    <w:rsid w:val="0022004C"/>
    <w:rsid w:val="00220360"/>
    <w:rsid w:val="00220E98"/>
    <w:rsid w:val="00221110"/>
    <w:rsid w:val="00221242"/>
    <w:rsid w:val="00221251"/>
    <w:rsid w:val="00221504"/>
    <w:rsid w:val="00221D32"/>
    <w:rsid w:val="00222782"/>
    <w:rsid w:val="00222C13"/>
    <w:rsid w:val="0022335E"/>
    <w:rsid w:val="00223688"/>
    <w:rsid w:val="00223863"/>
    <w:rsid w:val="00224140"/>
    <w:rsid w:val="00224D97"/>
    <w:rsid w:val="00225001"/>
    <w:rsid w:val="00225196"/>
    <w:rsid w:val="00225579"/>
    <w:rsid w:val="00225788"/>
    <w:rsid w:val="00225AAC"/>
    <w:rsid w:val="00225B09"/>
    <w:rsid w:val="002260AE"/>
    <w:rsid w:val="002264F6"/>
    <w:rsid w:val="00227380"/>
    <w:rsid w:val="0022785D"/>
    <w:rsid w:val="00227965"/>
    <w:rsid w:val="00227A6B"/>
    <w:rsid w:val="00227B51"/>
    <w:rsid w:val="00227D1F"/>
    <w:rsid w:val="00230398"/>
    <w:rsid w:val="00230CEA"/>
    <w:rsid w:val="0023103E"/>
    <w:rsid w:val="00231B6F"/>
    <w:rsid w:val="002329E0"/>
    <w:rsid w:val="00232FBE"/>
    <w:rsid w:val="0023363B"/>
    <w:rsid w:val="00233B00"/>
    <w:rsid w:val="002345A8"/>
    <w:rsid w:val="0023460E"/>
    <w:rsid w:val="002346CA"/>
    <w:rsid w:val="002352CE"/>
    <w:rsid w:val="00235881"/>
    <w:rsid w:val="002358E9"/>
    <w:rsid w:val="002359F7"/>
    <w:rsid w:val="00235C5A"/>
    <w:rsid w:val="00235E3F"/>
    <w:rsid w:val="00235EC5"/>
    <w:rsid w:val="00236274"/>
    <w:rsid w:val="002366EB"/>
    <w:rsid w:val="00236AE0"/>
    <w:rsid w:val="00236D04"/>
    <w:rsid w:val="00236D82"/>
    <w:rsid w:val="00236F42"/>
    <w:rsid w:val="00236F57"/>
    <w:rsid w:val="00236F8C"/>
    <w:rsid w:val="00236FFB"/>
    <w:rsid w:val="002370A4"/>
    <w:rsid w:val="00237550"/>
    <w:rsid w:val="00237902"/>
    <w:rsid w:val="00237E5B"/>
    <w:rsid w:val="002407B7"/>
    <w:rsid w:val="00240DEF"/>
    <w:rsid w:val="00241807"/>
    <w:rsid w:val="00241C7C"/>
    <w:rsid w:val="00242F8B"/>
    <w:rsid w:val="002431A0"/>
    <w:rsid w:val="00243CA0"/>
    <w:rsid w:val="00243EE2"/>
    <w:rsid w:val="002440D6"/>
    <w:rsid w:val="002444B0"/>
    <w:rsid w:val="0024457F"/>
    <w:rsid w:val="0024553B"/>
    <w:rsid w:val="00245F73"/>
    <w:rsid w:val="002463CE"/>
    <w:rsid w:val="0024664D"/>
    <w:rsid w:val="002467EB"/>
    <w:rsid w:val="00246900"/>
    <w:rsid w:val="00246926"/>
    <w:rsid w:val="00246DC7"/>
    <w:rsid w:val="00247605"/>
    <w:rsid w:val="00247BA8"/>
    <w:rsid w:val="00250492"/>
    <w:rsid w:val="002504B8"/>
    <w:rsid w:val="002506A3"/>
    <w:rsid w:val="002507A8"/>
    <w:rsid w:val="00250FBE"/>
    <w:rsid w:val="00250FE6"/>
    <w:rsid w:val="002510AD"/>
    <w:rsid w:val="0025196F"/>
    <w:rsid w:val="00251A97"/>
    <w:rsid w:val="00251BDF"/>
    <w:rsid w:val="002520E8"/>
    <w:rsid w:val="00252101"/>
    <w:rsid w:val="00252189"/>
    <w:rsid w:val="002522EC"/>
    <w:rsid w:val="0025255D"/>
    <w:rsid w:val="00252669"/>
    <w:rsid w:val="00252745"/>
    <w:rsid w:val="00252BF6"/>
    <w:rsid w:val="00252C5A"/>
    <w:rsid w:val="0025341C"/>
    <w:rsid w:val="00253ABC"/>
    <w:rsid w:val="002548D9"/>
    <w:rsid w:val="002554CC"/>
    <w:rsid w:val="00255715"/>
    <w:rsid w:val="00255B6A"/>
    <w:rsid w:val="00255D4C"/>
    <w:rsid w:val="00256634"/>
    <w:rsid w:val="00256851"/>
    <w:rsid w:val="0025695A"/>
    <w:rsid w:val="00257AC7"/>
    <w:rsid w:val="002601FF"/>
    <w:rsid w:val="00261301"/>
    <w:rsid w:val="002614D2"/>
    <w:rsid w:val="00261503"/>
    <w:rsid w:val="00261890"/>
    <w:rsid w:val="00261A24"/>
    <w:rsid w:val="0026206B"/>
    <w:rsid w:val="002623DE"/>
    <w:rsid w:val="0026375E"/>
    <w:rsid w:val="00264155"/>
    <w:rsid w:val="002643AD"/>
    <w:rsid w:val="00264881"/>
    <w:rsid w:val="0026547C"/>
    <w:rsid w:val="00265549"/>
    <w:rsid w:val="002659BE"/>
    <w:rsid w:val="00265CED"/>
    <w:rsid w:val="00265DC1"/>
    <w:rsid w:val="00265FB3"/>
    <w:rsid w:val="00265FDA"/>
    <w:rsid w:val="0026615A"/>
    <w:rsid w:val="00266373"/>
    <w:rsid w:val="0026647D"/>
    <w:rsid w:val="0026689A"/>
    <w:rsid w:val="00266B35"/>
    <w:rsid w:val="00267D9E"/>
    <w:rsid w:val="002706AE"/>
    <w:rsid w:val="0027153D"/>
    <w:rsid w:val="002717AC"/>
    <w:rsid w:val="00271CB6"/>
    <w:rsid w:val="00271DCA"/>
    <w:rsid w:val="00271E81"/>
    <w:rsid w:val="00272390"/>
    <w:rsid w:val="002723B1"/>
    <w:rsid w:val="002723E6"/>
    <w:rsid w:val="00272C5E"/>
    <w:rsid w:val="00272D8B"/>
    <w:rsid w:val="0027339D"/>
    <w:rsid w:val="0027351F"/>
    <w:rsid w:val="002737FB"/>
    <w:rsid w:val="00274021"/>
    <w:rsid w:val="00275338"/>
    <w:rsid w:val="002756E5"/>
    <w:rsid w:val="002756EB"/>
    <w:rsid w:val="00275B07"/>
    <w:rsid w:val="002765A1"/>
    <w:rsid w:val="00276D0E"/>
    <w:rsid w:val="00276F68"/>
    <w:rsid w:val="00277178"/>
    <w:rsid w:val="00277388"/>
    <w:rsid w:val="002776E8"/>
    <w:rsid w:val="00277C2B"/>
    <w:rsid w:val="00277DC5"/>
    <w:rsid w:val="00280698"/>
    <w:rsid w:val="002807DD"/>
    <w:rsid w:val="002808F8"/>
    <w:rsid w:val="00280A52"/>
    <w:rsid w:val="002812CB"/>
    <w:rsid w:val="00281663"/>
    <w:rsid w:val="00282AFA"/>
    <w:rsid w:val="002830C2"/>
    <w:rsid w:val="002830E9"/>
    <w:rsid w:val="002839F7"/>
    <w:rsid w:val="00283A2C"/>
    <w:rsid w:val="002841AE"/>
    <w:rsid w:val="00284535"/>
    <w:rsid w:val="00284723"/>
    <w:rsid w:val="00284E53"/>
    <w:rsid w:val="002851AC"/>
    <w:rsid w:val="00285783"/>
    <w:rsid w:val="00285A18"/>
    <w:rsid w:val="00285A41"/>
    <w:rsid w:val="00285B00"/>
    <w:rsid w:val="00286954"/>
    <w:rsid w:val="002875A5"/>
    <w:rsid w:val="00287975"/>
    <w:rsid w:val="00287ADD"/>
    <w:rsid w:val="00287D08"/>
    <w:rsid w:val="00287E87"/>
    <w:rsid w:val="0029047F"/>
    <w:rsid w:val="002913A2"/>
    <w:rsid w:val="00291681"/>
    <w:rsid w:val="00291ABF"/>
    <w:rsid w:val="0029211C"/>
    <w:rsid w:val="00293064"/>
    <w:rsid w:val="002933FF"/>
    <w:rsid w:val="002937F1"/>
    <w:rsid w:val="00293A9E"/>
    <w:rsid w:val="00293CEC"/>
    <w:rsid w:val="00294056"/>
    <w:rsid w:val="00294643"/>
    <w:rsid w:val="00294670"/>
    <w:rsid w:val="0029495F"/>
    <w:rsid w:val="00294A14"/>
    <w:rsid w:val="002957EE"/>
    <w:rsid w:val="00295CB2"/>
    <w:rsid w:val="00296614"/>
    <w:rsid w:val="00296D3F"/>
    <w:rsid w:val="002A0C19"/>
    <w:rsid w:val="002A0F2C"/>
    <w:rsid w:val="002A1537"/>
    <w:rsid w:val="002A1593"/>
    <w:rsid w:val="002A2075"/>
    <w:rsid w:val="002A2449"/>
    <w:rsid w:val="002A28DE"/>
    <w:rsid w:val="002A2CB7"/>
    <w:rsid w:val="002A3492"/>
    <w:rsid w:val="002A35D4"/>
    <w:rsid w:val="002A3E1E"/>
    <w:rsid w:val="002A42FC"/>
    <w:rsid w:val="002A4505"/>
    <w:rsid w:val="002A4619"/>
    <w:rsid w:val="002A5902"/>
    <w:rsid w:val="002A60B6"/>
    <w:rsid w:val="002A6140"/>
    <w:rsid w:val="002A633F"/>
    <w:rsid w:val="002A6CB5"/>
    <w:rsid w:val="002A6D5B"/>
    <w:rsid w:val="002A6E79"/>
    <w:rsid w:val="002A7835"/>
    <w:rsid w:val="002A79CF"/>
    <w:rsid w:val="002A7DDE"/>
    <w:rsid w:val="002B062E"/>
    <w:rsid w:val="002B0C3D"/>
    <w:rsid w:val="002B0EB8"/>
    <w:rsid w:val="002B15F2"/>
    <w:rsid w:val="002B1769"/>
    <w:rsid w:val="002B34F4"/>
    <w:rsid w:val="002B4327"/>
    <w:rsid w:val="002B4820"/>
    <w:rsid w:val="002B4D2B"/>
    <w:rsid w:val="002B5A03"/>
    <w:rsid w:val="002B605A"/>
    <w:rsid w:val="002B64A1"/>
    <w:rsid w:val="002B6698"/>
    <w:rsid w:val="002B68FA"/>
    <w:rsid w:val="002B6926"/>
    <w:rsid w:val="002B6AEA"/>
    <w:rsid w:val="002B7AD6"/>
    <w:rsid w:val="002B7C1E"/>
    <w:rsid w:val="002C031D"/>
    <w:rsid w:val="002C06DE"/>
    <w:rsid w:val="002C07F9"/>
    <w:rsid w:val="002C0860"/>
    <w:rsid w:val="002C0C10"/>
    <w:rsid w:val="002C1FB6"/>
    <w:rsid w:val="002C2695"/>
    <w:rsid w:val="002C31AF"/>
    <w:rsid w:val="002C37E7"/>
    <w:rsid w:val="002C38B3"/>
    <w:rsid w:val="002C3BD8"/>
    <w:rsid w:val="002C47E4"/>
    <w:rsid w:val="002C4C55"/>
    <w:rsid w:val="002C4D61"/>
    <w:rsid w:val="002C5120"/>
    <w:rsid w:val="002C5AD3"/>
    <w:rsid w:val="002C61D9"/>
    <w:rsid w:val="002C6327"/>
    <w:rsid w:val="002C63BB"/>
    <w:rsid w:val="002C6A99"/>
    <w:rsid w:val="002C6F3A"/>
    <w:rsid w:val="002C70A1"/>
    <w:rsid w:val="002C74D4"/>
    <w:rsid w:val="002C7757"/>
    <w:rsid w:val="002D0445"/>
    <w:rsid w:val="002D0769"/>
    <w:rsid w:val="002D0CE8"/>
    <w:rsid w:val="002D15E1"/>
    <w:rsid w:val="002D16DE"/>
    <w:rsid w:val="002D19A5"/>
    <w:rsid w:val="002D1F62"/>
    <w:rsid w:val="002D220C"/>
    <w:rsid w:val="002D244D"/>
    <w:rsid w:val="002D2B32"/>
    <w:rsid w:val="002D31FF"/>
    <w:rsid w:val="002D3455"/>
    <w:rsid w:val="002D4929"/>
    <w:rsid w:val="002D53CA"/>
    <w:rsid w:val="002D55AF"/>
    <w:rsid w:val="002D6294"/>
    <w:rsid w:val="002D6B4A"/>
    <w:rsid w:val="002D6FC5"/>
    <w:rsid w:val="002D731B"/>
    <w:rsid w:val="002D78B7"/>
    <w:rsid w:val="002D7BE7"/>
    <w:rsid w:val="002D7EFF"/>
    <w:rsid w:val="002E038B"/>
    <w:rsid w:val="002E04D8"/>
    <w:rsid w:val="002E074D"/>
    <w:rsid w:val="002E0ADD"/>
    <w:rsid w:val="002E11B3"/>
    <w:rsid w:val="002E1C53"/>
    <w:rsid w:val="002E391B"/>
    <w:rsid w:val="002E4701"/>
    <w:rsid w:val="002E506F"/>
    <w:rsid w:val="002E52DF"/>
    <w:rsid w:val="002E5C99"/>
    <w:rsid w:val="002E6191"/>
    <w:rsid w:val="002E69FD"/>
    <w:rsid w:val="002E6A7B"/>
    <w:rsid w:val="002E705F"/>
    <w:rsid w:val="002E7248"/>
    <w:rsid w:val="002E725D"/>
    <w:rsid w:val="002E79D1"/>
    <w:rsid w:val="002E79DB"/>
    <w:rsid w:val="002F016E"/>
    <w:rsid w:val="002F02DC"/>
    <w:rsid w:val="002F038D"/>
    <w:rsid w:val="002F0C49"/>
    <w:rsid w:val="002F0FC4"/>
    <w:rsid w:val="002F12E4"/>
    <w:rsid w:val="002F1384"/>
    <w:rsid w:val="002F1417"/>
    <w:rsid w:val="002F1497"/>
    <w:rsid w:val="002F14C3"/>
    <w:rsid w:val="002F1FB4"/>
    <w:rsid w:val="002F284F"/>
    <w:rsid w:val="002F2C4B"/>
    <w:rsid w:val="002F320F"/>
    <w:rsid w:val="002F35BA"/>
    <w:rsid w:val="002F371E"/>
    <w:rsid w:val="002F3C73"/>
    <w:rsid w:val="002F41FA"/>
    <w:rsid w:val="002F434A"/>
    <w:rsid w:val="002F45B6"/>
    <w:rsid w:val="002F4B89"/>
    <w:rsid w:val="002F4D7D"/>
    <w:rsid w:val="002F5A80"/>
    <w:rsid w:val="002F5BD1"/>
    <w:rsid w:val="002F6899"/>
    <w:rsid w:val="002F690D"/>
    <w:rsid w:val="002F6931"/>
    <w:rsid w:val="002F6B7E"/>
    <w:rsid w:val="002F6CA4"/>
    <w:rsid w:val="002F764A"/>
    <w:rsid w:val="002F7CA5"/>
    <w:rsid w:val="003000C6"/>
    <w:rsid w:val="003008BE"/>
    <w:rsid w:val="00300DFD"/>
    <w:rsid w:val="00301263"/>
    <w:rsid w:val="00301C07"/>
    <w:rsid w:val="00301CDF"/>
    <w:rsid w:val="00302335"/>
    <w:rsid w:val="00303030"/>
    <w:rsid w:val="00303417"/>
    <w:rsid w:val="0030366B"/>
    <w:rsid w:val="00303A1A"/>
    <w:rsid w:val="0030414E"/>
    <w:rsid w:val="003048C0"/>
    <w:rsid w:val="00304A9A"/>
    <w:rsid w:val="00304D2B"/>
    <w:rsid w:val="00304E6F"/>
    <w:rsid w:val="0030524F"/>
    <w:rsid w:val="0030536C"/>
    <w:rsid w:val="003053B8"/>
    <w:rsid w:val="00305725"/>
    <w:rsid w:val="00305A4A"/>
    <w:rsid w:val="00306329"/>
    <w:rsid w:val="00307199"/>
    <w:rsid w:val="0030757F"/>
    <w:rsid w:val="00307853"/>
    <w:rsid w:val="00307A30"/>
    <w:rsid w:val="00307A5C"/>
    <w:rsid w:val="00307C67"/>
    <w:rsid w:val="00307F6E"/>
    <w:rsid w:val="00310E09"/>
    <w:rsid w:val="00310F4B"/>
    <w:rsid w:val="00311A02"/>
    <w:rsid w:val="00311B2A"/>
    <w:rsid w:val="00312502"/>
    <w:rsid w:val="00312EC4"/>
    <w:rsid w:val="00312FC8"/>
    <w:rsid w:val="00313544"/>
    <w:rsid w:val="0031370E"/>
    <w:rsid w:val="003138BB"/>
    <w:rsid w:val="00313FDB"/>
    <w:rsid w:val="0031519E"/>
    <w:rsid w:val="00315386"/>
    <w:rsid w:val="003153CD"/>
    <w:rsid w:val="00315A4F"/>
    <w:rsid w:val="00315BB4"/>
    <w:rsid w:val="00316D0A"/>
    <w:rsid w:val="00316ED7"/>
    <w:rsid w:val="00316EDC"/>
    <w:rsid w:val="00317694"/>
    <w:rsid w:val="0031798D"/>
    <w:rsid w:val="00317BB4"/>
    <w:rsid w:val="003205E3"/>
    <w:rsid w:val="00320682"/>
    <w:rsid w:val="00320986"/>
    <w:rsid w:val="003209B8"/>
    <w:rsid w:val="00320AD3"/>
    <w:rsid w:val="00321453"/>
    <w:rsid w:val="0032174A"/>
    <w:rsid w:val="0032281B"/>
    <w:rsid w:val="00322A3A"/>
    <w:rsid w:val="00322D34"/>
    <w:rsid w:val="00322F21"/>
    <w:rsid w:val="00323892"/>
    <w:rsid w:val="00323C9D"/>
    <w:rsid w:val="00323E7D"/>
    <w:rsid w:val="00324043"/>
    <w:rsid w:val="00324D63"/>
    <w:rsid w:val="00325E1D"/>
    <w:rsid w:val="003260BC"/>
    <w:rsid w:val="00326DB0"/>
    <w:rsid w:val="003275F2"/>
    <w:rsid w:val="00327B2A"/>
    <w:rsid w:val="00327BEE"/>
    <w:rsid w:val="00327C0F"/>
    <w:rsid w:val="00327C85"/>
    <w:rsid w:val="00327E64"/>
    <w:rsid w:val="0033015A"/>
    <w:rsid w:val="0033039F"/>
    <w:rsid w:val="00330919"/>
    <w:rsid w:val="00330A2A"/>
    <w:rsid w:val="00330AE9"/>
    <w:rsid w:val="00331B86"/>
    <w:rsid w:val="00331F95"/>
    <w:rsid w:val="00332069"/>
    <w:rsid w:val="00332619"/>
    <w:rsid w:val="003326B3"/>
    <w:rsid w:val="00332E7D"/>
    <w:rsid w:val="00333622"/>
    <w:rsid w:val="00333B74"/>
    <w:rsid w:val="00333C9A"/>
    <w:rsid w:val="00334184"/>
    <w:rsid w:val="003341BA"/>
    <w:rsid w:val="00334C02"/>
    <w:rsid w:val="00334FA5"/>
    <w:rsid w:val="00335EE2"/>
    <w:rsid w:val="003360D3"/>
    <w:rsid w:val="00336384"/>
    <w:rsid w:val="00336540"/>
    <w:rsid w:val="003372B7"/>
    <w:rsid w:val="00340082"/>
    <w:rsid w:val="00340253"/>
    <w:rsid w:val="003402D4"/>
    <w:rsid w:val="00340CC7"/>
    <w:rsid w:val="00341E6A"/>
    <w:rsid w:val="003421EC"/>
    <w:rsid w:val="00342435"/>
    <w:rsid w:val="00342D8A"/>
    <w:rsid w:val="00343415"/>
    <w:rsid w:val="0034356A"/>
    <w:rsid w:val="00343740"/>
    <w:rsid w:val="00343F75"/>
    <w:rsid w:val="00345379"/>
    <w:rsid w:val="0034578D"/>
    <w:rsid w:val="0034588D"/>
    <w:rsid w:val="003461CB"/>
    <w:rsid w:val="003463CD"/>
    <w:rsid w:val="00346514"/>
    <w:rsid w:val="003465A4"/>
    <w:rsid w:val="00346633"/>
    <w:rsid w:val="00346725"/>
    <w:rsid w:val="00346F02"/>
    <w:rsid w:val="0034756B"/>
    <w:rsid w:val="003475EE"/>
    <w:rsid w:val="003477EF"/>
    <w:rsid w:val="00347C63"/>
    <w:rsid w:val="00347D21"/>
    <w:rsid w:val="003501A5"/>
    <w:rsid w:val="00350B43"/>
    <w:rsid w:val="0035109A"/>
    <w:rsid w:val="00351C14"/>
    <w:rsid w:val="00351EA7"/>
    <w:rsid w:val="003526AF"/>
    <w:rsid w:val="003527C7"/>
    <w:rsid w:val="00352F9D"/>
    <w:rsid w:val="00353449"/>
    <w:rsid w:val="003535F0"/>
    <w:rsid w:val="003540A1"/>
    <w:rsid w:val="003542F8"/>
    <w:rsid w:val="003549AC"/>
    <w:rsid w:val="0035586B"/>
    <w:rsid w:val="0035587D"/>
    <w:rsid w:val="003558A8"/>
    <w:rsid w:val="0035593A"/>
    <w:rsid w:val="00355D9D"/>
    <w:rsid w:val="0035726D"/>
    <w:rsid w:val="003572F1"/>
    <w:rsid w:val="0036007C"/>
    <w:rsid w:val="00360A60"/>
    <w:rsid w:val="00360C19"/>
    <w:rsid w:val="003622A2"/>
    <w:rsid w:val="0036244D"/>
    <w:rsid w:val="003629C7"/>
    <w:rsid w:val="003634A4"/>
    <w:rsid w:val="00364290"/>
    <w:rsid w:val="00364B67"/>
    <w:rsid w:val="00364D48"/>
    <w:rsid w:val="00364F25"/>
    <w:rsid w:val="00365139"/>
    <w:rsid w:val="00365B4C"/>
    <w:rsid w:val="00366C9D"/>
    <w:rsid w:val="00366E0F"/>
    <w:rsid w:val="0036702D"/>
    <w:rsid w:val="003675DD"/>
    <w:rsid w:val="00370866"/>
    <w:rsid w:val="003710CD"/>
    <w:rsid w:val="003714ED"/>
    <w:rsid w:val="00371BFB"/>
    <w:rsid w:val="00371CAE"/>
    <w:rsid w:val="0037287C"/>
    <w:rsid w:val="00373086"/>
    <w:rsid w:val="0037320A"/>
    <w:rsid w:val="003733AA"/>
    <w:rsid w:val="00373622"/>
    <w:rsid w:val="003742F7"/>
    <w:rsid w:val="003750C3"/>
    <w:rsid w:val="003751D3"/>
    <w:rsid w:val="00375554"/>
    <w:rsid w:val="003759AB"/>
    <w:rsid w:val="00376229"/>
    <w:rsid w:val="00377936"/>
    <w:rsid w:val="00377A45"/>
    <w:rsid w:val="00377B12"/>
    <w:rsid w:val="00377DE6"/>
    <w:rsid w:val="00377E2E"/>
    <w:rsid w:val="00380A2E"/>
    <w:rsid w:val="00380BD4"/>
    <w:rsid w:val="00380C64"/>
    <w:rsid w:val="00380DEA"/>
    <w:rsid w:val="00380EAF"/>
    <w:rsid w:val="00380F84"/>
    <w:rsid w:val="003817E6"/>
    <w:rsid w:val="00381CB3"/>
    <w:rsid w:val="00381E7D"/>
    <w:rsid w:val="00382B87"/>
    <w:rsid w:val="00382EB4"/>
    <w:rsid w:val="00382F86"/>
    <w:rsid w:val="003830D4"/>
    <w:rsid w:val="0038374B"/>
    <w:rsid w:val="003839D1"/>
    <w:rsid w:val="00384249"/>
    <w:rsid w:val="003844C8"/>
    <w:rsid w:val="003859BA"/>
    <w:rsid w:val="00385EB0"/>
    <w:rsid w:val="003861E7"/>
    <w:rsid w:val="0038645D"/>
    <w:rsid w:val="003864EF"/>
    <w:rsid w:val="003868B8"/>
    <w:rsid w:val="00386CB7"/>
    <w:rsid w:val="00386E38"/>
    <w:rsid w:val="00387524"/>
    <w:rsid w:val="003876E5"/>
    <w:rsid w:val="00390A9F"/>
    <w:rsid w:val="00390CA7"/>
    <w:rsid w:val="00390F9D"/>
    <w:rsid w:val="00390FC7"/>
    <w:rsid w:val="00391025"/>
    <w:rsid w:val="003913AE"/>
    <w:rsid w:val="003917BD"/>
    <w:rsid w:val="00391958"/>
    <w:rsid w:val="00391FD8"/>
    <w:rsid w:val="003928CA"/>
    <w:rsid w:val="00392AFD"/>
    <w:rsid w:val="0039343D"/>
    <w:rsid w:val="00393E0E"/>
    <w:rsid w:val="00394135"/>
    <w:rsid w:val="0039418F"/>
    <w:rsid w:val="00394245"/>
    <w:rsid w:val="003942F3"/>
    <w:rsid w:val="003946B4"/>
    <w:rsid w:val="00394A93"/>
    <w:rsid w:val="00394B0C"/>
    <w:rsid w:val="00394CAD"/>
    <w:rsid w:val="00394F62"/>
    <w:rsid w:val="0039573D"/>
    <w:rsid w:val="00395F6B"/>
    <w:rsid w:val="00396022"/>
    <w:rsid w:val="00396066"/>
    <w:rsid w:val="00396304"/>
    <w:rsid w:val="00396744"/>
    <w:rsid w:val="00397604"/>
    <w:rsid w:val="003976C8"/>
    <w:rsid w:val="00397DF3"/>
    <w:rsid w:val="003A021B"/>
    <w:rsid w:val="003A02D8"/>
    <w:rsid w:val="003A07A9"/>
    <w:rsid w:val="003A0ECE"/>
    <w:rsid w:val="003A14C6"/>
    <w:rsid w:val="003A1FF7"/>
    <w:rsid w:val="003A2208"/>
    <w:rsid w:val="003A2398"/>
    <w:rsid w:val="003A23F3"/>
    <w:rsid w:val="003A3119"/>
    <w:rsid w:val="003A4461"/>
    <w:rsid w:val="003A503D"/>
    <w:rsid w:val="003A5162"/>
    <w:rsid w:val="003A5B75"/>
    <w:rsid w:val="003A5E2D"/>
    <w:rsid w:val="003A636B"/>
    <w:rsid w:val="003A6B3A"/>
    <w:rsid w:val="003A6C34"/>
    <w:rsid w:val="003A6CE8"/>
    <w:rsid w:val="003A6D43"/>
    <w:rsid w:val="003A720A"/>
    <w:rsid w:val="003A720F"/>
    <w:rsid w:val="003A72C5"/>
    <w:rsid w:val="003A7508"/>
    <w:rsid w:val="003A7A81"/>
    <w:rsid w:val="003A7C1F"/>
    <w:rsid w:val="003A7E2C"/>
    <w:rsid w:val="003B0138"/>
    <w:rsid w:val="003B0750"/>
    <w:rsid w:val="003B0B53"/>
    <w:rsid w:val="003B0FCA"/>
    <w:rsid w:val="003B1E08"/>
    <w:rsid w:val="003B1E71"/>
    <w:rsid w:val="003B284A"/>
    <w:rsid w:val="003B2A1B"/>
    <w:rsid w:val="003B2A87"/>
    <w:rsid w:val="003B37D3"/>
    <w:rsid w:val="003B37F8"/>
    <w:rsid w:val="003B3CC3"/>
    <w:rsid w:val="003B421E"/>
    <w:rsid w:val="003B451B"/>
    <w:rsid w:val="003B4831"/>
    <w:rsid w:val="003B4B5D"/>
    <w:rsid w:val="003B4CC8"/>
    <w:rsid w:val="003B5A2B"/>
    <w:rsid w:val="003B5B53"/>
    <w:rsid w:val="003B6A9F"/>
    <w:rsid w:val="003B6B35"/>
    <w:rsid w:val="003B78AA"/>
    <w:rsid w:val="003B7945"/>
    <w:rsid w:val="003B7D28"/>
    <w:rsid w:val="003C03EC"/>
    <w:rsid w:val="003C0BFC"/>
    <w:rsid w:val="003C0FF6"/>
    <w:rsid w:val="003C1272"/>
    <w:rsid w:val="003C139E"/>
    <w:rsid w:val="003C236A"/>
    <w:rsid w:val="003C23C7"/>
    <w:rsid w:val="003C25D8"/>
    <w:rsid w:val="003C2ADE"/>
    <w:rsid w:val="003C304A"/>
    <w:rsid w:val="003C30B2"/>
    <w:rsid w:val="003C3965"/>
    <w:rsid w:val="003C39EC"/>
    <w:rsid w:val="003C39FF"/>
    <w:rsid w:val="003C4C87"/>
    <w:rsid w:val="003C4E69"/>
    <w:rsid w:val="003C4F77"/>
    <w:rsid w:val="003C4F8F"/>
    <w:rsid w:val="003C6692"/>
    <w:rsid w:val="003C6CCC"/>
    <w:rsid w:val="003C7F73"/>
    <w:rsid w:val="003D1629"/>
    <w:rsid w:val="003D1642"/>
    <w:rsid w:val="003D1808"/>
    <w:rsid w:val="003D19DF"/>
    <w:rsid w:val="003D1A6E"/>
    <w:rsid w:val="003D1B12"/>
    <w:rsid w:val="003D2CD6"/>
    <w:rsid w:val="003D2D31"/>
    <w:rsid w:val="003D372D"/>
    <w:rsid w:val="003D3C99"/>
    <w:rsid w:val="003D3E65"/>
    <w:rsid w:val="003D4916"/>
    <w:rsid w:val="003D4F35"/>
    <w:rsid w:val="003D4F5C"/>
    <w:rsid w:val="003D53A7"/>
    <w:rsid w:val="003D56FC"/>
    <w:rsid w:val="003D5E0D"/>
    <w:rsid w:val="003D6215"/>
    <w:rsid w:val="003D6241"/>
    <w:rsid w:val="003D6B1C"/>
    <w:rsid w:val="003D71A7"/>
    <w:rsid w:val="003D745C"/>
    <w:rsid w:val="003D799D"/>
    <w:rsid w:val="003E0000"/>
    <w:rsid w:val="003E0480"/>
    <w:rsid w:val="003E0901"/>
    <w:rsid w:val="003E1395"/>
    <w:rsid w:val="003E1F32"/>
    <w:rsid w:val="003E1F65"/>
    <w:rsid w:val="003E204A"/>
    <w:rsid w:val="003E243E"/>
    <w:rsid w:val="003E260C"/>
    <w:rsid w:val="003E3BEB"/>
    <w:rsid w:val="003E3E7C"/>
    <w:rsid w:val="003E4010"/>
    <w:rsid w:val="003E4090"/>
    <w:rsid w:val="003E4404"/>
    <w:rsid w:val="003E491A"/>
    <w:rsid w:val="003E4A19"/>
    <w:rsid w:val="003E4DB4"/>
    <w:rsid w:val="003E4DCD"/>
    <w:rsid w:val="003E500D"/>
    <w:rsid w:val="003E5580"/>
    <w:rsid w:val="003E599B"/>
    <w:rsid w:val="003E5A85"/>
    <w:rsid w:val="003E6411"/>
    <w:rsid w:val="003E6851"/>
    <w:rsid w:val="003E6EF2"/>
    <w:rsid w:val="003E7486"/>
    <w:rsid w:val="003E75DB"/>
    <w:rsid w:val="003E75DE"/>
    <w:rsid w:val="003E7773"/>
    <w:rsid w:val="003E7820"/>
    <w:rsid w:val="003E7E92"/>
    <w:rsid w:val="003F02C7"/>
    <w:rsid w:val="003F0CC9"/>
    <w:rsid w:val="003F0EA7"/>
    <w:rsid w:val="003F109C"/>
    <w:rsid w:val="003F182F"/>
    <w:rsid w:val="003F197A"/>
    <w:rsid w:val="003F1C7A"/>
    <w:rsid w:val="003F1CE6"/>
    <w:rsid w:val="003F1FFA"/>
    <w:rsid w:val="003F21F8"/>
    <w:rsid w:val="003F2940"/>
    <w:rsid w:val="003F2D10"/>
    <w:rsid w:val="003F36B7"/>
    <w:rsid w:val="003F371D"/>
    <w:rsid w:val="003F38D9"/>
    <w:rsid w:val="003F496B"/>
    <w:rsid w:val="003F5356"/>
    <w:rsid w:val="003F57DA"/>
    <w:rsid w:val="003F5CBA"/>
    <w:rsid w:val="003F5D2C"/>
    <w:rsid w:val="003F74FA"/>
    <w:rsid w:val="003F7B85"/>
    <w:rsid w:val="004004E1"/>
    <w:rsid w:val="00401880"/>
    <w:rsid w:val="004018F0"/>
    <w:rsid w:val="00402770"/>
    <w:rsid w:val="004029BC"/>
    <w:rsid w:val="00402B76"/>
    <w:rsid w:val="004035E2"/>
    <w:rsid w:val="0040383F"/>
    <w:rsid w:val="004041A6"/>
    <w:rsid w:val="004041B4"/>
    <w:rsid w:val="004047CF"/>
    <w:rsid w:val="00404808"/>
    <w:rsid w:val="004056E9"/>
    <w:rsid w:val="004056F6"/>
    <w:rsid w:val="00405E7F"/>
    <w:rsid w:val="004060D0"/>
    <w:rsid w:val="00406C6B"/>
    <w:rsid w:val="00407C37"/>
    <w:rsid w:val="00407EEC"/>
    <w:rsid w:val="0041097F"/>
    <w:rsid w:val="00411933"/>
    <w:rsid w:val="00411A51"/>
    <w:rsid w:val="00412915"/>
    <w:rsid w:val="00412B8D"/>
    <w:rsid w:val="004131EA"/>
    <w:rsid w:val="00413771"/>
    <w:rsid w:val="00413904"/>
    <w:rsid w:val="0041391B"/>
    <w:rsid w:val="004142C1"/>
    <w:rsid w:val="00414591"/>
    <w:rsid w:val="00415893"/>
    <w:rsid w:val="00415E17"/>
    <w:rsid w:val="00416A48"/>
    <w:rsid w:val="00416AE5"/>
    <w:rsid w:val="00416F96"/>
    <w:rsid w:val="00417303"/>
    <w:rsid w:val="00417711"/>
    <w:rsid w:val="00420098"/>
    <w:rsid w:val="004202BD"/>
    <w:rsid w:val="0042126D"/>
    <w:rsid w:val="00421901"/>
    <w:rsid w:val="00421987"/>
    <w:rsid w:val="00421E48"/>
    <w:rsid w:val="004220D9"/>
    <w:rsid w:val="00422BAD"/>
    <w:rsid w:val="00422F94"/>
    <w:rsid w:val="004239B4"/>
    <w:rsid w:val="00423B6D"/>
    <w:rsid w:val="00423D44"/>
    <w:rsid w:val="00423D7D"/>
    <w:rsid w:val="0042440F"/>
    <w:rsid w:val="004245DF"/>
    <w:rsid w:val="004248BA"/>
    <w:rsid w:val="00424CC2"/>
    <w:rsid w:val="004252BF"/>
    <w:rsid w:val="00425367"/>
    <w:rsid w:val="004256DE"/>
    <w:rsid w:val="004261A3"/>
    <w:rsid w:val="00426588"/>
    <w:rsid w:val="00426936"/>
    <w:rsid w:val="004273C1"/>
    <w:rsid w:val="00427413"/>
    <w:rsid w:val="00427548"/>
    <w:rsid w:val="00430A52"/>
    <w:rsid w:val="004319C9"/>
    <w:rsid w:val="00431B2F"/>
    <w:rsid w:val="00431BC2"/>
    <w:rsid w:val="00431EF1"/>
    <w:rsid w:val="00431F94"/>
    <w:rsid w:val="00432843"/>
    <w:rsid w:val="00432B40"/>
    <w:rsid w:val="0043334E"/>
    <w:rsid w:val="004338C4"/>
    <w:rsid w:val="00433B92"/>
    <w:rsid w:val="00433DBB"/>
    <w:rsid w:val="0043406A"/>
    <w:rsid w:val="00434947"/>
    <w:rsid w:val="00434F74"/>
    <w:rsid w:val="00434FF1"/>
    <w:rsid w:val="0043502F"/>
    <w:rsid w:val="0043595D"/>
    <w:rsid w:val="0043598B"/>
    <w:rsid w:val="00435F85"/>
    <w:rsid w:val="0043602E"/>
    <w:rsid w:val="004360DE"/>
    <w:rsid w:val="004361CD"/>
    <w:rsid w:val="004367B3"/>
    <w:rsid w:val="00436A7D"/>
    <w:rsid w:val="00437D2B"/>
    <w:rsid w:val="00437DEF"/>
    <w:rsid w:val="00437EEA"/>
    <w:rsid w:val="0044047C"/>
    <w:rsid w:val="00440FBD"/>
    <w:rsid w:val="00441092"/>
    <w:rsid w:val="00441907"/>
    <w:rsid w:val="004419A3"/>
    <w:rsid w:val="00441F48"/>
    <w:rsid w:val="00441F5C"/>
    <w:rsid w:val="0044295A"/>
    <w:rsid w:val="00443D42"/>
    <w:rsid w:val="0044471E"/>
    <w:rsid w:val="004449BF"/>
    <w:rsid w:val="00444B26"/>
    <w:rsid w:val="00444E8F"/>
    <w:rsid w:val="00444FC5"/>
    <w:rsid w:val="004454B8"/>
    <w:rsid w:val="0044576E"/>
    <w:rsid w:val="00445D4C"/>
    <w:rsid w:val="00445D4F"/>
    <w:rsid w:val="00445E81"/>
    <w:rsid w:val="0044669F"/>
    <w:rsid w:val="00446A12"/>
    <w:rsid w:val="00447BEC"/>
    <w:rsid w:val="004511C3"/>
    <w:rsid w:val="004511D7"/>
    <w:rsid w:val="00451378"/>
    <w:rsid w:val="004515CA"/>
    <w:rsid w:val="00451DC1"/>
    <w:rsid w:val="00452787"/>
    <w:rsid w:val="00452B77"/>
    <w:rsid w:val="004530A2"/>
    <w:rsid w:val="00453995"/>
    <w:rsid w:val="00453E80"/>
    <w:rsid w:val="00454061"/>
    <w:rsid w:val="004547EB"/>
    <w:rsid w:val="004548EE"/>
    <w:rsid w:val="00454D4D"/>
    <w:rsid w:val="004559B0"/>
    <w:rsid w:val="00455D72"/>
    <w:rsid w:val="004566D4"/>
    <w:rsid w:val="00456F87"/>
    <w:rsid w:val="004570B5"/>
    <w:rsid w:val="00457B8C"/>
    <w:rsid w:val="00457CD3"/>
    <w:rsid w:val="00457F69"/>
    <w:rsid w:val="00460A0E"/>
    <w:rsid w:val="00460DF7"/>
    <w:rsid w:val="0046104F"/>
    <w:rsid w:val="00461D8E"/>
    <w:rsid w:val="00462132"/>
    <w:rsid w:val="00462963"/>
    <w:rsid w:val="00462AEE"/>
    <w:rsid w:val="00462E96"/>
    <w:rsid w:val="004632B5"/>
    <w:rsid w:val="00463434"/>
    <w:rsid w:val="004637F9"/>
    <w:rsid w:val="00463B5A"/>
    <w:rsid w:val="00463B72"/>
    <w:rsid w:val="00463C1E"/>
    <w:rsid w:val="00464E2B"/>
    <w:rsid w:val="004655BF"/>
    <w:rsid w:val="00465674"/>
    <w:rsid w:val="00465814"/>
    <w:rsid w:val="0046591D"/>
    <w:rsid w:val="00465EE7"/>
    <w:rsid w:val="00466243"/>
    <w:rsid w:val="0046644F"/>
    <w:rsid w:val="00466781"/>
    <w:rsid w:val="004673B4"/>
    <w:rsid w:val="004678A2"/>
    <w:rsid w:val="00467F6D"/>
    <w:rsid w:val="004711FE"/>
    <w:rsid w:val="00471295"/>
    <w:rsid w:val="004713C3"/>
    <w:rsid w:val="00471F58"/>
    <w:rsid w:val="00472671"/>
    <w:rsid w:val="00472D9B"/>
    <w:rsid w:val="00473050"/>
    <w:rsid w:val="00473251"/>
    <w:rsid w:val="00473985"/>
    <w:rsid w:val="00473C70"/>
    <w:rsid w:val="00473DCC"/>
    <w:rsid w:val="00474188"/>
    <w:rsid w:val="00474877"/>
    <w:rsid w:val="00474D75"/>
    <w:rsid w:val="00474E51"/>
    <w:rsid w:val="0047541F"/>
    <w:rsid w:val="004754DF"/>
    <w:rsid w:val="004760A1"/>
    <w:rsid w:val="00476124"/>
    <w:rsid w:val="00476F06"/>
    <w:rsid w:val="00476FBF"/>
    <w:rsid w:val="00477873"/>
    <w:rsid w:val="0047789C"/>
    <w:rsid w:val="00477B09"/>
    <w:rsid w:val="004802C9"/>
    <w:rsid w:val="0048045A"/>
    <w:rsid w:val="00480BBC"/>
    <w:rsid w:val="00481345"/>
    <w:rsid w:val="004814A1"/>
    <w:rsid w:val="00481596"/>
    <w:rsid w:val="004815D2"/>
    <w:rsid w:val="00481C2F"/>
    <w:rsid w:val="00482747"/>
    <w:rsid w:val="00482763"/>
    <w:rsid w:val="00482CD8"/>
    <w:rsid w:val="004840ED"/>
    <w:rsid w:val="00484130"/>
    <w:rsid w:val="00485094"/>
    <w:rsid w:val="00485301"/>
    <w:rsid w:val="004853D4"/>
    <w:rsid w:val="00485654"/>
    <w:rsid w:val="00485DE5"/>
    <w:rsid w:val="004866B5"/>
    <w:rsid w:val="00486B59"/>
    <w:rsid w:val="00486BAE"/>
    <w:rsid w:val="00486FC1"/>
    <w:rsid w:val="00487DF5"/>
    <w:rsid w:val="00487FC6"/>
    <w:rsid w:val="0049027B"/>
    <w:rsid w:val="0049039A"/>
    <w:rsid w:val="00490CCD"/>
    <w:rsid w:val="00491133"/>
    <w:rsid w:val="00491259"/>
    <w:rsid w:val="00491C4F"/>
    <w:rsid w:val="00491D19"/>
    <w:rsid w:val="00491E96"/>
    <w:rsid w:val="00491F07"/>
    <w:rsid w:val="00492065"/>
    <w:rsid w:val="00492236"/>
    <w:rsid w:val="00492396"/>
    <w:rsid w:val="0049287E"/>
    <w:rsid w:val="004928B0"/>
    <w:rsid w:val="00492CE5"/>
    <w:rsid w:val="00493506"/>
    <w:rsid w:val="00493766"/>
    <w:rsid w:val="0049383C"/>
    <w:rsid w:val="00493BBA"/>
    <w:rsid w:val="00493E50"/>
    <w:rsid w:val="004941C9"/>
    <w:rsid w:val="004948B7"/>
    <w:rsid w:val="00494D88"/>
    <w:rsid w:val="004957DF"/>
    <w:rsid w:val="00495CEB"/>
    <w:rsid w:val="00496719"/>
    <w:rsid w:val="00496B3C"/>
    <w:rsid w:val="00496FA2"/>
    <w:rsid w:val="0049747A"/>
    <w:rsid w:val="004979E4"/>
    <w:rsid w:val="00497B3E"/>
    <w:rsid w:val="00497EBB"/>
    <w:rsid w:val="004A0260"/>
    <w:rsid w:val="004A02C2"/>
    <w:rsid w:val="004A09CC"/>
    <w:rsid w:val="004A0ECB"/>
    <w:rsid w:val="004A0F1B"/>
    <w:rsid w:val="004A1505"/>
    <w:rsid w:val="004A1DA9"/>
    <w:rsid w:val="004A1DEF"/>
    <w:rsid w:val="004A26E6"/>
    <w:rsid w:val="004A26EC"/>
    <w:rsid w:val="004A2D9F"/>
    <w:rsid w:val="004A2F62"/>
    <w:rsid w:val="004A334E"/>
    <w:rsid w:val="004A3C3B"/>
    <w:rsid w:val="004A4A2A"/>
    <w:rsid w:val="004A4AD0"/>
    <w:rsid w:val="004A4DEB"/>
    <w:rsid w:val="004A5089"/>
    <w:rsid w:val="004A55EF"/>
    <w:rsid w:val="004A5785"/>
    <w:rsid w:val="004A5D4C"/>
    <w:rsid w:val="004A621D"/>
    <w:rsid w:val="004A6535"/>
    <w:rsid w:val="004A66A0"/>
    <w:rsid w:val="004A6946"/>
    <w:rsid w:val="004A6BB0"/>
    <w:rsid w:val="004A6C79"/>
    <w:rsid w:val="004A6EE7"/>
    <w:rsid w:val="004A7C9F"/>
    <w:rsid w:val="004B0259"/>
    <w:rsid w:val="004B0DFA"/>
    <w:rsid w:val="004B0E74"/>
    <w:rsid w:val="004B0F10"/>
    <w:rsid w:val="004B12A7"/>
    <w:rsid w:val="004B17A5"/>
    <w:rsid w:val="004B18D7"/>
    <w:rsid w:val="004B1A45"/>
    <w:rsid w:val="004B1CE1"/>
    <w:rsid w:val="004B1F59"/>
    <w:rsid w:val="004B2E98"/>
    <w:rsid w:val="004B3324"/>
    <w:rsid w:val="004B3B64"/>
    <w:rsid w:val="004B3D0E"/>
    <w:rsid w:val="004B3E06"/>
    <w:rsid w:val="004B442C"/>
    <w:rsid w:val="004B4653"/>
    <w:rsid w:val="004B47C8"/>
    <w:rsid w:val="004B51B0"/>
    <w:rsid w:val="004B5BCB"/>
    <w:rsid w:val="004B5F31"/>
    <w:rsid w:val="004B6442"/>
    <w:rsid w:val="004B656D"/>
    <w:rsid w:val="004B7BA1"/>
    <w:rsid w:val="004C02B1"/>
    <w:rsid w:val="004C02DC"/>
    <w:rsid w:val="004C1028"/>
    <w:rsid w:val="004C1199"/>
    <w:rsid w:val="004C11B2"/>
    <w:rsid w:val="004C130D"/>
    <w:rsid w:val="004C1669"/>
    <w:rsid w:val="004C19B5"/>
    <w:rsid w:val="004C1EED"/>
    <w:rsid w:val="004C1F19"/>
    <w:rsid w:val="004C1FDC"/>
    <w:rsid w:val="004C24EB"/>
    <w:rsid w:val="004C259C"/>
    <w:rsid w:val="004C3694"/>
    <w:rsid w:val="004C40AD"/>
    <w:rsid w:val="004C40D1"/>
    <w:rsid w:val="004C426E"/>
    <w:rsid w:val="004C43D6"/>
    <w:rsid w:val="004C4A09"/>
    <w:rsid w:val="004C4F74"/>
    <w:rsid w:val="004C51DB"/>
    <w:rsid w:val="004C55F0"/>
    <w:rsid w:val="004C56C5"/>
    <w:rsid w:val="004C59D2"/>
    <w:rsid w:val="004C5B6F"/>
    <w:rsid w:val="004C6DE6"/>
    <w:rsid w:val="004C6F3F"/>
    <w:rsid w:val="004C7204"/>
    <w:rsid w:val="004C72E8"/>
    <w:rsid w:val="004C753A"/>
    <w:rsid w:val="004C7799"/>
    <w:rsid w:val="004C780A"/>
    <w:rsid w:val="004C789E"/>
    <w:rsid w:val="004C7F5F"/>
    <w:rsid w:val="004D03AA"/>
    <w:rsid w:val="004D066A"/>
    <w:rsid w:val="004D09FE"/>
    <w:rsid w:val="004D0C6C"/>
    <w:rsid w:val="004D2276"/>
    <w:rsid w:val="004D29AE"/>
    <w:rsid w:val="004D2E30"/>
    <w:rsid w:val="004D3EB3"/>
    <w:rsid w:val="004D406E"/>
    <w:rsid w:val="004D4584"/>
    <w:rsid w:val="004D4A72"/>
    <w:rsid w:val="004D4BF0"/>
    <w:rsid w:val="004D4D29"/>
    <w:rsid w:val="004D4D62"/>
    <w:rsid w:val="004D5490"/>
    <w:rsid w:val="004D59B9"/>
    <w:rsid w:val="004D5AD8"/>
    <w:rsid w:val="004D5F0F"/>
    <w:rsid w:val="004D5F52"/>
    <w:rsid w:val="004D6266"/>
    <w:rsid w:val="004D7616"/>
    <w:rsid w:val="004E0BF0"/>
    <w:rsid w:val="004E22EE"/>
    <w:rsid w:val="004E2FD4"/>
    <w:rsid w:val="004E30E2"/>
    <w:rsid w:val="004E320E"/>
    <w:rsid w:val="004E3375"/>
    <w:rsid w:val="004E34C8"/>
    <w:rsid w:val="004E37AD"/>
    <w:rsid w:val="004E3C37"/>
    <w:rsid w:val="004E3E33"/>
    <w:rsid w:val="004E48BB"/>
    <w:rsid w:val="004E508E"/>
    <w:rsid w:val="004E51F0"/>
    <w:rsid w:val="004E607C"/>
    <w:rsid w:val="004E6405"/>
    <w:rsid w:val="004E6955"/>
    <w:rsid w:val="004E6DEE"/>
    <w:rsid w:val="004E70BF"/>
    <w:rsid w:val="004E7168"/>
    <w:rsid w:val="004E73DB"/>
    <w:rsid w:val="004E7528"/>
    <w:rsid w:val="004F0028"/>
    <w:rsid w:val="004F09E0"/>
    <w:rsid w:val="004F0B76"/>
    <w:rsid w:val="004F166F"/>
    <w:rsid w:val="004F1764"/>
    <w:rsid w:val="004F197D"/>
    <w:rsid w:val="004F1CBE"/>
    <w:rsid w:val="004F2002"/>
    <w:rsid w:val="004F2165"/>
    <w:rsid w:val="004F3BD6"/>
    <w:rsid w:val="004F4D40"/>
    <w:rsid w:val="004F4E26"/>
    <w:rsid w:val="004F55DC"/>
    <w:rsid w:val="004F5832"/>
    <w:rsid w:val="004F5C33"/>
    <w:rsid w:val="004F5E9A"/>
    <w:rsid w:val="004F5F3F"/>
    <w:rsid w:val="005008C2"/>
    <w:rsid w:val="00500BBE"/>
    <w:rsid w:val="00501400"/>
    <w:rsid w:val="00502174"/>
    <w:rsid w:val="005021F5"/>
    <w:rsid w:val="00502368"/>
    <w:rsid w:val="00503453"/>
    <w:rsid w:val="00503518"/>
    <w:rsid w:val="00503607"/>
    <w:rsid w:val="00503D04"/>
    <w:rsid w:val="00504865"/>
    <w:rsid w:val="00504C48"/>
    <w:rsid w:val="005052F8"/>
    <w:rsid w:val="0050548F"/>
    <w:rsid w:val="0050592D"/>
    <w:rsid w:val="00505A02"/>
    <w:rsid w:val="00505F3F"/>
    <w:rsid w:val="00505FB0"/>
    <w:rsid w:val="005060C7"/>
    <w:rsid w:val="0050675F"/>
    <w:rsid w:val="005067B2"/>
    <w:rsid w:val="00506B44"/>
    <w:rsid w:val="00507074"/>
    <w:rsid w:val="005072D9"/>
    <w:rsid w:val="0050755B"/>
    <w:rsid w:val="00507AB6"/>
    <w:rsid w:val="005108E7"/>
    <w:rsid w:val="005112E8"/>
    <w:rsid w:val="0051224D"/>
    <w:rsid w:val="005128DE"/>
    <w:rsid w:val="00512DF2"/>
    <w:rsid w:val="0051311D"/>
    <w:rsid w:val="00513392"/>
    <w:rsid w:val="00513788"/>
    <w:rsid w:val="00513DBA"/>
    <w:rsid w:val="00515041"/>
    <w:rsid w:val="00516030"/>
    <w:rsid w:val="0051611B"/>
    <w:rsid w:val="00516383"/>
    <w:rsid w:val="005165F0"/>
    <w:rsid w:val="0051792B"/>
    <w:rsid w:val="00517C3D"/>
    <w:rsid w:val="00517E76"/>
    <w:rsid w:val="0052000C"/>
    <w:rsid w:val="00520BB8"/>
    <w:rsid w:val="00520D15"/>
    <w:rsid w:val="00520F44"/>
    <w:rsid w:val="0052142B"/>
    <w:rsid w:val="005219EC"/>
    <w:rsid w:val="00521A40"/>
    <w:rsid w:val="005221E9"/>
    <w:rsid w:val="00522A61"/>
    <w:rsid w:val="005235C9"/>
    <w:rsid w:val="005247A8"/>
    <w:rsid w:val="00524D83"/>
    <w:rsid w:val="00525390"/>
    <w:rsid w:val="00525C1B"/>
    <w:rsid w:val="00525E51"/>
    <w:rsid w:val="005263D3"/>
    <w:rsid w:val="00526D9A"/>
    <w:rsid w:val="00527001"/>
    <w:rsid w:val="0052764A"/>
    <w:rsid w:val="0053007B"/>
    <w:rsid w:val="00530402"/>
    <w:rsid w:val="00531ADE"/>
    <w:rsid w:val="0053204D"/>
    <w:rsid w:val="00532AA4"/>
    <w:rsid w:val="00532CE3"/>
    <w:rsid w:val="00532EA5"/>
    <w:rsid w:val="00533252"/>
    <w:rsid w:val="00533393"/>
    <w:rsid w:val="005334B6"/>
    <w:rsid w:val="0053364C"/>
    <w:rsid w:val="00533E25"/>
    <w:rsid w:val="005342CE"/>
    <w:rsid w:val="00534B03"/>
    <w:rsid w:val="005351D1"/>
    <w:rsid w:val="00535A95"/>
    <w:rsid w:val="00535BB9"/>
    <w:rsid w:val="00536024"/>
    <w:rsid w:val="00536C36"/>
    <w:rsid w:val="00536CCB"/>
    <w:rsid w:val="00536F23"/>
    <w:rsid w:val="00537123"/>
    <w:rsid w:val="0053735A"/>
    <w:rsid w:val="00537534"/>
    <w:rsid w:val="00537EFE"/>
    <w:rsid w:val="005405DF"/>
    <w:rsid w:val="00540924"/>
    <w:rsid w:val="0054192C"/>
    <w:rsid w:val="0054229E"/>
    <w:rsid w:val="0054245F"/>
    <w:rsid w:val="00542E8A"/>
    <w:rsid w:val="00542F26"/>
    <w:rsid w:val="00543122"/>
    <w:rsid w:val="0054332B"/>
    <w:rsid w:val="00543B39"/>
    <w:rsid w:val="00543DE9"/>
    <w:rsid w:val="00543F38"/>
    <w:rsid w:val="0054410D"/>
    <w:rsid w:val="00545177"/>
    <w:rsid w:val="0054522E"/>
    <w:rsid w:val="005453D6"/>
    <w:rsid w:val="00545526"/>
    <w:rsid w:val="00545687"/>
    <w:rsid w:val="00545AE1"/>
    <w:rsid w:val="00545F71"/>
    <w:rsid w:val="00546452"/>
    <w:rsid w:val="00547027"/>
    <w:rsid w:val="005472A2"/>
    <w:rsid w:val="00547999"/>
    <w:rsid w:val="00547DB5"/>
    <w:rsid w:val="00550811"/>
    <w:rsid w:val="005508B0"/>
    <w:rsid w:val="00550C22"/>
    <w:rsid w:val="005512BC"/>
    <w:rsid w:val="00551376"/>
    <w:rsid w:val="00551412"/>
    <w:rsid w:val="005520A1"/>
    <w:rsid w:val="0055277A"/>
    <w:rsid w:val="0055355A"/>
    <w:rsid w:val="00554401"/>
    <w:rsid w:val="005547A4"/>
    <w:rsid w:val="00554949"/>
    <w:rsid w:val="005549DF"/>
    <w:rsid w:val="00555500"/>
    <w:rsid w:val="00556143"/>
    <w:rsid w:val="00556F33"/>
    <w:rsid w:val="0055723E"/>
    <w:rsid w:val="005572C7"/>
    <w:rsid w:val="0055773E"/>
    <w:rsid w:val="005578A1"/>
    <w:rsid w:val="005578B2"/>
    <w:rsid w:val="00560417"/>
    <w:rsid w:val="00560612"/>
    <w:rsid w:val="0056091B"/>
    <w:rsid w:val="00560F0C"/>
    <w:rsid w:val="0056139E"/>
    <w:rsid w:val="0056159B"/>
    <w:rsid w:val="00561775"/>
    <w:rsid w:val="00561A0A"/>
    <w:rsid w:val="00561B7E"/>
    <w:rsid w:val="00562005"/>
    <w:rsid w:val="00562101"/>
    <w:rsid w:val="0056221C"/>
    <w:rsid w:val="00563446"/>
    <w:rsid w:val="005634FD"/>
    <w:rsid w:val="00563D94"/>
    <w:rsid w:val="00564014"/>
    <w:rsid w:val="005641C1"/>
    <w:rsid w:val="005642BD"/>
    <w:rsid w:val="00564364"/>
    <w:rsid w:val="0056557F"/>
    <w:rsid w:val="005657F9"/>
    <w:rsid w:val="005661E7"/>
    <w:rsid w:val="005663A8"/>
    <w:rsid w:val="0056678A"/>
    <w:rsid w:val="00566BEE"/>
    <w:rsid w:val="00566C84"/>
    <w:rsid w:val="00567427"/>
    <w:rsid w:val="00567F73"/>
    <w:rsid w:val="0057005F"/>
    <w:rsid w:val="005701DB"/>
    <w:rsid w:val="00571483"/>
    <w:rsid w:val="005715F6"/>
    <w:rsid w:val="00571CF1"/>
    <w:rsid w:val="00572549"/>
    <w:rsid w:val="005725BB"/>
    <w:rsid w:val="00572F52"/>
    <w:rsid w:val="00573036"/>
    <w:rsid w:val="0057330A"/>
    <w:rsid w:val="00573B87"/>
    <w:rsid w:val="00574E44"/>
    <w:rsid w:val="0057518D"/>
    <w:rsid w:val="00575A76"/>
    <w:rsid w:val="00575B42"/>
    <w:rsid w:val="00576E86"/>
    <w:rsid w:val="00576EC2"/>
    <w:rsid w:val="00576ED2"/>
    <w:rsid w:val="00577413"/>
    <w:rsid w:val="00577E5C"/>
    <w:rsid w:val="005801A0"/>
    <w:rsid w:val="005812CD"/>
    <w:rsid w:val="00581325"/>
    <w:rsid w:val="00581511"/>
    <w:rsid w:val="00581DF6"/>
    <w:rsid w:val="00582658"/>
    <w:rsid w:val="005826C1"/>
    <w:rsid w:val="00582D45"/>
    <w:rsid w:val="00583748"/>
    <w:rsid w:val="0058388C"/>
    <w:rsid w:val="00584708"/>
    <w:rsid w:val="005848DA"/>
    <w:rsid w:val="00584DF6"/>
    <w:rsid w:val="00584E23"/>
    <w:rsid w:val="0058541C"/>
    <w:rsid w:val="005857C4"/>
    <w:rsid w:val="005858D1"/>
    <w:rsid w:val="005858EF"/>
    <w:rsid w:val="005859CF"/>
    <w:rsid w:val="00585A11"/>
    <w:rsid w:val="00585F51"/>
    <w:rsid w:val="0058641C"/>
    <w:rsid w:val="00586884"/>
    <w:rsid w:val="00586904"/>
    <w:rsid w:val="00586D60"/>
    <w:rsid w:val="00587070"/>
    <w:rsid w:val="00587588"/>
    <w:rsid w:val="005875B8"/>
    <w:rsid w:val="005875ED"/>
    <w:rsid w:val="005877CC"/>
    <w:rsid w:val="0059055F"/>
    <w:rsid w:val="00590B64"/>
    <w:rsid w:val="00590F05"/>
    <w:rsid w:val="005910C1"/>
    <w:rsid w:val="00591564"/>
    <w:rsid w:val="0059276B"/>
    <w:rsid w:val="00592B72"/>
    <w:rsid w:val="00593ED4"/>
    <w:rsid w:val="005946A0"/>
    <w:rsid w:val="0059492B"/>
    <w:rsid w:val="005949B6"/>
    <w:rsid w:val="00595A93"/>
    <w:rsid w:val="00595B30"/>
    <w:rsid w:val="00595B47"/>
    <w:rsid w:val="0059619D"/>
    <w:rsid w:val="00596B06"/>
    <w:rsid w:val="00596DA9"/>
    <w:rsid w:val="005977FA"/>
    <w:rsid w:val="00597A68"/>
    <w:rsid w:val="00597CAC"/>
    <w:rsid w:val="00597F9F"/>
    <w:rsid w:val="005A0514"/>
    <w:rsid w:val="005A1624"/>
    <w:rsid w:val="005A1F92"/>
    <w:rsid w:val="005A2517"/>
    <w:rsid w:val="005A31EA"/>
    <w:rsid w:val="005A3F74"/>
    <w:rsid w:val="005A3FBC"/>
    <w:rsid w:val="005A40C6"/>
    <w:rsid w:val="005A46E4"/>
    <w:rsid w:val="005A4BE3"/>
    <w:rsid w:val="005A538E"/>
    <w:rsid w:val="005A5B11"/>
    <w:rsid w:val="005A63C1"/>
    <w:rsid w:val="005A668C"/>
    <w:rsid w:val="005A6E82"/>
    <w:rsid w:val="005A78FE"/>
    <w:rsid w:val="005A7B8C"/>
    <w:rsid w:val="005A7C22"/>
    <w:rsid w:val="005A7D16"/>
    <w:rsid w:val="005A7E6A"/>
    <w:rsid w:val="005B02A6"/>
    <w:rsid w:val="005B038C"/>
    <w:rsid w:val="005B04C8"/>
    <w:rsid w:val="005B058C"/>
    <w:rsid w:val="005B066E"/>
    <w:rsid w:val="005B08B7"/>
    <w:rsid w:val="005B0A81"/>
    <w:rsid w:val="005B0FC8"/>
    <w:rsid w:val="005B103D"/>
    <w:rsid w:val="005B1194"/>
    <w:rsid w:val="005B12A7"/>
    <w:rsid w:val="005B145B"/>
    <w:rsid w:val="005B1607"/>
    <w:rsid w:val="005B1D83"/>
    <w:rsid w:val="005B1F34"/>
    <w:rsid w:val="005B1F92"/>
    <w:rsid w:val="005B1FF2"/>
    <w:rsid w:val="005B2312"/>
    <w:rsid w:val="005B2A7D"/>
    <w:rsid w:val="005B2F7E"/>
    <w:rsid w:val="005B32EE"/>
    <w:rsid w:val="005B34F2"/>
    <w:rsid w:val="005B3A77"/>
    <w:rsid w:val="005B4271"/>
    <w:rsid w:val="005B5816"/>
    <w:rsid w:val="005B6611"/>
    <w:rsid w:val="005B73FB"/>
    <w:rsid w:val="005B766F"/>
    <w:rsid w:val="005B7DC4"/>
    <w:rsid w:val="005C0168"/>
    <w:rsid w:val="005C05EC"/>
    <w:rsid w:val="005C0FF2"/>
    <w:rsid w:val="005C10AA"/>
    <w:rsid w:val="005C17ED"/>
    <w:rsid w:val="005C19BA"/>
    <w:rsid w:val="005C1AA0"/>
    <w:rsid w:val="005C2590"/>
    <w:rsid w:val="005C33A6"/>
    <w:rsid w:val="005C38FD"/>
    <w:rsid w:val="005C3A30"/>
    <w:rsid w:val="005C3A40"/>
    <w:rsid w:val="005C3E4C"/>
    <w:rsid w:val="005C4E9E"/>
    <w:rsid w:val="005C4F4D"/>
    <w:rsid w:val="005C557B"/>
    <w:rsid w:val="005C55C8"/>
    <w:rsid w:val="005C5BE5"/>
    <w:rsid w:val="005C7353"/>
    <w:rsid w:val="005C7479"/>
    <w:rsid w:val="005C7496"/>
    <w:rsid w:val="005C780F"/>
    <w:rsid w:val="005C7B5D"/>
    <w:rsid w:val="005D0057"/>
    <w:rsid w:val="005D0E06"/>
    <w:rsid w:val="005D0F0E"/>
    <w:rsid w:val="005D137C"/>
    <w:rsid w:val="005D1B4F"/>
    <w:rsid w:val="005D1D2D"/>
    <w:rsid w:val="005D2035"/>
    <w:rsid w:val="005D2619"/>
    <w:rsid w:val="005D2A20"/>
    <w:rsid w:val="005D3539"/>
    <w:rsid w:val="005D3736"/>
    <w:rsid w:val="005D4BAF"/>
    <w:rsid w:val="005D4F37"/>
    <w:rsid w:val="005D5313"/>
    <w:rsid w:val="005D5604"/>
    <w:rsid w:val="005D59A4"/>
    <w:rsid w:val="005D5D7B"/>
    <w:rsid w:val="005D5F8D"/>
    <w:rsid w:val="005D5FAC"/>
    <w:rsid w:val="005D619B"/>
    <w:rsid w:val="005D66EB"/>
    <w:rsid w:val="005D69EA"/>
    <w:rsid w:val="005D6C1D"/>
    <w:rsid w:val="005D6D8F"/>
    <w:rsid w:val="005D6F33"/>
    <w:rsid w:val="005D7321"/>
    <w:rsid w:val="005D796B"/>
    <w:rsid w:val="005D7C4C"/>
    <w:rsid w:val="005E0439"/>
    <w:rsid w:val="005E1233"/>
    <w:rsid w:val="005E1B90"/>
    <w:rsid w:val="005E2095"/>
    <w:rsid w:val="005E2559"/>
    <w:rsid w:val="005E258C"/>
    <w:rsid w:val="005E2986"/>
    <w:rsid w:val="005E2ED6"/>
    <w:rsid w:val="005E3090"/>
    <w:rsid w:val="005E331B"/>
    <w:rsid w:val="005E34AB"/>
    <w:rsid w:val="005E3579"/>
    <w:rsid w:val="005E38D6"/>
    <w:rsid w:val="005E4312"/>
    <w:rsid w:val="005E45D5"/>
    <w:rsid w:val="005E4AC1"/>
    <w:rsid w:val="005E5180"/>
    <w:rsid w:val="005E5792"/>
    <w:rsid w:val="005E5EEF"/>
    <w:rsid w:val="005E63A3"/>
    <w:rsid w:val="005E63D5"/>
    <w:rsid w:val="005E68BC"/>
    <w:rsid w:val="005E6ABC"/>
    <w:rsid w:val="005E77BF"/>
    <w:rsid w:val="005E77F0"/>
    <w:rsid w:val="005E7E3D"/>
    <w:rsid w:val="005F0C27"/>
    <w:rsid w:val="005F19F3"/>
    <w:rsid w:val="005F26C1"/>
    <w:rsid w:val="005F2753"/>
    <w:rsid w:val="005F2FB7"/>
    <w:rsid w:val="005F33BD"/>
    <w:rsid w:val="005F3B98"/>
    <w:rsid w:val="005F3C00"/>
    <w:rsid w:val="005F42FD"/>
    <w:rsid w:val="005F43CB"/>
    <w:rsid w:val="005F4BA4"/>
    <w:rsid w:val="005F50C3"/>
    <w:rsid w:val="005F54C0"/>
    <w:rsid w:val="005F55A0"/>
    <w:rsid w:val="005F5866"/>
    <w:rsid w:val="005F5BAE"/>
    <w:rsid w:val="005F5FD2"/>
    <w:rsid w:val="005F610E"/>
    <w:rsid w:val="005F61AA"/>
    <w:rsid w:val="005F68AB"/>
    <w:rsid w:val="005F6D9B"/>
    <w:rsid w:val="005F6DAE"/>
    <w:rsid w:val="005F6DF6"/>
    <w:rsid w:val="005F6FAE"/>
    <w:rsid w:val="005F7EAB"/>
    <w:rsid w:val="00600653"/>
    <w:rsid w:val="00601BB9"/>
    <w:rsid w:val="006024BE"/>
    <w:rsid w:val="0060286F"/>
    <w:rsid w:val="0060290F"/>
    <w:rsid w:val="00602EF2"/>
    <w:rsid w:val="00602FF6"/>
    <w:rsid w:val="006039C8"/>
    <w:rsid w:val="00603CF9"/>
    <w:rsid w:val="006043BF"/>
    <w:rsid w:val="00604B0A"/>
    <w:rsid w:val="00604B24"/>
    <w:rsid w:val="00605932"/>
    <w:rsid w:val="006059F3"/>
    <w:rsid w:val="00605A1B"/>
    <w:rsid w:val="00605A1F"/>
    <w:rsid w:val="00605A5D"/>
    <w:rsid w:val="00605A87"/>
    <w:rsid w:val="00607202"/>
    <w:rsid w:val="0060766F"/>
    <w:rsid w:val="00610BE7"/>
    <w:rsid w:val="00611543"/>
    <w:rsid w:val="00611D5F"/>
    <w:rsid w:val="00611D6A"/>
    <w:rsid w:val="00611F00"/>
    <w:rsid w:val="00612593"/>
    <w:rsid w:val="006128BC"/>
    <w:rsid w:val="006128F2"/>
    <w:rsid w:val="00612CE3"/>
    <w:rsid w:val="00612D89"/>
    <w:rsid w:val="0061318A"/>
    <w:rsid w:val="00613357"/>
    <w:rsid w:val="00613540"/>
    <w:rsid w:val="0061354A"/>
    <w:rsid w:val="00613672"/>
    <w:rsid w:val="006136EA"/>
    <w:rsid w:val="00613AC4"/>
    <w:rsid w:val="00613D9C"/>
    <w:rsid w:val="00613F21"/>
    <w:rsid w:val="006142CD"/>
    <w:rsid w:val="0061438B"/>
    <w:rsid w:val="0061447C"/>
    <w:rsid w:val="0061457B"/>
    <w:rsid w:val="006148E4"/>
    <w:rsid w:val="00615195"/>
    <w:rsid w:val="006154EF"/>
    <w:rsid w:val="00615757"/>
    <w:rsid w:val="00615965"/>
    <w:rsid w:val="00615B2F"/>
    <w:rsid w:val="006167C5"/>
    <w:rsid w:val="00616EA9"/>
    <w:rsid w:val="0061769E"/>
    <w:rsid w:val="00617823"/>
    <w:rsid w:val="006179DC"/>
    <w:rsid w:val="00617E31"/>
    <w:rsid w:val="00620167"/>
    <w:rsid w:val="006208E2"/>
    <w:rsid w:val="00620B75"/>
    <w:rsid w:val="00620BB9"/>
    <w:rsid w:val="006214F0"/>
    <w:rsid w:val="00621814"/>
    <w:rsid w:val="006219C6"/>
    <w:rsid w:val="00621E39"/>
    <w:rsid w:val="00621ED0"/>
    <w:rsid w:val="00622C8E"/>
    <w:rsid w:val="00622E9A"/>
    <w:rsid w:val="00622FC9"/>
    <w:rsid w:val="0062362A"/>
    <w:rsid w:val="006237A7"/>
    <w:rsid w:val="00623864"/>
    <w:rsid w:val="00623AEE"/>
    <w:rsid w:val="006242EF"/>
    <w:rsid w:val="006243E3"/>
    <w:rsid w:val="0062444C"/>
    <w:rsid w:val="00624C17"/>
    <w:rsid w:val="00624C69"/>
    <w:rsid w:val="00625039"/>
    <w:rsid w:val="006264AB"/>
    <w:rsid w:val="00626B92"/>
    <w:rsid w:val="00626C5F"/>
    <w:rsid w:val="00626F2A"/>
    <w:rsid w:val="00627034"/>
    <w:rsid w:val="00627493"/>
    <w:rsid w:val="00627564"/>
    <w:rsid w:val="0062774B"/>
    <w:rsid w:val="00627F12"/>
    <w:rsid w:val="00630027"/>
    <w:rsid w:val="006305BA"/>
    <w:rsid w:val="006305CA"/>
    <w:rsid w:val="00630C07"/>
    <w:rsid w:val="00630C16"/>
    <w:rsid w:val="00630C34"/>
    <w:rsid w:val="0063118B"/>
    <w:rsid w:val="006313FD"/>
    <w:rsid w:val="00631796"/>
    <w:rsid w:val="00633382"/>
    <w:rsid w:val="00633570"/>
    <w:rsid w:val="00634434"/>
    <w:rsid w:val="0063513B"/>
    <w:rsid w:val="00635365"/>
    <w:rsid w:val="0063538D"/>
    <w:rsid w:val="00635661"/>
    <w:rsid w:val="0063576D"/>
    <w:rsid w:val="00635B59"/>
    <w:rsid w:val="006361AB"/>
    <w:rsid w:val="006369D8"/>
    <w:rsid w:val="00636AAB"/>
    <w:rsid w:val="00636EF6"/>
    <w:rsid w:val="00636FA9"/>
    <w:rsid w:val="0063748C"/>
    <w:rsid w:val="00637F05"/>
    <w:rsid w:val="006406EB"/>
    <w:rsid w:val="00640A14"/>
    <w:rsid w:val="00641D5A"/>
    <w:rsid w:val="006420B4"/>
    <w:rsid w:val="006428ED"/>
    <w:rsid w:val="00642BDD"/>
    <w:rsid w:val="00642EA7"/>
    <w:rsid w:val="006431D6"/>
    <w:rsid w:val="0064329B"/>
    <w:rsid w:val="00643B4E"/>
    <w:rsid w:val="00643B61"/>
    <w:rsid w:val="006445BF"/>
    <w:rsid w:val="00644870"/>
    <w:rsid w:val="00644E58"/>
    <w:rsid w:val="00644F7E"/>
    <w:rsid w:val="006450B2"/>
    <w:rsid w:val="00645C37"/>
    <w:rsid w:val="0064627F"/>
    <w:rsid w:val="00646A32"/>
    <w:rsid w:val="00646A63"/>
    <w:rsid w:val="00647972"/>
    <w:rsid w:val="00647D81"/>
    <w:rsid w:val="00650C23"/>
    <w:rsid w:val="00651723"/>
    <w:rsid w:val="00651D19"/>
    <w:rsid w:val="0065219A"/>
    <w:rsid w:val="006521DE"/>
    <w:rsid w:val="0065297F"/>
    <w:rsid w:val="00652D63"/>
    <w:rsid w:val="00652FAA"/>
    <w:rsid w:val="006531DF"/>
    <w:rsid w:val="0065336F"/>
    <w:rsid w:val="00653788"/>
    <w:rsid w:val="00653857"/>
    <w:rsid w:val="00653EF4"/>
    <w:rsid w:val="006542D3"/>
    <w:rsid w:val="006542D4"/>
    <w:rsid w:val="0065480D"/>
    <w:rsid w:val="006554E8"/>
    <w:rsid w:val="0065566E"/>
    <w:rsid w:val="00655942"/>
    <w:rsid w:val="00656967"/>
    <w:rsid w:val="006570AE"/>
    <w:rsid w:val="00657624"/>
    <w:rsid w:val="00657B44"/>
    <w:rsid w:val="00657C91"/>
    <w:rsid w:val="006601EF"/>
    <w:rsid w:val="00660AF8"/>
    <w:rsid w:val="00661D8E"/>
    <w:rsid w:val="0066290A"/>
    <w:rsid w:val="006629C7"/>
    <w:rsid w:val="00662AD0"/>
    <w:rsid w:val="00662D0D"/>
    <w:rsid w:val="00662DA3"/>
    <w:rsid w:val="00662DFC"/>
    <w:rsid w:val="00663160"/>
    <w:rsid w:val="0066318D"/>
    <w:rsid w:val="006632BC"/>
    <w:rsid w:val="006632EA"/>
    <w:rsid w:val="00663439"/>
    <w:rsid w:val="006638CA"/>
    <w:rsid w:val="00663B5A"/>
    <w:rsid w:val="00663BD7"/>
    <w:rsid w:val="00664A18"/>
    <w:rsid w:val="00664E29"/>
    <w:rsid w:val="00665048"/>
    <w:rsid w:val="006654CB"/>
    <w:rsid w:val="006656F2"/>
    <w:rsid w:val="006660C6"/>
    <w:rsid w:val="00666440"/>
    <w:rsid w:val="006667BE"/>
    <w:rsid w:val="00666B94"/>
    <w:rsid w:val="00666C4C"/>
    <w:rsid w:val="00666FB3"/>
    <w:rsid w:val="00667F5A"/>
    <w:rsid w:val="00670062"/>
    <w:rsid w:val="00670FB6"/>
    <w:rsid w:val="0067136D"/>
    <w:rsid w:val="006715AC"/>
    <w:rsid w:val="006718DB"/>
    <w:rsid w:val="00671E52"/>
    <w:rsid w:val="0067219C"/>
    <w:rsid w:val="00672CA6"/>
    <w:rsid w:val="00672FC5"/>
    <w:rsid w:val="0067344E"/>
    <w:rsid w:val="006735A6"/>
    <w:rsid w:val="006735C8"/>
    <w:rsid w:val="0067397F"/>
    <w:rsid w:val="00673FAB"/>
    <w:rsid w:val="006748EF"/>
    <w:rsid w:val="00674B9F"/>
    <w:rsid w:val="00674E58"/>
    <w:rsid w:val="00674EA2"/>
    <w:rsid w:val="0067540F"/>
    <w:rsid w:val="00675542"/>
    <w:rsid w:val="00675550"/>
    <w:rsid w:val="006757E8"/>
    <w:rsid w:val="006759E1"/>
    <w:rsid w:val="00676757"/>
    <w:rsid w:val="00676AEB"/>
    <w:rsid w:val="0067718E"/>
    <w:rsid w:val="0067775E"/>
    <w:rsid w:val="006777C9"/>
    <w:rsid w:val="00677862"/>
    <w:rsid w:val="006779F8"/>
    <w:rsid w:val="00677AAC"/>
    <w:rsid w:val="00680963"/>
    <w:rsid w:val="00680D98"/>
    <w:rsid w:val="00680ED1"/>
    <w:rsid w:val="00680F5A"/>
    <w:rsid w:val="0068121F"/>
    <w:rsid w:val="0068128A"/>
    <w:rsid w:val="00681531"/>
    <w:rsid w:val="006818B3"/>
    <w:rsid w:val="0068199F"/>
    <w:rsid w:val="00681C9C"/>
    <w:rsid w:val="00682177"/>
    <w:rsid w:val="00682439"/>
    <w:rsid w:val="006825F8"/>
    <w:rsid w:val="006836C8"/>
    <w:rsid w:val="00683B41"/>
    <w:rsid w:val="00683F75"/>
    <w:rsid w:val="0068437F"/>
    <w:rsid w:val="006843D2"/>
    <w:rsid w:val="0068482F"/>
    <w:rsid w:val="006849F2"/>
    <w:rsid w:val="00684B34"/>
    <w:rsid w:val="00685FB9"/>
    <w:rsid w:val="00686954"/>
    <w:rsid w:val="0068760C"/>
    <w:rsid w:val="0068761A"/>
    <w:rsid w:val="00687E38"/>
    <w:rsid w:val="0069047F"/>
    <w:rsid w:val="00690C14"/>
    <w:rsid w:val="0069149E"/>
    <w:rsid w:val="00691B8B"/>
    <w:rsid w:val="00691ECF"/>
    <w:rsid w:val="00692371"/>
    <w:rsid w:val="006923CE"/>
    <w:rsid w:val="00692996"/>
    <w:rsid w:val="00692F31"/>
    <w:rsid w:val="006942CF"/>
    <w:rsid w:val="0069466F"/>
    <w:rsid w:val="0069475E"/>
    <w:rsid w:val="00695C5E"/>
    <w:rsid w:val="00696D39"/>
    <w:rsid w:val="00697898"/>
    <w:rsid w:val="006A08C9"/>
    <w:rsid w:val="006A0BE8"/>
    <w:rsid w:val="006A1634"/>
    <w:rsid w:val="006A373D"/>
    <w:rsid w:val="006A3998"/>
    <w:rsid w:val="006A3BB4"/>
    <w:rsid w:val="006A3E21"/>
    <w:rsid w:val="006A49DD"/>
    <w:rsid w:val="006A4C67"/>
    <w:rsid w:val="006A547A"/>
    <w:rsid w:val="006A613C"/>
    <w:rsid w:val="006A756B"/>
    <w:rsid w:val="006A7D40"/>
    <w:rsid w:val="006B0229"/>
    <w:rsid w:val="006B08E0"/>
    <w:rsid w:val="006B0E43"/>
    <w:rsid w:val="006B0E50"/>
    <w:rsid w:val="006B133E"/>
    <w:rsid w:val="006B14A6"/>
    <w:rsid w:val="006B1693"/>
    <w:rsid w:val="006B1C6C"/>
    <w:rsid w:val="006B2075"/>
    <w:rsid w:val="006B2B13"/>
    <w:rsid w:val="006B2CDE"/>
    <w:rsid w:val="006B3841"/>
    <w:rsid w:val="006B3E25"/>
    <w:rsid w:val="006B3F3F"/>
    <w:rsid w:val="006B4426"/>
    <w:rsid w:val="006B4B58"/>
    <w:rsid w:val="006B5030"/>
    <w:rsid w:val="006B5183"/>
    <w:rsid w:val="006B57A4"/>
    <w:rsid w:val="006B5B78"/>
    <w:rsid w:val="006B607B"/>
    <w:rsid w:val="006B65A3"/>
    <w:rsid w:val="006B65EE"/>
    <w:rsid w:val="006B6F18"/>
    <w:rsid w:val="006B7890"/>
    <w:rsid w:val="006B79F4"/>
    <w:rsid w:val="006C0E5C"/>
    <w:rsid w:val="006C1047"/>
    <w:rsid w:val="006C177F"/>
    <w:rsid w:val="006C1F06"/>
    <w:rsid w:val="006C1FA8"/>
    <w:rsid w:val="006C2065"/>
    <w:rsid w:val="006C2074"/>
    <w:rsid w:val="006C238F"/>
    <w:rsid w:val="006C3030"/>
    <w:rsid w:val="006C303E"/>
    <w:rsid w:val="006C3AA4"/>
    <w:rsid w:val="006C3D1A"/>
    <w:rsid w:val="006C41CE"/>
    <w:rsid w:val="006C44CC"/>
    <w:rsid w:val="006C461B"/>
    <w:rsid w:val="006C4A66"/>
    <w:rsid w:val="006C4B82"/>
    <w:rsid w:val="006C51CD"/>
    <w:rsid w:val="006C626E"/>
    <w:rsid w:val="006C6712"/>
    <w:rsid w:val="006C7800"/>
    <w:rsid w:val="006C7EA5"/>
    <w:rsid w:val="006D0012"/>
    <w:rsid w:val="006D0084"/>
    <w:rsid w:val="006D0894"/>
    <w:rsid w:val="006D19D9"/>
    <w:rsid w:val="006D2363"/>
    <w:rsid w:val="006D2624"/>
    <w:rsid w:val="006D266D"/>
    <w:rsid w:val="006D269B"/>
    <w:rsid w:val="006D2864"/>
    <w:rsid w:val="006D351F"/>
    <w:rsid w:val="006D3D55"/>
    <w:rsid w:val="006D40D5"/>
    <w:rsid w:val="006D47F0"/>
    <w:rsid w:val="006D549D"/>
    <w:rsid w:val="006D568F"/>
    <w:rsid w:val="006D5E4A"/>
    <w:rsid w:val="006D5E71"/>
    <w:rsid w:val="006D6844"/>
    <w:rsid w:val="006D6BBD"/>
    <w:rsid w:val="006D6DC8"/>
    <w:rsid w:val="006D6E4B"/>
    <w:rsid w:val="006D6F86"/>
    <w:rsid w:val="006D74A8"/>
    <w:rsid w:val="006D7BB7"/>
    <w:rsid w:val="006D7E4F"/>
    <w:rsid w:val="006E1197"/>
    <w:rsid w:val="006E127F"/>
    <w:rsid w:val="006E1287"/>
    <w:rsid w:val="006E16DB"/>
    <w:rsid w:val="006E1CD4"/>
    <w:rsid w:val="006E2326"/>
    <w:rsid w:val="006E2D78"/>
    <w:rsid w:val="006E3CC2"/>
    <w:rsid w:val="006E419F"/>
    <w:rsid w:val="006E4327"/>
    <w:rsid w:val="006E473F"/>
    <w:rsid w:val="006E47A7"/>
    <w:rsid w:val="006E484D"/>
    <w:rsid w:val="006E4C1C"/>
    <w:rsid w:val="006E5B03"/>
    <w:rsid w:val="006E6B66"/>
    <w:rsid w:val="006E7739"/>
    <w:rsid w:val="006E7A16"/>
    <w:rsid w:val="006F006D"/>
    <w:rsid w:val="006F07E2"/>
    <w:rsid w:val="006F09B2"/>
    <w:rsid w:val="006F0B11"/>
    <w:rsid w:val="006F0CC4"/>
    <w:rsid w:val="006F0D17"/>
    <w:rsid w:val="006F0F90"/>
    <w:rsid w:val="006F2A38"/>
    <w:rsid w:val="006F2F47"/>
    <w:rsid w:val="006F31A0"/>
    <w:rsid w:val="006F352A"/>
    <w:rsid w:val="006F3BFE"/>
    <w:rsid w:val="006F5188"/>
    <w:rsid w:val="006F5458"/>
    <w:rsid w:val="006F5622"/>
    <w:rsid w:val="006F5791"/>
    <w:rsid w:val="006F57C5"/>
    <w:rsid w:val="006F6459"/>
    <w:rsid w:val="006F6B86"/>
    <w:rsid w:val="006F6FF9"/>
    <w:rsid w:val="006F739B"/>
    <w:rsid w:val="006F7EFE"/>
    <w:rsid w:val="007001D2"/>
    <w:rsid w:val="007003A4"/>
    <w:rsid w:val="007012C2"/>
    <w:rsid w:val="007014C2"/>
    <w:rsid w:val="00701647"/>
    <w:rsid w:val="00701D87"/>
    <w:rsid w:val="00702D28"/>
    <w:rsid w:val="00702F67"/>
    <w:rsid w:val="00703691"/>
    <w:rsid w:val="0070378B"/>
    <w:rsid w:val="007039FD"/>
    <w:rsid w:val="00703FEB"/>
    <w:rsid w:val="0070416D"/>
    <w:rsid w:val="0070429D"/>
    <w:rsid w:val="007043C1"/>
    <w:rsid w:val="0070466C"/>
    <w:rsid w:val="00704C35"/>
    <w:rsid w:val="0070505F"/>
    <w:rsid w:val="00705295"/>
    <w:rsid w:val="00705D48"/>
    <w:rsid w:val="007067F0"/>
    <w:rsid w:val="00706811"/>
    <w:rsid w:val="00706984"/>
    <w:rsid w:val="00706C80"/>
    <w:rsid w:val="00706E3C"/>
    <w:rsid w:val="00707443"/>
    <w:rsid w:val="00707815"/>
    <w:rsid w:val="00707D7A"/>
    <w:rsid w:val="00707DD3"/>
    <w:rsid w:val="00710A11"/>
    <w:rsid w:val="00710CB9"/>
    <w:rsid w:val="00710E8C"/>
    <w:rsid w:val="00710FC1"/>
    <w:rsid w:val="007110E6"/>
    <w:rsid w:val="007116B6"/>
    <w:rsid w:val="00712BDF"/>
    <w:rsid w:val="00712D87"/>
    <w:rsid w:val="0071359B"/>
    <w:rsid w:val="00713BFB"/>
    <w:rsid w:val="0071470B"/>
    <w:rsid w:val="00714C73"/>
    <w:rsid w:val="0071564E"/>
    <w:rsid w:val="00715D9C"/>
    <w:rsid w:val="00715EC5"/>
    <w:rsid w:val="00716348"/>
    <w:rsid w:val="007168A2"/>
    <w:rsid w:val="007169D7"/>
    <w:rsid w:val="00717313"/>
    <w:rsid w:val="0072027A"/>
    <w:rsid w:val="007208AE"/>
    <w:rsid w:val="00720CA9"/>
    <w:rsid w:val="00720D63"/>
    <w:rsid w:val="00721A09"/>
    <w:rsid w:val="007226E5"/>
    <w:rsid w:val="007234EC"/>
    <w:rsid w:val="0072388C"/>
    <w:rsid w:val="00723E1A"/>
    <w:rsid w:val="00723EF0"/>
    <w:rsid w:val="00724D07"/>
    <w:rsid w:val="00724D99"/>
    <w:rsid w:val="00724E0F"/>
    <w:rsid w:val="007250CB"/>
    <w:rsid w:val="00725B50"/>
    <w:rsid w:val="007261B9"/>
    <w:rsid w:val="0072642C"/>
    <w:rsid w:val="00726652"/>
    <w:rsid w:val="007269F3"/>
    <w:rsid w:val="00726FD2"/>
    <w:rsid w:val="0072753C"/>
    <w:rsid w:val="00727B3D"/>
    <w:rsid w:val="00730412"/>
    <w:rsid w:val="00730A29"/>
    <w:rsid w:val="00730C9B"/>
    <w:rsid w:val="007312C7"/>
    <w:rsid w:val="007318DE"/>
    <w:rsid w:val="00731EDF"/>
    <w:rsid w:val="00732989"/>
    <w:rsid w:val="00732A1F"/>
    <w:rsid w:val="00732F6C"/>
    <w:rsid w:val="00733708"/>
    <w:rsid w:val="00733EC7"/>
    <w:rsid w:val="00733FDE"/>
    <w:rsid w:val="00734649"/>
    <w:rsid w:val="00734CC4"/>
    <w:rsid w:val="007352DD"/>
    <w:rsid w:val="00735829"/>
    <w:rsid w:val="00735D7C"/>
    <w:rsid w:val="0073604D"/>
    <w:rsid w:val="007361AE"/>
    <w:rsid w:val="00736466"/>
    <w:rsid w:val="007367A5"/>
    <w:rsid w:val="007407AF"/>
    <w:rsid w:val="00740F5B"/>
    <w:rsid w:val="0074101A"/>
    <w:rsid w:val="0074147C"/>
    <w:rsid w:val="007425B0"/>
    <w:rsid w:val="00742802"/>
    <w:rsid w:val="00742904"/>
    <w:rsid w:val="0074349B"/>
    <w:rsid w:val="00743C74"/>
    <w:rsid w:val="00743D03"/>
    <w:rsid w:val="0074406B"/>
    <w:rsid w:val="00744249"/>
    <w:rsid w:val="00744E1D"/>
    <w:rsid w:val="007450F9"/>
    <w:rsid w:val="0074541E"/>
    <w:rsid w:val="00745496"/>
    <w:rsid w:val="00745A58"/>
    <w:rsid w:val="00745D28"/>
    <w:rsid w:val="00746346"/>
    <w:rsid w:val="007463C0"/>
    <w:rsid w:val="00746A0A"/>
    <w:rsid w:val="00746A25"/>
    <w:rsid w:val="00746B08"/>
    <w:rsid w:val="00746F68"/>
    <w:rsid w:val="007473BA"/>
    <w:rsid w:val="007478BE"/>
    <w:rsid w:val="00747976"/>
    <w:rsid w:val="0075151D"/>
    <w:rsid w:val="00751535"/>
    <w:rsid w:val="00751C0C"/>
    <w:rsid w:val="0075255D"/>
    <w:rsid w:val="00752F93"/>
    <w:rsid w:val="00753129"/>
    <w:rsid w:val="00753317"/>
    <w:rsid w:val="00753D70"/>
    <w:rsid w:val="00753E2A"/>
    <w:rsid w:val="00754236"/>
    <w:rsid w:val="00754C1D"/>
    <w:rsid w:val="00754C68"/>
    <w:rsid w:val="00754F15"/>
    <w:rsid w:val="00755247"/>
    <w:rsid w:val="0075547F"/>
    <w:rsid w:val="0075550B"/>
    <w:rsid w:val="00755532"/>
    <w:rsid w:val="0075585F"/>
    <w:rsid w:val="007559BE"/>
    <w:rsid w:val="00755B30"/>
    <w:rsid w:val="00755CD4"/>
    <w:rsid w:val="00755F5F"/>
    <w:rsid w:val="00756107"/>
    <w:rsid w:val="00756343"/>
    <w:rsid w:val="007565FD"/>
    <w:rsid w:val="007570BC"/>
    <w:rsid w:val="007577FD"/>
    <w:rsid w:val="0076045C"/>
    <w:rsid w:val="00760638"/>
    <w:rsid w:val="00760BFA"/>
    <w:rsid w:val="00760FFA"/>
    <w:rsid w:val="00761289"/>
    <w:rsid w:val="0076137E"/>
    <w:rsid w:val="00761AEE"/>
    <w:rsid w:val="00761F5C"/>
    <w:rsid w:val="007622C8"/>
    <w:rsid w:val="00763322"/>
    <w:rsid w:val="007634AC"/>
    <w:rsid w:val="0076371B"/>
    <w:rsid w:val="00763818"/>
    <w:rsid w:val="00763B58"/>
    <w:rsid w:val="00764DB0"/>
    <w:rsid w:val="00765629"/>
    <w:rsid w:val="00765A98"/>
    <w:rsid w:val="007667C8"/>
    <w:rsid w:val="00766926"/>
    <w:rsid w:val="00766D96"/>
    <w:rsid w:val="007673FA"/>
    <w:rsid w:val="00767564"/>
    <w:rsid w:val="00770625"/>
    <w:rsid w:val="00770712"/>
    <w:rsid w:val="007711B7"/>
    <w:rsid w:val="007718E6"/>
    <w:rsid w:val="00771997"/>
    <w:rsid w:val="00771B54"/>
    <w:rsid w:val="007723D9"/>
    <w:rsid w:val="007726F5"/>
    <w:rsid w:val="00772CC0"/>
    <w:rsid w:val="0077430E"/>
    <w:rsid w:val="00774BC4"/>
    <w:rsid w:val="00774E12"/>
    <w:rsid w:val="00774EFD"/>
    <w:rsid w:val="007752F5"/>
    <w:rsid w:val="0077557B"/>
    <w:rsid w:val="00775E8E"/>
    <w:rsid w:val="00776677"/>
    <w:rsid w:val="00776983"/>
    <w:rsid w:val="00777296"/>
    <w:rsid w:val="007776F7"/>
    <w:rsid w:val="0078005B"/>
    <w:rsid w:val="00780298"/>
    <w:rsid w:val="00780604"/>
    <w:rsid w:val="0078078F"/>
    <w:rsid w:val="007814C3"/>
    <w:rsid w:val="00781C52"/>
    <w:rsid w:val="00782374"/>
    <w:rsid w:val="00782385"/>
    <w:rsid w:val="00782663"/>
    <w:rsid w:val="007844E8"/>
    <w:rsid w:val="00784999"/>
    <w:rsid w:val="0078511D"/>
    <w:rsid w:val="007853D5"/>
    <w:rsid w:val="00785944"/>
    <w:rsid w:val="00785A44"/>
    <w:rsid w:val="00785DCC"/>
    <w:rsid w:val="00785E5C"/>
    <w:rsid w:val="00785E9A"/>
    <w:rsid w:val="00786693"/>
    <w:rsid w:val="00786969"/>
    <w:rsid w:val="0078723B"/>
    <w:rsid w:val="00787584"/>
    <w:rsid w:val="007876C0"/>
    <w:rsid w:val="007877AE"/>
    <w:rsid w:val="00787CB1"/>
    <w:rsid w:val="00787E59"/>
    <w:rsid w:val="007904D4"/>
    <w:rsid w:val="0079052A"/>
    <w:rsid w:val="00790EBF"/>
    <w:rsid w:val="007910EA"/>
    <w:rsid w:val="007911C0"/>
    <w:rsid w:val="0079234F"/>
    <w:rsid w:val="00792875"/>
    <w:rsid w:val="00792DA9"/>
    <w:rsid w:val="00792EBB"/>
    <w:rsid w:val="00793D71"/>
    <w:rsid w:val="0079407E"/>
    <w:rsid w:val="0079421E"/>
    <w:rsid w:val="007943A3"/>
    <w:rsid w:val="007945C1"/>
    <w:rsid w:val="00795135"/>
    <w:rsid w:val="00795B73"/>
    <w:rsid w:val="007961C5"/>
    <w:rsid w:val="007962EC"/>
    <w:rsid w:val="00797332"/>
    <w:rsid w:val="0079757D"/>
    <w:rsid w:val="00797A23"/>
    <w:rsid w:val="007A0693"/>
    <w:rsid w:val="007A0BC6"/>
    <w:rsid w:val="007A0CD4"/>
    <w:rsid w:val="007A0DFE"/>
    <w:rsid w:val="007A129E"/>
    <w:rsid w:val="007A1468"/>
    <w:rsid w:val="007A156D"/>
    <w:rsid w:val="007A1819"/>
    <w:rsid w:val="007A224D"/>
    <w:rsid w:val="007A2902"/>
    <w:rsid w:val="007A291E"/>
    <w:rsid w:val="007A31E7"/>
    <w:rsid w:val="007A3325"/>
    <w:rsid w:val="007A3BEC"/>
    <w:rsid w:val="007A3EA2"/>
    <w:rsid w:val="007A4967"/>
    <w:rsid w:val="007A55A0"/>
    <w:rsid w:val="007A573A"/>
    <w:rsid w:val="007A5C16"/>
    <w:rsid w:val="007A60A7"/>
    <w:rsid w:val="007A63D8"/>
    <w:rsid w:val="007A7383"/>
    <w:rsid w:val="007A7BF0"/>
    <w:rsid w:val="007A7E9A"/>
    <w:rsid w:val="007A7F22"/>
    <w:rsid w:val="007B00D1"/>
    <w:rsid w:val="007B03A6"/>
    <w:rsid w:val="007B06D0"/>
    <w:rsid w:val="007B0CB9"/>
    <w:rsid w:val="007B1044"/>
    <w:rsid w:val="007B1114"/>
    <w:rsid w:val="007B12F7"/>
    <w:rsid w:val="007B13C0"/>
    <w:rsid w:val="007B1DF7"/>
    <w:rsid w:val="007B1F09"/>
    <w:rsid w:val="007B1F9E"/>
    <w:rsid w:val="007B235E"/>
    <w:rsid w:val="007B28FC"/>
    <w:rsid w:val="007B2B6F"/>
    <w:rsid w:val="007B3687"/>
    <w:rsid w:val="007B386B"/>
    <w:rsid w:val="007B4997"/>
    <w:rsid w:val="007B49C9"/>
    <w:rsid w:val="007B4F0C"/>
    <w:rsid w:val="007B4FAC"/>
    <w:rsid w:val="007B5319"/>
    <w:rsid w:val="007B565E"/>
    <w:rsid w:val="007B5C63"/>
    <w:rsid w:val="007B5D0E"/>
    <w:rsid w:val="007B6680"/>
    <w:rsid w:val="007B67D9"/>
    <w:rsid w:val="007B6903"/>
    <w:rsid w:val="007B6A0A"/>
    <w:rsid w:val="007B6D63"/>
    <w:rsid w:val="007B6D7A"/>
    <w:rsid w:val="007B6F94"/>
    <w:rsid w:val="007B7214"/>
    <w:rsid w:val="007B75F5"/>
    <w:rsid w:val="007B7740"/>
    <w:rsid w:val="007B7980"/>
    <w:rsid w:val="007B7EAB"/>
    <w:rsid w:val="007B7F77"/>
    <w:rsid w:val="007C041A"/>
    <w:rsid w:val="007C0EC7"/>
    <w:rsid w:val="007C1733"/>
    <w:rsid w:val="007C1774"/>
    <w:rsid w:val="007C1C84"/>
    <w:rsid w:val="007C1D6D"/>
    <w:rsid w:val="007C22F0"/>
    <w:rsid w:val="007C2445"/>
    <w:rsid w:val="007C2526"/>
    <w:rsid w:val="007C2ACF"/>
    <w:rsid w:val="007C3908"/>
    <w:rsid w:val="007C3B98"/>
    <w:rsid w:val="007C47EA"/>
    <w:rsid w:val="007C4810"/>
    <w:rsid w:val="007C4B3D"/>
    <w:rsid w:val="007C55AE"/>
    <w:rsid w:val="007C5779"/>
    <w:rsid w:val="007C624E"/>
    <w:rsid w:val="007C6A44"/>
    <w:rsid w:val="007C6B5A"/>
    <w:rsid w:val="007C71CA"/>
    <w:rsid w:val="007C7220"/>
    <w:rsid w:val="007C788C"/>
    <w:rsid w:val="007C7A71"/>
    <w:rsid w:val="007C7AB7"/>
    <w:rsid w:val="007D1308"/>
    <w:rsid w:val="007D132A"/>
    <w:rsid w:val="007D1508"/>
    <w:rsid w:val="007D279F"/>
    <w:rsid w:val="007D2BEE"/>
    <w:rsid w:val="007D38BD"/>
    <w:rsid w:val="007D3F85"/>
    <w:rsid w:val="007D4376"/>
    <w:rsid w:val="007D4733"/>
    <w:rsid w:val="007D55A8"/>
    <w:rsid w:val="007D59FA"/>
    <w:rsid w:val="007D5BE5"/>
    <w:rsid w:val="007D691A"/>
    <w:rsid w:val="007D6DD3"/>
    <w:rsid w:val="007D6EAE"/>
    <w:rsid w:val="007D7452"/>
    <w:rsid w:val="007D7513"/>
    <w:rsid w:val="007D7B09"/>
    <w:rsid w:val="007E0146"/>
    <w:rsid w:val="007E09DC"/>
    <w:rsid w:val="007E0F1D"/>
    <w:rsid w:val="007E1287"/>
    <w:rsid w:val="007E1758"/>
    <w:rsid w:val="007E1797"/>
    <w:rsid w:val="007E1870"/>
    <w:rsid w:val="007E18E7"/>
    <w:rsid w:val="007E1B80"/>
    <w:rsid w:val="007E1F21"/>
    <w:rsid w:val="007E2590"/>
    <w:rsid w:val="007E2A74"/>
    <w:rsid w:val="007E314C"/>
    <w:rsid w:val="007E3B32"/>
    <w:rsid w:val="007E3C04"/>
    <w:rsid w:val="007E3CB4"/>
    <w:rsid w:val="007E45E7"/>
    <w:rsid w:val="007E467D"/>
    <w:rsid w:val="007E4A34"/>
    <w:rsid w:val="007E4A89"/>
    <w:rsid w:val="007E5576"/>
    <w:rsid w:val="007E5F1B"/>
    <w:rsid w:val="007E74AD"/>
    <w:rsid w:val="007E75F4"/>
    <w:rsid w:val="007E7807"/>
    <w:rsid w:val="007F03AF"/>
    <w:rsid w:val="007F09FA"/>
    <w:rsid w:val="007F0B02"/>
    <w:rsid w:val="007F0C59"/>
    <w:rsid w:val="007F1738"/>
    <w:rsid w:val="007F1AF7"/>
    <w:rsid w:val="007F2D44"/>
    <w:rsid w:val="007F3227"/>
    <w:rsid w:val="007F32E5"/>
    <w:rsid w:val="007F3E59"/>
    <w:rsid w:val="007F41AD"/>
    <w:rsid w:val="007F4763"/>
    <w:rsid w:val="007F4BA0"/>
    <w:rsid w:val="007F4FE7"/>
    <w:rsid w:val="007F56CB"/>
    <w:rsid w:val="007F5990"/>
    <w:rsid w:val="007F5FB2"/>
    <w:rsid w:val="007F7069"/>
    <w:rsid w:val="007F74BF"/>
    <w:rsid w:val="007F7981"/>
    <w:rsid w:val="007F7BB4"/>
    <w:rsid w:val="007F7BD9"/>
    <w:rsid w:val="007F7E35"/>
    <w:rsid w:val="00802D43"/>
    <w:rsid w:val="0080364F"/>
    <w:rsid w:val="008036D7"/>
    <w:rsid w:val="00803A26"/>
    <w:rsid w:val="00803B5C"/>
    <w:rsid w:val="00803F3F"/>
    <w:rsid w:val="0080462F"/>
    <w:rsid w:val="00804A5D"/>
    <w:rsid w:val="00805937"/>
    <w:rsid w:val="00805B69"/>
    <w:rsid w:val="00805E51"/>
    <w:rsid w:val="008061C3"/>
    <w:rsid w:val="008065E1"/>
    <w:rsid w:val="00806D8D"/>
    <w:rsid w:val="008072A5"/>
    <w:rsid w:val="0080741C"/>
    <w:rsid w:val="00810A1C"/>
    <w:rsid w:val="00810B60"/>
    <w:rsid w:val="00810E70"/>
    <w:rsid w:val="0081133F"/>
    <w:rsid w:val="008115DE"/>
    <w:rsid w:val="00811B5A"/>
    <w:rsid w:val="00811E91"/>
    <w:rsid w:val="00812CE0"/>
    <w:rsid w:val="008131D2"/>
    <w:rsid w:val="008136B6"/>
    <w:rsid w:val="0081389E"/>
    <w:rsid w:val="008138D1"/>
    <w:rsid w:val="008146CE"/>
    <w:rsid w:val="00814746"/>
    <w:rsid w:val="008147F2"/>
    <w:rsid w:val="008155DB"/>
    <w:rsid w:val="00815973"/>
    <w:rsid w:val="0081600B"/>
    <w:rsid w:val="00817A06"/>
    <w:rsid w:val="00817D0E"/>
    <w:rsid w:val="00817E96"/>
    <w:rsid w:val="008201DF"/>
    <w:rsid w:val="008203F2"/>
    <w:rsid w:val="00820465"/>
    <w:rsid w:val="00820CC2"/>
    <w:rsid w:val="0082157D"/>
    <w:rsid w:val="0082165E"/>
    <w:rsid w:val="008218FF"/>
    <w:rsid w:val="00821D52"/>
    <w:rsid w:val="0082406E"/>
    <w:rsid w:val="008256F3"/>
    <w:rsid w:val="00826329"/>
    <w:rsid w:val="0082665D"/>
    <w:rsid w:val="0082689F"/>
    <w:rsid w:val="00826956"/>
    <w:rsid w:val="00826CA0"/>
    <w:rsid w:val="0082702B"/>
    <w:rsid w:val="00827485"/>
    <w:rsid w:val="0083175D"/>
    <w:rsid w:val="008318B6"/>
    <w:rsid w:val="00832095"/>
    <w:rsid w:val="0083231F"/>
    <w:rsid w:val="00832476"/>
    <w:rsid w:val="008329C9"/>
    <w:rsid w:val="00832ADA"/>
    <w:rsid w:val="00833045"/>
    <w:rsid w:val="008335B7"/>
    <w:rsid w:val="008337BC"/>
    <w:rsid w:val="008338F9"/>
    <w:rsid w:val="00833962"/>
    <w:rsid w:val="0083433A"/>
    <w:rsid w:val="00834414"/>
    <w:rsid w:val="00834F8A"/>
    <w:rsid w:val="00835194"/>
    <w:rsid w:val="0083561B"/>
    <w:rsid w:val="00835B76"/>
    <w:rsid w:val="00836FE0"/>
    <w:rsid w:val="00837065"/>
    <w:rsid w:val="00837396"/>
    <w:rsid w:val="00837545"/>
    <w:rsid w:val="00837982"/>
    <w:rsid w:val="00840740"/>
    <w:rsid w:val="008408B8"/>
    <w:rsid w:val="00841843"/>
    <w:rsid w:val="008419BA"/>
    <w:rsid w:val="008423A9"/>
    <w:rsid w:val="008429CE"/>
    <w:rsid w:val="008430DA"/>
    <w:rsid w:val="0084341D"/>
    <w:rsid w:val="008434B0"/>
    <w:rsid w:val="00845599"/>
    <w:rsid w:val="00846738"/>
    <w:rsid w:val="00846791"/>
    <w:rsid w:val="00846AE6"/>
    <w:rsid w:val="00846B11"/>
    <w:rsid w:val="00846BEA"/>
    <w:rsid w:val="008471D2"/>
    <w:rsid w:val="00847549"/>
    <w:rsid w:val="0085020B"/>
    <w:rsid w:val="0085022D"/>
    <w:rsid w:val="0085086B"/>
    <w:rsid w:val="00850CAE"/>
    <w:rsid w:val="008522BA"/>
    <w:rsid w:val="00852AD1"/>
    <w:rsid w:val="00853B4B"/>
    <w:rsid w:val="00855049"/>
    <w:rsid w:val="00855678"/>
    <w:rsid w:val="00855681"/>
    <w:rsid w:val="00856267"/>
    <w:rsid w:val="0085658E"/>
    <w:rsid w:val="0085669E"/>
    <w:rsid w:val="00856FDC"/>
    <w:rsid w:val="00857404"/>
    <w:rsid w:val="00857E1F"/>
    <w:rsid w:val="008605E7"/>
    <w:rsid w:val="00860693"/>
    <w:rsid w:val="00860786"/>
    <w:rsid w:val="00860BAE"/>
    <w:rsid w:val="008614FC"/>
    <w:rsid w:val="00861D8A"/>
    <w:rsid w:val="00861EB1"/>
    <w:rsid w:val="00861F4A"/>
    <w:rsid w:val="008625ED"/>
    <w:rsid w:val="00862A69"/>
    <w:rsid w:val="00862D14"/>
    <w:rsid w:val="00862E9E"/>
    <w:rsid w:val="008631B3"/>
    <w:rsid w:val="00863FBD"/>
    <w:rsid w:val="008641F6"/>
    <w:rsid w:val="00864277"/>
    <w:rsid w:val="00864751"/>
    <w:rsid w:val="00865445"/>
    <w:rsid w:val="008654A0"/>
    <w:rsid w:val="008659B1"/>
    <w:rsid w:val="00865CB0"/>
    <w:rsid w:val="00865D70"/>
    <w:rsid w:val="008661BC"/>
    <w:rsid w:val="00866B50"/>
    <w:rsid w:val="00866D81"/>
    <w:rsid w:val="00866ECE"/>
    <w:rsid w:val="00867B0D"/>
    <w:rsid w:val="00867EA8"/>
    <w:rsid w:val="0087060B"/>
    <w:rsid w:val="00870A39"/>
    <w:rsid w:val="00871067"/>
    <w:rsid w:val="00871941"/>
    <w:rsid w:val="008719DB"/>
    <w:rsid w:val="00871FC6"/>
    <w:rsid w:val="00871FD8"/>
    <w:rsid w:val="0087219B"/>
    <w:rsid w:val="00872307"/>
    <w:rsid w:val="0087255F"/>
    <w:rsid w:val="00872651"/>
    <w:rsid w:val="0087295C"/>
    <w:rsid w:val="00872DBF"/>
    <w:rsid w:val="00872F0E"/>
    <w:rsid w:val="00872F6C"/>
    <w:rsid w:val="008731A6"/>
    <w:rsid w:val="008733FB"/>
    <w:rsid w:val="00873539"/>
    <w:rsid w:val="008735D2"/>
    <w:rsid w:val="00873C08"/>
    <w:rsid w:val="008746D5"/>
    <w:rsid w:val="00874D0B"/>
    <w:rsid w:val="00874F8B"/>
    <w:rsid w:val="00875015"/>
    <w:rsid w:val="0087582E"/>
    <w:rsid w:val="00875F00"/>
    <w:rsid w:val="00875F32"/>
    <w:rsid w:val="00876070"/>
    <w:rsid w:val="008763F7"/>
    <w:rsid w:val="00876AAD"/>
    <w:rsid w:val="00877512"/>
    <w:rsid w:val="00877553"/>
    <w:rsid w:val="008801E1"/>
    <w:rsid w:val="008805C9"/>
    <w:rsid w:val="00880823"/>
    <w:rsid w:val="00880FAC"/>
    <w:rsid w:val="008813EA"/>
    <w:rsid w:val="00881A97"/>
    <w:rsid w:val="00881C48"/>
    <w:rsid w:val="00881C56"/>
    <w:rsid w:val="00881E17"/>
    <w:rsid w:val="00882413"/>
    <w:rsid w:val="00882A09"/>
    <w:rsid w:val="0088346E"/>
    <w:rsid w:val="00884192"/>
    <w:rsid w:val="00884B15"/>
    <w:rsid w:val="00884D3E"/>
    <w:rsid w:val="008856C7"/>
    <w:rsid w:val="008857B3"/>
    <w:rsid w:val="00885E64"/>
    <w:rsid w:val="008861EE"/>
    <w:rsid w:val="008862E5"/>
    <w:rsid w:val="00886607"/>
    <w:rsid w:val="008866DB"/>
    <w:rsid w:val="0088735C"/>
    <w:rsid w:val="00887D83"/>
    <w:rsid w:val="0089022E"/>
    <w:rsid w:val="00890E77"/>
    <w:rsid w:val="00890EFB"/>
    <w:rsid w:val="00891102"/>
    <w:rsid w:val="00891946"/>
    <w:rsid w:val="00891BF4"/>
    <w:rsid w:val="00891EC3"/>
    <w:rsid w:val="008923AE"/>
    <w:rsid w:val="008928B4"/>
    <w:rsid w:val="00893364"/>
    <w:rsid w:val="00893608"/>
    <w:rsid w:val="00893D7C"/>
    <w:rsid w:val="00893DEF"/>
    <w:rsid w:val="0089415B"/>
    <w:rsid w:val="008941DB"/>
    <w:rsid w:val="00894582"/>
    <w:rsid w:val="00894867"/>
    <w:rsid w:val="008948EE"/>
    <w:rsid w:val="00894BD9"/>
    <w:rsid w:val="00894C85"/>
    <w:rsid w:val="00894F09"/>
    <w:rsid w:val="0089543D"/>
    <w:rsid w:val="008959F8"/>
    <w:rsid w:val="00895E43"/>
    <w:rsid w:val="00895EBF"/>
    <w:rsid w:val="008961BE"/>
    <w:rsid w:val="0089662C"/>
    <w:rsid w:val="00896A5B"/>
    <w:rsid w:val="00897328"/>
    <w:rsid w:val="00897981"/>
    <w:rsid w:val="00897B3E"/>
    <w:rsid w:val="008A0A8B"/>
    <w:rsid w:val="008A0F3A"/>
    <w:rsid w:val="008A15A2"/>
    <w:rsid w:val="008A1744"/>
    <w:rsid w:val="008A17C2"/>
    <w:rsid w:val="008A24AA"/>
    <w:rsid w:val="008A2697"/>
    <w:rsid w:val="008A2CFB"/>
    <w:rsid w:val="008A3478"/>
    <w:rsid w:val="008A3661"/>
    <w:rsid w:val="008A4253"/>
    <w:rsid w:val="008A42B2"/>
    <w:rsid w:val="008A5774"/>
    <w:rsid w:val="008A5E02"/>
    <w:rsid w:val="008A6005"/>
    <w:rsid w:val="008A6063"/>
    <w:rsid w:val="008A636B"/>
    <w:rsid w:val="008A69C8"/>
    <w:rsid w:val="008A7685"/>
    <w:rsid w:val="008A793E"/>
    <w:rsid w:val="008A7C17"/>
    <w:rsid w:val="008B0144"/>
    <w:rsid w:val="008B085E"/>
    <w:rsid w:val="008B0889"/>
    <w:rsid w:val="008B08E6"/>
    <w:rsid w:val="008B0D31"/>
    <w:rsid w:val="008B0E79"/>
    <w:rsid w:val="008B1718"/>
    <w:rsid w:val="008B1D10"/>
    <w:rsid w:val="008B200F"/>
    <w:rsid w:val="008B205A"/>
    <w:rsid w:val="008B2D75"/>
    <w:rsid w:val="008B3ABC"/>
    <w:rsid w:val="008B445C"/>
    <w:rsid w:val="008B4FA5"/>
    <w:rsid w:val="008B521E"/>
    <w:rsid w:val="008B52E8"/>
    <w:rsid w:val="008B582D"/>
    <w:rsid w:val="008B690C"/>
    <w:rsid w:val="008B6976"/>
    <w:rsid w:val="008B6E0B"/>
    <w:rsid w:val="008B71DD"/>
    <w:rsid w:val="008B720C"/>
    <w:rsid w:val="008B7C73"/>
    <w:rsid w:val="008B7CAC"/>
    <w:rsid w:val="008B7F2D"/>
    <w:rsid w:val="008C0032"/>
    <w:rsid w:val="008C077C"/>
    <w:rsid w:val="008C0803"/>
    <w:rsid w:val="008C09BA"/>
    <w:rsid w:val="008C1061"/>
    <w:rsid w:val="008C1644"/>
    <w:rsid w:val="008C16CD"/>
    <w:rsid w:val="008C1C42"/>
    <w:rsid w:val="008C21F4"/>
    <w:rsid w:val="008C241D"/>
    <w:rsid w:val="008C2919"/>
    <w:rsid w:val="008C2D3D"/>
    <w:rsid w:val="008C2F17"/>
    <w:rsid w:val="008C301F"/>
    <w:rsid w:val="008C321F"/>
    <w:rsid w:val="008C37B2"/>
    <w:rsid w:val="008C37FA"/>
    <w:rsid w:val="008C435C"/>
    <w:rsid w:val="008C4BEE"/>
    <w:rsid w:val="008C5401"/>
    <w:rsid w:val="008C68FB"/>
    <w:rsid w:val="008C79C1"/>
    <w:rsid w:val="008C7A11"/>
    <w:rsid w:val="008D068B"/>
    <w:rsid w:val="008D0714"/>
    <w:rsid w:val="008D2895"/>
    <w:rsid w:val="008D28B0"/>
    <w:rsid w:val="008D2A6E"/>
    <w:rsid w:val="008D2CAE"/>
    <w:rsid w:val="008D3426"/>
    <w:rsid w:val="008D3558"/>
    <w:rsid w:val="008D3733"/>
    <w:rsid w:val="008D376D"/>
    <w:rsid w:val="008D3B73"/>
    <w:rsid w:val="008D3EF3"/>
    <w:rsid w:val="008D417C"/>
    <w:rsid w:val="008D4385"/>
    <w:rsid w:val="008D44D4"/>
    <w:rsid w:val="008D486D"/>
    <w:rsid w:val="008D5A17"/>
    <w:rsid w:val="008D5C6E"/>
    <w:rsid w:val="008D5E0F"/>
    <w:rsid w:val="008D603F"/>
    <w:rsid w:val="008D66D0"/>
    <w:rsid w:val="008D706D"/>
    <w:rsid w:val="008D7208"/>
    <w:rsid w:val="008D77B0"/>
    <w:rsid w:val="008E08C9"/>
    <w:rsid w:val="008E106D"/>
    <w:rsid w:val="008E1504"/>
    <w:rsid w:val="008E1799"/>
    <w:rsid w:val="008E1ABB"/>
    <w:rsid w:val="008E1DF3"/>
    <w:rsid w:val="008E206E"/>
    <w:rsid w:val="008E20BB"/>
    <w:rsid w:val="008E2738"/>
    <w:rsid w:val="008E2954"/>
    <w:rsid w:val="008E355B"/>
    <w:rsid w:val="008E3F98"/>
    <w:rsid w:val="008E3FE7"/>
    <w:rsid w:val="008E480B"/>
    <w:rsid w:val="008E4963"/>
    <w:rsid w:val="008E5407"/>
    <w:rsid w:val="008E545D"/>
    <w:rsid w:val="008E5E94"/>
    <w:rsid w:val="008E5F16"/>
    <w:rsid w:val="008E60D2"/>
    <w:rsid w:val="008E6131"/>
    <w:rsid w:val="008E6662"/>
    <w:rsid w:val="008E696F"/>
    <w:rsid w:val="008E6ADF"/>
    <w:rsid w:val="008E77EF"/>
    <w:rsid w:val="008E7978"/>
    <w:rsid w:val="008F0FBC"/>
    <w:rsid w:val="008F10C8"/>
    <w:rsid w:val="008F141A"/>
    <w:rsid w:val="008F157E"/>
    <w:rsid w:val="008F1693"/>
    <w:rsid w:val="008F17F9"/>
    <w:rsid w:val="008F1A78"/>
    <w:rsid w:val="008F1BB3"/>
    <w:rsid w:val="008F1C14"/>
    <w:rsid w:val="008F25A5"/>
    <w:rsid w:val="008F2C67"/>
    <w:rsid w:val="008F313F"/>
    <w:rsid w:val="008F351F"/>
    <w:rsid w:val="008F470B"/>
    <w:rsid w:val="008F59F3"/>
    <w:rsid w:val="008F747C"/>
    <w:rsid w:val="008F78DD"/>
    <w:rsid w:val="009008BE"/>
    <w:rsid w:val="00900CA0"/>
    <w:rsid w:val="009020FD"/>
    <w:rsid w:val="009028B8"/>
    <w:rsid w:val="00902C62"/>
    <w:rsid w:val="009036F7"/>
    <w:rsid w:val="00903E28"/>
    <w:rsid w:val="009040FD"/>
    <w:rsid w:val="0090437E"/>
    <w:rsid w:val="0090438D"/>
    <w:rsid w:val="009045D5"/>
    <w:rsid w:val="009048BB"/>
    <w:rsid w:val="00904EFC"/>
    <w:rsid w:val="00905BCA"/>
    <w:rsid w:val="00905BE4"/>
    <w:rsid w:val="00906059"/>
    <w:rsid w:val="009060F2"/>
    <w:rsid w:val="00906DC9"/>
    <w:rsid w:val="00906F9D"/>
    <w:rsid w:val="0091024A"/>
    <w:rsid w:val="00910488"/>
    <w:rsid w:val="00910D8E"/>
    <w:rsid w:val="00911049"/>
    <w:rsid w:val="00911A93"/>
    <w:rsid w:val="00911D97"/>
    <w:rsid w:val="00913085"/>
    <w:rsid w:val="00913A4E"/>
    <w:rsid w:val="00913E71"/>
    <w:rsid w:val="009146C8"/>
    <w:rsid w:val="00914A59"/>
    <w:rsid w:val="009150CD"/>
    <w:rsid w:val="00915AC3"/>
    <w:rsid w:val="0091655C"/>
    <w:rsid w:val="00916690"/>
    <w:rsid w:val="00916AFE"/>
    <w:rsid w:val="00916BE2"/>
    <w:rsid w:val="00916D49"/>
    <w:rsid w:val="009171A8"/>
    <w:rsid w:val="00917580"/>
    <w:rsid w:val="009177BC"/>
    <w:rsid w:val="00917810"/>
    <w:rsid w:val="009206DB"/>
    <w:rsid w:val="00920772"/>
    <w:rsid w:val="00920E18"/>
    <w:rsid w:val="009211D5"/>
    <w:rsid w:val="009212AF"/>
    <w:rsid w:val="00921CCB"/>
    <w:rsid w:val="00921D68"/>
    <w:rsid w:val="00921EF1"/>
    <w:rsid w:val="0092244C"/>
    <w:rsid w:val="009232A7"/>
    <w:rsid w:val="009233B6"/>
    <w:rsid w:val="009237CB"/>
    <w:rsid w:val="00923878"/>
    <w:rsid w:val="009240A1"/>
    <w:rsid w:val="009243B3"/>
    <w:rsid w:val="00924B4E"/>
    <w:rsid w:val="00924B74"/>
    <w:rsid w:val="00924DA7"/>
    <w:rsid w:val="009250AE"/>
    <w:rsid w:val="009253B5"/>
    <w:rsid w:val="009261A6"/>
    <w:rsid w:val="00926A8C"/>
    <w:rsid w:val="00926FCD"/>
    <w:rsid w:val="0092719C"/>
    <w:rsid w:val="00927856"/>
    <w:rsid w:val="00927A10"/>
    <w:rsid w:val="00930AF8"/>
    <w:rsid w:val="00930C64"/>
    <w:rsid w:val="0093120A"/>
    <w:rsid w:val="009312EF"/>
    <w:rsid w:val="00931BA4"/>
    <w:rsid w:val="00931E84"/>
    <w:rsid w:val="00932002"/>
    <w:rsid w:val="0093273F"/>
    <w:rsid w:val="00932CC1"/>
    <w:rsid w:val="00932D75"/>
    <w:rsid w:val="00933515"/>
    <w:rsid w:val="00933589"/>
    <w:rsid w:val="0093370C"/>
    <w:rsid w:val="0093396C"/>
    <w:rsid w:val="00933FEC"/>
    <w:rsid w:val="009342C0"/>
    <w:rsid w:val="0093436B"/>
    <w:rsid w:val="009344D1"/>
    <w:rsid w:val="00934827"/>
    <w:rsid w:val="00934A98"/>
    <w:rsid w:val="00934B06"/>
    <w:rsid w:val="009355D6"/>
    <w:rsid w:val="00935994"/>
    <w:rsid w:val="009361BF"/>
    <w:rsid w:val="0093636F"/>
    <w:rsid w:val="00936592"/>
    <w:rsid w:val="00936FF4"/>
    <w:rsid w:val="009371E1"/>
    <w:rsid w:val="0093750F"/>
    <w:rsid w:val="00937880"/>
    <w:rsid w:val="00937D07"/>
    <w:rsid w:val="00937E47"/>
    <w:rsid w:val="00940BF5"/>
    <w:rsid w:val="00941439"/>
    <w:rsid w:val="00942317"/>
    <w:rsid w:val="00943060"/>
    <w:rsid w:val="00943216"/>
    <w:rsid w:val="00943338"/>
    <w:rsid w:val="009434AD"/>
    <w:rsid w:val="0094357D"/>
    <w:rsid w:val="00943AF3"/>
    <w:rsid w:val="00943BCB"/>
    <w:rsid w:val="00943BD7"/>
    <w:rsid w:val="00944383"/>
    <w:rsid w:val="009445AC"/>
    <w:rsid w:val="00944648"/>
    <w:rsid w:val="009446B1"/>
    <w:rsid w:val="00944B6E"/>
    <w:rsid w:val="00944D35"/>
    <w:rsid w:val="00944FC0"/>
    <w:rsid w:val="00945371"/>
    <w:rsid w:val="00945FC6"/>
    <w:rsid w:val="0094606D"/>
    <w:rsid w:val="0094641B"/>
    <w:rsid w:val="00946CB2"/>
    <w:rsid w:val="00950B8D"/>
    <w:rsid w:val="00950EAD"/>
    <w:rsid w:val="00951665"/>
    <w:rsid w:val="00952306"/>
    <w:rsid w:val="009527BB"/>
    <w:rsid w:val="00952DE9"/>
    <w:rsid w:val="00953389"/>
    <w:rsid w:val="009535C4"/>
    <w:rsid w:val="00953C95"/>
    <w:rsid w:val="00953CDA"/>
    <w:rsid w:val="00953DCA"/>
    <w:rsid w:val="00953E8D"/>
    <w:rsid w:val="00953ED5"/>
    <w:rsid w:val="00954C78"/>
    <w:rsid w:val="00954E0D"/>
    <w:rsid w:val="00955310"/>
    <w:rsid w:val="00955F9B"/>
    <w:rsid w:val="00956174"/>
    <w:rsid w:val="009562DC"/>
    <w:rsid w:val="00956394"/>
    <w:rsid w:val="009565BD"/>
    <w:rsid w:val="0095718F"/>
    <w:rsid w:val="00957395"/>
    <w:rsid w:val="00957A86"/>
    <w:rsid w:val="00960076"/>
    <w:rsid w:val="00960323"/>
    <w:rsid w:val="0096042F"/>
    <w:rsid w:val="0096060D"/>
    <w:rsid w:val="00960D9A"/>
    <w:rsid w:val="00961057"/>
    <w:rsid w:val="009610F6"/>
    <w:rsid w:val="0096195B"/>
    <w:rsid w:val="009626EF"/>
    <w:rsid w:val="00962713"/>
    <w:rsid w:val="00962EEE"/>
    <w:rsid w:val="009634E0"/>
    <w:rsid w:val="009635F4"/>
    <w:rsid w:val="00964CBD"/>
    <w:rsid w:val="00964E64"/>
    <w:rsid w:val="00965831"/>
    <w:rsid w:val="00965FF0"/>
    <w:rsid w:val="009663A6"/>
    <w:rsid w:val="00967094"/>
    <w:rsid w:val="0096741C"/>
    <w:rsid w:val="00970145"/>
    <w:rsid w:val="00970645"/>
    <w:rsid w:val="00970791"/>
    <w:rsid w:val="0097080C"/>
    <w:rsid w:val="00971565"/>
    <w:rsid w:val="00971A9B"/>
    <w:rsid w:val="00972222"/>
    <w:rsid w:val="00972263"/>
    <w:rsid w:val="0097232B"/>
    <w:rsid w:val="00972EF5"/>
    <w:rsid w:val="00973415"/>
    <w:rsid w:val="0097360A"/>
    <w:rsid w:val="00973BDA"/>
    <w:rsid w:val="00974063"/>
    <w:rsid w:val="009744BC"/>
    <w:rsid w:val="0097457E"/>
    <w:rsid w:val="00974593"/>
    <w:rsid w:val="009749E0"/>
    <w:rsid w:val="00974A34"/>
    <w:rsid w:val="00974ACE"/>
    <w:rsid w:val="0097516D"/>
    <w:rsid w:val="00975195"/>
    <w:rsid w:val="009752DD"/>
    <w:rsid w:val="009755A1"/>
    <w:rsid w:val="0097590C"/>
    <w:rsid w:val="00975BA5"/>
    <w:rsid w:val="009763F3"/>
    <w:rsid w:val="009765E1"/>
    <w:rsid w:val="00976B55"/>
    <w:rsid w:val="00976B7C"/>
    <w:rsid w:val="009771A9"/>
    <w:rsid w:val="00977406"/>
    <w:rsid w:val="009775CD"/>
    <w:rsid w:val="00977BE0"/>
    <w:rsid w:val="00977DBE"/>
    <w:rsid w:val="00977F65"/>
    <w:rsid w:val="00977FAE"/>
    <w:rsid w:val="00980731"/>
    <w:rsid w:val="009809EB"/>
    <w:rsid w:val="00980B9E"/>
    <w:rsid w:val="009826A0"/>
    <w:rsid w:val="00982E21"/>
    <w:rsid w:val="00983012"/>
    <w:rsid w:val="00983021"/>
    <w:rsid w:val="0098304D"/>
    <w:rsid w:val="00983314"/>
    <w:rsid w:val="00983350"/>
    <w:rsid w:val="00983580"/>
    <w:rsid w:val="00983B54"/>
    <w:rsid w:val="00984017"/>
    <w:rsid w:val="009843CD"/>
    <w:rsid w:val="009846EB"/>
    <w:rsid w:val="00984EA1"/>
    <w:rsid w:val="009852A2"/>
    <w:rsid w:val="0098556E"/>
    <w:rsid w:val="00985BB8"/>
    <w:rsid w:val="00986212"/>
    <w:rsid w:val="0098621C"/>
    <w:rsid w:val="00986324"/>
    <w:rsid w:val="00986332"/>
    <w:rsid w:val="00986E48"/>
    <w:rsid w:val="009870D9"/>
    <w:rsid w:val="00987321"/>
    <w:rsid w:val="0098743A"/>
    <w:rsid w:val="009876F8"/>
    <w:rsid w:val="0098786C"/>
    <w:rsid w:val="009879A2"/>
    <w:rsid w:val="00990354"/>
    <w:rsid w:val="009906BA"/>
    <w:rsid w:val="0099096E"/>
    <w:rsid w:val="009909FD"/>
    <w:rsid w:val="00990D18"/>
    <w:rsid w:val="00991E8C"/>
    <w:rsid w:val="00992198"/>
    <w:rsid w:val="009921DE"/>
    <w:rsid w:val="00992501"/>
    <w:rsid w:val="00992830"/>
    <w:rsid w:val="00992855"/>
    <w:rsid w:val="00992CA5"/>
    <w:rsid w:val="00992D3A"/>
    <w:rsid w:val="00992D74"/>
    <w:rsid w:val="0099336D"/>
    <w:rsid w:val="0099362D"/>
    <w:rsid w:val="009940C3"/>
    <w:rsid w:val="00994787"/>
    <w:rsid w:val="00994F45"/>
    <w:rsid w:val="009952A7"/>
    <w:rsid w:val="0099532E"/>
    <w:rsid w:val="00995718"/>
    <w:rsid w:val="00996C8F"/>
    <w:rsid w:val="0099782B"/>
    <w:rsid w:val="0099798B"/>
    <w:rsid w:val="009A05F7"/>
    <w:rsid w:val="009A0935"/>
    <w:rsid w:val="009A0D13"/>
    <w:rsid w:val="009A14A8"/>
    <w:rsid w:val="009A1665"/>
    <w:rsid w:val="009A1DD5"/>
    <w:rsid w:val="009A208D"/>
    <w:rsid w:val="009A258F"/>
    <w:rsid w:val="009A27E6"/>
    <w:rsid w:val="009A2BC3"/>
    <w:rsid w:val="009A2E4B"/>
    <w:rsid w:val="009A39CC"/>
    <w:rsid w:val="009A3BCB"/>
    <w:rsid w:val="009A416D"/>
    <w:rsid w:val="009A449B"/>
    <w:rsid w:val="009A48FA"/>
    <w:rsid w:val="009A5184"/>
    <w:rsid w:val="009A5992"/>
    <w:rsid w:val="009A5B5D"/>
    <w:rsid w:val="009A6573"/>
    <w:rsid w:val="009A6931"/>
    <w:rsid w:val="009A6BD5"/>
    <w:rsid w:val="009A6D33"/>
    <w:rsid w:val="009A6E7E"/>
    <w:rsid w:val="009A72FC"/>
    <w:rsid w:val="009A74E6"/>
    <w:rsid w:val="009A7DE4"/>
    <w:rsid w:val="009B13D6"/>
    <w:rsid w:val="009B240C"/>
    <w:rsid w:val="009B2963"/>
    <w:rsid w:val="009B2DEB"/>
    <w:rsid w:val="009B2ED2"/>
    <w:rsid w:val="009B3037"/>
    <w:rsid w:val="009B3615"/>
    <w:rsid w:val="009B3842"/>
    <w:rsid w:val="009B3EE9"/>
    <w:rsid w:val="009B4134"/>
    <w:rsid w:val="009B44B2"/>
    <w:rsid w:val="009B4510"/>
    <w:rsid w:val="009B4621"/>
    <w:rsid w:val="009B51E6"/>
    <w:rsid w:val="009B573A"/>
    <w:rsid w:val="009B58E2"/>
    <w:rsid w:val="009B59C1"/>
    <w:rsid w:val="009B600A"/>
    <w:rsid w:val="009B6DC9"/>
    <w:rsid w:val="009B75A3"/>
    <w:rsid w:val="009B7728"/>
    <w:rsid w:val="009B787F"/>
    <w:rsid w:val="009B7E63"/>
    <w:rsid w:val="009C00E3"/>
    <w:rsid w:val="009C020B"/>
    <w:rsid w:val="009C0237"/>
    <w:rsid w:val="009C0571"/>
    <w:rsid w:val="009C16A8"/>
    <w:rsid w:val="009C1E40"/>
    <w:rsid w:val="009C235A"/>
    <w:rsid w:val="009C2B8C"/>
    <w:rsid w:val="009C2C3A"/>
    <w:rsid w:val="009C30DC"/>
    <w:rsid w:val="009C3170"/>
    <w:rsid w:val="009C365A"/>
    <w:rsid w:val="009C37BC"/>
    <w:rsid w:val="009C3915"/>
    <w:rsid w:val="009C4681"/>
    <w:rsid w:val="009C4E97"/>
    <w:rsid w:val="009C534B"/>
    <w:rsid w:val="009C535B"/>
    <w:rsid w:val="009C59DC"/>
    <w:rsid w:val="009C59EA"/>
    <w:rsid w:val="009C5F53"/>
    <w:rsid w:val="009C5FEB"/>
    <w:rsid w:val="009C6611"/>
    <w:rsid w:val="009C6A73"/>
    <w:rsid w:val="009C7D75"/>
    <w:rsid w:val="009C7D97"/>
    <w:rsid w:val="009D031C"/>
    <w:rsid w:val="009D0424"/>
    <w:rsid w:val="009D06C9"/>
    <w:rsid w:val="009D1760"/>
    <w:rsid w:val="009D1987"/>
    <w:rsid w:val="009D19A3"/>
    <w:rsid w:val="009D22C7"/>
    <w:rsid w:val="009D2FCB"/>
    <w:rsid w:val="009D3209"/>
    <w:rsid w:val="009D34CA"/>
    <w:rsid w:val="009D4078"/>
    <w:rsid w:val="009D56AF"/>
    <w:rsid w:val="009D5F0B"/>
    <w:rsid w:val="009D6122"/>
    <w:rsid w:val="009D61F6"/>
    <w:rsid w:val="009D624F"/>
    <w:rsid w:val="009D6A17"/>
    <w:rsid w:val="009D6FB8"/>
    <w:rsid w:val="009D7023"/>
    <w:rsid w:val="009D74C8"/>
    <w:rsid w:val="009D7648"/>
    <w:rsid w:val="009D79D0"/>
    <w:rsid w:val="009D7C4B"/>
    <w:rsid w:val="009E0454"/>
    <w:rsid w:val="009E0558"/>
    <w:rsid w:val="009E07BE"/>
    <w:rsid w:val="009E0BCC"/>
    <w:rsid w:val="009E1136"/>
    <w:rsid w:val="009E121F"/>
    <w:rsid w:val="009E12FC"/>
    <w:rsid w:val="009E1463"/>
    <w:rsid w:val="009E21FE"/>
    <w:rsid w:val="009E2477"/>
    <w:rsid w:val="009E2E5C"/>
    <w:rsid w:val="009E3151"/>
    <w:rsid w:val="009E35B3"/>
    <w:rsid w:val="009E4339"/>
    <w:rsid w:val="009E44F4"/>
    <w:rsid w:val="009E4C11"/>
    <w:rsid w:val="009E51E3"/>
    <w:rsid w:val="009E534B"/>
    <w:rsid w:val="009E5529"/>
    <w:rsid w:val="009E6B6E"/>
    <w:rsid w:val="009E7031"/>
    <w:rsid w:val="009E7592"/>
    <w:rsid w:val="009E765F"/>
    <w:rsid w:val="009E7A17"/>
    <w:rsid w:val="009F044E"/>
    <w:rsid w:val="009F0A05"/>
    <w:rsid w:val="009F0B65"/>
    <w:rsid w:val="009F0EA8"/>
    <w:rsid w:val="009F14F8"/>
    <w:rsid w:val="009F1A08"/>
    <w:rsid w:val="009F2855"/>
    <w:rsid w:val="009F2F01"/>
    <w:rsid w:val="009F35B3"/>
    <w:rsid w:val="009F3759"/>
    <w:rsid w:val="009F3CBC"/>
    <w:rsid w:val="009F3FB2"/>
    <w:rsid w:val="009F42AF"/>
    <w:rsid w:val="009F44D7"/>
    <w:rsid w:val="009F4619"/>
    <w:rsid w:val="009F46F6"/>
    <w:rsid w:val="009F4984"/>
    <w:rsid w:val="009F4E22"/>
    <w:rsid w:val="009F5129"/>
    <w:rsid w:val="009F5345"/>
    <w:rsid w:val="009F53C1"/>
    <w:rsid w:val="009F5467"/>
    <w:rsid w:val="009F5600"/>
    <w:rsid w:val="009F64A1"/>
    <w:rsid w:val="009F6B0B"/>
    <w:rsid w:val="009F6D76"/>
    <w:rsid w:val="009F6D94"/>
    <w:rsid w:val="009F6F1E"/>
    <w:rsid w:val="009F72EE"/>
    <w:rsid w:val="009F7AC5"/>
    <w:rsid w:val="009F7AFB"/>
    <w:rsid w:val="009F7B22"/>
    <w:rsid w:val="00A001D8"/>
    <w:rsid w:val="00A0060A"/>
    <w:rsid w:val="00A008C9"/>
    <w:rsid w:val="00A00A6B"/>
    <w:rsid w:val="00A011B8"/>
    <w:rsid w:val="00A01387"/>
    <w:rsid w:val="00A01409"/>
    <w:rsid w:val="00A0153B"/>
    <w:rsid w:val="00A01C03"/>
    <w:rsid w:val="00A01D88"/>
    <w:rsid w:val="00A021A1"/>
    <w:rsid w:val="00A025FE"/>
    <w:rsid w:val="00A0263C"/>
    <w:rsid w:val="00A0280F"/>
    <w:rsid w:val="00A03881"/>
    <w:rsid w:val="00A039C4"/>
    <w:rsid w:val="00A03A97"/>
    <w:rsid w:val="00A05815"/>
    <w:rsid w:val="00A0593C"/>
    <w:rsid w:val="00A064C9"/>
    <w:rsid w:val="00A06CD6"/>
    <w:rsid w:val="00A07248"/>
    <w:rsid w:val="00A100CC"/>
    <w:rsid w:val="00A1040B"/>
    <w:rsid w:val="00A10625"/>
    <w:rsid w:val="00A10996"/>
    <w:rsid w:val="00A10A21"/>
    <w:rsid w:val="00A10F94"/>
    <w:rsid w:val="00A11646"/>
    <w:rsid w:val="00A118CB"/>
    <w:rsid w:val="00A11D85"/>
    <w:rsid w:val="00A11EED"/>
    <w:rsid w:val="00A1222C"/>
    <w:rsid w:val="00A123C0"/>
    <w:rsid w:val="00A12A4C"/>
    <w:rsid w:val="00A12C2E"/>
    <w:rsid w:val="00A136C9"/>
    <w:rsid w:val="00A13D53"/>
    <w:rsid w:val="00A1476D"/>
    <w:rsid w:val="00A148EC"/>
    <w:rsid w:val="00A149A9"/>
    <w:rsid w:val="00A14A31"/>
    <w:rsid w:val="00A14F2B"/>
    <w:rsid w:val="00A1516A"/>
    <w:rsid w:val="00A15593"/>
    <w:rsid w:val="00A15A66"/>
    <w:rsid w:val="00A15AAA"/>
    <w:rsid w:val="00A15E72"/>
    <w:rsid w:val="00A1602C"/>
    <w:rsid w:val="00A160F9"/>
    <w:rsid w:val="00A1628E"/>
    <w:rsid w:val="00A162A6"/>
    <w:rsid w:val="00A16840"/>
    <w:rsid w:val="00A17747"/>
    <w:rsid w:val="00A20C26"/>
    <w:rsid w:val="00A20C6F"/>
    <w:rsid w:val="00A21362"/>
    <w:rsid w:val="00A223B3"/>
    <w:rsid w:val="00A22C08"/>
    <w:rsid w:val="00A22CD9"/>
    <w:rsid w:val="00A23191"/>
    <w:rsid w:val="00A2363C"/>
    <w:rsid w:val="00A23EEA"/>
    <w:rsid w:val="00A23F6A"/>
    <w:rsid w:val="00A24086"/>
    <w:rsid w:val="00A240D4"/>
    <w:rsid w:val="00A24553"/>
    <w:rsid w:val="00A24DCD"/>
    <w:rsid w:val="00A24F2C"/>
    <w:rsid w:val="00A25196"/>
    <w:rsid w:val="00A25E10"/>
    <w:rsid w:val="00A26454"/>
    <w:rsid w:val="00A26837"/>
    <w:rsid w:val="00A26ED4"/>
    <w:rsid w:val="00A270F6"/>
    <w:rsid w:val="00A2780A"/>
    <w:rsid w:val="00A278D4"/>
    <w:rsid w:val="00A30067"/>
    <w:rsid w:val="00A30C6B"/>
    <w:rsid w:val="00A30DDA"/>
    <w:rsid w:val="00A3102D"/>
    <w:rsid w:val="00A3149E"/>
    <w:rsid w:val="00A314E5"/>
    <w:rsid w:val="00A3179A"/>
    <w:rsid w:val="00A319C7"/>
    <w:rsid w:val="00A31DD9"/>
    <w:rsid w:val="00A33250"/>
    <w:rsid w:val="00A3383E"/>
    <w:rsid w:val="00A33F21"/>
    <w:rsid w:val="00A3446F"/>
    <w:rsid w:val="00A3502B"/>
    <w:rsid w:val="00A3545C"/>
    <w:rsid w:val="00A36B0E"/>
    <w:rsid w:val="00A377BF"/>
    <w:rsid w:val="00A37918"/>
    <w:rsid w:val="00A37BCC"/>
    <w:rsid w:val="00A37EE8"/>
    <w:rsid w:val="00A40245"/>
    <w:rsid w:val="00A40292"/>
    <w:rsid w:val="00A40355"/>
    <w:rsid w:val="00A407C5"/>
    <w:rsid w:val="00A41AE1"/>
    <w:rsid w:val="00A42142"/>
    <w:rsid w:val="00A4379B"/>
    <w:rsid w:val="00A44336"/>
    <w:rsid w:val="00A44E31"/>
    <w:rsid w:val="00A45386"/>
    <w:rsid w:val="00A46286"/>
    <w:rsid w:val="00A46291"/>
    <w:rsid w:val="00A462A4"/>
    <w:rsid w:val="00A46335"/>
    <w:rsid w:val="00A46437"/>
    <w:rsid w:val="00A4669E"/>
    <w:rsid w:val="00A4700C"/>
    <w:rsid w:val="00A476CD"/>
    <w:rsid w:val="00A5097F"/>
    <w:rsid w:val="00A50CFD"/>
    <w:rsid w:val="00A51190"/>
    <w:rsid w:val="00A514B7"/>
    <w:rsid w:val="00A5169B"/>
    <w:rsid w:val="00A526D4"/>
    <w:rsid w:val="00A52A11"/>
    <w:rsid w:val="00A52BAD"/>
    <w:rsid w:val="00A53C72"/>
    <w:rsid w:val="00A54491"/>
    <w:rsid w:val="00A54695"/>
    <w:rsid w:val="00A553DE"/>
    <w:rsid w:val="00A56382"/>
    <w:rsid w:val="00A56685"/>
    <w:rsid w:val="00A56BDD"/>
    <w:rsid w:val="00A56F9E"/>
    <w:rsid w:val="00A57B5F"/>
    <w:rsid w:val="00A60066"/>
    <w:rsid w:val="00A600C4"/>
    <w:rsid w:val="00A604EF"/>
    <w:rsid w:val="00A606D9"/>
    <w:rsid w:val="00A607C9"/>
    <w:rsid w:val="00A6093C"/>
    <w:rsid w:val="00A60B30"/>
    <w:rsid w:val="00A60DC3"/>
    <w:rsid w:val="00A617A1"/>
    <w:rsid w:val="00A61BDA"/>
    <w:rsid w:val="00A62033"/>
    <w:rsid w:val="00A623FE"/>
    <w:rsid w:val="00A6281C"/>
    <w:rsid w:val="00A6283C"/>
    <w:rsid w:val="00A634EA"/>
    <w:rsid w:val="00A64D0D"/>
    <w:rsid w:val="00A64D60"/>
    <w:rsid w:val="00A65175"/>
    <w:rsid w:val="00A65EA1"/>
    <w:rsid w:val="00A65F18"/>
    <w:rsid w:val="00A65FD3"/>
    <w:rsid w:val="00A669CE"/>
    <w:rsid w:val="00A66D97"/>
    <w:rsid w:val="00A66DA1"/>
    <w:rsid w:val="00A67085"/>
    <w:rsid w:val="00A675A4"/>
    <w:rsid w:val="00A67944"/>
    <w:rsid w:val="00A67E01"/>
    <w:rsid w:val="00A67E3C"/>
    <w:rsid w:val="00A67E6F"/>
    <w:rsid w:val="00A70A06"/>
    <w:rsid w:val="00A72006"/>
    <w:rsid w:val="00A721CA"/>
    <w:rsid w:val="00A725C4"/>
    <w:rsid w:val="00A72686"/>
    <w:rsid w:val="00A72745"/>
    <w:rsid w:val="00A73185"/>
    <w:rsid w:val="00A736CE"/>
    <w:rsid w:val="00A743AD"/>
    <w:rsid w:val="00A74AFF"/>
    <w:rsid w:val="00A74E6C"/>
    <w:rsid w:val="00A74EF3"/>
    <w:rsid w:val="00A75223"/>
    <w:rsid w:val="00A752BD"/>
    <w:rsid w:val="00A7534A"/>
    <w:rsid w:val="00A75953"/>
    <w:rsid w:val="00A75FD4"/>
    <w:rsid w:val="00A761D1"/>
    <w:rsid w:val="00A77914"/>
    <w:rsid w:val="00A813C3"/>
    <w:rsid w:val="00A81A6F"/>
    <w:rsid w:val="00A81B60"/>
    <w:rsid w:val="00A8233D"/>
    <w:rsid w:val="00A83770"/>
    <w:rsid w:val="00A83D11"/>
    <w:rsid w:val="00A84117"/>
    <w:rsid w:val="00A85041"/>
    <w:rsid w:val="00A8537E"/>
    <w:rsid w:val="00A8570E"/>
    <w:rsid w:val="00A858E4"/>
    <w:rsid w:val="00A85933"/>
    <w:rsid w:val="00A8615E"/>
    <w:rsid w:val="00A863EB"/>
    <w:rsid w:val="00A867A9"/>
    <w:rsid w:val="00A86A7B"/>
    <w:rsid w:val="00A86D00"/>
    <w:rsid w:val="00A87BBA"/>
    <w:rsid w:val="00A87E2C"/>
    <w:rsid w:val="00A908ED"/>
    <w:rsid w:val="00A915A4"/>
    <w:rsid w:val="00A91DB8"/>
    <w:rsid w:val="00A92F02"/>
    <w:rsid w:val="00A934C8"/>
    <w:rsid w:val="00A93E8F"/>
    <w:rsid w:val="00A94235"/>
    <w:rsid w:val="00A94283"/>
    <w:rsid w:val="00A94430"/>
    <w:rsid w:val="00A94548"/>
    <w:rsid w:val="00A94B36"/>
    <w:rsid w:val="00A94BA4"/>
    <w:rsid w:val="00A94FE1"/>
    <w:rsid w:val="00A95AF2"/>
    <w:rsid w:val="00A96791"/>
    <w:rsid w:val="00A975FB"/>
    <w:rsid w:val="00A9776D"/>
    <w:rsid w:val="00A97BC5"/>
    <w:rsid w:val="00A97C17"/>
    <w:rsid w:val="00A97CA2"/>
    <w:rsid w:val="00AA01DC"/>
    <w:rsid w:val="00AA0325"/>
    <w:rsid w:val="00AA0339"/>
    <w:rsid w:val="00AA08F8"/>
    <w:rsid w:val="00AA09AF"/>
    <w:rsid w:val="00AA12CA"/>
    <w:rsid w:val="00AA164C"/>
    <w:rsid w:val="00AA1ECA"/>
    <w:rsid w:val="00AA260C"/>
    <w:rsid w:val="00AA2DDF"/>
    <w:rsid w:val="00AA2E45"/>
    <w:rsid w:val="00AA33AB"/>
    <w:rsid w:val="00AA3580"/>
    <w:rsid w:val="00AA3594"/>
    <w:rsid w:val="00AA38C4"/>
    <w:rsid w:val="00AA4EFD"/>
    <w:rsid w:val="00AA5408"/>
    <w:rsid w:val="00AA6559"/>
    <w:rsid w:val="00AA65BE"/>
    <w:rsid w:val="00AA6893"/>
    <w:rsid w:val="00AA6D75"/>
    <w:rsid w:val="00AA72DD"/>
    <w:rsid w:val="00AA7437"/>
    <w:rsid w:val="00AA76CA"/>
    <w:rsid w:val="00AB00E2"/>
    <w:rsid w:val="00AB053D"/>
    <w:rsid w:val="00AB0CE6"/>
    <w:rsid w:val="00AB0D73"/>
    <w:rsid w:val="00AB1274"/>
    <w:rsid w:val="00AB1D07"/>
    <w:rsid w:val="00AB1D8D"/>
    <w:rsid w:val="00AB226F"/>
    <w:rsid w:val="00AB244C"/>
    <w:rsid w:val="00AB269C"/>
    <w:rsid w:val="00AB2C69"/>
    <w:rsid w:val="00AB2D27"/>
    <w:rsid w:val="00AB3056"/>
    <w:rsid w:val="00AB3557"/>
    <w:rsid w:val="00AB3657"/>
    <w:rsid w:val="00AB376A"/>
    <w:rsid w:val="00AB38EB"/>
    <w:rsid w:val="00AB40E0"/>
    <w:rsid w:val="00AB4536"/>
    <w:rsid w:val="00AB461D"/>
    <w:rsid w:val="00AB4A44"/>
    <w:rsid w:val="00AB4A83"/>
    <w:rsid w:val="00AB5524"/>
    <w:rsid w:val="00AB565D"/>
    <w:rsid w:val="00AB5CEB"/>
    <w:rsid w:val="00AB619B"/>
    <w:rsid w:val="00AB61CE"/>
    <w:rsid w:val="00AB66CE"/>
    <w:rsid w:val="00AB6D81"/>
    <w:rsid w:val="00AB7069"/>
    <w:rsid w:val="00AB7FBB"/>
    <w:rsid w:val="00AC0760"/>
    <w:rsid w:val="00AC0A3F"/>
    <w:rsid w:val="00AC1068"/>
    <w:rsid w:val="00AC1129"/>
    <w:rsid w:val="00AC1572"/>
    <w:rsid w:val="00AC1AA0"/>
    <w:rsid w:val="00AC1CC7"/>
    <w:rsid w:val="00AC1F36"/>
    <w:rsid w:val="00AC287E"/>
    <w:rsid w:val="00AC2F0D"/>
    <w:rsid w:val="00AC3299"/>
    <w:rsid w:val="00AC37F9"/>
    <w:rsid w:val="00AC4F94"/>
    <w:rsid w:val="00AC523D"/>
    <w:rsid w:val="00AC5709"/>
    <w:rsid w:val="00AC586C"/>
    <w:rsid w:val="00AC6291"/>
    <w:rsid w:val="00AC634A"/>
    <w:rsid w:val="00AC64D2"/>
    <w:rsid w:val="00AC657C"/>
    <w:rsid w:val="00AC7186"/>
    <w:rsid w:val="00AC766E"/>
    <w:rsid w:val="00AC7752"/>
    <w:rsid w:val="00AC77D0"/>
    <w:rsid w:val="00AD00C6"/>
    <w:rsid w:val="00AD1148"/>
    <w:rsid w:val="00AD1530"/>
    <w:rsid w:val="00AD1916"/>
    <w:rsid w:val="00AD1C18"/>
    <w:rsid w:val="00AD26CA"/>
    <w:rsid w:val="00AD2D07"/>
    <w:rsid w:val="00AD4062"/>
    <w:rsid w:val="00AD4612"/>
    <w:rsid w:val="00AD5096"/>
    <w:rsid w:val="00AD5DE2"/>
    <w:rsid w:val="00AD60FB"/>
    <w:rsid w:val="00AD73FC"/>
    <w:rsid w:val="00AD7587"/>
    <w:rsid w:val="00AD7697"/>
    <w:rsid w:val="00AD78DE"/>
    <w:rsid w:val="00AD7FC4"/>
    <w:rsid w:val="00AE1263"/>
    <w:rsid w:val="00AE187B"/>
    <w:rsid w:val="00AE1D2A"/>
    <w:rsid w:val="00AE2655"/>
    <w:rsid w:val="00AE2921"/>
    <w:rsid w:val="00AE2DC8"/>
    <w:rsid w:val="00AE3033"/>
    <w:rsid w:val="00AE383B"/>
    <w:rsid w:val="00AE42A7"/>
    <w:rsid w:val="00AE43D4"/>
    <w:rsid w:val="00AE511D"/>
    <w:rsid w:val="00AE589A"/>
    <w:rsid w:val="00AE5BB7"/>
    <w:rsid w:val="00AE65BF"/>
    <w:rsid w:val="00AF03FE"/>
    <w:rsid w:val="00AF045B"/>
    <w:rsid w:val="00AF07FE"/>
    <w:rsid w:val="00AF091B"/>
    <w:rsid w:val="00AF0ADD"/>
    <w:rsid w:val="00AF0BA2"/>
    <w:rsid w:val="00AF1564"/>
    <w:rsid w:val="00AF1BBB"/>
    <w:rsid w:val="00AF214D"/>
    <w:rsid w:val="00AF3253"/>
    <w:rsid w:val="00AF3449"/>
    <w:rsid w:val="00AF3C2E"/>
    <w:rsid w:val="00AF43E5"/>
    <w:rsid w:val="00AF4C8A"/>
    <w:rsid w:val="00AF4D7D"/>
    <w:rsid w:val="00AF4DEC"/>
    <w:rsid w:val="00AF51BC"/>
    <w:rsid w:val="00AF5F1C"/>
    <w:rsid w:val="00AF70B0"/>
    <w:rsid w:val="00AF741B"/>
    <w:rsid w:val="00B004EB"/>
    <w:rsid w:val="00B00792"/>
    <w:rsid w:val="00B01381"/>
    <w:rsid w:val="00B014F3"/>
    <w:rsid w:val="00B014F7"/>
    <w:rsid w:val="00B0157F"/>
    <w:rsid w:val="00B0246C"/>
    <w:rsid w:val="00B028BB"/>
    <w:rsid w:val="00B02905"/>
    <w:rsid w:val="00B03630"/>
    <w:rsid w:val="00B04102"/>
    <w:rsid w:val="00B046A5"/>
    <w:rsid w:val="00B04C61"/>
    <w:rsid w:val="00B04F5F"/>
    <w:rsid w:val="00B051AC"/>
    <w:rsid w:val="00B05AFE"/>
    <w:rsid w:val="00B05C48"/>
    <w:rsid w:val="00B05C54"/>
    <w:rsid w:val="00B061BE"/>
    <w:rsid w:val="00B06567"/>
    <w:rsid w:val="00B0682C"/>
    <w:rsid w:val="00B06A8B"/>
    <w:rsid w:val="00B06AE2"/>
    <w:rsid w:val="00B06EC4"/>
    <w:rsid w:val="00B07614"/>
    <w:rsid w:val="00B07E24"/>
    <w:rsid w:val="00B106AA"/>
    <w:rsid w:val="00B109A3"/>
    <w:rsid w:val="00B12BF9"/>
    <w:rsid w:val="00B130EC"/>
    <w:rsid w:val="00B134BA"/>
    <w:rsid w:val="00B13CD3"/>
    <w:rsid w:val="00B13F40"/>
    <w:rsid w:val="00B144C0"/>
    <w:rsid w:val="00B148EA"/>
    <w:rsid w:val="00B14A6E"/>
    <w:rsid w:val="00B15163"/>
    <w:rsid w:val="00B151E7"/>
    <w:rsid w:val="00B1589E"/>
    <w:rsid w:val="00B1613B"/>
    <w:rsid w:val="00B16BEC"/>
    <w:rsid w:val="00B16D00"/>
    <w:rsid w:val="00B171DC"/>
    <w:rsid w:val="00B173EF"/>
    <w:rsid w:val="00B17980"/>
    <w:rsid w:val="00B20107"/>
    <w:rsid w:val="00B204E0"/>
    <w:rsid w:val="00B207D9"/>
    <w:rsid w:val="00B20A73"/>
    <w:rsid w:val="00B212FB"/>
    <w:rsid w:val="00B215C8"/>
    <w:rsid w:val="00B216BE"/>
    <w:rsid w:val="00B217EB"/>
    <w:rsid w:val="00B218A6"/>
    <w:rsid w:val="00B219F9"/>
    <w:rsid w:val="00B21AEC"/>
    <w:rsid w:val="00B2258A"/>
    <w:rsid w:val="00B22DB9"/>
    <w:rsid w:val="00B230BA"/>
    <w:rsid w:val="00B23635"/>
    <w:rsid w:val="00B23727"/>
    <w:rsid w:val="00B23D6B"/>
    <w:rsid w:val="00B2420B"/>
    <w:rsid w:val="00B2427E"/>
    <w:rsid w:val="00B24299"/>
    <w:rsid w:val="00B242A2"/>
    <w:rsid w:val="00B242DE"/>
    <w:rsid w:val="00B24306"/>
    <w:rsid w:val="00B244A6"/>
    <w:rsid w:val="00B246ED"/>
    <w:rsid w:val="00B247B0"/>
    <w:rsid w:val="00B248F7"/>
    <w:rsid w:val="00B26167"/>
    <w:rsid w:val="00B264A1"/>
    <w:rsid w:val="00B265AC"/>
    <w:rsid w:val="00B270F2"/>
    <w:rsid w:val="00B273AB"/>
    <w:rsid w:val="00B27466"/>
    <w:rsid w:val="00B277B2"/>
    <w:rsid w:val="00B27CE5"/>
    <w:rsid w:val="00B303C8"/>
    <w:rsid w:val="00B3087A"/>
    <w:rsid w:val="00B309B2"/>
    <w:rsid w:val="00B30A0B"/>
    <w:rsid w:val="00B30A1A"/>
    <w:rsid w:val="00B30B55"/>
    <w:rsid w:val="00B3116D"/>
    <w:rsid w:val="00B313C8"/>
    <w:rsid w:val="00B31CFC"/>
    <w:rsid w:val="00B322D4"/>
    <w:rsid w:val="00B32549"/>
    <w:rsid w:val="00B325CF"/>
    <w:rsid w:val="00B32EC7"/>
    <w:rsid w:val="00B330AC"/>
    <w:rsid w:val="00B330F5"/>
    <w:rsid w:val="00B33335"/>
    <w:rsid w:val="00B333B6"/>
    <w:rsid w:val="00B335F5"/>
    <w:rsid w:val="00B339BB"/>
    <w:rsid w:val="00B33B13"/>
    <w:rsid w:val="00B33F09"/>
    <w:rsid w:val="00B33F74"/>
    <w:rsid w:val="00B344FE"/>
    <w:rsid w:val="00B34860"/>
    <w:rsid w:val="00B352A5"/>
    <w:rsid w:val="00B35568"/>
    <w:rsid w:val="00B360F3"/>
    <w:rsid w:val="00B36499"/>
    <w:rsid w:val="00B368D1"/>
    <w:rsid w:val="00B370E1"/>
    <w:rsid w:val="00B372B8"/>
    <w:rsid w:val="00B375D1"/>
    <w:rsid w:val="00B37695"/>
    <w:rsid w:val="00B37741"/>
    <w:rsid w:val="00B40FF3"/>
    <w:rsid w:val="00B42715"/>
    <w:rsid w:val="00B42837"/>
    <w:rsid w:val="00B42DB1"/>
    <w:rsid w:val="00B43066"/>
    <w:rsid w:val="00B43C05"/>
    <w:rsid w:val="00B43D14"/>
    <w:rsid w:val="00B43F8D"/>
    <w:rsid w:val="00B44478"/>
    <w:rsid w:val="00B44828"/>
    <w:rsid w:val="00B4598C"/>
    <w:rsid w:val="00B45CB6"/>
    <w:rsid w:val="00B45FB5"/>
    <w:rsid w:val="00B460F0"/>
    <w:rsid w:val="00B461ED"/>
    <w:rsid w:val="00B465FD"/>
    <w:rsid w:val="00B46862"/>
    <w:rsid w:val="00B46F9D"/>
    <w:rsid w:val="00B4718F"/>
    <w:rsid w:val="00B472A3"/>
    <w:rsid w:val="00B475AC"/>
    <w:rsid w:val="00B47A2B"/>
    <w:rsid w:val="00B47AD6"/>
    <w:rsid w:val="00B47BFC"/>
    <w:rsid w:val="00B47DCB"/>
    <w:rsid w:val="00B50146"/>
    <w:rsid w:val="00B501CB"/>
    <w:rsid w:val="00B505C6"/>
    <w:rsid w:val="00B508DB"/>
    <w:rsid w:val="00B50C61"/>
    <w:rsid w:val="00B50DD6"/>
    <w:rsid w:val="00B5140F"/>
    <w:rsid w:val="00B516F4"/>
    <w:rsid w:val="00B51908"/>
    <w:rsid w:val="00B51A6B"/>
    <w:rsid w:val="00B51B67"/>
    <w:rsid w:val="00B51F0E"/>
    <w:rsid w:val="00B52A40"/>
    <w:rsid w:val="00B52CD3"/>
    <w:rsid w:val="00B53381"/>
    <w:rsid w:val="00B53429"/>
    <w:rsid w:val="00B537DB"/>
    <w:rsid w:val="00B5407E"/>
    <w:rsid w:val="00B5412F"/>
    <w:rsid w:val="00B54378"/>
    <w:rsid w:val="00B54645"/>
    <w:rsid w:val="00B54A23"/>
    <w:rsid w:val="00B54A57"/>
    <w:rsid w:val="00B54C2B"/>
    <w:rsid w:val="00B5549B"/>
    <w:rsid w:val="00B5582A"/>
    <w:rsid w:val="00B559A9"/>
    <w:rsid w:val="00B55AFB"/>
    <w:rsid w:val="00B55F54"/>
    <w:rsid w:val="00B5618C"/>
    <w:rsid w:val="00B561C2"/>
    <w:rsid w:val="00B566D5"/>
    <w:rsid w:val="00B569B7"/>
    <w:rsid w:val="00B56B58"/>
    <w:rsid w:val="00B57A2C"/>
    <w:rsid w:val="00B60106"/>
    <w:rsid w:val="00B60176"/>
    <w:rsid w:val="00B60273"/>
    <w:rsid w:val="00B605D1"/>
    <w:rsid w:val="00B605FE"/>
    <w:rsid w:val="00B606E6"/>
    <w:rsid w:val="00B6199D"/>
    <w:rsid w:val="00B61DFB"/>
    <w:rsid w:val="00B623A0"/>
    <w:rsid w:val="00B635F0"/>
    <w:rsid w:val="00B6382E"/>
    <w:rsid w:val="00B63EB7"/>
    <w:rsid w:val="00B65621"/>
    <w:rsid w:val="00B65657"/>
    <w:rsid w:val="00B670C6"/>
    <w:rsid w:val="00B670C8"/>
    <w:rsid w:val="00B674A2"/>
    <w:rsid w:val="00B67DCD"/>
    <w:rsid w:val="00B70498"/>
    <w:rsid w:val="00B70DB8"/>
    <w:rsid w:val="00B71E6D"/>
    <w:rsid w:val="00B720D8"/>
    <w:rsid w:val="00B7251E"/>
    <w:rsid w:val="00B729F0"/>
    <w:rsid w:val="00B72DC4"/>
    <w:rsid w:val="00B72DD4"/>
    <w:rsid w:val="00B738A1"/>
    <w:rsid w:val="00B73B1B"/>
    <w:rsid w:val="00B73F70"/>
    <w:rsid w:val="00B740B3"/>
    <w:rsid w:val="00B74802"/>
    <w:rsid w:val="00B755E9"/>
    <w:rsid w:val="00B756CE"/>
    <w:rsid w:val="00B756D0"/>
    <w:rsid w:val="00B75BAC"/>
    <w:rsid w:val="00B75FEE"/>
    <w:rsid w:val="00B761E1"/>
    <w:rsid w:val="00B76802"/>
    <w:rsid w:val="00B77587"/>
    <w:rsid w:val="00B77603"/>
    <w:rsid w:val="00B778AC"/>
    <w:rsid w:val="00B77B52"/>
    <w:rsid w:val="00B802BF"/>
    <w:rsid w:val="00B8093B"/>
    <w:rsid w:val="00B80CBD"/>
    <w:rsid w:val="00B81377"/>
    <w:rsid w:val="00B8174C"/>
    <w:rsid w:val="00B8179F"/>
    <w:rsid w:val="00B818CF"/>
    <w:rsid w:val="00B819EE"/>
    <w:rsid w:val="00B820CA"/>
    <w:rsid w:val="00B8215C"/>
    <w:rsid w:val="00B8233D"/>
    <w:rsid w:val="00B8248A"/>
    <w:rsid w:val="00B824EC"/>
    <w:rsid w:val="00B827B3"/>
    <w:rsid w:val="00B830AA"/>
    <w:rsid w:val="00B83128"/>
    <w:rsid w:val="00B83884"/>
    <w:rsid w:val="00B83C2B"/>
    <w:rsid w:val="00B83C58"/>
    <w:rsid w:val="00B83CF4"/>
    <w:rsid w:val="00B8468E"/>
    <w:rsid w:val="00B8478B"/>
    <w:rsid w:val="00B84FFC"/>
    <w:rsid w:val="00B85083"/>
    <w:rsid w:val="00B854E6"/>
    <w:rsid w:val="00B8561C"/>
    <w:rsid w:val="00B87DDE"/>
    <w:rsid w:val="00B9013B"/>
    <w:rsid w:val="00B9065B"/>
    <w:rsid w:val="00B90934"/>
    <w:rsid w:val="00B90BBE"/>
    <w:rsid w:val="00B91236"/>
    <w:rsid w:val="00B9163E"/>
    <w:rsid w:val="00B91ACF"/>
    <w:rsid w:val="00B923B7"/>
    <w:rsid w:val="00B92D5C"/>
    <w:rsid w:val="00B92DAF"/>
    <w:rsid w:val="00B93166"/>
    <w:rsid w:val="00B9450F"/>
    <w:rsid w:val="00B94A59"/>
    <w:rsid w:val="00B94E2D"/>
    <w:rsid w:val="00B94EFB"/>
    <w:rsid w:val="00B957F7"/>
    <w:rsid w:val="00B95874"/>
    <w:rsid w:val="00B95955"/>
    <w:rsid w:val="00B95AB3"/>
    <w:rsid w:val="00B9653B"/>
    <w:rsid w:val="00B96772"/>
    <w:rsid w:val="00B96C0D"/>
    <w:rsid w:val="00B96E42"/>
    <w:rsid w:val="00B972DE"/>
    <w:rsid w:val="00B97320"/>
    <w:rsid w:val="00B9738F"/>
    <w:rsid w:val="00B978C7"/>
    <w:rsid w:val="00B9791F"/>
    <w:rsid w:val="00BA2BF2"/>
    <w:rsid w:val="00BA3299"/>
    <w:rsid w:val="00BA3517"/>
    <w:rsid w:val="00BA3600"/>
    <w:rsid w:val="00BA488E"/>
    <w:rsid w:val="00BA4B68"/>
    <w:rsid w:val="00BA54F2"/>
    <w:rsid w:val="00BA557A"/>
    <w:rsid w:val="00BA565D"/>
    <w:rsid w:val="00BA5E14"/>
    <w:rsid w:val="00BA6328"/>
    <w:rsid w:val="00BA63C9"/>
    <w:rsid w:val="00BA6694"/>
    <w:rsid w:val="00BA6D4C"/>
    <w:rsid w:val="00BA706B"/>
    <w:rsid w:val="00BB09D1"/>
    <w:rsid w:val="00BB0A77"/>
    <w:rsid w:val="00BB1038"/>
    <w:rsid w:val="00BB1078"/>
    <w:rsid w:val="00BB1341"/>
    <w:rsid w:val="00BB13DC"/>
    <w:rsid w:val="00BB1BCB"/>
    <w:rsid w:val="00BB1BE4"/>
    <w:rsid w:val="00BB1CD9"/>
    <w:rsid w:val="00BB22DA"/>
    <w:rsid w:val="00BB4454"/>
    <w:rsid w:val="00BB45F3"/>
    <w:rsid w:val="00BB4709"/>
    <w:rsid w:val="00BB47D4"/>
    <w:rsid w:val="00BB4A90"/>
    <w:rsid w:val="00BB54A8"/>
    <w:rsid w:val="00BB5755"/>
    <w:rsid w:val="00BB5868"/>
    <w:rsid w:val="00BB5BDB"/>
    <w:rsid w:val="00BB5F37"/>
    <w:rsid w:val="00BB6F7B"/>
    <w:rsid w:val="00BB74EC"/>
    <w:rsid w:val="00BB75BF"/>
    <w:rsid w:val="00BB770C"/>
    <w:rsid w:val="00BB7951"/>
    <w:rsid w:val="00BB7DA2"/>
    <w:rsid w:val="00BC0B88"/>
    <w:rsid w:val="00BC1873"/>
    <w:rsid w:val="00BC2103"/>
    <w:rsid w:val="00BC221A"/>
    <w:rsid w:val="00BC2D02"/>
    <w:rsid w:val="00BC3A0B"/>
    <w:rsid w:val="00BC425B"/>
    <w:rsid w:val="00BC47C3"/>
    <w:rsid w:val="00BC492F"/>
    <w:rsid w:val="00BC4A3F"/>
    <w:rsid w:val="00BC4B37"/>
    <w:rsid w:val="00BC58EC"/>
    <w:rsid w:val="00BC5C08"/>
    <w:rsid w:val="00BC6A67"/>
    <w:rsid w:val="00BC7885"/>
    <w:rsid w:val="00BC7E27"/>
    <w:rsid w:val="00BC7E32"/>
    <w:rsid w:val="00BD0141"/>
    <w:rsid w:val="00BD0BFD"/>
    <w:rsid w:val="00BD0F2B"/>
    <w:rsid w:val="00BD0F9B"/>
    <w:rsid w:val="00BD0FF8"/>
    <w:rsid w:val="00BD125C"/>
    <w:rsid w:val="00BD12FE"/>
    <w:rsid w:val="00BD1516"/>
    <w:rsid w:val="00BD2172"/>
    <w:rsid w:val="00BD26BD"/>
    <w:rsid w:val="00BD2996"/>
    <w:rsid w:val="00BD303B"/>
    <w:rsid w:val="00BD3471"/>
    <w:rsid w:val="00BD3492"/>
    <w:rsid w:val="00BD3BAC"/>
    <w:rsid w:val="00BD4219"/>
    <w:rsid w:val="00BD43CF"/>
    <w:rsid w:val="00BD4640"/>
    <w:rsid w:val="00BD47FF"/>
    <w:rsid w:val="00BD5C44"/>
    <w:rsid w:val="00BD6EFE"/>
    <w:rsid w:val="00BD7492"/>
    <w:rsid w:val="00BD75FD"/>
    <w:rsid w:val="00BD77E6"/>
    <w:rsid w:val="00BD7EA0"/>
    <w:rsid w:val="00BE01FB"/>
    <w:rsid w:val="00BE05BC"/>
    <w:rsid w:val="00BE0853"/>
    <w:rsid w:val="00BE377E"/>
    <w:rsid w:val="00BE39FB"/>
    <w:rsid w:val="00BE40C1"/>
    <w:rsid w:val="00BE45C0"/>
    <w:rsid w:val="00BE462B"/>
    <w:rsid w:val="00BE46CE"/>
    <w:rsid w:val="00BE4830"/>
    <w:rsid w:val="00BE49B3"/>
    <w:rsid w:val="00BE569D"/>
    <w:rsid w:val="00BE57B9"/>
    <w:rsid w:val="00BE58B3"/>
    <w:rsid w:val="00BE5C71"/>
    <w:rsid w:val="00BE6425"/>
    <w:rsid w:val="00BE65C0"/>
    <w:rsid w:val="00BE6A99"/>
    <w:rsid w:val="00BE7499"/>
    <w:rsid w:val="00BF08B7"/>
    <w:rsid w:val="00BF0CA5"/>
    <w:rsid w:val="00BF11C3"/>
    <w:rsid w:val="00BF1336"/>
    <w:rsid w:val="00BF2435"/>
    <w:rsid w:val="00BF258C"/>
    <w:rsid w:val="00BF274D"/>
    <w:rsid w:val="00BF2988"/>
    <w:rsid w:val="00BF2AF9"/>
    <w:rsid w:val="00BF375D"/>
    <w:rsid w:val="00BF3793"/>
    <w:rsid w:val="00BF3BF8"/>
    <w:rsid w:val="00BF3F5D"/>
    <w:rsid w:val="00BF4FE6"/>
    <w:rsid w:val="00BF7408"/>
    <w:rsid w:val="00BF7700"/>
    <w:rsid w:val="00C00A0B"/>
    <w:rsid w:val="00C00B61"/>
    <w:rsid w:val="00C00D76"/>
    <w:rsid w:val="00C0101C"/>
    <w:rsid w:val="00C01563"/>
    <w:rsid w:val="00C0193F"/>
    <w:rsid w:val="00C01A14"/>
    <w:rsid w:val="00C01CA3"/>
    <w:rsid w:val="00C02577"/>
    <w:rsid w:val="00C026C5"/>
    <w:rsid w:val="00C027CD"/>
    <w:rsid w:val="00C02F11"/>
    <w:rsid w:val="00C03545"/>
    <w:rsid w:val="00C03C0A"/>
    <w:rsid w:val="00C03CD2"/>
    <w:rsid w:val="00C047EE"/>
    <w:rsid w:val="00C04BD9"/>
    <w:rsid w:val="00C04E26"/>
    <w:rsid w:val="00C058F2"/>
    <w:rsid w:val="00C05ABE"/>
    <w:rsid w:val="00C062F9"/>
    <w:rsid w:val="00C06EA7"/>
    <w:rsid w:val="00C07403"/>
    <w:rsid w:val="00C07EE8"/>
    <w:rsid w:val="00C1053C"/>
    <w:rsid w:val="00C11204"/>
    <w:rsid w:val="00C118FE"/>
    <w:rsid w:val="00C11B66"/>
    <w:rsid w:val="00C123E9"/>
    <w:rsid w:val="00C1258F"/>
    <w:rsid w:val="00C12702"/>
    <w:rsid w:val="00C12D98"/>
    <w:rsid w:val="00C1328F"/>
    <w:rsid w:val="00C13504"/>
    <w:rsid w:val="00C14234"/>
    <w:rsid w:val="00C1483F"/>
    <w:rsid w:val="00C1538C"/>
    <w:rsid w:val="00C15EBB"/>
    <w:rsid w:val="00C16590"/>
    <w:rsid w:val="00C1681F"/>
    <w:rsid w:val="00C16A90"/>
    <w:rsid w:val="00C16C1C"/>
    <w:rsid w:val="00C1740B"/>
    <w:rsid w:val="00C1749F"/>
    <w:rsid w:val="00C17A34"/>
    <w:rsid w:val="00C202A1"/>
    <w:rsid w:val="00C20504"/>
    <w:rsid w:val="00C209F6"/>
    <w:rsid w:val="00C20B1C"/>
    <w:rsid w:val="00C20D5E"/>
    <w:rsid w:val="00C20DCB"/>
    <w:rsid w:val="00C20EA1"/>
    <w:rsid w:val="00C21081"/>
    <w:rsid w:val="00C223C3"/>
    <w:rsid w:val="00C227F4"/>
    <w:rsid w:val="00C22E7D"/>
    <w:rsid w:val="00C23357"/>
    <w:rsid w:val="00C233CC"/>
    <w:rsid w:val="00C234AF"/>
    <w:rsid w:val="00C234C4"/>
    <w:rsid w:val="00C238E9"/>
    <w:rsid w:val="00C2428A"/>
    <w:rsid w:val="00C2449F"/>
    <w:rsid w:val="00C24E25"/>
    <w:rsid w:val="00C25665"/>
    <w:rsid w:val="00C264E6"/>
    <w:rsid w:val="00C26DB9"/>
    <w:rsid w:val="00C27CC5"/>
    <w:rsid w:val="00C305B1"/>
    <w:rsid w:val="00C30FAC"/>
    <w:rsid w:val="00C3159D"/>
    <w:rsid w:val="00C31623"/>
    <w:rsid w:val="00C31826"/>
    <w:rsid w:val="00C31FD2"/>
    <w:rsid w:val="00C3282E"/>
    <w:rsid w:val="00C328E1"/>
    <w:rsid w:val="00C3297F"/>
    <w:rsid w:val="00C32BB7"/>
    <w:rsid w:val="00C3333D"/>
    <w:rsid w:val="00C339EE"/>
    <w:rsid w:val="00C33E69"/>
    <w:rsid w:val="00C3414E"/>
    <w:rsid w:val="00C34E01"/>
    <w:rsid w:val="00C35214"/>
    <w:rsid w:val="00C36100"/>
    <w:rsid w:val="00C36C47"/>
    <w:rsid w:val="00C36EFF"/>
    <w:rsid w:val="00C3722A"/>
    <w:rsid w:val="00C37262"/>
    <w:rsid w:val="00C37557"/>
    <w:rsid w:val="00C3767E"/>
    <w:rsid w:val="00C40BFD"/>
    <w:rsid w:val="00C40E9D"/>
    <w:rsid w:val="00C40EEC"/>
    <w:rsid w:val="00C41866"/>
    <w:rsid w:val="00C422FF"/>
    <w:rsid w:val="00C423B4"/>
    <w:rsid w:val="00C42BA3"/>
    <w:rsid w:val="00C43342"/>
    <w:rsid w:val="00C438E0"/>
    <w:rsid w:val="00C43C2E"/>
    <w:rsid w:val="00C43EF5"/>
    <w:rsid w:val="00C43FD7"/>
    <w:rsid w:val="00C442CB"/>
    <w:rsid w:val="00C44321"/>
    <w:rsid w:val="00C4487F"/>
    <w:rsid w:val="00C4551B"/>
    <w:rsid w:val="00C456BE"/>
    <w:rsid w:val="00C456CD"/>
    <w:rsid w:val="00C45C80"/>
    <w:rsid w:val="00C45C83"/>
    <w:rsid w:val="00C46301"/>
    <w:rsid w:val="00C46870"/>
    <w:rsid w:val="00C46A3A"/>
    <w:rsid w:val="00C46BB6"/>
    <w:rsid w:val="00C46DA1"/>
    <w:rsid w:val="00C4722D"/>
    <w:rsid w:val="00C473F0"/>
    <w:rsid w:val="00C47DDA"/>
    <w:rsid w:val="00C500B2"/>
    <w:rsid w:val="00C50AF7"/>
    <w:rsid w:val="00C50E6D"/>
    <w:rsid w:val="00C51692"/>
    <w:rsid w:val="00C51968"/>
    <w:rsid w:val="00C51D8D"/>
    <w:rsid w:val="00C51F81"/>
    <w:rsid w:val="00C52A52"/>
    <w:rsid w:val="00C5311F"/>
    <w:rsid w:val="00C53814"/>
    <w:rsid w:val="00C541FB"/>
    <w:rsid w:val="00C54A24"/>
    <w:rsid w:val="00C54B95"/>
    <w:rsid w:val="00C54FF2"/>
    <w:rsid w:val="00C5516F"/>
    <w:rsid w:val="00C5523A"/>
    <w:rsid w:val="00C552AC"/>
    <w:rsid w:val="00C568FD"/>
    <w:rsid w:val="00C56A6E"/>
    <w:rsid w:val="00C57783"/>
    <w:rsid w:val="00C57787"/>
    <w:rsid w:val="00C57E40"/>
    <w:rsid w:val="00C57FE5"/>
    <w:rsid w:val="00C605B2"/>
    <w:rsid w:val="00C6108E"/>
    <w:rsid w:val="00C61997"/>
    <w:rsid w:val="00C622D3"/>
    <w:rsid w:val="00C62C22"/>
    <w:rsid w:val="00C640E2"/>
    <w:rsid w:val="00C64128"/>
    <w:rsid w:val="00C6448D"/>
    <w:rsid w:val="00C647C2"/>
    <w:rsid w:val="00C649B8"/>
    <w:rsid w:val="00C6524C"/>
    <w:rsid w:val="00C65CCB"/>
    <w:rsid w:val="00C65CEA"/>
    <w:rsid w:val="00C65CF8"/>
    <w:rsid w:val="00C66443"/>
    <w:rsid w:val="00C67399"/>
    <w:rsid w:val="00C67963"/>
    <w:rsid w:val="00C67C4B"/>
    <w:rsid w:val="00C70AC8"/>
    <w:rsid w:val="00C7119C"/>
    <w:rsid w:val="00C71316"/>
    <w:rsid w:val="00C71BCC"/>
    <w:rsid w:val="00C71D52"/>
    <w:rsid w:val="00C7221C"/>
    <w:rsid w:val="00C7265B"/>
    <w:rsid w:val="00C72EE2"/>
    <w:rsid w:val="00C73852"/>
    <w:rsid w:val="00C75830"/>
    <w:rsid w:val="00C758E2"/>
    <w:rsid w:val="00C75D86"/>
    <w:rsid w:val="00C769B1"/>
    <w:rsid w:val="00C76C94"/>
    <w:rsid w:val="00C76DB2"/>
    <w:rsid w:val="00C77194"/>
    <w:rsid w:val="00C77C85"/>
    <w:rsid w:val="00C77FD3"/>
    <w:rsid w:val="00C802BC"/>
    <w:rsid w:val="00C8043B"/>
    <w:rsid w:val="00C80F66"/>
    <w:rsid w:val="00C81219"/>
    <w:rsid w:val="00C81A55"/>
    <w:rsid w:val="00C81D3C"/>
    <w:rsid w:val="00C81DD5"/>
    <w:rsid w:val="00C81E99"/>
    <w:rsid w:val="00C830E6"/>
    <w:rsid w:val="00C835DE"/>
    <w:rsid w:val="00C83F0C"/>
    <w:rsid w:val="00C83F62"/>
    <w:rsid w:val="00C840D6"/>
    <w:rsid w:val="00C8489B"/>
    <w:rsid w:val="00C84B1C"/>
    <w:rsid w:val="00C84DFA"/>
    <w:rsid w:val="00C85D93"/>
    <w:rsid w:val="00C861FD"/>
    <w:rsid w:val="00C86F09"/>
    <w:rsid w:val="00C87582"/>
    <w:rsid w:val="00C87AE3"/>
    <w:rsid w:val="00C87D55"/>
    <w:rsid w:val="00C907E1"/>
    <w:rsid w:val="00C909B4"/>
    <w:rsid w:val="00C90A3D"/>
    <w:rsid w:val="00C914BC"/>
    <w:rsid w:val="00C92C7D"/>
    <w:rsid w:val="00C92DE2"/>
    <w:rsid w:val="00C92FDB"/>
    <w:rsid w:val="00C9304A"/>
    <w:rsid w:val="00C93326"/>
    <w:rsid w:val="00C935F8"/>
    <w:rsid w:val="00C94870"/>
    <w:rsid w:val="00C94CCC"/>
    <w:rsid w:val="00C9583A"/>
    <w:rsid w:val="00C96340"/>
    <w:rsid w:val="00C96B8E"/>
    <w:rsid w:val="00C9705D"/>
    <w:rsid w:val="00C97AE7"/>
    <w:rsid w:val="00C97D50"/>
    <w:rsid w:val="00CA019F"/>
    <w:rsid w:val="00CA09DC"/>
    <w:rsid w:val="00CA0BC1"/>
    <w:rsid w:val="00CA0CC8"/>
    <w:rsid w:val="00CA0FF0"/>
    <w:rsid w:val="00CA1781"/>
    <w:rsid w:val="00CA1BB1"/>
    <w:rsid w:val="00CA2098"/>
    <w:rsid w:val="00CA20BD"/>
    <w:rsid w:val="00CA252F"/>
    <w:rsid w:val="00CA2824"/>
    <w:rsid w:val="00CA2B22"/>
    <w:rsid w:val="00CA3D0B"/>
    <w:rsid w:val="00CA461C"/>
    <w:rsid w:val="00CA4DD3"/>
    <w:rsid w:val="00CA5BD3"/>
    <w:rsid w:val="00CA5E9E"/>
    <w:rsid w:val="00CA5F6B"/>
    <w:rsid w:val="00CA609F"/>
    <w:rsid w:val="00CA657B"/>
    <w:rsid w:val="00CA6AFC"/>
    <w:rsid w:val="00CA6E5B"/>
    <w:rsid w:val="00CA7D2B"/>
    <w:rsid w:val="00CB0553"/>
    <w:rsid w:val="00CB0C4E"/>
    <w:rsid w:val="00CB0CE4"/>
    <w:rsid w:val="00CB0E28"/>
    <w:rsid w:val="00CB1E1B"/>
    <w:rsid w:val="00CB2390"/>
    <w:rsid w:val="00CB2989"/>
    <w:rsid w:val="00CB2BDA"/>
    <w:rsid w:val="00CB2C57"/>
    <w:rsid w:val="00CB36DF"/>
    <w:rsid w:val="00CB37C9"/>
    <w:rsid w:val="00CB3C4A"/>
    <w:rsid w:val="00CB3CCE"/>
    <w:rsid w:val="00CB3DB9"/>
    <w:rsid w:val="00CB6ECC"/>
    <w:rsid w:val="00CB7453"/>
    <w:rsid w:val="00CB7D7D"/>
    <w:rsid w:val="00CB7EAC"/>
    <w:rsid w:val="00CC0430"/>
    <w:rsid w:val="00CC04CA"/>
    <w:rsid w:val="00CC0686"/>
    <w:rsid w:val="00CC0C9A"/>
    <w:rsid w:val="00CC1316"/>
    <w:rsid w:val="00CC1770"/>
    <w:rsid w:val="00CC17BF"/>
    <w:rsid w:val="00CC1F07"/>
    <w:rsid w:val="00CC2FAF"/>
    <w:rsid w:val="00CC304F"/>
    <w:rsid w:val="00CC30B6"/>
    <w:rsid w:val="00CC3E4E"/>
    <w:rsid w:val="00CC3FBA"/>
    <w:rsid w:val="00CC42C1"/>
    <w:rsid w:val="00CC45A6"/>
    <w:rsid w:val="00CC4C5D"/>
    <w:rsid w:val="00CC4DBE"/>
    <w:rsid w:val="00CC5085"/>
    <w:rsid w:val="00CC5857"/>
    <w:rsid w:val="00CC58FF"/>
    <w:rsid w:val="00CC5C84"/>
    <w:rsid w:val="00CC618F"/>
    <w:rsid w:val="00CC6406"/>
    <w:rsid w:val="00CC6B57"/>
    <w:rsid w:val="00CC7209"/>
    <w:rsid w:val="00CC772F"/>
    <w:rsid w:val="00CC7F36"/>
    <w:rsid w:val="00CD0411"/>
    <w:rsid w:val="00CD101B"/>
    <w:rsid w:val="00CD18E4"/>
    <w:rsid w:val="00CD1C4D"/>
    <w:rsid w:val="00CD258D"/>
    <w:rsid w:val="00CD26DB"/>
    <w:rsid w:val="00CD3355"/>
    <w:rsid w:val="00CD34C8"/>
    <w:rsid w:val="00CD3E8A"/>
    <w:rsid w:val="00CD4E33"/>
    <w:rsid w:val="00CD511B"/>
    <w:rsid w:val="00CD58AF"/>
    <w:rsid w:val="00CD5D67"/>
    <w:rsid w:val="00CD643A"/>
    <w:rsid w:val="00CD64C9"/>
    <w:rsid w:val="00CD6D47"/>
    <w:rsid w:val="00CD718A"/>
    <w:rsid w:val="00CD7219"/>
    <w:rsid w:val="00CD79FE"/>
    <w:rsid w:val="00CE02CC"/>
    <w:rsid w:val="00CE04F4"/>
    <w:rsid w:val="00CE0E1F"/>
    <w:rsid w:val="00CE0F5A"/>
    <w:rsid w:val="00CE144B"/>
    <w:rsid w:val="00CE15FB"/>
    <w:rsid w:val="00CE18CB"/>
    <w:rsid w:val="00CE1B5A"/>
    <w:rsid w:val="00CE1E23"/>
    <w:rsid w:val="00CE20F1"/>
    <w:rsid w:val="00CE28DE"/>
    <w:rsid w:val="00CE2AD7"/>
    <w:rsid w:val="00CE2D42"/>
    <w:rsid w:val="00CE2D54"/>
    <w:rsid w:val="00CE3053"/>
    <w:rsid w:val="00CE33D6"/>
    <w:rsid w:val="00CE39A1"/>
    <w:rsid w:val="00CE4BB6"/>
    <w:rsid w:val="00CE5D4C"/>
    <w:rsid w:val="00CE637D"/>
    <w:rsid w:val="00CE650D"/>
    <w:rsid w:val="00CE7056"/>
    <w:rsid w:val="00CE7146"/>
    <w:rsid w:val="00CE759D"/>
    <w:rsid w:val="00CE7A67"/>
    <w:rsid w:val="00CE7BC8"/>
    <w:rsid w:val="00CF0D04"/>
    <w:rsid w:val="00CF0E86"/>
    <w:rsid w:val="00CF1045"/>
    <w:rsid w:val="00CF1C58"/>
    <w:rsid w:val="00CF1D85"/>
    <w:rsid w:val="00CF29AB"/>
    <w:rsid w:val="00CF2B79"/>
    <w:rsid w:val="00CF2E30"/>
    <w:rsid w:val="00CF33AF"/>
    <w:rsid w:val="00CF38EE"/>
    <w:rsid w:val="00CF3984"/>
    <w:rsid w:val="00CF3E35"/>
    <w:rsid w:val="00CF4384"/>
    <w:rsid w:val="00CF43C7"/>
    <w:rsid w:val="00CF470B"/>
    <w:rsid w:val="00CF4812"/>
    <w:rsid w:val="00CF4884"/>
    <w:rsid w:val="00CF4F49"/>
    <w:rsid w:val="00CF52E0"/>
    <w:rsid w:val="00CF6324"/>
    <w:rsid w:val="00CF6B9A"/>
    <w:rsid w:val="00CF75DE"/>
    <w:rsid w:val="00CF77B0"/>
    <w:rsid w:val="00D002C2"/>
    <w:rsid w:val="00D00CD0"/>
    <w:rsid w:val="00D00E2C"/>
    <w:rsid w:val="00D016FC"/>
    <w:rsid w:val="00D01748"/>
    <w:rsid w:val="00D01EF2"/>
    <w:rsid w:val="00D02429"/>
    <w:rsid w:val="00D024D3"/>
    <w:rsid w:val="00D02603"/>
    <w:rsid w:val="00D02618"/>
    <w:rsid w:val="00D0266C"/>
    <w:rsid w:val="00D02692"/>
    <w:rsid w:val="00D03247"/>
    <w:rsid w:val="00D03596"/>
    <w:rsid w:val="00D036A3"/>
    <w:rsid w:val="00D04777"/>
    <w:rsid w:val="00D04F7C"/>
    <w:rsid w:val="00D0503A"/>
    <w:rsid w:val="00D059C6"/>
    <w:rsid w:val="00D06050"/>
    <w:rsid w:val="00D06940"/>
    <w:rsid w:val="00D06965"/>
    <w:rsid w:val="00D071D0"/>
    <w:rsid w:val="00D0731D"/>
    <w:rsid w:val="00D07CAB"/>
    <w:rsid w:val="00D10CCC"/>
    <w:rsid w:val="00D1101A"/>
    <w:rsid w:val="00D116D2"/>
    <w:rsid w:val="00D11D8A"/>
    <w:rsid w:val="00D1202D"/>
    <w:rsid w:val="00D123BD"/>
    <w:rsid w:val="00D12998"/>
    <w:rsid w:val="00D13003"/>
    <w:rsid w:val="00D13EC3"/>
    <w:rsid w:val="00D142B3"/>
    <w:rsid w:val="00D145F4"/>
    <w:rsid w:val="00D14A79"/>
    <w:rsid w:val="00D14B5C"/>
    <w:rsid w:val="00D14C3F"/>
    <w:rsid w:val="00D14E1D"/>
    <w:rsid w:val="00D14E3C"/>
    <w:rsid w:val="00D15580"/>
    <w:rsid w:val="00D157C2"/>
    <w:rsid w:val="00D15AEE"/>
    <w:rsid w:val="00D16791"/>
    <w:rsid w:val="00D17492"/>
    <w:rsid w:val="00D1788F"/>
    <w:rsid w:val="00D17DAD"/>
    <w:rsid w:val="00D2000D"/>
    <w:rsid w:val="00D209FD"/>
    <w:rsid w:val="00D20E57"/>
    <w:rsid w:val="00D20F1A"/>
    <w:rsid w:val="00D21B9D"/>
    <w:rsid w:val="00D21F4A"/>
    <w:rsid w:val="00D225AB"/>
    <w:rsid w:val="00D22D18"/>
    <w:rsid w:val="00D23528"/>
    <w:rsid w:val="00D237FE"/>
    <w:rsid w:val="00D23D0E"/>
    <w:rsid w:val="00D245E8"/>
    <w:rsid w:val="00D24EAA"/>
    <w:rsid w:val="00D2530C"/>
    <w:rsid w:val="00D253B2"/>
    <w:rsid w:val="00D25412"/>
    <w:rsid w:val="00D25B37"/>
    <w:rsid w:val="00D26470"/>
    <w:rsid w:val="00D26E42"/>
    <w:rsid w:val="00D2717B"/>
    <w:rsid w:val="00D27459"/>
    <w:rsid w:val="00D278AF"/>
    <w:rsid w:val="00D3003D"/>
    <w:rsid w:val="00D3032F"/>
    <w:rsid w:val="00D318BD"/>
    <w:rsid w:val="00D3241B"/>
    <w:rsid w:val="00D32ED4"/>
    <w:rsid w:val="00D332D8"/>
    <w:rsid w:val="00D3330B"/>
    <w:rsid w:val="00D33827"/>
    <w:rsid w:val="00D33C11"/>
    <w:rsid w:val="00D34410"/>
    <w:rsid w:val="00D3460A"/>
    <w:rsid w:val="00D34767"/>
    <w:rsid w:val="00D34B53"/>
    <w:rsid w:val="00D352E4"/>
    <w:rsid w:val="00D358BE"/>
    <w:rsid w:val="00D372A2"/>
    <w:rsid w:val="00D3740B"/>
    <w:rsid w:val="00D376CE"/>
    <w:rsid w:val="00D376DC"/>
    <w:rsid w:val="00D378EB"/>
    <w:rsid w:val="00D40547"/>
    <w:rsid w:val="00D40C63"/>
    <w:rsid w:val="00D40E1C"/>
    <w:rsid w:val="00D41EB7"/>
    <w:rsid w:val="00D42683"/>
    <w:rsid w:val="00D42872"/>
    <w:rsid w:val="00D42F67"/>
    <w:rsid w:val="00D43841"/>
    <w:rsid w:val="00D43B65"/>
    <w:rsid w:val="00D43DEB"/>
    <w:rsid w:val="00D4410D"/>
    <w:rsid w:val="00D44180"/>
    <w:rsid w:val="00D4532F"/>
    <w:rsid w:val="00D453D3"/>
    <w:rsid w:val="00D4559E"/>
    <w:rsid w:val="00D460DB"/>
    <w:rsid w:val="00D4649F"/>
    <w:rsid w:val="00D46521"/>
    <w:rsid w:val="00D471F3"/>
    <w:rsid w:val="00D47239"/>
    <w:rsid w:val="00D4770A"/>
    <w:rsid w:val="00D479A3"/>
    <w:rsid w:val="00D504FC"/>
    <w:rsid w:val="00D50B72"/>
    <w:rsid w:val="00D517D1"/>
    <w:rsid w:val="00D5180C"/>
    <w:rsid w:val="00D519B3"/>
    <w:rsid w:val="00D51C3B"/>
    <w:rsid w:val="00D51C9B"/>
    <w:rsid w:val="00D522B5"/>
    <w:rsid w:val="00D52E39"/>
    <w:rsid w:val="00D53352"/>
    <w:rsid w:val="00D53BE0"/>
    <w:rsid w:val="00D53C1B"/>
    <w:rsid w:val="00D541E4"/>
    <w:rsid w:val="00D54646"/>
    <w:rsid w:val="00D549E7"/>
    <w:rsid w:val="00D54E4E"/>
    <w:rsid w:val="00D54FCC"/>
    <w:rsid w:val="00D55101"/>
    <w:rsid w:val="00D55129"/>
    <w:rsid w:val="00D55702"/>
    <w:rsid w:val="00D55A88"/>
    <w:rsid w:val="00D55B27"/>
    <w:rsid w:val="00D560D6"/>
    <w:rsid w:val="00D5640F"/>
    <w:rsid w:val="00D56537"/>
    <w:rsid w:val="00D56871"/>
    <w:rsid w:val="00D56CDA"/>
    <w:rsid w:val="00D57532"/>
    <w:rsid w:val="00D576BB"/>
    <w:rsid w:val="00D57C52"/>
    <w:rsid w:val="00D57D22"/>
    <w:rsid w:val="00D60F8B"/>
    <w:rsid w:val="00D60FA5"/>
    <w:rsid w:val="00D61C2C"/>
    <w:rsid w:val="00D61F2C"/>
    <w:rsid w:val="00D620A4"/>
    <w:rsid w:val="00D62122"/>
    <w:rsid w:val="00D62568"/>
    <w:rsid w:val="00D62642"/>
    <w:rsid w:val="00D62E65"/>
    <w:rsid w:val="00D63432"/>
    <w:rsid w:val="00D635DF"/>
    <w:rsid w:val="00D63935"/>
    <w:rsid w:val="00D63A74"/>
    <w:rsid w:val="00D6531E"/>
    <w:rsid w:val="00D65536"/>
    <w:rsid w:val="00D65A7C"/>
    <w:rsid w:val="00D660CF"/>
    <w:rsid w:val="00D665D3"/>
    <w:rsid w:val="00D67E69"/>
    <w:rsid w:val="00D67E86"/>
    <w:rsid w:val="00D7023B"/>
    <w:rsid w:val="00D71418"/>
    <w:rsid w:val="00D716D4"/>
    <w:rsid w:val="00D717A5"/>
    <w:rsid w:val="00D717F8"/>
    <w:rsid w:val="00D729CE"/>
    <w:rsid w:val="00D72A1D"/>
    <w:rsid w:val="00D72E35"/>
    <w:rsid w:val="00D7373F"/>
    <w:rsid w:val="00D73A53"/>
    <w:rsid w:val="00D73A8F"/>
    <w:rsid w:val="00D73FF2"/>
    <w:rsid w:val="00D740D6"/>
    <w:rsid w:val="00D7462F"/>
    <w:rsid w:val="00D75BD4"/>
    <w:rsid w:val="00D76772"/>
    <w:rsid w:val="00D76774"/>
    <w:rsid w:val="00D7703B"/>
    <w:rsid w:val="00D779DF"/>
    <w:rsid w:val="00D77A5D"/>
    <w:rsid w:val="00D77C50"/>
    <w:rsid w:val="00D8075B"/>
    <w:rsid w:val="00D80A3B"/>
    <w:rsid w:val="00D80E0E"/>
    <w:rsid w:val="00D80E6F"/>
    <w:rsid w:val="00D80EA2"/>
    <w:rsid w:val="00D81455"/>
    <w:rsid w:val="00D8156C"/>
    <w:rsid w:val="00D817CD"/>
    <w:rsid w:val="00D81E66"/>
    <w:rsid w:val="00D81E68"/>
    <w:rsid w:val="00D82839"/>
    <w:rsid w:val="00D83315"/>
    <w:rsid w:val="00D83F31"/>
    <w:rsid w:val="00D83FF0"/>
    <w:rsid w:val="00D843F0"/>
    <w:rsid w:val="00D84500"/>
    <w:rsid w:val="00D845BC"/>
    <w:rsid w:val="00D84763"/>
    <w:rsid w:val="00D84811"/>
    <w:rsid w:val="00D8486A"/>
    <w:rsid w:val="00D85AEA"/>
    <w:rsid w:val="00D86333"/>
    <w:rsid w:val="00D865EB"/>
    <w:rsid w:val="00D869AC"/>
    <w:rsid w:val="00D86A39"/>
    <w:rsid w:val="00D86A98"/>
    <w:rsid w:val="00D86AD1"/>
    <w:rsid w:val="00D87014"/>
    <w:rsid w:val="00D87176"/>
    <w:rsid w:val="00D87975"/>
    <w:rsid w:val="00D87F79"/>
    <w:rsid w:val="00D906A3"/>
    <w:rsid w:val="00D9080F"/>
    <w:rsid w:val="00D91726"/>
    <w:rsid w:val="00D9180E"/>
    <w:rsid w:val="00D92238"/>
    <w:rsid w:val="00D927A6"/>
    <w:rsid w:val="00D929FF"/>
    <w:rsid w:val="00D9312A"/>
    <w:rsid w:val="00D936CE"/>
    <w:rsid w:val="00D94080"/>
    <w:rsid w:val="00D942EA"/>
    <w:rsid w:val="00D94E36"/>
    <w:rsid w:val="00D95678"/>
    <w:rsid w:val="00D95715"/>
    <w:rsid w:val="00D95AAC"/>
    <w:rsid w:val="00D95F3C"/>
    <w:rsid w:val="00D96015"/>
    <w:rsid w:val="00D9680C"/>
    <w:rsid w:val="00D96925"/>
    <w:rsid w:val="00D96E5D"/>
    <w:rsid w:val="00D96FC9"/>
    <w:rsid w:val="00D97A17"/>
    <w:rsid w:val="00DA0074"/>
    <w:rsid w:val="00DA08C4"/>
    <w:rsid w:val="00DA0FDB"/>
    <w:rsid w:val="00DA123F"/>
    <w:rsid w:val="00DA19B8"/>
    <w:rsid w:val="00DA1B45"/>
    <w:rsid w:val="00DA1E37"/>
    <w:rsid w:val="00DA23A4"/>
    <w:rsid w:val="00DA2682"/>
    <w:rsid w:val="00DA2DFA"/>
    <w:rsid w:val="00DA36C4"/>
    <w:rsid w:val="00DA37AF"/>
    <w:rsid w:val="00DA39AE"/>
    <w:rsid w:val="00DA4041"/>
    <w:rsid w:val="00DA40BA"/>
    <w:rsid w:val="00DA441B"/>
    <w:rsid w:val="00DA447B"/>
    <w:rsid w:val="00DA4485"/>
    <w:rsid w:val="00DA480C"/>
    <w:rsid w:val="00DA48F2"/>
    <w:rsid w:val="00DA4A92"/>
    <w:rsid w:val="00DA4EA9"/>
    <w:rsid w:val="00DA52CC"/>
    <w:rsid w:val="00DA5971"/>
    <w:rsid w:val="00DA5E85"/>
    <w:rsid w:val="00DA62FB"/>
    <w:rsid w:val="00DA7593"/>
    <w:rsid w:val="00DA761A"/>
    <w:rsid w:val="00DA7780"/>
    <w:rsid w:val="00DB0169"/>
    <w:rsid w:val="00DB0281"/>
    <w:rsid w:val="00DB03C6"/>
    <w:rsid w:val="00DB104D"/>
    <w:rsid w:val="00DB1094"/>
    <w:rsid w:val="00DB1189"/>
    <w:rsid w:val="00DB1677"/>
    <w:rsid w:val="00DB19AF"/>
    <w:rsid w:val="00DB1F3A"/>
    <w:rsid w:val="00DB396E"/>
    <w:rsid w:val="00DB3B17"/>
    <w:rsid w:val="00DB3E80"/>
    <w:rsid w:val="00DB3FA6"/>
    <w:rsid w:val="00DB453A"/>
    <w:rsid w:val="00DB4CCB"/>
    <w:rsid w:val="00DB5A96"/>
    <w:rsid w:val="00DB5ABB"/>
    <w:rsid w:val="00DB5EDF"/>
    <w:rsid w:val="00DB609F"/>
    <w:rsid w:val="00DB6354"/>
    <w:rsid w:val="00DB6D8F"/>
    <w:rsid w:val="00DB6FC7"/>
    <w:rsid w:val="00DB727E"/>
    <w:rsid w:val="00DB78F4"/>
    <w:rsid w:val="00DC0E59"/>
    <w:rsid w:val="00DC0F77"/>
    <w:rsid w:val="00DC1289"/>
    <w:rsid w:val="00DC132B"/>
    <w:rsid w:val="00DC1473"/>
    <w:rsid w:val="00DC180D"/>
    <w:rsid w:val="00DC1AF5"/>
    <w:rsid w:val="00DC1E52"/>
    <w:rsid w:val="00DC20DD"/>
    <w:rsid w:val="00DC250F"/>
    <w:rsid w:val="00DC27C5"/>
    <w:rsid w:val="00DC2FDC"/>
    <w:rsid w:val="00DC3F7D"/>
    <w:rsid w:val="00DC4172"/>
    <w:rsid w:val="00DC470A"/>
    <w:rsid w:val="00DC48A1"/>
    <w:rsid w:val="00DC512A"/>
    <w:rsid w:val="00DC54A8"/>
    <w:rsid w:val="00DC54B0"/>
    <w:rsid w:val="00DC5510"/>
    <w:rsid w:val="00DC5C28"/>
    <w:rsid w:val="00DC5FF1"/>
    <w:rsid w:val="00DC6019"/>
    <w:rsid w:val="00DC70CD"/>
    <w:rsid w:val="00DC7295"/>
    <w:rsid w:val="00DC7515"/>
    <w:rsid w:val="00DC7986"/>
    <w:rsid w:val="00DC7EB7"/>
    <w:rsid w:val="00DD10C2"/>
    <w:rsid w:val="00DD183E"/>
    <w:rsid w:val="00DD2329"/>
    <w:rsid w:val="00DD2B99"/>
    <w:rsid w:val="00DD2D57"/>
    <w:rsid w:val="00DD301B"/>
    <w:rsid w:val="00DD34D5"/>
    <w:rsid w:val="00DD3C8E"/>
    <w:rsid w:val="00DD426E"/>
    <w:rsid w:val="00DD46AC"/>
    <w:rsid w:val="00DD62DB"/>
    <w:rsid w:val="00DD651B"/>
    <w:rsid w:val="00DD65EA"/>
    <w:rsid w:val="00DD6EE6"/>
    <w:rsid w:val="00DD6F4C"/>
    <w:rsid w:val="00DD6FF2"/>
    <w:rsid w:val="00DD7633"/>
    <w:rsid w:val="00DE032A"/>
    <w:rsid w:val="00DE2B53"/>
    <w:rsid w:val="00DE3062"/>
    <w:rsid w:val="00DE3850"/>
    <w:rsid w:val="00DE4331"/>
    <w:rsid w:val="00DE4A48"/>
    <w:rsid w:val="00DE4C57"/>
    <w:rsid w:val="00DE52AD"/>
    <w:rsid w:val="00DE5436"/>
    <w:rsid w:val="00DE543F"/>
    <w:rsid w:val="00DE5A87"/>
    <w:rsid w:val="00DE6528"/>
    <w:rsid w:val="00DE6585"/>
    <w:rsid w:val="00DE6D0C"/>
    <w:rsid w:val="00DE7328"/>
    <w:rsid w:val="00DE75D1"/>
    <w:rsid w:val="00DF01A9"/>
    <w:rsid w:val="00DF0D27"/>
    <w:rsid w:val="00DF1296"/>
    <w:rsid w:val="00DF1487"/>
    <w:rsid w:val="00DF1CAE"/>
    <w:rsid w:val="00DF1DC4"/>
    <w:rsid w:val="00DF1F7E"/>
    <w:rsid w:val="00DF216D"/>
    <w:rsid w:val="00DF23EC"/>
    <w:rsid w:val="00DF2485"/>
    <w:rsid w:val="00DF2957"/>
    <w:rsid w:val="00DF2BB3"/>
    <w:rsid w:val="00DF30DF"/>
    <w:rsid w:val="00DF3690"/>
    <w:rsid w:val="00DF3904"/>
    <w:rsid w:val="00DF3931"/>
    <w:rsid w:val="00DF3B68"/>
    <w:rsid w:val="00DF41C6"/>
    <w:rsid w:val="00DF4851"/>
    <w:rsid w:val="00DF48BE"/>
    <w:rsid w:val="00DF5D4C"/>
    <w:rsid w:val="00DF628B"/>
    <w:rsid w:val="00DF6334"/>
    <w:rsid w:val="00DF692F"/>
    <w:rsid w:val="00DF6C7E"/>
    <w:rsid w:val="00DF7073"/>
    <w:rsid w:val="00DF7452"/>
    <w:rsid w:val="00DF78CD"/>
    <w:rsid w:val="00DF79C2"/>
    <w:rsid w:val="00E00021"/>
    <w:rsid w:val="00E00102"/>
    <w:rsid w:val="00E0136E"/>
    <w:rsid w:val="00E01642"/>
    <w:rsid w:val="00E01D96"/>
    <w:rsid w:val="00E0259A"/>
    <w:rsid w:val="00E0361A"/>
    <w:rsid w:val="00E03BB4"/>
    <w:rsid w:val="00E03E3C"/>
    <w:rsid w:val="00E04677"/>
    <w:rsid w:val="00E04783"/>
    <w:rsid w:val="00E0558C"/>
    <w:rsid w:val="00E05647"/>
    <w:rsid w:val="00E05AA1"/>
    <w:rsid w:val="00E06566"/>
    <w:rsid w:val="00E06971"/>
    <w:rsid w:val="00E07017"/>
    <w:rsid w:val="00E07417"/>
    <w:rsid w:val="00E07BCD"/>
    <w:rsid w:val="00E07ECF"/>
    <w:rsid w:val="00E10466"/>
    <w:rsid w:val="00E1055F"/>
    <w:rsid w:val="00E10C7C"/>
    <w:rsid w:val="00E10C9E"/>
    <w:rsid w:val="00E10DEB"/>
    <w:rsid w:val="00E110DC"/>
    <w:rsid w:val="00E11135"/>
    <w:rsid w:val="00E1145B"/>
    <w:rsid w:val="00E115C8"/>
    <w:rsid w:val="00E11B11"/>
    <w:rsid w:val="00E12260"/>
    <w:rsid w:val="00E122A8"/>
    <w:rsid w:val="00E12308"/>
    <w:rsid w:val="00E12A7D"/>
    <w:rsid w:val="00E12ECF"/>
    <w:rsid w:val="00E1317C"/>
    <w:rsid w:val="00E132F8"/>
    <w:rsid w:val="00E138B6"/>
    <w:rsid w:val="00E1390B"/>
    <w:rsid w:val="00E13ACA"/>
    <w:rsid w:val="00E14C8C"/>
    <w:rsid w:val="00E15B9C"/>
    <w:rsid w:val="00E16195"/>
    <w:rsid w:val="00E16A01"/>
    <w:rsid w:val="00E16E6C"/>
    <w:rsid w:val="00E16F2B"/>
    <w:rsid w:val="00E17417"/>
    <w:rsid w:val="00E1776E"/>
    <w:rsid w:val="00E1789F"/>
    <w:rsid w:val="00E178EE"/>
    <w:rsid w:val="00E179B9"/>
    <w:rsid w:val="00E20657"/>
    <w:rsid w:val="00E20662"/>
    <w:rsid w:val="00E2085D"/>
    <w:rsid w:val="00E20AB7"/>
    <w:rsid w:val="00E20FDE"/>
    <w:rsid w:val="00E21722"/>
    <w:rsid w:val="00E220CF"/>
    <w:rsid w:val="00E221CA"/>
    <w:rsid w:val="00E22422"/>
    <w:rsid w:val="00E22C45"/>
    <w:rsid w:val="00E22ED4"/>
    <w:rsid w:val="00E230FC"/>
    <w:rsid w:val="00E239B0"/>
    <w:rsid w:val="00E2441E"/>
    <w:rsid w:val="00E2448F"/>
    <w:rsid w:val="00E24650"/>
    <w:rsid w:val="00E25D42"/>
    <w:rsid w:val="00E25E53"/>
    <w:rsid w:val="00E2615B"/>
    <w:rsid w:val="00E27A32"/>
    <w:rsid w:val="00E27CA2"/>
    <w:rsid w:val="00E30009"/>
    <w:rsid w:val="00E3020A"/>
    <w:rsid w:val="00E3029A"/>
    <w:rsid w:val="00E31650"/>
    <w:rsid w:val="00E316BE"/>
    <w:rsid w:val="00E31727"/>
    <w:rsid w:val="00E31847"/>
    <w:rsid w:val="00E31E2C"/>
    <w:rsid w:val="00E32064"/>
    <w:rsid w:val="00E3215B"/>
    <w:rsid w:val="00E32D54"/>
    <w:rsid w:val="00E3315E"/>
    <w:rsid w:val="00E336EC"/>
    <w:rsid w:val="00E33918"/>
    <w:rsid w:val="00E33AEE"/>
    <w:rsid w:val="00E33B5D"/>
    <w:rsid w:val="00E33D58"/>
    <w:rsid w:val="00E34CE8"/>
    <w:rsid w:val="00E35321"/>
    <w:rsid w:val="00E35F2F"/>
    <w:rsid w:val="00E3600B"/>
    <w:rsid w:val="00E36E09"/>
    <w:rsid w:val="00E36FEE"/>
    <w:rsid w:val="00E375A7"/>
    <w:rsid w:val="00E37D00"/>
    <w:rsid w:val="00E40507"/>
    <w:rsid w:val="00E40754"/>
    <w:rsid w:val="00E40D7C"/>
    <w:rsid w:val="00E41DFD"/>
    <w:rsid w:val="00E424B2"/>
    <w:rsid w:val="00E42C3C"/>
    <w:rsid w:val="00E43002"/>
    <w:rsid w:val="00E434B5"/>
    <w:rsid w:val="00E43856"/>
    <w:rsid w:val="00E439F3"/>
    <w:rsid w:val="00E43A3F"/>
    <w:rsid w:val="00E43D0D"/>
    <w:rsid w:val="00E44A84"/>
    <w:rsid w:val="00E455A4"/>
    <w:rsid w:val="00E45844"/>
    <w:rsid w:val="00E45912"/>
    <w:rsid w:val="00E45A78"/>
    <w:rsid w:val="00E46059"/>
    <w:rsid w:val="00E4692A"/>
    <w:rsid w:val="00E46A38"/>
    <w:rsid w:val="00E46C0E"/>
    <w:rsid w:val="00E46DE3"/>
    <w:rsid w:val="00E4706E"/>
    <w:rsid w:val="00E4753F"/>
    <w:rsid w:val="00E47E1C"/>
    <w:rsid w:val="00E47E1E"/>
    <w:rsid w:val="00E500BB"/>
    <w:rsid w:val="00E51723"/>
    <w:rsid w:val="00E51DCB"/>
    <w:rsid w:val="00E5205A"/>
    <w:rsid w:val="00E5248C"/>
    <w:rsid w:val="00E52A7F"/>
    <w:rsid w:val="00E52C23"/>
    <w:rsid w:val="00E5370C"/>
    <w:rsid w:val="00E53B12"/>
    <w:rsid w:val="00E54487"/>
    <w:rsid w:val="00E54DBB"/>
    <w:rsid w:val="00E55091"/>
    <w:rsid w:val="00E55402"/>
    <w:rsid w:val="00E55BB8"/>
    <w:rsid w:val="00E56C5D"/>
    <w:rsid w:val="00E57B6D"/>
    <w:rsid w:val="00E602FD"/>
    <w:rsid w:val="00E6035C"/>
    <w:rsid w:val="00E60547"/>
    <w:rsid w:val="00E614AC"/>
    <w:rsid w:val="00E614E0"/>
    <w:rsid w:val="00E617B8"/>
    <w:rsid w:val="00E61939"/>
    <w:rsid w:val="00E61C8C"/>
    <w:rsid w:val="00E622A4"/>
    <w:rsid w:val="00E623FD"/>
    <w:rsid w:val="00E627CE"/>
    <w:rsid w:val="00E62BC2"/>
    <w:rsid w:val="00E62C76"/>
    <w:rsid w:val="00E62D75"/>
    <w:rsid w:val="00E635DD"/>
    <w:rsid w:val="00E637BB"/>
    <w:rsid w:val="00E6393F"/>
    <w:rsid w:val="00E64445"/>
    <w:rsid w:val="00E64995"/>
    <w:rsid w:val="00E6547F"/>
    <w:rsid w:val="00E6587C"/>
    <w:rsid w:val="00E65A71"/>
    <w:rsid w:val="00E65D68"/>
    <w:rsid w:val="00E65F2A"/>
    <w:rsid w:val="00E65FC0"/>
    <w:rsid w:val="00E66576"/>
    <w:rsid w:val="00E66886"/>
    <w:rsid w:val="00E66BBE"/>
    <w:rsid w:val="00E671D3"/>
    <w:rsid w:val="00E675E1"/>
    <w:rsid w:val="00E67613"/>
    <w:rsid w:val="00E67834"/>
    <w:rsid w:val="00E67B7C"/>
    <w:rsid w:val="00E67E13"/>
    <w:rsid w:val="00E67ED9"/>
    <w:rsid w:val="00E7088A"/>
    <w:rsid w:val="00E70A18"/>
    <w:rsid w:val="00E70BF9"/>
    <w:rsid w:val="00E724C5"/>
    <w:rsid w:val="00E72B3C"/>
    <w:rsid w:val="00E73100"/>
    <w:rsid w:val="00E7332D"/>
    <w:rsid w:val="00E73AFE"/>
    <w:rsid w:val="00E73C5F"/>
    <w:rsid w:val="00E73DEB"/>
    <w:rsid w:val="00E73E4C"/>
    <w:rsid w:val="00E74019"/>
    <w:rsid w:val="00E7429E"/>
    <w:rsid w:val="00E74BD7"/>
    <w:rsid w:val="00E751E6"/>
    <w:rsid w:val="00E7586F"/>
    <w:rsid w:val="00E762A0"/>
    <w:rsid w:val="00E766FD"/>
    <w:rsid w:val="00E768AC"/>
    <w:rsid w:val="00E76B4B"/>
    <w:rsid w:val="00E76B78"/>
    <w:rsid w:val="00E76DED"/>
    <w:rsid w:val="00E7712C"/>
    <w:rsid w:val="00E7730F"/>
    <w:rsid w:val="00E77537"/>
    <w:rsid w:val="00E77C0B"/>
    <w:rsid w:val="00E77C3C"/>
    <w:rsid w:val="00E8084A"/>
    <w:rsid w:val="00E8085C"/>
    <w:rsid w:val="00E8086F"/>
    <w:rsid w:val="00E81F95"/>
    <w:rsid w:val="00E821EF"/>
    <w:rsid w:val="00E822F4"/>
    <w:rsid w:val="00E82400"/>
    <w:rsid w:val="00E82B45"/>
    <w:rsid w:val="00E8357D"/>
    <w:rsid w:val="00E837EF"/>
    <w:rsid w:val="00E83AB9"/>
    <w:rsid w:val="00E844C9"/>
    <w:rsid w:val="00E84BA9"/>
    <w:rsid w:val="00E84C6B"/>
    <w:rsid w:val="00E84CA7"/>
    <w:rsid w:val="00E84D13"/>
    <w:rsid w:val="00E84D7B"/>
    <w:rsid w:val="00E856F7"/>
    <w:rsid w:val="00E85CD7"/>
    <w:rsid w:val="00E85D84"/>
    <w:rsid w:val="00E85D92"/>
    <w:rsid w:val="00E85F22"/>
    <w:rsid w:val="00E8612A"/>
    <w:rsid w:val="00E862B2"/>
    <w:rsid w:val="00E86360"/>
    <w:rsid w:val="00E8671F"/>
    <w:rsid w:val="00E86890"/>
    <w:rsid w:val="00E86B70"/>
    <w:rsid w:val="00E86D10"/>
    <w:rsid w:val="00E9039F"/>
    <w:rsid w:val="00E90A8B"/>
    <w:rsid w:val="00E90BF9"/>
    <w:rsid w:val="00E91071"/>
    <w:rsid w:val="00E91C70"/>
    <w:rsid w:val="00E925E5"/>
    <w:rsid w:val="00E92607"/>
    <w:rsid w:val="00E9271B"/>
    <w:rsid w:val="00E9279F"/>
    <w:rsid w:val="00E92FF1"/>
    <w:rsid w:val="00E931FA"/>
    <w:rsid w:val="00E938E9"/>
    <w:rsid w:val="00E94078"/>
    <w:rsid w:val="00E9427B"/>
    <w:rsid w:val="00E945F5"/>
    <w:rsid w:val="00E94853"/>
    <w:rsid w:val="00E94C6A"/>
    <w:rsid w:val="00E94DF8"/>
    <w:rsid w:val="00E9505C"/>
    <w:rsid w:val="00E95842"/>
    <w:rsid w:val="00E95975"/>
    <w:rsid w:val="00E95CA6"/>
    <w:rsid w:val="00E96089"/>
    <w:rsid w:val="00E9612C"/>
    <w:rsid w:val="00E9690B"/>
    <w:rsid w:val="00E96AB3"/>
    <w:rsid w:val="00E96E2F"/>
    <w:rsid w:val="00E97469"/>
    <w:rsid w:val="00E97E2B"/>
    <w:rsid w:val="00EA0EFE"/>
    <w:rsid w:val="00EA1786"/>
    <w:rsid w:val="00EA20F6"/>
    <w:rsid w:val="00EA2222"/>
    <w:rsid w:val="00EA262C"/>
    <w:rsid w:val="00EA2A6B"/>
    <w:rsid w:val="00EA3563"/>
    <w:rsid w:val="00EA372C"/>
    <w:rsid w:val="00EA3944"/>
    <w:rsid w:val="00EA3D58"/>
    <w:rsid w:val="00EA3DD1"/>
    <w:rsid w:val="00EA3ECC"/>
    <w:rsid w:val="00EA3F50"/>
    <w:rsid w:val="00EA3FB3"/>
    <w:rsid w:val="00EA4202"/>
    <w:rsid w:val="00EA4427"/>
    <w:rsid w:val="00EA4D95"/>
    <w:rsid w:val="00EA4E86"/>
    <w:rsid w:val="00EA4ED8"/>
    <w:rsid w:val="00EA52DB"/>
    <w:rsid w:val="00EA57A2"/>
    <w:rsid w:val="00EA5E04"/>
    <w:rsid w:val="00EA5E5D"/>
    <w:rsid w:val="00EA62B8"/>
    <w:rsid w:val="00EA6D95"/>
    <w:rsid w:val="00EA7547"/>
    <w:rsid w:val="00EA7D96"/>
    <w:rsid w:val="00EB01EF"/>
    <w:rsid w:val="00EB0894"/>
    <w:rsid w:val="00EB08C5"/>
    <w:rsid w:val="00EB0E67"/>
    <w:rsid w:val="00EB0FEB"/>
    <w:rsid w:val="00EB1221"/>
    <w:rsid w:val="00EB17B7"/>
    <w:rsid w:val="00EB2288"/>
    <w:rsid w:val="00EB25E2"/>
    <w:rsid w:val="00EB29AE"/>
    <w:rsid w:val="00EB3015"/>
    <w:rsid w:val="00EB33BF"/>
    <w:rsid w:val="00EB3D2D"/>
    <w:rsid w:val="00EB41C5"/>
    <w:rsid w:val="00EB4929"/>
    <w:rsid w:val="00EB4A14"/>
    <w:rsid w:val="00EB4DE7"/>
    <w:rsid w:val="00EB505B"/>
    <w:rsid w:val="00EB507A"/>
    <w:rsid w:val="00EB50AC"/>
    <w:rsid w:val="00EB558B"/>
    <w:rsid w:val="00EB560C"/>
    <w:rsid w:val="00EB66F9"/>
    <w:rsid w:val="00EB6772"/>
    <w:rsid w:val="00EB6E80"/>
    <w:rsid w:val="00EB7A74"/>
    <w:rsid w:val="00EB7AC4"/>
    <w:rsid w:val="00EB7B49"/>
    <w:rsid w:val="00EB7BB6"/>
    <w:rsid w:val="00EC001C"/>
    <w:rsid w:val="00EC02C4"/>
    <w:rsid w:val="00EC0D22"/>
    <w:rsid w:val="00EC0DCB"/>
    <w:rsid w:val="00EC192D"/>
    <w:rsid w:val="00EC1F19"/>
    <w:rsid w:val="00EC1F9B"/>
    <w:rsid w:val="00EC23B9"/>
    <w:rsid w:val="00EC2B33"/>
    <w:rsid w:val="00EC3789"/>
    <w:rsid w:val="00EC37C4"/>
    <w:rsid w:val="00EC3FF1"/>
    <w:rsid w:val="00EC49AB"/>
    <w:rsid w:val="00EC4B99"/>
    <w:rsid w:val="00EC4E90"/>
    <w:rsid w:val="00EC5253"/>
    <w:rsid w:val="00EC5972"/>
    <w:rsid w:val="00EC5C12"/>
    <w:rsid w:val="00EC6067"/>
    <w:rsid w:val="00EC6209"/>
    <w:rsid w:val="00EC6221"/>
    <w:rsid w:val="00EC6542"/>
    <w:rsid w:val="00EC6624"/>
    <w:rsid w:val="00EC6AA7"/>
    <w:rsid w:val="00EC6D75"/>
    <w:rsid w:val="00EC6FE6"/>
    <w:rsid w:val="00EC728B"/>
    <w:rsid w:val="00EC72E4"/>
    <w:rsid w:val="00EC75E5"/>
    <w:rsid w:val="00EC76AD"/>
    <w:rsid w:val="00EC78AB"/>
    <w:rsid w:val="00EC7C83"/>
    <w:rsid w:val="00ED0C97"/>
    <w:rsid w:val="00ED0D03"/>
    <w:rsid w:val="00ED1317"/>
    <w:rsid w:val="00ED17D9"/>
    <w:rsid w:val="00ED1CC4"/>
    <w:rsid w:val="00ED1D20"/>
    <w:rsid w:val="00ED1DD2"/>
    <w:rsid w:val="00ED2CA3"/>
    <w:rsid w:val="00ED34B6"/>
    <w:rsid w:val="00ED34C4"/>
    <w:rsid w:val="00ED37F4"/>
    <w:rsid w:val="00ED38F7"/>
    <w:rsid w:val="00ED45AD"/>
    <w:rsid w:val="00ED49F1"/>
    <w:rsid w:val="00ED4ABE"/>
    <w:rsid w:val="00ED4D50"/>
    <w:rsid w:val="00ED5280"/>
    <w:rsid w:val="00ED5B6E"/>
    <w:rsid w:val="00ED6B64"/>
    <w:rsid w:val="00ED70BB"/>
    <w:rsid w:val="00ED71FB"/>
    <w:rsid w:val="00ED7984"/>
    <w:rsid w:val="00ED7FA6"/>
    <w:rsid w:val="00EE0673"/>
    <w:rsid w:val="00EE0B9F"/>
    <w:rsid w:val="00EE0C7F"/>
    <w:rsid w:val="00EE10B7"/>
    <w:rsid w:val="00EE1CF3"/>
    <w:rsid w:val="00EE2029"/>
    <w:rsid w:val="00EE220F"/>
    <w:rsid w:val="00EE37DF"/>
    <w:rsid w:val="00EE3BB0"/>
    <w:rsid w:val="00EE3ED5"/>
    <w:rsid w:val="00EE3F9F"/>
    <w:rsid w:val="00EE4794"/>
    <w:rsid w:val="00EE47B8"/>
    <w:rsid w:val="00EE4B92"/>
    <w:rsid w:val="00EE4CFE"/>
    <w:rsid w:val="00EE4F89"/>
    <w:rsid w:val="00EE645C"/>
    <w:rsid w:val="00EE6E99"/>
    <w:rsid w:val="00EE7339"/>
    <w:rsid w:val="00EE7405"/>
    <w:rsid w:val="00EE742E"/>
    <w:rsid w:val="00EE77CC"/>
    <w:rsid w:val="00EE7F16"/>
    <w:rsid w:val="00EF0113"/>
    <w:rsid w:val="00EF0220"/>
    <w:rsid w:val="00EF088C"/>
    <w:rsid w:val="00EF0B24"/>
    <w:rsid w:val="00EF0BAE"/>
    <w:rsid w:val="00EF1190"/>
    <w:rsid w:val="00EF1433"/>
    <w:rsid w:val="00EF1EAF"/>
    <w:rsid w:val="00EF2250"/>
    <w:rsid w:val="00EF2C92"/>
    <w:rsid w:val="00EF31B5"/>
    <w:rsid w:val="00EF37E9"/>
    <w:rsid w:val="00EF44B9"/>
    <w:rsid w:val="00EF44DF"/>
    <w:rsid w:val="00EF4CB6"/>
    <w:rsid w:val="00EF54E1"/>
    <w:rsid w:val="00EF5634"/>
    <w:rsid w:val="00EF5EFD"/>
    <w:rsid w:val="00EF6708"/>
    <w:rsid w:val="00EF702D"/>
    <w:rsid w:val="00EF78D1"/>
    <w:rsid w:val="00F008CB"/>
    <w:rsid w:val="00F01F27"/>
    <w:rsid w:val="00F02595"/>
    <w:rsid w:val="00F02638"/>
    <w:rsid w:val="00F027C8"/>
    <w:rsid w:val="00F02A3F"/>
    <w:rsid w:val="00F02E17"/>
    <w:rsid w:val="00F035F1"/>
    <w:rsid w:val="00F039EA"/>
    <w:rsid w:val="00F0425D"/>
    <w:rsid w:val="00F042B9"/>
    <w:rsid w:val="00F045C0"/>
    <w:rsid w:val="00F04831"/>
    <w:rsid w:val="00F0491E"/>
    <w:rsid w:val="00F04EBB"/>
    <w:rsid w:val="00F054DB"/>
    <w:rsid w:val="00F0572F"/>
    <w:rsid w:val="00F05827"/>
    <w:rsid w:val="00F0641F"/>
    <w:rsid w:val="00F0750C"/>
    <w:rsid w:val="00F0769B"/>
    <w:rsid w:val="00F0799C"/>
    <w:rsid w:val="00F07DE3"/>
    <w:rsid w:val="00F07E55"/>
    <w:rsid w:val="00F07E85"/>
    <w:rsid w:val="00F105D3"/>
    <w:rsid w:val="00F1075E"/>
    <w:rsid w:val="00F10957"/>
    <w:rsid w:val="00F1116A"/>
    <w:rsid w:val="00F112BD"/>
    <w:rsid w:val="00F117C3"/>
    <w:rsid w:val="00F11CBF"/>
    <w:rsid w:val="00F11DAB"/>
    <w:rsid w:val="00F11FA9"/>
    <w:rsid w:val="00F12017"/>
    <w:rsid w:val="00F123D8"/>
    <w:rsid w:val="00F1284D"/>
    <w:rsid w:val="00F12EF0"/>
    <w:rsid w:val="00F13173"/>
    <w:rsid w:val="00F13347"/>
    <w:rsid w:val="00F1336E"/>
    <w:rsid w:val="00F13A39"/>
    <w:rsid w:val="00F13CF8"/>
    <w:rsid w:val="00F1506A"/>
    <w:rsid w:val="00F15111"/>
    <w:rsid w:val="00F1547C"/>
    <w:rsid w:val="00F15B21"/>
    <w:rsid w:val="00F16984"/>
    <w:rsid w:val="00F16C12"/>
    <w:rsid w:val="00F17C07"/>
    <w:rsid w:val="00F20187"/>
    <w:rsid w:val="00F202D8"/>
    <w:rsid w:val="00F2043C"/>
    <w:rsid w:val="00F20F98"/>
    <w:rsid w:val="00F21058"/>
    <w:rsid w:val="00F21995"/>
    <w:rsid w:val="00F22A3F"/>
    <w:rsid w:val="00F22D54"/>
    <w:rsid w:val="00F233CB"/>
    <w:rsid w:val="00F234C5"/>
    <w:rsid w:val="00F23CEE"/>
    <w:rsid w:val="00F24090"/>
    <w:rsid w:val="00F24475"/>
    <w:rsid w:val="00F24736"/>
    <w:rsid w:val="00F24B07"/>
    <w:rsid w:val="00F2534E"/>
    <w:rsid w:val="00F2573E"/>
    <w:rsid w:val="00F2595E"/>
    <w:rsid w:val="00F25BB5"/>
    <w:rsid w:val="00F25CEA"/>
    <w:rsid w:val="00F261C0"/>
    <w:rsid w:val="00F26260"/>
    <w:rsid w:val="00F265E9"/>
    <w:rsid w:val="00F2690E"/>
    <w:rsid w:val="00F30218"/>
    <w:rsid w:val="00F306B7"/>
    <w:rsid w:val="00F30D85"/>
    <w:rsid w:val="00F30EFC"/>
    <w:rsid w:val="00F3171C"/>
    <w:rsid w:val="00F319A7"/>
    <w:rsid w:val="00F3207F"/>
    <w:rsid w:val="00F3284E"/>
    <w:rsid w:val="00F32AF8"/>
    <w:rsid w:val="00F32BE7"/>
    <w:rsid w:val="00F32C36"/>
    <w:rsid w:val="00F32E20"/>
    <w:rsid w:val="00F332E8"/>
    <w:rsid w:val="00F33332"/>
    <w:rsid w:val="00F33CB2"/>
    <w:rsid w:val="00F349FA"/>
    <w:rsid w:val="00F34CEA"/>
    <w:rsid w:val="00F35175"/>
    <w:rsid w:val="00F35577"/>
    <w:rsid w:val="00F35C56"/>
    <w:rsid w:val="00F35FCF"/>
    <w:rsid w:val="00F36C21"/>
    <w:rsid w:val="00F400FF"/>
    <w:rsid w:val="00F409DF"/>
    <w:rsid w:val="00F40C1E"/>
    <w:rsid w:val="00F40EF1"/>
    <w:rsid w:val="00F42523"/>
    <w:rsid w:val="00F429C0"/>
    <w:rsid w:val="00F42A3B"/>
    <w:rsid w:val="00F43D8A"/>
    <w:rsid w:val="00F4422B"/>
    <w:rsid w:val="00F444D0"/>
    <w:rsid w:val="00F44866"/>
    <w:rsid w:val="00F4499C"/>
    <w:rsid w:val="00F44CF4"/>
    <w:rsid w:val="00F45A9D"/>
    <w:rsid w:val="00F45AC4"/>
    <w:rsid w:val="00F45D88"/>
    <w:rsid w:val="00F45E91"/>
    <w:rsid w:val="00F460C2"/>
    <w:rsid w:val="00F462DD"/>
    <w:rsid w:val="00F46A0C"/>
    <w:rsid w:val="00F46AF8"/>
    <w:rsid w:val="00F46CD8"/>
    <w:rsid w:val="00F47CB6"/>
    <w:rsid w:val="00F50450"/>
    <w:rsid w:val="00F50539"/>
    <w:rsid w:val="00F5119D"/>
    <w:rsid w:val="00F5173D"/>
    <w:rsid w:val="00F51971"/>
    <w:rsid w:val="00F51CED"/>
    <w:rsid w:val="00F52502"/>
    <w:rsid w:val="00F52753"/>
    <w:rsid w:val="00F52B62"/>
    <w:rsid w:val="00F52D14"/>
    <w:rsid w:val="00F52EDE"/>
    <w:rsid w:val="00F53070"/>
    <w:rsid w:val="00F530DB"/>
    <w:rsid w:val="00F5347C"/>
    <w:rsid w:val="00F5354C"/>
    <w:rsid w:val="00F5379F"/>
    <w:rsid w:val="00F53FCA"/>
    <w:rsid w:val="00F544F0"/>
    <w:rsid w:val="00F547ED"/>
    <w:rsid w:val="00F54B9B"/>
    <w:rsid w:val="00F54FBA"/>
    <w:rsid w:val="00F5519C"/>
    <w:rsid w:val="00F557FC"/>
    <w:rsid w:val="00F55FE5"/>
    <w:rsid w:val="00F5616F"/>
    <w:rsid w:val="00F564B7"/>
    <w:rsid w:val="00F56D53"/>
    <w:rsid w:val="00F57BB1"/>
    <w:rsid w:val="00F57EF1"/>
    <w:rsid w:val="00F60474"/>
    <w:rsid w:val="00F61294"/>
    <w:rsid w:val="00F61DCD"/>
    <w:rsid w:val="00F61DD6"/>
    <w:rsid w:val="00F621E4"/>
    <w:rsid w:val="00F62A98"/>
    <w:rsid w:val="00F62FCA"/>
    <w:rsid w:val="00F63954"/>
    <w:rsid w:val="00F6427A"/>
    <w:rsid w:val="00F6444D"/>
    <w:rsid w:val="00F646CD"/>
    <w:rsid w:val="00F6509F"/>
    <w:rsid w:val="00F65328"/>
    <w:rsid w:val="00F65A1C"/>
    <w:rsid w:val="00F65B57"/>
    <w:rsid w:val="00F65F6A"/>
    <w:rsid w:val="00F6674C"/>
    <w:rsid w:val="00F66B80"/>
    <w:rsid w:val="00F66CBE"/>
    <w:rsid w:val="00F67A94"/>
    <w:rsid w:val="00F67BB3"/>
    <w:rsid w:val="00F70006"/>
    <w:rsid w:val="00F70968"/>
    <w:rsid w:val="00F711F0"/>
    <w:rsid w:val="00F71791"/>
    <w:rsid w:val="00F71A8C"/>
    <w:rsid w:val="00F7269C"/>
    <w:rsid w:val="00F728B5"/>
    <w:rsid w:val="00F729AC"/>
    <w:rsid w:val="00F72E45"/>
    <w:rsid w:val="00F73AA4"/>
    <w:rsid w:val="00F73CEE"/>
    <w:rsid w:val="00F740C8"/>
    <w:rsid w:val="00F745F9"/>
    <w:rsid w:val="00F7488C"/>
    <w:rsid w:val="00F748E4"/>
    <w:rsid w:val="00F749EF"/>
    <w:rsid w:val="00F75527"/>
    <w:rsid w:val="00F75599"/>
    <w:rsid w:val="00F75EFD"/>
    <w:rsid w:val="00F76077"/>
    <w:rsid w:val="00F76226"/>
    <w:rsid w:val="00F765DE"/>
    <w:rsid w:val="00F767F2"/>
    <w:rsid w:val="00F76CD8"/>
    <w:rsid w:val="00F7707D"/>
    <w:rsid w:val="00F77873"/>
    <w:rsid w:val="00F779C3"/>
    <w:rsid w:val="00F77C15"/>
    <w:rsid w:val="00F77D58"/>
    <w:rsid w:val="00F8003E"/>
    <w:rsid w:val="00F80045"/>
    <w:rsid w:val="00F8030D"/>
    <w:rsid w:val="00F808A3"/>
    <w:rsid w:val="00F80D96"/>
    <w:rsid w:val="00F815E7"/>
    <w:rsid w:val="00F8164C"/>
    <w:rsid w:val="00F817A3"/>
    <w:rsid w:val="00F81876"/>
    <w:rsid w:val="00F8199C"/>
    <w:rsid w:val="00F81CC3"/>
    <w:rsid w:val="00F81D28"/>
    <w:rsid w:val="00F81E63"/>
    <w:rsid w:val="00F821CE"/>
    <w:rsid w:val="00F82516"/>
    <w:rsid w:val="00F82A02"/>
    <w:rsid w:val="00F82DCE"/>
    <w:rsid w:val="00F82DF3"/>
    <w:rsid w:val="00F8348B"/>
    <w:rsid w:val="00F83839"/>
    <w:rsid w:val="00F83AF0"/>
    <w:rsid w:val="00F83F93"/>
    <w:rsid w:val="00F847F0"/>
    <w:rsid w:val="00F84E1F"/>
    <w:rsid w:val="00F8515D"/>
    <w:rsid w:val="00F86735"/>
    <w:rsid w:val="00F86D12"/>
    <w:rsid w:val="00F86E83"/>
    <w:rsid w:val="00F86F1E"/>
    <w:rsid w:val="00F87295"/>
    <w:rsid w:val="00F87AF9"/>
    <w:rsid w:val="00F87CF5"/>
    <w:rsid w:val="00F901E5"/>
    <w:rsid w:val="00F90770"/>
    <w:rsid w:val="00F9092E"/>
    <w:rsid w:val="00F9123E"/>
    <w:rsid w:val="00F9145F"/>
    <w:rsid w:val="00F91930"/>
    <w:rsid w:val="00F91AA5"/>
    <w:rsid w:val="00F91EFC"/>
    <w:rsid w:val="00F9250D"/>
    <w:rsid w:val="00F92C67"/>
    <w:rsid w:val="00F933EC"/>
    <w:rsid w:val="00F942DB"/>
    <w:rsid w:val="00F94612"/>
    <w:rsid w:val="00F94B1D"/>
    <w:rsid w:val="00F94DA0"/>
    <w:rsid w:val="00F94F83"/>
    <w:rsid w:val="00F95E04"/>
    <w:rsid w:val="00F95E78"/>
    <w:rsid w:val="00F96D64"/>
    <w:rsid w:val="00F97448"/>
    <w:rsid w:val="00F9770D"/>
    <w:rsid w:val="00F97DA7"/>
    <w:rsid w:val="00FA008A"/>
    <w:rsid w:val="00FA00D3"/>
    <w:rsid w:val="00FA0108"/>
    <w:rsid w:val="00FA07E0"/>
    <w:rsid w:val="00FA0C6B"/>
    <w:rsid w:val="00FA0F3F"/>
    <w:rsid w:val="00FA232C"/>
    <w:rsid w:val="00FA2C9F"/>
    <w:rsid w:val="00FA2F75"/>
    <w:rsid w:val="00FA3336"/>
    <w:rsid w:val="00FA374D"/>
    <w:rsid w:val="00FA39B3"/>
    <w:rsid w:val="00FA3F33"/>
    <w:rsid w:val="00FA3FB9"/>
    <w:rsid w:val="00FA499D"/>
    <w:rsid w:val="00FA50AC"/>
    <w:rsid w:val="00FA52BE"/>
    <w:rsid w:val="00FA57F6"/>
    <w:rsid w:val="00FA5802"/>
    <w:rsid w:val="00FA59FF"/>
    <w:rsid w:val="00FA700B"/>
    <w:rsid w:val="00FA708B"/>
    <w:rsid w:val="00FA73B4"/>
    <w:rsid w:val="00FA7EAD"/>
    <w:rsid w:val="00FB0782"/>
    <w:rsid w:val="00FB0820"/>
    <w:rsid w:val="00FB107D"/>
    <w:rsid w:val="00FB115E"/>
    <w:rsid w:val="00FB12F2"/>
    <w:rsid w:val="00FB1B80"/>
    <w:rsid w:val="00FB286D"/>
    <w:rsid w:val="00FB2C5E"/>
    <w:rsid w:val="00FB2F83"/>
    <w:rsid w:val="00FB30F2"/>
    <w:rsid w:val="00FB330E"/>
    <w:rsid w:val="00FB3428"/>
    <w:rsid w:val="00FB35F8"/>
    <w:rsid w:val="00FB3D02"/>
    <w:rsid w:val="00FB405B"/>
    <w:rsid w:val="00FB4482"/>
    <w:rsid w:val="00FB44E2"/>
    <w:rsid w:val="00FB5CD0"/>
    <w:rsid w:val="00FB7259"/>
    <w:rsid w:val="00FB72EA"/>
    <w:rsid w:val="00FB73C0"/>
    <w:rsid w:val="00FB7BD2"/>
    <w:rsid w:val="00FB7ECE"/>
    <w:rsid w:val="00FC01DA"/>
    <w:rsid w:val="00FC0214"/>
    <w:rsid w:val="00FC0814"/>
    <w:rsid w:val="00FC0ECC"/>
    <w:rsid w:val="00FC124A"/>
    <w:rsid w:val="00FC1C7D"/>
    <w:rsid w:val="00FC1F4F"/>
    <w:rsid w:val="00FC23B4"/>
    <w:rsid w:val="00FC2567"/>
    <w:rsid w:val="00FC2D6E"/>
    <w:rsid w:val="00FC366A"/>
    <w:rsid w:val="00FC3956"/>
    <w:rsid w:val="00FC3A2B"/>
    <w:rsid w:val="00FC3E6E"/>
    <w:rsid w:val="00FC3F82"/>
    <w:rsid w:val="00FC402F"/>
    <w:rsid w:val="00FC4822"/>
    <w:rsid w:val="00FC4987"/>
    <w:rsid w:val="00FC4A17"/>
    <w:rsid w:val="00FC507E"/>
    <w:rsid w:val="00FC5354"/>
    <w:rsid w:val="00FC553A"/>
    <w:rsid w:val="00FC5592"/>
    <w:rsid w:val="00FC5774"/>
    <w:rsid w:val="00FC5A71"/>
    <w:rsid w:val="00FC5E1B"/>
    <w:rsid w:val="00FC62F3"/>
    <w:rsid w:val="00FC65AB"/>
    <w:rsid w:val="00FC695D"/>
    <w:rsid w:val="00FC6A73"/>
    <w:rsid w:val="00FC6DCF"/>
    <w:rsid w:val="00FC6E2C"/>
    <w:rsid w:val="00FC6EE0"/>
    <w:rsid w:val="00FC7349"/>
    <w:rsid w:val="00FC755F"/>
    <w:rsid w:val="00FC7673"/>
    <w:rsid w:val="00FC7FDF"/>
    <w:rsid w:val="00FD0817"/>
    <w:rsid w:val="00FD0860"/>
    <w:rsid w:val="00FD08DA"/>
    <w:rsid w:val="00FD096F"/>
    <w:rsid w:val="00FD0A8A"/>
    <w:rsid w:val="00FD1E01"/>
    <w:rsid w:val="00FD2085"/>
    <w:rsid w:val="00FD2673"/>
    <w:rsid w:val="00FD285C"/>
    <w:rsid w:val="00FD29D5"/>
    <w:rsid w:val="00FD30C7"/>
    <w:rsid w:val="00FD3211"/>
    <w:rsid w:val="00FD32AA"/>
    <w:rsid w:val="00FD3947"/>
    <w:rsid w:val="00FD3A4E"/>
    <w:rsid w:val="00FD3B2E"/>
    <w:rsid w:val="00FD3BB2"/>
    <w:rsid w:val="00FD41F8"/>
    <w:rsid w:val="00FD43D7"/>
    <w:rsid w:val="00FD4572"/>
    <w:rsid w:val="00FD5550"/>
    <w:rsid w:val="00FD55E1"/>
    <w:rsid w:val="00FD56C5"/>
    <w:rsid w:val="00FD590F"/>
    <w:rsid w:val="00FD5E79"/>
    <w:rsid w:val="00FD7D3D"/>
    <w:rsid w:val="00FD7F22"/>
    <w:rsid w:val="00FD7F89"/>
    <w:rsid w:val="00FE03EA"/>
    <w:rsid w:val="00FE04D0"/>
    <w:rsid w:val="00FE0955"/>
    <w:rsid w:val="00FE0FB3"/>
    <w:rsid w:val="00FE11E2"/>
    <w:rsid w:val="00FE1919"/>
    <w:rsid w:val="00FE1D68"/>
    <w:rsid w:val="00FE2133"/>
    <w:rsid w:val="00FE2447"/>
    <w:rsid w:val="00FE275E"/>
    <w:rsid w:val="00FE2E60"/>
    <w:rsid w:val="00FE3254"/>
    <w:rsid w:val="00FE40AC"/>
    <w:rsid w:val="00FE4395"/>
    <w:rsid w:val="00FE505A"/>
    <w:rsid w:val="00FE5820"/>
    <w:rsid w:val="00FE5D8C"/>
    <w:rsid w:val="00FE5DBF"/>
    <w:rsid w:val="00FE5DFF"/>
    <w:rsid w:val="00FE5E61"/>
    <w:rsid w:val="00FE604B"/>
    <w:rsid w:val="00FE64C4"/>
    <w:rsid w:val="00FE68B4"/>
    <w:rsid w:val="00FE6C85"/>
    <w:rsid w:val="00FE6CEA"/>
    <w:rsid w:val="00FE6D7F"/>
    <w:rsid w:val="00FE7210"/>
    <w:rsid w:val="00FE76B6"/>
    <w:rsid w:val="00FE7836"/>
    <w:rsid w:val="00FE7FF5"/>
    <w:rsid w:val="00FF0266"/>
    <w:rsid w:val="00FF03D0"/>
    <w:rsid w:val="00FF0954"/>
    <w:rsid w:val="00FF0DCB"/>
    <w:rsid w:val="00FF10ED"/>
    <w:rsid w:val="00FF11F4"/>
    <w:rsid w:val="00FF1555"/>
    <w:rsid w:val="00FF194E"/>
    <w:rsid w:val="00FF1D8D"/>
    <w:rsid w:val="00FF1EF5"/>
    <w:rsid w:val="00FF2740"/>
    <w:rsid w:val="00FF2984"/>
    <w:rsid w:val="00FF3605"/>
    <w:rsid w:val="00FF37B8"/>
    <w:rsid w:val="00FF3D09"/>
    <w:rsid w:val="00FF3DD0"/>
    <w:rsid w:val="00FF3EB5"/>
    <w:rsid w:val="00FF4185"/>
    <w:rsid w:val="00FF41F5"/>
    <w:rsid w:val="00FF43CF"/>
    <w:rsid w:val="00FF4CBF"/>
    <w:rsid w:val="00FF5646"/>
    <w:rsid w:val="00FF6579"/>
    <w:rsid w:val="00FF6C2D"/>
    <w:rsid w:val="00FF72DD"/>
    <w:rsid w:val="00FF7316"/>
    <w:rsid w:val="00FF7E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City"/>
  <w:smartTagType w:namespaceuri="urn:schemas-microsoft-com:office:smarttags" w:name="PostalCode"/>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State"/>
  <w:shapeDefaults>
    <o:shapedefaults v:ext="edit" spidmax="2053">
      <o:colormenu v:ext="edit" strokecolor="none"/>
    </o:shapedefaults>
    <o:shapelayout v:ext="edit">
      <o:idmap v:ext="edit" data="1"/>
      <o:rules v:ext="edit">
        <o:r id="V:Rule3" type="connector" idref="#_x0000_s1063"/>
        <o:r id="V:Rule4" type="connector" idref="#_x0000_s1064"/>
        <o:r id="V:Rule6" type="connector" idref="#_x0000_s1073"/>
        <o:r id="V:Rule8" type="connector" idref="#_x0000_s1074"/>
        <o:r id="V:Rule10" type="connector" idref="#_x0000_s107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9" w:qFormat="1"/>
    <w:lsdException w:name="heading 3" w:uiPriority="9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uiPriority="99" w:qFormat="1"/>
    <w:lsdException w:name="table of figures" w:uiPriority="99" w:qFormat="1"/>
    <w:lsdException w:name="footnote reference" w:uiPriority="99"/>
    <w:lsdException w:name="annotation reference" w:uiPriority="99"/>
    <w:lsdException w:name="endnote reference" w:uiPriority="99"/>
    <w:lsdException w:name="toa heading" w:uiPriority="99"/>
    <w:lsdException w:name="List Bullet" w:qFormat="1"/>
    <w:lsdException w:name="List Bullet 2" w:uiPriority="99"/>
    <w:lsdException w:name="Title" w:uiPriority="99" w:qFormat="1"/>
    <w:lsdException w:name="Default Paragraph Font" w:uiPriority="1"/>
    <w:lsdException w:name="Body Text" w:uiPriority="99"/>
    <w:lsdException w:name="Body Text Indent" w:uiPriority="99"/>
    <w:lsdException w:name="Subtitle" w:uiPriority="99" w:qFormat="1"/>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annotation subject" w:uiPriority="99"/>
    <w:lsdException w:name="No List" w:uiPriority="99"/>
    <w:lsdException w:name="Outline List 2" w:uiPriority="99"/>
    <w:lsdException w:name="Table Elegant" w:uiPriority="99"/>
    <w:lsdException w:name="Table Professional"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5508B0"/>
    <w:rPr>
      <w:sz w:val="24"/>
      <w:szCs w:val="24"/>
    </w:rPr>
  </w:style>
  <w:style w:type="paragraph" w:styleId="Heading1">
    <w:name w:val="heading 1"/>
    <w:basedOn w:val="Normal"/>
    <w:next w:val="Normal"/>
    <w:link w:val="Heading1Char"/>
    <w:uiPriority w:val="9"/>
    <w:qFormat/>
    <w:rsid w:val="001C760A"/>
    <w:pPr>
      <w:keepNext/>
      <w:spacing w:before="240" w:after="60"/>
      <w:jc w:val="center"/>
      <w:outlineLvl w:val="0"/>
    </w:pPr>
    <w:rPr>
      <w:rFonts w:ascii="Arial" w:hAnsi="Arial"/>
      <w:b/>
      <w:caps/>
      <w:kern w:val="32"/>
      <w:sz w:val="48"/>
      <w:szCs w:val="48"/>
    </w:rPr>
  </w:style>
  <w:style w:type="paragraph" w:styleId="Heading2">
    <w:name w:val="heading 2"/>
    <w:basedOn w:val="Normal"/>
    <w:next w:val="Normal"/>
    <w:link w:val="Heading2Char"/>
    <w:uiPriority w:val="99"/>
    <w:qFormat/>
    <w:rsid w:val="00DF3904"/>
    <w:pPr>
      <w:keepNext/>
      <w:spacing w:before="120" w:after="120"/>
      <w:outlineLvl w:val="1"/>
    </w:pPr>
    <w:rPr>
      <w:rFonts w:ascii="Arial" w:hAnsi="Arial"/>
      <w:b/>
      <w:sz w:val="32"/>
      <w:szCs w:val="20"/>
    </w:rPr>
  </w:style>
  <w:style w:type="paragraph" w:styleId="Heading3">
    <w:name w:val="heading 3"/>
    <w:basedOn w:val="Normal"/>
    <w:next w:val="Normal"/>
    <w:link w:val="Heading3Char"/>
    <w:uiPriority w:val="99"/>
    <w:qFormat/>
    <w:rsid w:val="006F7EFE"/>
    <w:pPr>
      <w:keepNext/>
      <w:spacing w:before="120" w:after="120"/>
      <w:outlineLvl w:val="2"/>
    </w:pPr>
    <w:rPr>
      <w:rFonts w:ascii="Arial" w:hAnsi="Arial" w:cs="Arial"/>
      <w:b/>
      <w:bCs/>
      <w:i/>
      <w:szCs w:val="26"/>
    </w:rPr>
  </w:style>
  <w:style w:type="paragraph" w:styleId="Heading4">
    <w:name w:val="heading 4"/>
    <w:aliases w:val="Heading 4 Char"/>
    <w:basedOn w:val="Normal"/>
    <w:next w:val="Normal"/>
    <w:link w:val="Heading4Char1"/>
    <w:uiPriority w:val="9"/>
    <w:qFormat/>
    <w:rsid w:val="00492CE5"/>
    <w:pPr>
      <w:keepNext/>
      <w:spacing w:before="120" w:after="120"/>
      <w:outlineLvl w:val="3"/>
    </w:pPr>
    <w:rPr>
      <w:rFonts w:ascii="Arial" w:hAnsi="Arial"/>
      <w:b/>
      <w:szCs w:val="20"/>
    </w:rPr>
  </w:style>
  <w:style w:type="paragraph" w:styleId="Heading5">
    <w:name w:val="heading 5"/>
    <w:basedOn w:val="Normal"/>
    <w:next w:val="Normal"/>
    <w:link w:val="Heading5Char"/>
    <w:uiPriority w:val="9"/>
    <w:qFormat/>
    <w:rsid w:val="00456F87"/>
    <w:pPr>
      <w:spacing w:before="60" w:after="60"/>
      <w:outlineLvl w:val="4"/>
    </w:pPr>
    <w:rPr>
      <w:rFonts w:ascii="Arial" w:hAnsi="Arial"/>
      <w:b/>
      <w:sz w:val="22"/>
      <w:szCs w:val="20"/>
    </w:rPr>
  </w:style>
  <w:style w:type="paragraph" w:styleId="Heading6">
    <w:name w:val="heading 6"/>
    <w:basedOn w:val="Normal"/>
    <w:next w:val="Normal"/>
    <w:link w:val="Heading6Char"/>
    <w:uiPriority w:val="9"/>
    <w:qFormat/>
    <w:rsid w:val="006F7EFE"/>
    <w:pPr>
      <w:keepNext/>
      <w:spacing w:after="60"/>
      <w:outlineLvl w:val="5"/>
    </w:pPr>
    <w:rPr>
      <w:rFonts w:ascii="Arial" w:hAnsi="Arial"/>
      <w:b/>
      <w:i/>
      <w:color w:val="000000"/>
      <w:sz w:val="20"/>
      <w:szCs w:val="20"/>
    </w:rPr>
  </w:style>
  <w:style w:type="paragraph" w:styleId="Heading7">
    <w:name w:val="heading 7"/>
    <w:basedOn w:val="Normal"/>
    <w:next w:val="Normal"/>
    <w:link w:val="Heading7Char"/>
    <w:uiPriority w:val="9"/>
    <w:qFormat/>
    <w:rsid w:val="001C760A"/>
    <w:pPr>
      <w:keepNext/>
      <w:autoSpaceDE w:val="0"/>
      <w:autoSpaceDN w:val="0"/>
      <w:adjustRightInd w:val="0"/>
      <w:outlineLvl w:val="6"/>
    </w:pPr>
    <w:rPr>
      <w:rFonts w:ascii="Arial" w:hAnsi="Arial"/>
      <w:b/>
      <w:szCs w:val="20"/>
    </w:rPr>
  </w:style>
  <w:style w:type="paragraph" w:styleId="Heading8">
    <w:name w:val="heading 8"/>
    <w:basedOn w:val="Normal"/>
    <w:next w:val="Normal"/>
    <w:link w:val="Heading8Char"/>
    <w:uiPriority w:val="9"/>
    <w:qFormat/>
    <w:rsid w:val="001C760A"/>
    <w:pPr>
      <w:keepNext/>
      <w:ind w:left="2160" w:hanging="1440"/>
      <w:outlineLvl w:val="7"/>
    </w:pPr>
    <w:rPr>
      <w:rFonts w:ascii="Arial" w:hAnsi="Arial"/>
      <w:b/>
      <w:i/>
      <w:szCs w:val="20"/>
    </w:rPr>
  </w:style>
  <w:style w:type="paragraph" w:styleId="Heading9">
    <w:name w:val="heading 9"/>
    <w:basedOn w:val="Normal"/>
    <w:next w:val="Normal"/>
    <w:link w:val="Heading9Char"/>
    <w:uiPriority w:val="9"/>
    <w:qFormat/>
    <w:rsid w:val="001C760A"/>
    <w:pPr>
      <w:keepNext/>
      <w:outlineLvl w:val="8"/>
    </w:pPr>
    <w:rPr>
      <w:rFonts w:ascii="Arial" w:hAnsi="Arial"/>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B37D3"/>
    <w:rPr>
      <w:rFonts w:ascii="Arial" w:hAnsi="Arial" w:cs="Times New Roman"/>
      <w:b/>
      <w:caps/>
      <w:kern w:val="32"/>
      <w:sz w:val="48"/>
      <w:szCs w:val="48"/>
    </w:rPr>
  </w:style>
  <w:style w:type="character" w:customStyle="1" w:styleId="Heading2Char">
    <w:name w:val="Heading 2 Char"/>
    <w:basedOn w:val="DefaultParagraphFont"/>
    <w:link w:val="Heading2"/>
    <w:uiPriority w:val="99"/>
    <w:rsid w:val="001C760A"/>
    <w:rPr>
      <w:rFonts w:ascii="Arial" w:hAnsi="Arial" w:cs="Times New Roman"/>
      <w:b/>
      <w:sz w:val="36"/>
      <w:lang w:val="en-US" w:eastAsia="en-US" w:bidi="ar-SA"/>
    </w:rPr>
  </w:style>
  <w:style w:type="character" w:customStyle="1" w:styleId="Heading3Char">
    <w:name w:val="Heading 3 Char"/>
    <w:basedOn w:val="DefaultParagraphFont"/>
    <w:link w:val="Heading3"/>
    <w:uiPriority w:val="99"/>
    <w:locked/>
    <w:rsid w:val="006F7EFE"/>
    <w:rPr>
      <w:rFonts w:ascii="Arial" w:hAnsi="Arial" w:cs="Arial"/>
      <w:b/>
      <w:bCs/>
      <w:i/>
      <w:sz w:val="24"/>
      <w:szCs w:val="26"/>
    </w:rPr>
  </w:style>
  <w:style w:type="character" w:customStyle="1" w:styleId="Heading4Char1">
    <w:name w:val="Heading 4 Char1"/>
    <w:aliases w:val="Heading 4 Char Char"/>
    <w:basedOn w:val="DefaultParagraphFont"/>
    <w:link w:val="Heading4"/>
    <w:uiPriority w:val="9"/>
    <w:locked/>
    <w:rsid w:val="00492CE5"/>
    <w:rPr>
      <w:rFonts w:ascii="Arial" w:hAnsi="Arial" w:cs="Times New Roman"/>
      <w:b/>
      <w:sz w:val="24"/>
      <w:lang w:val="en-US" w:eastAsia="en-US" w:bidi="ar-SA"/>
    </w:rPr>
  </w:style>
  <w:style w:type="character" w:customStyle="1" w:styleId="Heading5Char">
    <w:name w:val="Heading 5 Char"/>
    <w:basedOn w:val="DefaultParagraphFont"/>
    <w:link w:val="Heading5"/>
    <w:uiPriority w:val="9"/>
    <w:locked/>
    <w:rsid w:val="00456F87"/>
    <w:rPr>
      <w:rFonts w:ascii="Arial" w:hAnsi="Arial" w:cs="Times New Roman"/>
      <w:b/>
      <w:sz w:val="22"/>
    </w:rPr>
  </w:style>
  <w:style w:type="character" w:customStyle="1" w:styleId="Heading6Char">
    <w:name w:val="Heading 6 Char"/>
    <w:basedOn w:val="DefaultParagraphFont"/>
    <w:link w:val="Heading6"/>
    <w:uiPriority w:val="9"/>
    <w:locked/>
    <w:rsid w:val="006F7EFE"/>
    <w:rPr>
      <w:rFonts w:ascii="Arial" w:hAnsi="Arial"/>
      <w:b/>
      <w:i/>
      <w:color w:val="000000"/>
    </w:rPr>
  </w:style>
  <w:style w:type="character" w:customStyle="1" w:styleId="Heading7Char">
    <w:name w:val="Heading 7 Char"/>
    <w:basedOn w:val="DefaultParagraphFont"/>
    <w:link w:val="Heading7"/>
    <w:uiPriority w:val="9"/>
    <w:locked/>
    <w:rsid w:val="003B37D3"/>
    <w:rPr>
      <w:rFonts w:ascii="Arial" w:hAnsi="Arial" w:cs="Times New Roman"/>
      <w:b/>
      <w:sz w:val="24"/>
    </w:rPr>
  </w:style>
  <w:style w:type="character" w:customStyle="1" w:styleId="Heading8Char">
    <w:name w:val="Heading 8 Char"/>
    <w:basedOn w:val="DefaultParagraphFont"/>
    <w:link w:val="Heading8"/>
    <w:uiPriority w:val="9"/>
    <w:locked/>
    <w:rsid w:val="003B37D3"/>
    <w:rPr>
      <w:rFonts w:ascii="Arial" w:hAnsi="Arial" w:cs="Times New Roman"/>
      <w:b/>
      <w:i/>
      <w:snapToGrid w:val="0"/>
      <w:sz w:val="24"/>
    </w:rPr>
  </w:style>
  <w:style w:type="character" w:customStyle="1" w:styleId="Heading9Char">
    <w:name w:val="Heading 9 Char"/>
    <w:basedOn w:val="DefaultParagraphFont"/>
    <w:link w:val="Heading9"/>
    <w:uiPriority w:val="9"/>
    <w:locked/>
    <w:rsid w:val="003B37D3"/>
    <w:rPr>
      <w:rFonts w:ascii="Arial" w:hAnsi="Arial" w:cs="Times New Roman"/>
      <w:b/>
      <w:i/>
    </w:rPr>
  </w:style>
  <w:style w:type="paragraph" w:styleId="TOC2">
    <w:name w:val="toc 2"/>
    <w:basedOn w:val="Normal"/>
    <w:next w:val="Normal"/>
    <w:autoRedefine/>
    <w:uiPriority w:val="39"/>
    <w:rsid w:val="00EB08C5"/>
    <w:pPr>
      <w:tabs>
        <w:tab w:val="right" w:leader="dot" w:pos="9350"/>
      </w:tabs>
      <w:spacing w:before="60" w:after="60"/>
      <w:ind w:left="432" w:right="1152"/>
    </w:pPr>
    <w:rPr>
      <w:rFonts w:ascii="Arial" w:hAnsi="Arial"/>
      <w:b/>
      <w:noProof/>
      <w:szCs w:val="20"/>
    </w:rPr>
  </w:style>
  <w:style w:type="paragraph" w:customStyle="1" w:styleId="Sidebartext">
    <w:name w:val="Sidebar text"/>
    <w:basedOn w:val="Normal"/>
    <w:autoRedefine/>
    <w:semiHidden/>
    <w:rsid w:val="0030757F"/>
    <w:rPr>
      <w:rFonts w:ascii="Arial" w:hAnsi="Arial"/>
      <w:i/>
      <w:color w:val="000000"/>
      <w:sz w:val="20"/>
      <w:szCs w:val="20"/>
    </w:rPr>
  </w:style>
  <w:style w:type="paragraph" w:styleId="ListBullet">
    <w:name w:val="List Bullet"/>
    <w:basedOn w:val="Normal"/>
    <w:link w:val="ListBulletChar"/>
    <w:uiPriority w:val="99"/>
    <w:qFormat/>
    <w:rsid w:val="0081133F"/>
    <w:pPr>
      <w:numPr>
        <w:numId w:val="10"/>
      </w:numPr>
      <w:spacing w:after="120"/>
      <w:ind w:right="864"/>
    </w:pPr>
    <w:rPr>
      <w:rFonts w:ascii="Arial" w:hAnsi="Arial"/>
      <w:i/>
      <w:sz w:val="22"/>
    </w:rPr>
  </w:style>
  <w:style w:type="paragraph" w:customStyle="1" w:styleId="Listbulletsubhead">
    <w:name w:val="List bullet subhead"/>
    <w:basedOn w:val="Normal"/>
    <w:semiHidden/>
    <w:rsid w:val="00617E31"/>
    <w:pPr>
      <w:numPr>
        <w:numId w:val="4"/>
      </w:numPr>
      <w:tabs>
        <w:tab w:val="clear" w:pos="720"/>
        <w:tab w:val="num" w:pos="360"/>
      </w:tabs>
      <w:ind w:left="0" w:firstLine="0"/>
    </w:pPr>
  </w:style>
  <w:style w:type="table" w:styleId="TableGrid">
    <w:name w:val="Table Grid"/>
    <w:basedOn w:val="TableNormal"/>
    <w:uiPriority w:val="59"/>
    <w:rsid w:val="00617E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2">
    <w:name w:val="List Bullet 2"/>
    <w:basedOn w:val="Normal"/>
    <w:uiPriority w:val="99"/>
    <w:semiHidden/>
    <w:rsid w:val="00882A09"/>
    <w:pPr>
      <w:numPr>
        <w:numId w:val="3"/>
      </w:numPr>
      <w:ind w:left="1728" w:hanging="1008"/>
    </w:pPr>
  </w:style>
  <w:style w:type="paragraph" w:styleId="Footer">
    <w:name w:val="footer"/>
    <w:basedOn w:val="Normal"/>
    <w:link w:val="FooterChar"/>
    <w:uiPriority w:val="99"/>
    <w:rsid w:val="00AB38EB"/>
    <w:pPr>
      <w:tabs>
        <w:tab w:val="center" w:pos="4320"/>
        <w:tab w:val="right" w:pos="8640"/>
      </w:tabs>
    </w:pPr>
  </w:style>
  <w:style w:type="character" w:customStyle="1" w:styleId="FooterChar">
    <w:name w:val="Footer Char"/>
    <w:basedOn w:val="DefaultParagraphFont"/>
    <w:link w:val="Footer"/>
    <w:uiPriority w:val="99"/>
    <w:locked/>
    <w:rsid w:val="00200ACD"/>
    <w:rPr>
      <w:rFonts w:cs="Times New Roman"/>
      <w:sz w:val="24"/>
      <w:szCs w:val="24"/>
    </w:rPr>
  </w:style>
  <w:style w:type="character" w:styleId="PageNumber">
    <w:name w:val="page number"/>
    <w:basedOn w:val="DefaultParagraphFont"/>
    <w:uiPriority w:val="99"/>
    <w:rsid w:val="00AB38EB"/>
    <w:rPr>
      <w:rFonts w:cs="Times New Roman"/>
    </w:rPr>
  </w:style>
  <w:style w:type="paragraph" w:styleId="Header">
    <w:name w:val="header"/>
    <w:basedOn w:val="Normal"/>
    <w:link w:val="HeaderChar"/>
    <w:uiPriority w:val="99"/>
    <w:rsid w:val="001B3355"/>
    <w:pPr>
      <w:tabs>
        <w:tab w:val="center" w:pos="4320"/>
        <w:tab w:val="right" w:pos="8640"/>
      </w:tabs>
    </w:pPr>
  </w:style>
  <w:style w:type="character" w:customStyle="1" w:styleId="HeaderChar">
    <w:name w:val="Header Char"/>
    <w:basedOn w:val="DefaultParagraphFont"/>
    <w:link w:val="Header"/>
    <w:uiPriority w:val="99"/>
    <w:locked/>
    <w:rsid w:val="008256F3"/>
    <w:rPr>
      <w:rFonts w:cs="Times New Roman"/>
      <w:sz w:val="24"/>
      <w:szCs w:val="24"/>
      <w:lang w:val="en-US" w:eastAsia="en-US" w:bidi="ar-SA"/>
    </w:rPr>
  </w:style>
  <w:style w:type="character" w:customStyle="1" w:styleId="ListBulletChar">
    <w:name w:val="List Bullet Char"/>
    <w:basedOn w:val="DefaultParagraphFont"/>
    <w:link w:val="ListBullet"/>
    <w:uiPriority w:val="99"/>
    <w:locked/>
    <w:rsid w:val="0081133F"/>
    <w:rPr>
      <w:rFonts w:ascii="Arial" w:hAnsi="Arial"/>
      <w:i/>
      <w:sz w:val="22"/>
      <w:szCs w:val="24"/>
    </w:rPr>
  </w:style>
  <w:style w:type="character" w:styleId="Hyperlink">
    <w:name w:val="Hyperlink"/>
    <w:basedOn w:val="DefaultParagraphFont"/>
    <w:uiPriority w:val="99"/>
    <w:rsid w:val="007361AE"/>
    <w:rPr>
      <w:rFonts w:cs="Times New Roman"/>
      <w:color w:val="0000FF"/>
      <w:u w:val="single"/>
    </w:rPr>
  </w:style>
  <w:style w:type="paragraph" w:styleId="FootnoteText">
    <w:name w:val="footnote text"/>
    <w:basedOn w:val="Normal"/>
    <w:link w:val="FootnoteTextChar"/>
    <w:uiPriority w:val="99"/>
    <w:rsid w:val="00537EFE"/>
    <w:rPr>
      <w:rFonts w:ascii="Arial" w:hAnsi="Arial"/>
      <w:sz w:val="16"/>
      <w:szCs w:val="20"/>
    </w:rPr>
  </w:style>
  <w:style w:type="character" w:customStyle="1" w:styleId="FootnoteTextChar">
    <w:name w:val="Footnote Text Char"/>
    <w:basedOn w:val="DefaultParagraphFont"/>
    <w:link w:val="FootnoteText"/>
    <w:uiPriority w:val="99"/>
    <w:rsid w:val="001C760A"/>
    <w:rPr>
      <w:rFonts w:ascii="Arial" w:hAnsi="Arial" w:cs="Arial"/>
      <w:i/>
      <w:iCs/>
      <w:sz w:val="16"/>
      <w:lang w:val="en-US" w:eastAsia="en-US" w:bidi="ar-SA"/>
    </w:rPr>
  </w:style>
  <w:style w:type="character" w:styleId="FootnoteReference">
    <w:name w:val="footnote reference"/>
    <w:basedOn w:val="DefaultParagraphFont"/>
    <w:uiPriority w:val="99"/>
    <w:semiHidden/>
    <w:rsid w:val="008805C9"/>
    <w:rPr>
      <w:rFonts w:cs="Times New Roman"/>
      <w:vertAlign w:val="superscript"/>
    </w:rPr>
  </w:style>
  <w:style w:type="paragraph" w:styleId="TOAHeading">
    <w:name w:val="toa heading"/>
    <w:basedOn w:val="Normal"/>
    <w:next w:val="Normal"/>
    <w:uiPriority w:val="99"/>
    <w:semiHidden/>
    <w:rsid w:val="0087219B"/>
    <w:pPr>
      <w:spacing w:before="120"/>
    </w:pPr>
    <w:rPr>
      <w:rFonts w:ascii="Arial" w:hAnsi="Arial"/>
      <w:b/>
      <w:szCs w:val="20"/>
    </w:rPr>
  </w:style>
  <w:style w:type="paragraph" w:customStyle="1" w:styleId="Bodytext">
    <w:name w:val="Body text"/>
    <w:basedOn w:val="BodyTextIndent"/>
    <w:link w:val="BodytextChar1"/>
    <w:uiPriority w:val="99"/>
    <w:qFormat/>
    <w:rsid w:val="00AB461D"/>
    <w:pPr>
      <w:spacing w:after="0"/>
      <w:ind w:left="0"/>
    </w:pPr>
    <w:rPr>
      <w:rFonts w:ascii="Arial" w:hAnsi="Arial"/>
      <w:sz w:val="22"/>
      <w:szCs w:val="20"/>
    </w:rPr>
  </w:style>
  <w:style w:type="paragraph" w:styleId="BodyTextIndent">
    <w:name w:val="Body Text Indent"/>
    <w:basedOn w:val="Normal"/>
    <w:link w:val="BodyTextIndentChar"/>
    <w:uiPriority w:val="99"/>
    <w:rsid w:val="0087219B"/>
    <w:pPr>
      <w:spacing w:after="120"/>
      <w:ind w:left="360"/>
    </w:pPr>
  </w:style>
  <w:style w:type="character" w:customStyle="1" w:styleId="BodyTextIndentChar">
    <w:name w:val="Body Text Indent Char"/>
    <w:basedOn w:val="DefaultParagraphFont"/>
    <w:link w:val="BodyTextIndent"/>
    <w:uiPriority w:val="99"/>
    <w:locked/>
    <w:rsid w:val="000C7359"/>
    <w:rPr>
      <w:rFonts w:cs="Times New Roman"/>
      <w:sz w:val="24"/>
      <w:szCs w:val="24"/>
      <w:lang w:val="en-US" w:eastAsia="en-US" w:bidi="ar-SA"/>
    </w:rPr>
  </w:style>
  <w:style w:type="paragraph" w:styleId="TableofFigures">
    <w:name w:val="table of figures"/>
    <w:basedOn w:val="Caption"/>
    <w:next w:val="Normal"/>
    <w:autoRedefine/>
    <w:uiPriority w:val="99"/>
    <w:qFormat/>
    <w:rsid w:val="00FE7836"/>
    <w:pPr>
      <w:tabs>
        <w:tab w:val="right" w:leader="dot" w:pos="9360"/>
      </w:tabs>
      <w:spacing w:after="80"/>
      <w:ind w:left="1296" w:right="1440" w:hanging="1296"/>
      <w:jc w:val="left"/>
    </w:pPr>
    <w:rPr>
      <w:bCs/>
      <w:noProof/>
      <w:sz w:val="22"/>
      <w:szCs w:val="22"/>
    </w:rPr>
  </w:style>
  <w:style w:type="paragraph" w:styleId="NormalWeb">
    <w:name w:val="Normal (Web)"/>
    <w:basedOn w:val="Normal"/>
    <w:uiPriority w:val="99"/>
    <w:rsid w:val="001C760A"/>
    <w:pPr>
      <w:spacing w:before="100" w:after="100"/>
    </w:pPr>
    <w:rPr>
      <w:szCs w:val="20"/>
    </w:rPr>
  </w:style>
  <w:style w:type="paragraph" w:styleId="BodyText0">
    <w:name w:val="Body Text"/>
    <w:aliases w:val="Body Text Char,Body Text Char Char Char Char,Body Text Char Char Char"/>
    <w:basedOn w:val="Normal"/>
    <w:link w:val="BodyTextChar2"/>
    <w:uiPriority w:val="99"/>
    <w:rsid w:val="001C760A"/>
    <w:pPr>
      <w:tabs>
        <w:tab w:val="left" w:pos="720"/>
      </w:tabs>
    </w:pPr>
    <w:rPr>
      <w:rFonts w:ascii="Arial" w:hAnsi="Arial"/>
      <w:sz w:val="20"/>
      <w:szCs w:val="20"/>
    </w:rPr>
  </w:style>
  <w:style w:type="character" w:customStyle="1" w:styleId="BodyTextChar10">
    <w:name w:val="Body Text Char1"/>
    <w:aliases w:val="Body Text Char Char,Body Text Char Char Char Char Char,Body Text Char Char Char Char1"/>
    <w:basedOn w:val="DefaultParagraphFont"/>
    <w:link w:val="BodyText0"/>
    <w:uiPriority w:val="99"/>
    <w:semiHidden/>
    <w:rsid w:val="001C760A"/>
    <w:rPr>
      <w:rFonts w:ascii="Arial" w:hAnsi="Arial" w:cs="Times New Roman"/>
      <w:lang w:val="en-US" w:eastAsia="en-US" w:bidi="ar-SA"/>
    </w:rPr>
  </w:style>
  <w:style w:type="paragraph" w:styleId="Caption">
    <w:name w:val="caption"/>
    <w:basedOn w:val="Normal"/>
    <w:next w:val="Normal"/>
    <w:link w:val="CaptionChar"/>
    <w:uiPriority w:val="99"/>
    <w:qFormat/>
    <w:rsid w:val="001C760A"/>
    <w:pPr>
      <w:jc w:val="center"/>
    </w:pPr>
    <w:rPr>
      <w:rFonts w:ascii="Arial" w:hAnsi="Arial"/>
      <w:b/>
      <w:i/>
      <w:sz w:val="20"/>
      <w:szCs w:val="20"/>
    </w:rPr>
  </w:style>
  <w:style w:type="paragraph" w:styleId="PlainText">
    <w:name w:val="Plain Text"/>
    <w:basedOn w:val="Normal"/>
    <w:link w:val="PlainTextChar"/>
    <w:uiPriority w:val="99"/>
    <w:rsid w:val="001C760A"/>
    <w:rPr>
      <w:rFonts w:ascii="Courier New" w:hAnsi="Courier New"/>
      <w:sz w:val="20"/>
      <w:szCs w:val="20"/>
    </w:rPr>
  </w:style>
  <w:style w:type="character" w:customStyle="1" w:styleId="PlainTextChar">
    <w:name w:val="Plain Text Char"/>
    <w:basedOn w:val="DefaultParagraphFont"/>
    <w:link w:val="PlainText"/>
    <w:uiPriority w:val="99"/>
    <w:rsid w:val="001C760A"/>
    <w:rPr>
      <w:rFonts w:ascii="Courier New" w:hAnsi="Courier New" w:cs="Times New Roman"/>
      <w:lang w:val="en-US" w:eastAsia="en-US" w:bidi="ar-SA"/>
    </w:rPr>
  </w:style>
  <w:style w:type="character" w:styleId="EndnoteReference">
    <w:name w:val="endnote reference"/>
    <w:basedOn w:val="DefaultParagraphFont"/>
    <w:uiPriority w:val="99"/>
    <w:semiHidden/>
    <w:rsid w:val="001C760A"/>
    <w:rPr>
      <w:rFonts w:cs="Times New Roman"/>
      <w:vertAlign w:val="superscript"/>
    </w:rPr>
  </w:style>
  <w:style w:type="paragraph" w:styleId="BlockText">
    <w:name w:val="Block Text"/>
    <w:basedOn w:val="Normal"/>
    <w:uiPriority w:val="99"/>
    <w:semiHidden/>
    <w:rsid w:val="001C760A"/>
    <w:pPr>
      <w:ind w:left="990" w:right="1080"/>
    </w:pPr>
    <w:rPr>
      <w:rFonts w:ascii="Comic Sans MS" w:hAnsi="Comic Sans MS"/>
      <w:i/>
      <w:sz w:val="16"/>
      <w:szCs w:val="20"/>
    </w:rPr>
  </w:style>
  <w:style w:type="paragraph" w:customStyle="1" w:styleId="SIDEBARhead">
    <w:name w:val="SIDEBAR head"/>
    <w:basedOn w:val="BodyText2"/>
    <w:semiHidden/>
    <w:rsid w:val="001C760A"/>
    <w:pPr>
      <w:pBdr>
        <w:top w:val="single" w:sz="4" w:space="4" w:color="auto"/>
      </w:pBdr>
      <w:autoSpaceDE/>
      <w:autoSpaceDN/>
      <w:adjustRightInd/>
      <w:spacing w:after="100"/>
    </w:pPr>
    <w:rPr>
      <w:caps/>
      <w:sz w:val="22"/>
    </w:rPr>
  </w:style>
  <w:style w:type="paragraph" w:styleId="BodyText2">
    <w:name w:val="Body Text 2"/>
    <w:aliases w:val="Sidebar Text"/>
    <w:basedOn w:val="Normal"/>
    <w:link w:val="BodyText2Char"/>
    <w:uiPriority w:val="99"/>
    <w:rsid w:val="001C760A"/>
    <w:pPr>
      <w:autoSpaceDE w:val="0"/>
      <w:autoSpaceDN w:val="0"/>
      <w:adjustRightInd w:val="0"/>
    </w:pPr>
    <w:rPr>
      <w:rFonts w:ascii="Arial" w:hAnsi="Arial"/>
      <w:i/>
      <w:sz w:val="18"/>
      <w:szCs w:val="18"/>
    </w:rPr>
  </w:style>
  <w:style w:type="character" w:customStyle="1" w:styleId="BodyText2Char">
    <w:name w:val="Body Text 2 Char"/>
    <w:aliases w:val="Sidebar Text Char"/>
    <w:basedOn w:val="DefaultParagraphFont"/>
    <w:link w:val="BodyText2"/>
    <w:uiPriority w:val="99"/>
    <w:locked/>
    <w:rsid w:val="003B37D3"/>
    <w:rPr>
      <w:rFonts w:ascii="Arial" w:hAnsi="Arial" w:cs="Times New Roman"/>
      <w:i/>
      <w:sz w:val="18"/>
      <w:szCs w:val="18"/>
    </w:rPr>
  </w:style>
  <w:style w:type="paragraph" w:styleId="BodyText3">
    <w:name w:val="Body Text 3"/>
    <w:aliases w:val="sidebar bullet,sidebar bullet Char,Body Text 3 Char"/>
    <w:basedOn w:val="Normal"/>
    <w:link w:val="BodyText3Char1"/>
    <w:uiPriority w:val="99"/>
    <w:semiHidden/>
    <w:rsid w:val="001C760A"/>
    <w:pPr>
      <w:numPr>
        <w:numId w:val="7"/>
      </w:numPr>
      <w:spacing w:after="120"/>
    </w:pPr>
    <w:rPr>
      <w:rFonts w:ascii="Arial" w:hAnsi="Arial"/>
      <w:i/>
      <w:sz w:val="20"/>
      <w:szCs w:val="20"/>
    </w:rPr>
  </w:style>
  <w:style w:type="character" w:customStyle="1" w:styleId="BodyText3Char1">
    <w:name w:val="Body Text 3 Char1"/>
    <w:aliases w:val="sidebar bullet Char1,sidebar bullet Char Char,Body Text 3 Char Char"/>
    <w:basedOn w:val="DefaultParagraphFont"/>
    <w:link w:val="BodyText3"/>
    <w:uiPriority w:val="99"/>
    <w:semiHidden/>
    <w:locked/>
    <w:rsid w:val="00461D8E"/>
    <w:rPr>
      <w:rFonts w:ascii="Arial" w:hAnsi="Arial"/>
      <w:i/>
    </w:rPr>
  </w:style>
  <w:style w:type="paragraph" w:customStyle="1" w:styleId="Bullet">
    <w:name w:val="Bullet"/>
    <w:basedOn w:val="Normal"/>
    <w:rsid w:val="009B787F"/>
    <w:pPr>
      <w:numPr>
        <w:numId w:val="5"/>
      </w:numPr>
      <w:spacing w:after="120"/>
      <w:ind w:right="432"/>
    </w:pPr>
    <w:rPr>
      <w:rFonts w:ascii="Arial" w:hAnsi="Arial" w:cs="Arial"/>
      <w:i/>
      <w:sz w:val="20"/>
      <w:szCs w:val="20"/>
    </w:rPr>
  </w:style>
  <w:style w:type="paragraph" w:customStyle="1" w:styleId="Level1">
    <w:name w:val="Level 1"/>
    <w:basedOn w:val="Normal"/>
    <w:semiHidden/>
    <w:rsid w:val="001C760A"/>
    <w:pPr>
      <w:widowControl w:val="0"/>
      <w:tabs>
        <w:tab w:val="num" w:pos="720"/>
      </w:tabs>
      <w:autoSpaceDE w:val="0"/>
      <w:autoSpaceDN w:val="0"/>
      <w:adjustRightInd w:val="0"/>
      <w:ind w:left="1440" w:hanging="720"/>
      <w:outlineLvl w:val="0"/>
    </w:pPr>
    <w:rPr>
      <w:sz w:val="20"/>
      <w:szCs w:val="20"/>
    </w:rPr>
  </w:style>
  <w:style w:type="paragraph" w:styleId="BodyTextIndent3">
    <w:name w:val="Body Text Indent 3"/>
    <w:basedOn w:val="Normal"/>
    <w:link w:val="BodyTextIndent3Char"/>
    <w:uiPriority w:val="99"/>
    <w:semiHidden/>
    <w:rsid w:val="001C760A"/>
    <w:pPr>
      <w:tabs>
        <w:tab w:val="left" w:pos="1260"/>
      </w:tabs>
      <w:ind w:left="360"/>
    </w:pPr>
    <w:rPr>
      <w:rFonts w:ascii="Arial" w:hAnsi="Arial"/>
      <w:b/>
      <w:i/>
      <w:szCs w:val="20"/>
    </w:rPr>
  </w:style>
  <w:style w:type="character" w:customStyle="1" w:styleId="BodyTextIndent3Char">
    <w:name w:val="Body Text Indent 3 Char"/>
    <w:basedOn w:val="DefaultParagraphFont"/>
    <w:link w:val="BodyTextIndent3"/>
    <w:uiPriority w:val="99"/>
    <w:semiHidden/>
    <w:locked/>
    <w:rsid w:val="003B37D3"/>
    <w:rPr>
      <w:rFonts w:ascii="Arial" w:hAnsi="Arial" w:cs="Times New Roman"/>
      <w:b/>
      <w:i/>
      <w:sz w:val="24"/>
    </w:rPr>
  </w:style>
  <w:style w:type="paragraph" w:styleId="TOC1">
    <w:name w:val="toc 1"/>
    <w:basedOn w:val="Normal"/>
    <w:next w:val="Normal"/>
    <w:autoRedefine/>
    <w:uiPriority w:val="39"/>
    <w:rsid w:val="00EB08C5"/>
    <w:pPr>
      <w:tabs>
        <w:tab w:val="right" w:leader="dot" w:pos="9350"/>
      </w:tabs>
      <w:spacing w:before="180"/>
      <w:ind w:left="1584" w:right="1152" w:hanging="1584"/>
    </w:pPr>
    <w:rPr>
      <w:rFonts w:ascii="Arial Bold" w:hAnsi="Arial Bold"/>
      <w:b/>
      <w:bCs/>
      <w:iCs/>
      <w:caps/>
      <w:noProof/>
    </w:rPr>
  </w:style>
  <w:style w:type="paragraph" w:styleId="TOC3">
    <w:name w:val="toc 3"/>
    <w:basedOn w:val="Normal"/>
    <w:next w:val="Normal"/>
    <w:autoRedefine/>
    <w:uiPriority w:val="39"/>
    <w:rsid w:val="00992501"/>
    <w:pPr>
      <w:tabs>
        <w:tab w:val="right" w:leader="dot" w:pos="9350"/>
      </w:tabs>
      <w:spacing w:before="60" w:after="60"/>
      <w:ind w:left="1008" w:right="720"/>
    </w:pPr>
    <w:rPr>
      <w:rFonts w:ascii="Arial" w:hAnsi="Arial"/>
      <w:b/>
      <w:i/>
      <w:noProof/>
      <w:sz w:val="20"/>
      <w:szCs w:val="20"/>
    </w:rPr>
  </w:style>
  <w:style w:type="paragraph" w:styleId="TOC4">
    <w:name w:val="toc 4"/>
    <w:basedOn w:val="Normal"/>
    <w:next w:val="Normal"/>
    <w:autoRedefine/>
    <w:uiPriority w:val="39"/>
    <w:rsid w:val="002A79CF"/>
    <w:pPr>
      <w:tabs>
        <w:tab w:val="right" w:leader="dot" w:pos="9350"/>
      </w:tabs>
      <w:ind w:left="1872" w:right="907" w:hanging="432"/>
    </w:pPr>
    <w:rPr>
      <w:rFonts w:ascii="Arial" w:hAnsi="Arial"/>
      <w:noProof/>
      <w:sz w:val="22"/>
      <w:szCs w:val="20"/>
    </w:rPr>
  </w:style>
  <w:style w:type="paragraph" w:styleId="TOC5">
    <w:name w:val="toc 5"/>
    <w:basedOn w:val="Normal"/>
    <w:next w:val="Normal"/>
    <w:autoRedefine/>
    <w:uiPriority w:val="39"/>
    <w:rsid w:val="001C760A"/>
    <w:pPr>
      <w:ind w:left="800"/>
    </w:pPr>
    <w:rPr>
      <w:sz w:val="20"/>
      <w:szCs w:val="20"/>
    </w:rPr>
  </w:style>
  <w:style w:type="paragraph" w:styleId="TOC6">
    <w:name w:val="toc 6"/>
    <w:basedOn w:val="Normal"/>
    <w:next w:val="Normal"/>
    <w:autoRedefine/>
    <w:uiPriority w:val="39"/>
    <w:rsid w:val="001C760A"/>
    <w:pPr>
      <w:ind w:left="1000"/>
    </w:pPr>
    <w:rPr>
      <w:sz w:val="20"/>
      <w:szCs w:val="20"/>
    </w:rPr>
  </w:style>
  <w:style w:type="paragraph" w:styleId="TOC7">
    <w:name w:val="toc 7"/>
    <w:basedOn w:val="Normal"/>
    <w:next w:val="Normal"/>
    <w:autoRedefine/>
    <w:uiPriority w:val="39"/>
    <w:rsid w:val="001C760A"/>
    <w:pPr>
      <w:ind w:left="1200"/>
    </w:pPr>
    <w:rPr>
      <w:sz w:val="20"/>
      <w:szCs w:val="20"/>
    </w:rPr>
  </w:style>
  <w:style w:type="paragraph" w:styleId="TOC8">
    <w:name w:val="toc 8"/>
    <w:basedOn w:val="Normal"/>
    <w:next w:val="Normal"/>
    <w:autoRedefine/>
    <w:uiPriority w:val="39"/>
    <w:rsid w:val="001C760A"/>
    <w:pPr>
      <w:ind w:left="1400"/>
    </w:pPr>
    <w:rPr>
      <w:sz w:val="20"/>
      <w:szCs w:val="20"/>
    </w:rPr>
  </w:style>
  <w:style w:type="paragraph" w:styleId="TOC9">
    <w:name w:val="toc 9"/>
    <w:basedOn w:val="Normal"/>
    <w:next w:val="Normal"/>
    <w:autoRedefine/>
    <w:uiPriority w:val="39"/>
    <w:rsid w:val="001C760A"/>
    <w:pPr>
      <w:ind w:left="1600"/>
    </w:pPr>
    <w:rPr>
      <w:sz w:val="20"/>
      <w:szCs w:val="20"/>
    </w:rPr>
  </w:style>
  <w:style w:type="character" w:styleId="FollowedHyperlink">
    <w:name w:val="FollowedHyperlink"/>
    <w:basedOn w:val="DefaultParagraphFont"/>
    <w:uiPriority w:val="99"/>
    <w:rsid w:val="001C760A"/>
    <w:rPr>
      <w:rFonts w:cs="Times New Roman"/>
      <w:color w:val="800080"/>
      <w:u w:val="single"/>
    </w:rPr>
  </w:style>
  <w:style w:type="paragraph" w:styleId="BalloonText">
    <w:name w:val="Balloon Text"/>
    <w:basedOn w:val="Normal"/>
    <w:link w:val="BalloonTextChar"/>
    <w:uiPriority w:val="99"/>
    <w:semiHidden/>
    <w:rsid w:val="001C76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B37D3"/>
    <w:rPr>
      <w:rFonts w:ascii="Tahoma" w:hAnsi="Tahoma" w:cs="Tahoma"/>
      <w:sz w:val="16"/>
      <w:szCs w:val="16"/>
    </w:rPr>
  </w:style>
  <w:style w:type="paragraph" w:customStyle="1" w:styleId="StyleHeading1Italic">
    <w:name w:val="Style Heading 1 + Italic"/>
    <w:basedOn w:val="Heading1"/>
    <w:semiHidden/>
    <w:rsid w:val="001C760A"/>
    <w:rPr>
      <w:bCs/>
      <w:iCs/>
    </w:rPr>
  </w:style>
  <w:style w:type="paragraph" w:customStyle="1" w:styleId="StylenumberedbodytextBold">
    <w:name w:val="Style numbered body text + Bold"/>
    <w:basedOn w:val="Normal"/>
    <w:semiHidden/>
    <w:rsid w:val="001C760A"/>
    <w:pPr>
      <w:numPr>
        <w:numId w:val="6"/>
      </w:numPr>
    </w:pPr>
    <w:rPr>
      <w:sz w:val="20"/>
      <w:szCs w:val="20"/>
    </w:rPr>
  </w:style>
  <w:style w:type="paragraph" w:customStyle="1" w:styleId="StyleHeading3NotBoldItalic">
    <w:name w:val="Style Heading 3 + Not Bold Italic"/>
    <w:basedOn w:val="Heading3"/>
    <w:semiHidden/>
    <w:rsid w:val="001C760A"/>
    <w:pPr>
      <w:spacing w:after="180"/>
    </w:pPr>
    <w:rPr>
      <w:rFonts w:cs="Times New Roman"/>
      <w:bCs w:val="0"/>
      <w:iCs/>
      <w:szCs w:val="20"/>
    </w:rPr>
  </w:style>
  <w:style w:type="paragraph" w:customStyle="1" w:styleId="StyleHeading3NotBoldItalic1">
    <w:name w:val="Style Heading 3 + Not Bold Italic1"/>
    <w:basedOn w:val="Heading3"/>
    <w:semiHidden/>
    <w:rsid w:val="001C760A"/>
    <w:pPr>
      <w:spacing w:after="180"/>
    </w:pPr>
    <w:rPr>
      <w:rFonts w:cs="Times New Roman"/>
      <w:bCs w:val="0"/>
      <w:iCs/>
      <w:szCs w:val="20"/>
    </w:rPr>
  </w:style>
  <w:style w:type="paragraph" w:customStyle="1" w:styleId="StyleHeading3NotItalic">
    <w:name w:val="Style Heading 3 + Not Italic"/>
    <w:basedOn w:val="Heading3"/>
    <w:semiHidden/>
    <w:rsid w:val="001C760A"/>
    <w:pPr>
      <w:spacing w:after="180"/>
    </w:pPr>
    <w:rPr>
      <w:rFonts w:cs="Times New Roman"/>
      <w:b w:val="0"/>
      <w:bCs w:val="0"/>
      <w:i w:val="0"/>
      <w:sz w:val="32"/>
      <w:szCs w:val="20"/>
    </w:rPr>
  </w:style>
  <w:style w:type="character" w:customStyle="1" w:styleId="BodytextChar">
    <w:name w:val="Body text Char"/>
    <w:basedOn w:val="DefaultParagraphFont"/>
    <w:uiPriority w:val="99"/>
    <w:rsid w:val="001C760A"/>
    <w:rPr>
      <w:rFonts w:ascii="Arial" w:hAnsi="Arial" w:cs="Times New Roman"/>
      <w:lang w:val="en-US" w:eastAsia="en-US" w:bidi="ar-SA"/>
    </w:rPr>
  </w:style>
  <w:style w:type="paragraph" w:customStyle="1" w:styleId="Tableheading">
    <w:name w:val="Table heading"/>
    <w:basedOn w:val="Heading3"/>
    <w:link w:val="TableheadingChar"/>
    <w:uiPriority w:val="99"/>
    <w:qFormat/>
    <w:rsid w:val="003675DD"/>
    <w:pPr>
      <w:spacing w:before="0" w:after="0"/>
      <w:jc w:val="center"/>
    </w:pPr>
    <w:rPr>
      <w:rFonts w:cs="Times New Roman"/>
      <w:bCs w:val="0"/>
      <w:sz w:val="20"/>
      <w:szCs w:val="20"/>
    </w:rPr>
  </w:style>
  <w:style w:type="paragraph" w:customStyle="1" w:styleId="TableText">
    <w:name w:val="Table Text"/>
    <w:basedOn w:val="Header"/>
    <w:link w:val="TableTextChar"/>
    <w:uiPriority w:val="99"/>
    <w:qFormat/>
    <w:rsid w:val="00AB461D"/>
    <w:pPr>
      <w:tabs>
        <w:tab w:val="clear" w:pos="4320"/>
        <w:tab w:val="clear" w:pos="8640"/>
      </w:tabs>
    </w:pPr>
    <w:rPr>
      <w:rFonts w:ascii="Arial" w:hAnsi="Arial"/>
      <w:sz w:val="18"/>
      <w:szCs w:val="20"/>
    </w:rPr>
  </w:style>
  <w:style w:type="paragraph" w:customStyle="1" w:styleId="StyleBodyText2SidebarTextBoldLeft0Hanging1">
    <w:name w:val="Style Body Text 2Sidebar Text + Bold Left:  0&quot; Hanging:  1&quot;"/>
    <w:basedOn w:val="BodyText2"/>
    <w:semiHidden/>
    <w:rsid w:val="001C760A"/>
    <w:pPr>
      <w:autoSpaceDE/>
      <w:autoSpaceDN/>
      <w:adjustRightInd/>
    </w:pPr>
    <w:rPr>
      <w:bCs/>
      <w:iCs/>
      <w:sz w:val="20"/>
      <w:szCs w:val="20"/>
    </w:rPr>
  </w:style>
  <w:style w:type="paragraph" w:styleId="BodyTextIndent2">
    <w:name w:val="Body Text Indent 2"/>
    <w:basedOn w:val="Normal"/>
    <w:link w:val="BodyTextIndent2Char"/>
    <w:uiPriority w:val="99"/>
    <w:semiHidden/>
    <w:rsid w:val="001C760A"/>
    <w:pPr>
      <w:tabs>
        <w:tab w:val="left" w:pos="1300"/>
        <w:tab w:val="left" w:pos="3025"/>
        <w:tab w:val="left" w:pos="5034"/>
        <w:tab w:val="left" w:pos="6930"/>
      </w:tabs>
      <w:autoSpaceDE w:val="0"/>
      <w:autoSpaceDN w:val="0"/>
      <w:adjustRightInd w:val="0"/>
      <w:ind w:left="78"/>
    </w:pPr>
    <w:rPr>
      <w:rFonts w:ascii="Arial" w:hAnsi="Arial"/>
      <w:b/>
      <w:color w:val="000000"/>
      <w:sz w:val="20"/>
      <w:szCs w:val="20"/>
    </w:rPr>
  </w:style>
  <w:style w:type="character" w:customStyle="1" w:styleId="BodyTextIndent2Char">
    <w:name w:val="Body Text Indent 2 Char"/>
    <w:basedOn w:val="DefaultParagraphFont"/>
    <w:link w:val="BodyTextIndent2"/>
    <w:uiPriority w:val="99"/>
    <w:semiHidden/>
    <w:locked/>
    <w:rsid w:val="003B37D3"/>
    <w:rPr>
      <w:rFonts w:ascii="Arial" w:hAnsi="Arial" w:cs="Times New Roman"/>
      <w:b/>
      <w:color w:val="000000"/>
    </w:rPr>
  </w:style>
  <w:style w:type="paragraph" w:customStyle="1" w:styleId="References">
    <w:name w:val="References"/>
    <w:basedOn w:val="Normal"/>
    <w:link w:val="ReferencesChar"/>
    <w:rsid w:val="00A94548"/>
    <w:pPr>
      <w:spacing w:after="120"/>
      <w:ind w:left="432" w:hanging="432"/>
    </w:pPr>
    <w:rPr>
      <w:rFonts w:ascii="Arial" w:hAnsi="Arial"/>
      <w:sz w:val="22"/>
      <w:szCs w:val="20"/>
    </w:rPr>
  </w:style>
  <w:style w:type="character" w:styleId="CommentReference">
    <w:name w:val="annotation reference"/>
    <w:basedOn w:val="DefaultParagraphFont"/>
    <w:uiPriority w:val="99"/>
    <w:rsid w:val="001C760A"/>
    <w:rPr>
      <w:rFonts w:cs="Times New Roman"/>
      <w:sz w:val="16"/>
      <w:szCs w:val="16"/>
    </w:rPr>
  </w:style>
  <w:style w:type="paragraph" w:styleId="CommentText">
    <w:name w:val="annotation text"/>
    <w:basedOn w:val="Normal"/>
    <w:link w:val="CommentTextChar"/>
    <w:uiPriority w:val="99"/>
    <w:rsid w:val="001C760A"/>
    <w:rPr>
      <w:szCs w:val="20"/>
    </w:rPr>
  </w:style>
  <w:style w:type="character" w:customStyle="1" w:styleId="CommentTextChar">
    <w:name w:val="Comment Text Char"/>
    <w:basedOn w:val="DefaultParagraphFont"/>
    <w:link w:val="CommentText"/>
    <w:uiPriority w:val="99"/>
    <w:locked/>
    <w:rsid w:val="00986212"/>
    <w:rPr>
      <w:rFonts w:cs="Times New Roman"/>
      <w:sz w:val="24"/>
    </w:rPr>
  </w:style>
  <w:style w:type="paragraph" w:customStyle="1" w:styleId="StyleCaption9ptLeft0Hanging05">
    <w:name w:val="Style Caption + 9 pt Left:  0&quot; Hanging:  0.5&quot;"/>
    <w:basedOn w:val="Caption"/>
    <w:semiHidden/>
    <w:rsid w:val="001C760A"/>
    <w:rPr>
      <w:bCs/>
      <w:iCs/>
      <w:sz w:val="18"/>
    </w:rPr>
  </w:style>
  <w:style w:type="character" w:customStyle="1" w:styleId="BodyTextChar2">
    <w:name w:val="Body Text Char2"/>
    <w:aliases w:val="Body Text Char Char1,Body Text Char Char Char Char Char1,Body Text Char Char Char Char2"/>
    <w:basedOn w:val="DefaultParagraphFont"/>
    <w:link w:val="BodyText0"/>
    <w:locked/>
    <w:rsid w:val="003A4461"/>
    <w:rPr>
      <w:rFonts w:ascii="Arial" w:hAnsi="Arial" w:cs="Times New Roman"/>
      <w:lang w:val="en-US" w:eastAsia="en-US" w:bidi="ar-SA"/>
    </w:rPr>
  </w:style>
  <w:style w:type="character" w:styleId="Strong">
    <w:name w:val="Strong"/>
    <w:basedOn w:val="DefaultParagraphFont"/>
    <w:uiPriority w:val="22"/>
    <w:qFormat/>
    <w:rsid w:val="008C37FA"/>
    <w:rPr>
      <w:rFonts w:cs="Times New Roman"/>
      <w:b/>
      <w:sz w:val="16"/>
    </w:rPr>
  </w:style>
  <w:style w:type="table" w:customStyle="1" w:styleId="Tabletext0">
    <w:name w:val="Table text"/>
    <w:basedOn w:val="TableProfessional"/>
    <w:rsid w:val="00CE28DE"/>
    <w:pPr>
      <w:jc w:val="center"/>
    </w:pPr>
    <w:rPr>
      <w:rFonts w:ascii="Arial" w:hAnsi="Arial"/>
      <w:sz w:val="18"/>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Listwithnumbers">
    <w:name w:val="List with numbers"/>
    <w:basedOn w:val="Bullet"/>
    <w:uiPriority w:val="99"/>
    <w:rsid w:val="003F371D"/>
    <w:pPr>
      <w:numPr>
        <w:numId w:val="0"/>
      </w:numPr>
      <w:tabs>
        <w:tab w:val="num" w:pos="720"/>
      </w:tabs>
      <w:ind w:left="720" w:right="720" w:hanging="360"/>
    </w:pPr>
  </w:style>
  <w:style w:type="character" w:customStyle="1" w:styleId="TableheadingChar">
    <w:name w:val="Table heading Char"/>
    <w:basedOn w:val="DefaultParagraphFont"/>
    <w:link w:val="Tableheading"/>
    <w:uiPriority w:val="99"/>
    <w:locked/>
    <w:rsid w:val="003675DD"/>
    <w:rPr>
      <w:rFonts w:ascii="Arial" w:hAnsi="Arial" w:cs="Times New Roman"/>
      <w:b/>
      <w:i/>
      <w:lang w:val="en-US" w:eastAsia="en-US" w:bidi="ar-SA"/>
    </w:rPr>
  </w:style>
  <w:style w:type="table" w:styleId="TableProfessional">
    <w:name w:val="Table Professional"/>
    <w:basedOn w:val="TableNormal"/>
    <w:uiPriority w:val="99"/>
    <w:rsid w:val="00CE28D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customStyle="1" w:styleId="Heading3CharCharChar">
    <w:name w:val="Heading 3 Char Char Char"/>
    <w:basedOn w:val="DefaultParagraphFont"/>
    <w:rsid w:val="00461D8E"/>
    <w:rPr>
      <w:rFonts w:cs="Times New Roman"/>
      <w:b/>
      <w:sz w:val="26"/>
      <w:lang w:val="en-US" w:eastAsia="en-US" w:bidi="ar-SA"/>
    </w:rPr>
  </w:style>
  <w:style w:type="character" w:customStyle="1" w:styleId="CharChar1">
    <w:name w:val="Char Char1"/>
    <w:basedOn w:val="DefaultParagraphFont"/>
    <w:rsid w:val="00461D8E"/>
    <w:rPr>
      <w:rFonts w:cs="Times New Roman"/>
      <w:b/>
      <w:i/>
      <w:sz w:val="24"/>
      <w:lang w:val="en-US" w:eastAsia="en-US" w:bidi="ar-SA"/>
    </w:rPr>
  </w:style>
  <w:style w:type="character" w:customStyle="1" w:styleId="BodytextChar1">
    <w:name w:val="Body text Char1"/>
    <w:basedOn w:val="BodyTextIndentChar"/>
    <w:link w:val="Bodytext"/>
    <w:uiPriority w:val="99"/>
    <w:locked/>
    <w:rsid w:val="00AB461D"/>
    <w:rPr>
      <w:rFonts w:ascii="Arial" w:hAnsi="Arial"/>
    </w:rPr>
  </w:style>
  <w:style w:type="paragraph" w:customStyle="1" w:styleId="StyleBodytext11pt">
    <w:name w:val="Style Body text + 11 pt"/>
    <w:basedOn w:val="Bodytext"/>
    <w:link w:val="StyleBodytext11ptChar"/>
    <w:rsid w:val="000224D4"/>
  </w:style>
  <w:style w:type="character" w:customStyle="1" w:styleId="StyleBodytext11ptChar">
    <w:name w:val="Style Body text + 11 pt Char"/>
    <w:basedOn w:val="BodytextChar1"/>
    <w:link w:val="StyleBodytext11pt"/>
    <w:locked/>
    <w:rsid w:val="000224D4"/>
  </w:style>
  <w:style w:type="paragraph" w:customStyle="1" w:styleId="Heading1A">
    <w:name w:val="Heading 1A"/>
    <w:basedOn w:val="Heading1"/>
    <w:rsid w:val="00575B42"/>
    <w:rPr>
      <w:rFonts w:cs="Arial"/>
      <w:sz w:val="32"/>
      <w:szCs w:val="22"/>
    </w:rPr>
  </w:style>
  <w:style w:type="paragraph" w:customStyle="1" w:styleId="StyleListBulletPatternClearTan">
    <w:name w:val="Style List Bullet + Pattern: Clear (Tan)"/>
    <w:basedOn w:val="ListBullet"/>
    <w:rsid w:val="00492CE5"/>
    <w:pPr>
      <w:shd w:val="clear" w:color="auto" w:fill="FFCC99"/>
    </w:pPr>
    <w:rPr>
      <w:iCs/>
      <w:szCs w:val="20"/>
    </w:rPr>
  </w:style>
  <w:style w:type="paragraph" w:customStyle="1" w:styleId="StyleListBulletPatternClearTan1">
    <w:name w:val="Style List Bullet + Pattern: Clear (Tan)1"/>
    <w:basedOn w:val="ListBullet"/>
    <w:rsid w:val="00492CE5"/>
    <w:pPr>
      <w:shd w:val="clear" w:color="auto" w:fill="FFCC99"/>
    </w:pPr>
    <w:rPr>
      <w:iCs/>
      <w:szCs w:val="20"/>
    </w:rPr>
  </w:style>
  <w:style w:type="paragraph" w:customStyle="1" w:styleId="StyleListBulletPatternClearTan2">
    <w:name w:val="Style List Bullet + Pattern: Clear (Tan)2"/>
    <w:basedOn w:val="ListBullet"/>
    <w:rsid w:val="00492CE5"/>
    <w:pPr>
      <w:shd w:val="clear" w:color="auto" w:fill="FFCC99"/>
    </w:pPr>
    <w:rPr>
      <w:iCs/>
      <w:szCs w:val="20"/>
    </w:rPr>
  </w:style>
  <w:style w:type="paragraph" w:customStyle="1" w:styleId="Listbulletadditional">
    <w:name w:val="List bullet additional"/>
    <w:basedOn w:val="ListBullet"/>
    <w:rsid w:val="00D80E0E"/>
    <w:pPr>
      <w:numPr>
        <w:numId w:val="0"/>
      </w:numPr>
      <w:ind w:left="648"/>
    </w:pPr>
    <w:rPr>
      <w:szCs w:val="22"/>
    </w:rPr>
  </w:style>
  <w:style w:type="paragraph" w:customStyle="1" w:styleId="StyleListBulletBold">
    <w:name w:val="Style List Bullet + Bold"/>
    <w:basedOn w:val="ListBullet"/>
    <w:link w:val="StyleListBulletBoldChar"/>
    <w:rsid w:val="00D80E0E"/>
    <w:rPr>
      <w:b/>
      <w:bCs/>
      <w:iCs/>
    </w:rPr>
  </w:style>
  <w:style w:type="character" w:customStyle="1" w:styleId="StyleListBulletBoldChar">
    <w:name w:val="Style List Bullet + Bold Char"/>
    <w:basedOn w:val="ListBulletChar"/>
    <w:link w:val="StyleListBulletBold"/>
    <w:locked/>
    <w:rsid w:val="00D80E0E"/>
    <w:rPr>
      <w:b/>
      <w:bCs/>
      <w:iCs/>
    </w:rPr>
  </w:style>
  <w:style w:type="paragraph" w:customStyle="1" w:styleId="first">
    <w:name w:val="first"/>
    <w:basedOn w:val="Normal"/>
    <w:rsid w:val="008928B4"/>
    <w:pPr>
      <w:spacing w:after="160"/>
      <w:ind w:firstLine="160"/>
      <w:textAlignment w:val="top"/>
    </w:pPr>
    <w:rPr>
      <w:sz w:val="19"/>
      <w:szCs w:val="19"/>
    </w:rPr>
  </w:style>
  <w:style w:type="paragraph" w:customStyle="1" w:styleId="noindent">
    <w:name w:val="noindent"/>
    <w:basedOn w:val="Normal"/>
    <w:rsid w:val="008928B4"/>
    <w:pPr>
      <w:spacing w:after="160"/>
      <w:textAlignment w:val="top"/>
    </w:pPr>
    <w:rPr>
      <w:sz w:val="19"/>
      <w:szCs w:val="19"/>
    </w:rPr>
  </w:style>
  <w:style w:type="paragraph" w:customStyle="1" w:styleId="body">
    <w:name w:val="body"/>
    <w:basedOn w:val="Normal"/>
    <w:rsid w:val="00691ECF"/>
    <w:pPr>
      <w:spacing w:before="160"/>
      <w:ind w:left="80" w:right="80" w:firstLine="160"/>
      <w:textAlignment w:val="top"/>
    </w:pPr>
    <w:rPr>
      <w:sz w:val="19"/>
      <w:szCs w:val="19"/>
    </w:rPr>
  </w:style>
  <w:style w:type="table" w:styleId="TableElegant">
    <w:name w:val="Table Elegant"/>
    <w:basedOn w:val="TableNormal"/>
    <w:uiPriority w:val="99"/>
    <w:rsid w:val="0014571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paragraph" w:customStyle="1" w:styleId="bodytext1">
    <w:name w:val="bodytext"/>
    <w:basedOn w:val="Normal"/>
    <w:rsid w:val="00DC180D"/>
    <w:pPr>
      <w:spacing w:before="100" w:beforeAutospacing="1" w:after="100" w:afterAutospacing="1"/>
    </w:pPr>
  </w:style>
  <w:style w:type="character" w:customStyle="1" w:styleId="ReferencesChar">
    <w:name w:val="References Char"/>
    <w:basedOn w:val="DefaultParagraphFont"/>
    <w:link w:val="References"/>
    <w:locked/>
    <w:rsid w:val="00960D9A"/>
    <w:rPr>
      <w:rFonts w:ascii="Arial" w:hAnsi="Arial" w:cs="Times New Roman"/>
      <w:sz w:val="22"/>
      <w:lang w:val="en-US" w:eastAsia="en-US" w:bidi="ar-SA"/>
    </w:rPr>
  </w:style>
  <w:style w:type="character" w:customStyle="1" w:styleId="msoins0">
    <w:name w:val="msoins"/>
    <w:basedOn w:val="DefaultParagraphFont"/>
    <w:rsid w:val="00943AF3"/>
    <w:rPr>
      <w:rFonts w:cs="Times New Roman"/>
    </w:rPr>
  </w:style>
  <w:style w:type="paragraph" w:customStyle="1" w:styleId="Listbulletsub">
    <w:name w:val="List bullet sub"/>
    <w:basedOn w:val="Listbulletadditional"/>
    <w:rsid w:val="007718E6"/>
    <w:pPr>
      <w:numPr>
        <w:numId w:val="18"/>
      </w:numPr>
      <w:spacing w:before="60"/>
      <w:ind w:left="1080" w:right="1440"/>
    </w:pPr>
    <w:rPr>
      <w:i w:val="0"/>
      <w:sz w:val="20"/>
    </w:rPr>
  </w:style>
  <w:style w:type="character" w:customStyle="1" w:styleId="TableTextChar">
    <w:name w:val="Table Text Char"/>
    <w:basedOn w:val="HeaderChar"/>
    <w:link w:val="TableText"/>
    <w:uiPriority w:val="99"/>
    <w:locked/>
    <w:rsid w:val="00AB461D"/>
    <w:rPr>
      <w:rFonts w:ascii="Arial" w:hAnsi="Arial"/>
    </w:rPr>
  </w:style>
  <w:style w:type="character" w:styleId="Emphasis">
    <w:name w:val="Emphasis"/>
    <w:basedOn w:val="DefaultParagraphFont"/>
    <w:uiPriority w:val="20"/>
    <w:qFormat/>
    <w:rsid w:val="00C3722A"/>
    <w:rPr>
      <w:rFonts w:cs="Times New Roman"/>
      <w:i/>
      <w:iCs/>
    </w:rPr>
  </w:style>
  <w:style w:type="paragraph" w:customStyle="1" w:styleId="StyleListBullet11pt">
    <w:name w:val="Style List Bullet + 11 pt"/>
    <w:basedOn w:val="ListBullet"/>
    <w:link w:val="StyleListBullet11ptChar"/>
    <w:rsid w:val="00BF2AF9"/>
    <w:rPr>
      <w:iCs/>
    </w:rPr>
  </w:style>
  <w:style w:type="character" w:customStyle="1" w:styleId="StyleListBullet11ptChar">
    <w:name w:val="Style List Bullet + 11 pt Char"/>
    <w:basedOn w:val="ListBulletChar"/>
    <w:link w:val="StyleListBullet11pt"/>
    <w:locked/>
    <w:rsid w:val="00BF2AF9"/>
    <w:rPr>
      <w:iCs/>
    </w:rPr>
  </w:style>
  <w:style w:type="paragraph" w:customStyle="1" w:styleId="StyleListBullet11pt1">
    <w:name w:val="Style List Bullet + 11 pt1"/>
    <w:basedOn w:val="ListBullet"/>
    <w:rsid w:val="00BF2AF9"/>
    <w:rPr>
      <w:iCs/>
    </w:rPr>
  </w:style>
  <w:style w:type="paragraph" w:styleId="CommentSubject">
    <w:name w:val="annotation subject"/>
    <w:basedOn w:val="CommentText"/>
    <w:next w:val="CommentText"/>
    <w:link w:val="CommentSubjectChar"/>
    <w:uiPriority w:val="99"/>
    <w:semiHidden/>
    <w:rsid w:val="00923878"/>
    <w:pPr>
      <w:numPr>
        <w:numId w:val="11"/>
      </w:numPr>
      <w:tabs>
        <w:tab w:val="clear" w:pos="720"/>
      </w:tabs>
      <w:ind w:left="0" w:firstLine="0"/>
    </w:pPr>
    <w:rPr>
      <w:b/>
      <w:bCs/>
      <w:sz w:val="20"/>
    </w:rPr>
  </w:style>
  <w:style w:type="character" w:customStyle="1" w:styleId="CommentSubjectChar">
    <w:name w:val="Comment Subject Char"/>
    <w:basedOn w:val="CommentTextChar"/>
    <w:link w:val="CommentSubject"/>
    <w:uiPriority w:val="99"/>
    <w:semiHidden/>
    <w:locked/>
    <w:rsid w:val="003B37D3"/>
    <w:rPr>
      <w:b/>
      <w:bCs/>
    </w:rPr>
  </w:style>
  <w:style w:type="paragraph" w:customStyle="1" w:styleId="Bodytextreduced">
    <w:name w:val="Body text reduced"/>
    <w:basedOn w:val="TableText"/>
    <w:link w:val="BodytextreducedChar"/>
    <w:qFormat/>
    <w:rsid w:val="00923878"/>
    <w:rPr>
      <w:sz w:val="16"/>
    </w:rPr>
  </w:style>
  <w:style w:type="paragraph" w:customStyle="1" w:styleId="Default">
    <w:name w:val="Default"/>
    <w:rsid w:val="00DA39AE"/>
    <w:pPr>
      <w:autoSpaceDE w:val="0"/>
      <w:autoSpaceDN w:val="0"/>
      <w:adjustRightInd w:val="0"/>
    </w:pPr>
    <w:rPr>
      <w:rFonts w:ascii="Arial" w:hAnsi="Arial" w:cs="Arial"/>
      <w:color w:val="000000"/>
      <w:sz w:val="24"/>
      <w:szCs w:val="24"/>
    </w:rPr>
  </w:style>
  <w:style w:type="paragraph" w:customStyle="1" w:styleId="tableheading0">
    <w:name w:val="tableheading"/>
    <w:basedOn w:val="Normal"/>
    <w:rsid w:val="00316D0A"/>
    <w:pPr>
      <w:spacing w:before="100" w:beforeAutospacing="1" w:after="100" w:afterAutospacing="1"/>
    </w:pPr>
  </w:style>
  <w:style w:type="paragraph" w:customStyle="1" w:styleId="tabletext1">
    <w:name w:val="tabletext"/>
    <w:basedOn w:val="Normal"/>
    <w:rsid w:val="00C01A14"/>
    <w:pPr>
      <w:spacing w:before="100" w:beforeAutospacing="1" w:after="100" w:afterAutospacing="1"/>
    </w:pPr>
    <w:rPr>
      <w:rFonts w:ascii="Arial" w:hAnsi="Arial"/>
      <w:sz w:val="18"/>
    </w:rPr>
  </w:style>
  <w:style w:type="paragraph" w:styleId="ListParagraph">
    <w:name w:val="List Paragraph"/>
    <w:basedOn w:val="Normal"/>
    <w:uiPriority w:val="34"/>
    <w:qFormat/>
    <w:rsid w:val="00225196"/>
    <w:pPr>
      <w:ind w:left="720"/>
      <w:contextualSpacing/>
    </w:pPr>
  </w:style>
  <w:style w:type="paragraph" w:customStyle="1" w:styleId="CM9">
    <w:name w:val="CM9"/>
    <w:basedOn w:val="Normal"/>
    <w:next w:val="Normal"/>
    <w:uiPriority w:val="99"/>
    <w:rsid w:val="00200ACD"/>
    <w:pPr>
      <w:widowControl w:val="0"/>
      <w:autoSpaceDE w:val="0"/>
      <w:autoSpaceDN w:val="0"/>
      <w:adjustRightInd w:val="0"/>
      <w:spacing w:line="240" w:lineRule="atLeast"/>
    </w:pPr>
    <w:rPr>
      <w:rFonts w:ascii="HGHKB L+ Avant Garde" w:hAnsi="HGHKB L+ Avant Garde"/>
    </w:rPr>
  </w:style>
  <w:style w:type="paragraph" w:customStyle="1" w:styleId="CM5">
    <w:name w:val="CM5"/>
    <w:basedOn w:val="Normal"/>
    <w:next w:val="Normal"/>
    <w:uiPriority w:val="99"/>
    <w:rsid w:val="00200ACD"/>
    <w:pPr>
      <w:widowControl w:val="0"/>
      <w:autoSpaceDE w:val="0"/>
      <w:autoSpaceDN w:val="0"/>
      <w:adjustRightInd w:val="0"/>
      <w:spacing w:line="246" w:lineRule="atLeast"/>
    </w:pPr>
    <w:rPr>
      <w:rFonts w:ascii="HGHKB L+ Avant Garde" w:hAnsi="HGHKB L+ Avant Garde"/>
    </w:rPr>
  </w:style>
  <w:style w:type="paragraph" w:customStyle="1" w:styleId="CM72">
    <w:name w:val="CM72"/>
    <w:basedOn w:val="Default"/>
    <w:next w:val="Default"/>
    <w:uiPriority w:val="99"/>
    <w:rsid w:val="00200ACD"/>
    <w:pPr>
      <w:widowControl w:val="0"/>
    </w:pPr>
    <w:rPr>
      <w:rFonts w:ascii="HGHKB L+ Avant Garde" w:hAnsi="HGHKB L+ Avant Garde" w:cs="Times New Roman"/>
      <w:color w:val="auto"/>
    </w:rPr>
  </w:style>
  <w:style w:type="paragraph" w:customStyle="1" w:styleId="BodyECR">
    <w:name w:val="Body ECR"/>
    <w:link w:val="BodyECRChar"/>
    <w:rsid w:val="00320AD3"/>
    <w:pPr>
      <w:spacing w:before="120" w:after="120" w:line="250" w:lineRule="exact"/>
      <w:ind w:firstLine="360"/>
      <w:jc w:val="both"/>
    </w:pPr>
    <w:rPr>
      <w:color w:val="000000"/>
      <w:sz w:val="22"/>
    </w:rPr>
  </w:style>
  <w:style w:type="paragraph" w:customStyle="1" w:styleId="FigNoCaption">
    <w:name w:val="Fig. No./Caption"/>
    <w:link w:val="FigNoCaptionChar1"/>
    <w:rsid w:val="00320AD3"/>
    <w:pPr>
      <w:tabs>
        <w:tab w:val="left" w:pos="1440"/>
      </w:tabs>
      <w:jc w:val="center"/>
    </w:pPr>
    <w:rPr>
      <w:rFonts w:ascii="Verdana" w:hAnsi="Verdana"/>
      <w:color w:val="000000"/>
    </w:rPr>
  </w:style>
  <w:style w:type="character" w:customStyle="1" w:styleId="BodyECRChar">
    <w:name w:val="Body ECR Char"/>
    <w:basedOn w:val="DefaultParagraphFont"/>
    <w:link w:val="BodyECR"/>
    <w:locked/>
    <w:rsid w:val="00320AD3"/>
    <w:rPr>
      <w:color w:val="000000"/>
      <w:sz w:val="22"/>
      <w:lang w:val="en-US" w:eastAsia="en-US" w:bidi="ar-SA"/>
    </w:rPr>
  </w:style>
  <w:style w:type="character" w:customStyle="1" w:styleId="FigNoCaptionChar1">
    <w:name w:val="Fig. No./Caption Char1"/>
    <w:basedOn w:val="DefaultParagraphFont"/>
    <w:link w:val="FigNoCaption"/>
    <w:locked/>
    <w:rsid w:val="00320AD3"/>
    <w:rPr>
      <w:rFonts w:ascii="Verdana" w:hAnsi="Verdana"/>
      <w:color w:val="000000"/>
      <w:lang w:val="en-US" w:eastAsia="en-US" w:bidi="ar-SA"/>
    </w:rPr>
  </w:style>
  <w:style w:type="character" w:customStyle="1" w:styleId="CaptionChar">
    <w:name w:val="Caption Char"/>
    <w:basedOn w:val="DefaultParagraphFont"/>
    <w:link w:val="Caption"/>
    <w:uiPriority w:val="99"/>
    <w:locked/>
    <w:rsid w:val="003B37D3"/>
    <w:rPr>
      <w:rFonts w:ascii="Arial" w:hAnsi="Arial" w:cs="Times New Roman"/>
      <w:b/>
      <w:i/>
    </w:rPr>
  </w:style>
  <w:style w:type="paragraph" w:styleId="Subtitle">
    <w:name w:val="Subtitle"/>
    <w:basedOn w:val="Normal"/>
    <w:next w:val="Normal"/>
    <w:link w:val="SubtitleChar"/>
    <w:uiPriority w:val="99"/>
    <w:qFormat/>
    <w:rsid w:val="003B37D3"/>
    <w:pPr>
      <w:numPr>
        <w:ilvl w:val="1"/>
      </w:numPr>
    </w:pPr>
    <w:rPr>
      <w:rFonts w:ascii="Cambria" w:hAnsi="Cambria"/>
      <w:i/>
      <w:iCs/>
      <w:color w:val="4F81BD"/>
      <w:spacing w:val="15"/>
    </w:rPr>
  </w:style>
  <w:style w:type="character" w:customStyle="1" w:styleId="SubtitleChar">
    <w:name w:val="Subtitle Char"/>
    <w:basedOn w:val="DefaultParagraphFont"/>
    <w:link w:val="Subtitle"/>
    <w:uiPriority w:val="99"/>
    <w:locked/>
    <w:rsid w:val="003B37D3"/>
    <w:rPr>
      <w:rFonts w:ascii="Cambria" w:hAnsi="Cambria" w:cs="Times New Roman"/>
      <w:i/>
      <w:iCs/>
      <w:color w:val="4F81BD"/>
      <w:spacing w:val="15"/>
      <w:sz w:val="24"/>
      <w:szCs w:val="24"/>
    </w:rPr>
  </w:style>
  <w:style w:type="paragraph" w:styleId="Title">
    <w:name w:val="Title"/>
    <w:basedOn w:val="Normal"/>
    <w:link w:val="TitleChar"/>
    <w:uiPriority w:val="99"/>
    <w:qFormat/>
    <w:rsid w:val="003B37D3"/>
    <w:pPr>
      <w:jc w:val="center"/>
    </w:pPr>
    <w:rPr>
      <w:rFonts w:ascii="Arial" w:hAnsi="Arial"/>
      <w:b/>
      <w:sz w:val="36"/>
      <w:szCs w:val="20"/>
    </w:rPr>
  </w:style>
  <w:style w:type="character" w:customStyle="1" w:styleId="TitleChar">
    <w:name w:val="Title Char"/>
    <w:basedOn w:val="DefaultParagraphFont"/>
    <w:link w:val="Title"/>
    <w:uiPriority w:val="99"/>
    <w:locked/>
    <w:rsid w:val="003B37D3"/>
    <w:rPr>
      <w:rFonts w:ascii="Arial" w:hAnsi="Arial" w:cs="Times New Roman"/>
      <w:b/>
      <w:sz w:val="36"/>
    </w:rPr>
  </w:style>
  <w:style w:type="character" w:customStyle="1" w:styleId="CharChar">
    <w:name w:val="Char Char"/>
    <w:basedOn w:val="DefaultParagraphFont"/>
    <w:uiPriority w:val="99"/>
    <w:rsid w:val="003B37D3"/>
    <w:rPr>
      <w:rFonts w:ascii="Tahoma" w:hAnsi="Tahoma" w:cs="Tahoma"/>
      <w:b/>
      <w:bCs/>
      <w:shadow/>
      <w:color w:val="800080"/>
      <w:sz w:val="24"/>
      <w:szCs w:val="24"/>
      <w:lang w:val="en-US" w:eastAsia="en-US" w:bidi="ar-SA"/>
    </w:rPr>
  </w:style>
  <w:style w:type="paragraph" w:customStyle="1" w:styleId="Heading1-A">
    <w:name w:val="Heading 1-A"/>
    <w:basedOn w:val="Heading1"/>
    <w:uiPriority w:val="99"/>
    <w:rsid w:val="003B37D3"/>
    <w:pPr>
      <w:spacing w:before="0" w:after="360"/>
      <w:jc w:val="left"/>
    </w:pPr>
    <w:rPr>
      <w:rFonts w:cs="Tahoma"/>
      <w:color w:val="800080"/>
      <w:kern w:val="0"/>
      <w:sz w:val="32"/>
      <w:szCs w:val="24"/>
    </w:rPr>
  </w:style>
  <w:style w:type="character" w:customStyle="1" w:styleId="BodytextreducedChar">
    <w:name w:val="Body text reduced Char"/>
    <w:basedOn w:val="BodytextChar1"/>
    <w:link w:val="Bodytextreduced"/>
    <w:locked/>
    <w:rsid w:val="003B37D3"/>
  </w:style>
  <w:style w:type="paragraph" w:customStyle="1" w:styleId="Subbullet">
    <w:name w:val="Subbullet"/>
    <w:basedOn w:val="Normal"/>
    <w:uiPriority w:val="99"/>
    <w:rsid w:val="003B37D3"/>
    <w:pPr>
      <w:numPr>
        <w:ilvl w:val="1"/>
        <w:numId w:val="14"/>
      </w:numPr>
      <w:spacing w:after="60"/>
      <w:ind w:left="860"/>
    </w:pPr>
    <w:rPr>
      <w:rFonts w:ascii="Arial" w:hAnsi="Arial" w:cs="Arial"/>
      <w:sz w:val="20"/>
      <w:szCs w:val="22"/>
    </w:rPr>
  </w:style>
  <w:style w:type="paragraph" w:customStyle="1" w:styleId="Heading2-A">
    <w:name w:val="Heading 2-A"/>
    <w:basedOn w:val="Heading2"/>
    <w:uiPriority w:val="99"/>
    <w:rsid w:val="003B37D3"/>
    <w:pPr>
      <w:spacing w:before="0"/>
      <w:ind w:left="1300" w:hanging="1300"/>
    </w:pPr>
    <w:rPr>
      <w:rFonts w:ascii="Tahoma" w:hAnsi="Tahoma" w:cs="Tahoma"/>
      <w:bCs/>
      <w:shadow/>
      <w:color w:val="800080"/>
      <w:sz w:val="28"/>
      <w:szCs w:val="24"/>
    </w:rPr>
  </w:style>
  <w:style w:type="paragraph" w:customStyle="1" w:styleId="Numberedlist">
    <w:name w:val="Numbered list"/>
    <w:basedOn w:val="Normal"/>
    <w:uiPriority w:val="99"/>
    <w:rsid w:val="003B37D3"/>
    <w:pPr>
      <w:numPr>
        <w:numId w:val="13"/>
      </w:numPr>
      <w:spacing w:after="240"/>
    </w:pPr>
    <w:rPr>
      <w:rFonts w:ascii="Arial" w:hAnsi="Arial" w:cs="Arial"/>
      <w:i/>
      <w:sz w:val="22"/>
      <w:szCs w:val="22"/>
    </w:rPr>
  </w:style>
  <w:style w:type="paragraph" w:styleId="Revision">
    <w:name w:val="Revision"/>
    <w:hidden/>
    <w:uiPriority w:val="99"/>
    <w:semiHidden/>
    <w:rsid w:val="003B37D3"/>
    <w:rPr>
      <w:sz w:val="24"/>
      <w:szCs w:val="24"/>
    </w:rPr>
  </w:style>
  <w:style w:type="paragraph" w:customStyle="1" w:styleId="Tabledescription">
    <w:name w:val="Table description"/>
    <w:basedOn w:val="Normal"/>
    <w:qFormat/>
    <w:rsid w:val="00EE47B8"/>
    <w:pPr>
      <w:jc w:val="center"/>
    </w:pPr>
    <w:rPr>
      <w:rFonts w:ascii="Arial" w:hAnsi="Arial"/>
      <w:b/>
      <w:i/>
      <w:sz w:val="18"/>
      <w:szCs w:val="18"/>
    </w:rPr>
  </w:style>
  <w:style w:type="paragraph" w:customStyle="1" w:styleId="TabledescriptionBF">
    <w:name w:val="Table description BF"/>
    <w:basedOn w:val="Tabledescription"/>
    <w:qFormat/>
    <w:rsid w:val="00662D0D"/>
    <w:rPr>
      <w:b w:val="0"/>
    </w:rPr>
  </w:style>
  <w:style w:type="paragraph" w:customStyle="1" w:styleId="Tabletextreduced">
    <w:name w:val="Table text reduced"/>
    <w:basedOn w:val="Normal"/>
    <w:rsid w:val="00336540"/>
    <w:rPr>
      <w:rFonts w:cs="Arial"/>
      <w:sz w:val="16"/>
      <w:szCs w:val="16"/>
    </w:rPr>
  </w:style>
  <w:style w:type="paragraph" w:customStyle="1" w:styleId="Footnotetextbulleted">
    <w:name w:val="Footnote text bulleted"/>
    <w:basedOn w:val="FootnoteText"/>
    <w:qFormat/>
    <w:rsid w:val="00E96E2F"/>
    <w:pPr>
      <w:numPr>
        <w:numId w:val="17"/>
      </w:numPr>
      <w:spacing w:after="60"/>
    </w:pPr>
    <w:rPr>
      <w:i/>
    </w:rPr>
  </w:style>
  <w:style w:type="paragraph" w:styleId="NoSpacing">
    <w:name w:val="No Spacing"/>
    <w:uiPriority w:val="1"/>
    <w:qFormat/>
    <w:rsid w:val="00B13F40"/>
    <w:rPr>
      <w:sz w:val="24"/>
    </w:rPr>
  </w:style>
  <w:style w:type="paragraph" w:customStyle="1" w:styleId="Tableheading106">
    <w:name w:val="Table heading 106"/>
    <w:basedOn w:val="Normal"/>
    <w:link w:val="Tableheading106Char"/>
    <w:qFormat/>
    <w:rsid w:val="00FF4CBF"/>
    <w:pPr>
      <w:jc w:val="center"/>
    </w:pPr>
    <w:rPr>
      <w:rFonts w:ascii="Arial" w:hAnsi="Arial" w:cs="Arial"/>
      <w:b/>
      <w:i/>
      <w:sz w:val="20"/>
    </w:rPr>
  </w:style>
  <w:style w:type="character" w:customStyle="1" w:styleId="Tableheading106Char">
    <w:name w:val="Table heading 106 Char"/>
    <w:basedOn w:val="DefaultParagraphFont"/>
    <w:link w:val="Tableheading106"/>
    <w:locked/>
    <w:rsid w:val="00FF4CBF"/>
    <w:rPr>
      <w:rFonts w:ascii="Arial" w:hAnsi="Arial" w:cs="Arial"/>
      <w:b/>
      <w:i/>
      <w:sz w:val="24"/>
      <w:szCs w:val="24"/>
    </w:rPr>
  </w:style>
  <w:style w:type="paragraph" w:customStyle="1" w:styleId="Tablefootnote">
    <w:name w:val="Table footnote"/>
    <w:basedOn w:val="TableText"/>
    <w:rsid w:val="00E86B70"/>
    <w:rPr>
      <w:rFonts w:cs="Arial"/>
      <w:sz w:val="16"/>
      <w:szCs w:val="18"/>
    </w:rPr>
  </w:style>
  <w:style w:type="paragraph" w:customStyle="1" w:styleId="reference">
    <w:name w:val="reference"/>
    <w:basedOn w:val="Normal"/>
    <w:rsid w:val="00FA232C"/>
    <w:pPr>
      <w:spacing w:before="100" w:beforeAutospacing="1" w:after="120"/>
      <w:ind w:left="936" w:right="720" w:hanging="720"/>
    </w:pPr>
    <w:rPr>
      <w:sz w:val="22"/>
      <w:szCs w:val="22"/>
    </w:rPr>
  </w:style>
  <w:style w:type="numbering" w:styleId="111111">
    <w:name w:val="Outline List 2"/>
    <w:basedOn w:val="NoList"/>
    <w:uiPriority w:val="99"/>
    <w:semiHidden/>
    <w:unhideWhenUsed/>
    <w:rsid w:val="00F62F91"/>
    <w:pPr>
      <w:numPr>
        <w:numId w:val="12"/>
      </w:numPr>
    </w:pPr>
  </w:style>
</w:styles>
</file>

<file path=word/webSettings.xml><?xml version="1.0" encoding="utf-8"?>
<w:webSettings xmlns:r="http://schemas.openxmlformats.org/officeDocument/2006/relationships" xmlns:w="http://schemas.openxmlformats.org/wordprocessingml/2006/main">
  <w:divs>
    <w:div w:id="582372149">
      <w:marLeft w:val="0"/>
      <w:marRight w:val="0"/>
      <w:marTop w:val="0"/>
      <w:marBottom w:val="0"/>
      <w:divBdr>
        <w:top w:val="none" w:sz="0" w:space="0" w:color="auto"/>
        <w:left w:val="none" w:sz="0" w:space="0" w:color="auto"/>
        <w:bottom w:val="none" w:sz="0" w:space="0" w:color="auto"/>
        <w:right w:val="none" w:sz="0" w:space="0" w:color="auto"/>
      </w:divBdr>
      <w:divsChild>
        <w:div w:id="582372190">
          <w:marLeft w:val="0"/>
          <w:marRight w:val="0"/>
          <w:marTop w:val="0"/>
          <w:marBottom w:val="0"/>
          <w:divBdr>
            <w:top w:val="none" w:sz="0" w:space="0" w:color="auto"/>
            <w:left w:val="none" w:sz="0" w:space="0" w:color="auto"/>
            <w:bottom w:val="none" w:sz="0" w:space="0" w:color="auto"/>
            <w:right w:val="none" w:sz="0" w:space="0" w:color="auto"/>
          </w:divBdr>
          <w:divsChild>
            <w:div w:id="5823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372151">
      <w:marLeft w:val="0"/>
      <w:marRight w:val="0"/>
      <w:marTop w:val="0"/>
      <w:marBottom w:val="0"/>
      <w:divBdr>
        <w:top w:val="none" w:sz="0" w:space="0" w:color="auto"/>
        <w:left w:val="none" w:sz="0" w:space="0" w:color="auto"/>
        <w:bottom w:val="none" w:sz="0" w:space="0" w:color="auto"/>
        <w:right w:val="none" w:sz="0" w:space="0" w:color="auto"/>
      </w:divBdr>
    </w:div>
    <w:div w:id="582372152">
      <w:marLeft w:val="0"/>
      <w:marRight w:val="0"/>
      <w:marTop w:val="0"/>
      <w:marBottom w:val="0"/>
      <w:divBdr>
        <w:top w:val="none" w:sz="0" w:space="0" w:color="auto"/>
        <w:left w:val="none" w:sz="0" w:space="0" w:color="auto"/>
        <w:bottom w:val="none" w:sz="0" w:space="0" w:color="auto"/>
        <w:right w:val="none" w:sz="0" w:space="0" w:color="auto"/>
      </w:divBdr>
    </w:div>
    <w:div w:id="582372153">
      <w:marLeft w:val="0"/>
      <w:marRight w:val="0"/>
      <w:marTop w:val="0"/>
      <w:marBottom w:val="0"/>
      <w:divBdr>
        <w:top w:val="none" w:sz="0" w:space="0" w:color="auto"/>
        <w:left w:val="none" w:sz="0" w:space="0" w:color="auto"/>
        <w:bottom w:val="none" w:sz="0" w:space="0" w:color="auto"/>
        <w:right w:val="none" w:sz="0" w:space="0" w:color="auto"/>
      </w:divBdr>
    </w:div>
    <w:div w:id="582372156">
      <w:marLeft w:val="0"/>
      <w:marRight w:val="0"/>
      <w:marTop w:val="0"/>
      <w:marBottom w:val="0"/>
      <w:divBdr>
        <w:top w:val="none" w:sz="0" w:space="0" w:color="auto"/>
        <w:left w:val="none" w:sz="0" w:space="0" w:color="auto"/>
        <w:bottom w:val="none" w:sz="0" w:space="0" w:color="auto"/>
        <w:right w:val="none" w:sz="0" w:space="0" w:color="auto"/>
      </w:divBdr>
    </w:div>
    <w:div w:id="582372160">
      <w:marLeft w:val="0"/>
      <w:marRight w:val="0"/>
      <w:marTop w:val="0"/>
      <w:marBottom w:val="0"/>
      <w:divBdr>
        <w:top w:val="none" w:sz="0" w:space="0" w:color="auto"/>
        <w:left w:val="none" w:sz="0" w:space="0" w:color="auto"/>
        <w:bottom w:val="none" w:sz="0" w:space="0" w:color="auto"/>
        <w:right w:val="none" w:sz="0" w:space="0" w:color="auto"/>
      </w:divBdr>
      <w:divsChild>
        <w:div w:id="582372155">
          <w:marLeft w:val="0"/>
          <w:marRight w:val="0"/>
          <w:marTop w:val="0"/>
          <w:marBottom w:val="0"/>
          <w:divBdr>
            <w:top w:val="none" w:sz="0" w:space="0" w:color="auto"/>
            <w:left w:val="none" w:sz="0" w:space="0" w:color="auto"/>
            <w:bottom w:val="none" w:sz="0" w:space="0" w:color="auto"/>
            <w:right w:val="none" w:sz="0" w:space="0" w:color="auto"/>
          </w:divBdr>
          <w:divsChild>
            <w:div w:id="58237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372162">
      <w:marLeft w:val="0"/>
      <w:marRight w:val="0"/>
      <w:marTop w:val="0"/>
      <w:marBottom w:val="0"/>
      <w:divBdr>
        <w:top w:val="none" w:sz="0" w:space="0" w:color="auto"/>
        <w:left w:val="none" w:sz="0" w:space="0" w:color="auto"/>
        <w:bottom w:val="none" w:sz="0" w:space="0" w:color="auto"/>
        <w:right w:val="none" w:sz="0" w:space="0" w:color="auto"/>
      </w:divBdr>
    </w:div>
    <w:div w:id="582372165">
      <w:marLeft w:val="0"/>
      <w:marRight w:val="0"/>
      <w:marTop w:val="0"/>
      <w:marBottom w:val="0"/>
      <w:divBdr>
        <w:top w:val="none" w:sz="0" w:space="0" w:color="auto"/>
        <w:left w:val="none" w:sz="0" w:space="0" w:color="auto"/>
        <w:bottom w:val="none" w:sz="0" w:space="0" w:color="auto"/>
        <w:right w:val="none" w:sz="0" w:space="0" w:color="auto"/>
      </w:divBdr>
      <w:divsChild>
        <w:div w:id="582372163">
          <w:marLeft w:val="0"/>
          <w:marRight w:val="0"/>
          <w:marTop w:val="0"/>
          <w:marBottom w:val="0"/>
          <w:divBdr>
            <w:top w:val="none" w:sz="0" w:space="0" w:color="auto"/>
            <w:left w:val="none" w:sz="0" w:space="0" w:color="auto"/>
            <w:bottom w:val="none" w:sz="0" w:space="0" w:color="auto"/>
            <w:right w:val="none" w:sz="0" w:space="0" w:color="auto"/>
          </w:divBdr>
        </w:div>
        <w:div w:id="582372167">
          <w:marLeft w:val="0"/>
          <w:marRight w:val="0"/>
          <w:marTop w:val="0"/>
          <w:marBottom w:val="0"/>
          <w:divBdr>
            <w:top w:val="none" w:sz="0" w:space="0" w:color="auto"/>
            <w:left w:val="none" w:sz="0" w:space="0" w:color="auto"/>
            <w:bottom w:val="none" w:sz="0" w:space="0" w:color="auto"/>
            <w:right w:val="none" w:sz="0" w:space="0" w:color="auto"/>
          </w:divBdr>
        </w:div>
        <w:div w:id="582372178">
          <w:marLeft w:val="0"/>
          <w:marRight w:val="0"/>
          <w:marTop w:val="0"/>
          <w:marBottom w:val="0"/>
          <w:divBdr>
            <w:top w:val="none" w:sz="0" w:space="0" w:color="auto"/>
            <w:left w:val="none" w:sz="0" w:space="0" w:color="auto"/>
            <w:bottom w:val="none" w:sz="0" w:space="0" w:color="auto"/>
            <w:right w:val="none" w:sz="0" w:space="0" w:color="auto"/>
          </w:divBdr>
        </w:div>
        <w:div w:id="582372191">
          <w:marLeft w:val="0"/>
          <w:marRight w:val="0"/>
          <w:marTop w:val="0"/>
          <w:marBottom w:val="0"/>
          <w:divBdr>
            <w:top w:val="none" w:sz="0" w:space="0" w:color="auto"/>
            <w:left w:val="none" w:sz="0" w:space="0" w:color="auto"/>
            <w:bottom w:val="none" w:sz="0" w:space="0" w:color="auto"/>
            <w:right w:val="none" w:sz="0" w:space="0" w:color="auto"/>
          </w:divBdr>
        </w:div>
        <w:div w:id="582372192">
          <w:marLeft w:val="0"/>
          <w:marRight w:val="0"/>
          <w:marTop w:val="0"/>
          <w:marBottom w:val="0"/>
          <w:divBdr>
            <w:top w:val="none" w:sz="0" w:space="0" w:color="auto"/>
            <w:left w:val="none" w:sz="0" w:space="0" w:color="auto"/>
            <w:bottom w:val="none" w:sz="0" w:space="0" w:color="auto"/>
            <w:right w:val="none" w:sz="0" w:space="0" w:color="auto"/>
          </w:divBdr>
        </w:div>
      </w:divsChild>
    </w:div>
    <w:div w:id="582372170">
      <w:marLeft w:val="0"/>
      <w:marRight w:val="0"/>
      <w:marTop w:val="0"/>
      <w:marBottom w:val="0"/>
      <w:divBdr>
        <w:top w:val="none" w:sz="0" w:space="0" w:color="auto"/>
        <w:left w:val="none" w:sz="0" w:space="0" w:color="auto"/>
        <w:bottom w:val="none" w:sz="0" w:space="0" w:color="auto"/>
        <w:right w:val="none" w:sz="0" w:space="0" w:color="auto"/>
      </w:divBdr>
      <w:divsChild>
        <w:div w:id="582372171">
          <w:marLeft w:val="0"/>
          <w:marRight w:val="0"/>
          <w:marTop w:val="0"/>
          <w:marBottom w:val="0"/>
          <w:divBdr>
            <w:top w:val="none" w:sz="0" w:space="0" w:color="auto"/>
            <w:left w:val="none" w:sz="0" w:space="0" w:color="auto"/>
            <w:bottom w:val="none" w:sz="0" w:space="0" w:color="auto"/>
            <w:right w:val="none" w:sz="0" w:space="0" w:color="auto"/>
          </w:divBdr>
          <w:divsChild>
            <w:div w:id="58237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372175">
      <w:marLeft w:val="0"/>
      <w:marRight w:val="0"/>
      <w:marTop w:val="0"/>
      <w:marBottom w:val="0"/>
      <w:divBdr>
        <w:top w:val="none" w:sz="0" w:space="0" w:color="auto"/>
        <w:left w:val="none" w:sz="0" w:space="0" w:color="auto"/>
        <w:bottom w:val="none" w:sz="0" w:space="0" w:color="auto"/>
        <w:right w:val="none" w:sz="0" w:space="0" w:color="auto"/>
      </w:divBdr>
    </w:div>
    <w:div w:id="582372176">
      <w:marLeft w:val="0"/>
      <w:marRight w:val="0"/>
      <w:marTop w:val="0"/>
      <w:marBottom w:val="0"/>
      <w:divBdr>
        <w:top w:val="none" w:sz="0" w:space="0" w:color="auto"/>
        <w:left w:val="none" w:sz="0" w:space="0" w:color="auto"/>
        <w:bottom w:val="none" w:sz="0" w:space="0" w:color="auto"/>
        <w:right w:val="none" w:sz="0" w:space="0" w:color="auto"/>
      </w:divBdr>
    </w:div>
    <w:div w:id="582372177">
      <w:marLeft w:val="0"/>
      <w:marRight w:val="0"/>
      <w:marTop w:val="0"/>
      <w:marBottom w:val="0"/>
      <w:divBdr>
        <w:top w:val="none" w:sz="0" w:space="0" w:color="auto"/>
        <w:left w:val="none" w:sz="0" w:space="0" w:color="auto"/>
        <w:bottom w:val="none" w:sz="0" w:space="0" w:color="auto"/>
        <w:right w:val="none" w:sz="0" w:space="0" w:color="auto"/>
      </w:divBdr>
    </w:div>
    <w:div w:id="582372180">
      <w:marLeft w:val="0"/>
      <w:marRight w:val="0"/>
      <w:marTop w:val="0"/>
      <w:marBottom w:val="0"/>
      <w:divBdr>
        <w:top w:val="none" w:sz="0" w:space="0" w:color="auto"/>
        <w:left w:val="none" w:sz="0" w:space="0" w:color="auto"/>
        <w:bottom w:val="none" w:sz="0" w:space="0" w:color="auto"/>
        <w:right w:val="none" w:sz="0" w:space="0" w:color="auto"/>
      </w:divBdr>
      <w:divsChild>
        <w:div w:id="582372168">
          <w:marLeft w:val="0"/>
          <w:marRight w:val="0"/>
          <w:marTop w:val="0"/>
          <w:marBottom w:val="0"/>
          <w:divBdr>
            <w:top w:val="none" w:sz="0" w:space="0" w:color="auto"/>
            <w:left w:val="none" w:sz="0" w:space="0" w:color="auto"/>
            <w:bottom w:val="none" w:sz="0" w:space="0" w:color="auto"/>
            <w:right w:val="none" w:sz="0" w:space="0" w:color="auto"/>
          </w:divBdr>
          <w:divsChild>
            <w:div w:id="582372150">
              <w:marLeft w:val="0"/>
              <w:marRight w:val="0"/>
              <w:marTop w:val="0"/>
              <w:marBottom w:val="0"/>
              <w:divBdr>
                <w:top w:val="none" w:sz="0" w:space="0" w:color="auto"/>
                <w:left w:val="none" w:sz="0" w:space="0" w:color="auto"/>
                <w:bottom w:val="none" w:sz="0" w:space="0" w:color="auto"/>
                <w:right w:val="none" w:sz="0" w:space="0" w:color="auto"/>
              </w:divBdr>
            </w:div>
            <w:div w:id="582372174">
              <w:marLeft w:val="0"/>
              <w:marRight w:val="0"/>
              <w:marTop w:val="0"/>
              <w:marBottom w:val="0"/>
              <w:divBdr>
                <w:top w:val="none" w:sz="0" w:space="0" w:color="auto"/>
                <w:left w:val="none" w:sz="0" w:space="0" w:color="auto"/>
                <w:bottom w:val="none" w:sz="0" w:space="0" w:color="auto"/>
                <w:right w:val="none" w:sz="0" w:space="0" w:color="auto"/>
              </w:divBdr>
              <w:divsChild>
                <w:div w:id="582372158">
                  <w:marLeft w:val="0"/>
                  <w:marRight w:val="0"/>
                  <w:marTop w:val="0"/>
                  <w:marBottom w:val="0"/>
                  <w:divBdr>
                    <w:top w:val="none" w:sz="0" w:space="0" w:color="auto"/>
                    <w:left w:val="none" w:sz="0" w:space="0" w:color="auto"/>
                    <w:bottom w:val="none" w:sz="0" w:space="0" w:color="auto"/>
                    <w:right w:val="none" w:sz="0" w:space="0" w:color="auto"/>
                  </w:divBdr>
                </w:div>
                <w:div w:id="582372189">
                  <w:marLeft w:val="0"/>
                  <w:marRight w:val="0"/>
                  <w:marTop w:val="0"/>
                  <w:marBottom w:val="0"/>
                  <w:divBdr>
                    <w:top w:val="none" w:sz="0" w:space="0" w:color="auto"/>
                    <w:left w:val="none" w:sz="0" w:space="0" w:color="auto"/>
                    <w:bottom w:val="none" w:sz="0" w:space="0" w:color="auto"/>
                    <w:right w:val="none" w:sz="0" w:space="0" w:color="auto"/>
                  </w:divBdr>
                </w:div>
                <w:div w:id="582372200">
                  <w:marLeft w:val="0"/>
                  <w:marRight w:val="0"/>
                  <w:marTop w:val="0"/>
                  <w:marBottom w:val="0"/>
                  <w:divBdr>
                    <w:top w:val="none" w:sz="0" w:space="0" w:color="auto"/>
                    <w:left w:val="none" w:sz="0" w:space="0" w:color="auto"/>
                    <w:bottom w:val="none" w:sz="0" w:space="0" w:color="auto"/>
                    <w:right w:val="none" w:sz="0" w:space="0" w:color="auto"/>
                  </w:divBdr>
                </w:div>
                <w:div w:id="582372201">
                  <w:marLeft w:val="0"/>
                  <w:marRight w:val="0"/>
                  <w:marTop w:val="0"/>
                  <w:marBottom w:val="0"/>
                  <w:divBdr>
                    <w:top w:val="none" w:sz="0" w:space="0" w:color="auto"/>
                    <w:left w:val="none" w:sz="0" w:space="0" w:color="auto"/>
                    <w:bottom w:val="none" w:sz="0" w:space="0" w:color="auto"/>
                    <w:right w:val="none" w:sz="0" w:space="0" w:color="auto"/>
                  </w:divBdr>
                </w:div>
              </w:divsChild>
            </w:div>
            <w:div w:id="582372179">
              <w:marLeft w:val="0"/>
              <w:marRight w:val="0"/>
              <w:marTop w:val="0"/>
              <w:marBottom w:val="0"/>
              <w:divBdr>
                <w:top w:val="none" w:sz="0" w:space="0" w:color="auto"/>
                <w:left w:val="none" w:sz="0" w:space="0" w:color="auto"/>
                <w:bottom w:val="none" w:sz="0" w:space="0" w:color="auto"/>
                <w:right w:val="none" w:sz="0" w:space="0" w:color="auto"/>
              </w:divBdr>
              <w:divsChild>
                <w:div w:id="582372188">
                  <w:marLeft w:val="0"/>
                  <w:marRight w:val="0"/>
                  <w:marTop w:val="0"/>
                  <w:marBottom w:val="0"/>
                  <w:divBdr>
                    <w:top w:val="none" w:sz="0" w:space="0" w:color="auto"/>
                    <w:left w:val="none" w:sz="0" w:space="0" w:color="auto"/>
                    <w:bottom w:val="none" w:sz="0" w:space="0" w:color="auto"/>
                    <w:right w:val="none" w:sz="0" w:space="0" w:color="auto"/>
                  </w:divBdr>
                  <w:divsChild>
                    <w:div w:id="5823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372181">
      <w:marLeft w:val="0"/>
      <w:marRight w:val="0"/>
      <w:marTop w:val="0"/>
      <w:marBottom w:val="0"/>
      <w:divBdr>
        <w:top w:val="none" w:sz="0" w:space="0" w:color="auto"/>
        <w:left w:val="none" w:sz="0" w:space="0" w:color="auto"/>
        <w:bottom w:val="none" w:sz="0" w:space="0" w:color="auto"/>
        <w:right w:val="none" w:sz="0" w:space="0" w:color="auto"/>
      </w:divBdr>
      <w:divsChild>
        <w:div w:id="582372159">
          <w:marLeft w:val="0"/>
          <w:marRight w:val="0"/>
          <w:marTop w:val="0"/>
          <w:marBottom w:val="0"/>
          <w:divBdr>
            <w:top w:val="none" w:sz="0" w:space="0" w:color="auto"/>
            <w:left w:val="none" w:sz="0" w:space="0" w:color="auto"/>
            <w:bottom w:val="none" w:sz="0" w:space="0" w:color="auto"/>
            <w:right w:val="none" w:sz="0" w:space="0" w:color="auto"/>
          </w:divBdr>
          <w:divsChild>
            <w:div w:id="58237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372182">
      <w:marLeft w:val="0"/>
      <w:marRight w:val="0"/>
      <w:marTop w:val="0"/>
      <w:marBottom w:val="0"/>
      <w:divBdr>
        <w:top w:val="none" w:sz="0" w:space="0" w:color="auto"/>
        <w:left w:val="none" w:sz="0" w:space="0" w:color="auto"/>
        <w:bottom w:val="none" w:sz="0" w:space="0" w:color="auto"/>
        <w:right w:val="none" w:sz="0" w:space="0" w:color="auto"/>
      </w:divBdr>
    </w:div>
    <w:div w:id="582372184">
      <w:marLeft w:val="0"/>
      <w:marRight w:val="0"/>
      <w:marTop w:val="0"/>
      <w:marBottom w:val="0"/>
      <w:divBdr>
        <w:top w:val="none" w:sz="0" w:space="0" w:color="auto"/>
        <w:left w:val="none" w:sz="0" w:space="0" w:color="auto"/>
        <w:bottom w:val="none" w:sz="0" w:space="0" w:color="auto"/>
        <w:right w:val="none" w:sz="0" w:space="0" w:color="auto"/>
      </w:divBdr>
    </w:div>
    <w:div w:id="582372185">
      <w:marLeft w:val="0"/>
      <w:marRight w:val="0"/>
      <w:marTop w:val="0"/>
      <w:marBottom w:val="0"/>
      <w:divBdr>
        <w:top w:val="none" w:sz="0" w:space="0" w:color="auto"/>
        <w:left w:val="none" w:sz="0" w:space="0" w:color="auto"/>
        <w:bottom w:val="none" w:sz="0" w:space="0" w:color="auto"/>
        <w:right w:val="none" w:sz="0" w:space="0" w:color="auto"/>
      </w:divBdr>
    </w:div>
    <w:div w:id="582372186">
      <w:marLeft w:val="0"/>
      <w:marRight w:val="0"/>
      <w:marTop w:val="0"/>
      <w:marBottom w:val="0"/>
      <w:divBdr>
        <w:top w:val="none" w:sz="0" w:space="0" w:color="auto"/>
        <w:left w:val="none" w:sz="0" w:space="0" w:color="auto"/>
        <w:bottom w:val="none" w:sz="0" w:space="0" w:color="auto"/>
        <w:right w:val="none" w:sz="0" w:space="0" w:color="auto"/>
      </w:divBdr>
      <w:divsChild>
        <w:div w:id="582372183">
          <w:marLeft w:val="0"/>
          <w:marRight w:val="0"/>
          <w:marTop w:val="0"/>
          <w:marBottom w:val="0"/>
          <w:divBdr>
            <w:top w:val="none" w:sz="0" w:space="0" w:color="auto"/>
            <w:left w:val="none" w:sz="0" w:space="0" w:color="auto"/>
            <w:bottom w:val="none" w:sz="0" w:space="0" w:color="auto"/>
            <w:right w:val="none" w:sz="0" w:space="0" w:color="auto"/>
          </w:divBdr>
          <w:divsChild>
            <w:div w:id="5823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372187">
      <w:marLeft w:val="0"/>
      <w:marRight w:val="0"/>
      <w:marTop w:val="0"/>
      <w:marBottom w:val="0"/>
      <w:divBdr>
        <w:top w:val="none" w:sz="0" w:space="0" w:color="auto"/>
        <w:left w:val="none" w:sz="0" w:space="0" w:color="auto"/>
        <w:bottom w:val="none" w:sz="0" w:space="0" w:color="auto"/>
        <w:right w:val="none" w:sz="0" w:space="0" w:color="auto"/>
      </w:divBdr>
    </w:div>
    <w:div w:id="582372194">
      <w:marLeft w:val="0"/>
      <w:marRight w:val="0"/>
      <w:marTop w:val="0"/>
      <w:marBottom w:val="0"/>
      <w:divBdr>
        <w:top w:val="none" w:sz="0" w:space="0" w:color="auto"/>
        <w:left w:val="none" w:sz="0" w:space="0" w:color="auto"/>
        <w:bottom w:val="none" w:sz="0" w:space="0" w:color="auto"/>
        <w:right w:val="none" w:sz="0" w:space="0" w:color="auto"/>
      </w:divBdr>
    </w:div>
    <w:div w:id="582372195">
      <w:marLeft w:val="0"/>
      <w:marRight w:val="0"/>
      <w:marTop w:val="0"/>
      <w:marBottom w:val="0"/>
      <w:divBdr>
        <w:top w:val="none" w:sz="0" w:space="0" w:color="auto"/>
        <w:left w:val="none" w:sz="0" w:space="0" w:color="auto"/>
        <w:bottom w:val="none" w:sz="0" w:space="0" w:color="auto"/>
        <w:right w:val="none" w:sz="0" w:space="0" w:color="auto"/>
      </w:divBdr>
      <w:divsChild>
        <w:div w:id="582372169">
          <w:marLeft w:val="0"/>
          <w:marRight w:val="0"/>
          <w:marTop w:val="0"/>
          <w:marBottom w:val="0"/>
          <w:divBdr>
            <w:top w:val="none" w:sz="0" w:space="0" w:color="auto"/>
            <w:left w:val="none" w:sz="0" w:space="0" w:color="auto"/>
            <w:bottom w:val="none" w:sz="0" w:space="0" w:color="auto"/>
            <w:right w:val="none" w:sz="0" w:space="0" w:color="auto"/>
          </w:divBdr>
          <w:divsChild>
            <w:div w:id="58237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372196">
      <w:marLeft w:val="0"/>
      <w:marRight w:val="0"/>
      <w:marTop w:val="0"/>
      <w:marBottom w:val="0"/>
      <w:divBdr>
        <w:top w:val="none" w:sz="0" w:space="0" w:color="auto"/>
        <w:left w:val="none" w:sz="0" w:space="0" w:color="auto"/>
        <w:bottom w:val="none" w:sz="0" w:space="0" w:color="auto"/>
        <w:right w:val="none" w:sz="0" w:space="0" w:color="auto"/>
      </w:divBdr>
    </w:div>
    <w:div w:id="582372197">
      <w:marLeft w:val="0"/>
      <w:marRight w:val="0"/>
      <w:marTop w:val="0"/>
      <w:marBottom w:val="0"/>
      <w:divBdr>
        <w:top w:val="none" w:sz="0" w:space="0" w:color="auto"/>
        <w:left w:val="none" w:sz="0" w:space="0" w:color="auto"/>
        <w:bottom w:val="none" w:sz="0" w:space="0" w:color="auto"/>
        <w:right w:val="none" w:sz="0" w:space="0" w:color="auto"/>
      </w:divBdr>
    </w:div>
    <w:div w:id="582372198">
      <w:marLeft w:val="0"/>
      <w:marRight w:val="0"/>
      <w:marTop w:val="0"/>
      <w:marBottom w:val="0"/>
      <w:divBdr>
        <w:top w:val="none" w:sz="0" w:space="0" w:color="auto"/>
        <w:left w:val="none" w:sz="0" w:space="0" w:color="auto"/>
        <w:bottom w:val="none" w:sz="0" w:space="0" w:color="auto"/>
        <w:right w:val="none" w:sz="0" w:space="0" w:color="auto"/>
      </w:divBdr>
    </w:div>
    <w:div w:id="582372203">
      <w:marLeft w:val="0"/>
      <w:marRight w:val="0"/>
      <w:marTop w:val="0"/>
      <w:marBottom w:val="0"/>
      <w:divBdr>
        <w:top w:val="none" w:sz="0" w:space="0" w:color="auto"/>
        <w:left w:val="none" w:sz="0" w:space="0" w:color="auto"/>
        <w:bottom w:val="none" w:sz="0" w:space="0" w:color="auto"/>
        <w:right w:val="none" w:sz="0" w:space="0" w:color="auto"/>
      </w:divBdr>
      <w:divsChild>
        <w:div w:id="582372193">
          <w:marLeft w:val="0"/>
          <w:marRight w:val="0"/>
          <w:marTop w:val="0"/>
          <w:marBottom w:val="0"/>
          <w:divBdr>
            <w:top w:val="none" w:sz="0" w:space="0" w:color="auto"/>
            <w:left w:val="none" w:sz="0" w:space="0" w:color="auto"/>
            <w:bottom w:val="none" w:sz="0" w:space="0" w:color="auto"/>
            <w:right w:val="none" w:sz="0" w:space="0" w:color="auto"/>
          </w:divBdr>
          <w:divsChild>
            <w:div w:id="582372202">
              <w:marLeft w:val="0"/>
              <w:marRight w:val="0"/>
              <w:marTop w:val="0"/>
              <w:marBottom w:val="0"/>
              <w:divBdr>
                <w:top w:val="none" w:sz="0" w:space="0" w:color="auto"/>
                <w:left w:val="none" w:sz="0" w:space="0" w:color="auto"/>
                <w:bottom w:val="none" w:sz="0" w:space="0" w:color="auto"/>
                <w:right w:val="none" w:sz="0" w:space="0" w:color="auto"/>
              </w:divBdr>
              <w:divsChild>
                <w:div w:id="582372157">
                  <w:marLeft w:val="91"/>
                  <w:marRight w:val="76"/>
                  <w:marTop w:val="0"/>
                  <w:marBottom w:val="76"/>
                  <w:divBdr>
                    <w:top w:val="none" w:sz="0" w:space="0" w:color="auto"/>
                    <w:left w:val="single" w:sz="6" w:space="4" w:color="CCCCCC"/>
                    <w:bottom w:val="single" w:sz="6" w:space="4" w:color="CCCCCC"/>
                    <w:right w:val="single" w:sz="6" w:space="4" w:color="CCCCCC"/>
                  </w:divBdr>
                </w:div>
              </w:divsChild>
            </w:div>
          </w:divsChild>
        </w:div>
      </w:divsChild>
    </w:div>
    <w:div w:id="64332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40.jpeg"/><Relationship Id="rId299" Type="http://schemas.openxmlformats.org/officeDocument/2006/relationships/hyperlink" Target="http://www.stormwater.ucf.edu/" TargetMode="External"/><Relationship Id="rId303" Type="http://schemas.openxmlformats.org/officeDocument/2006/relationships/hyperlink" Target="http://quickfacts.census.gov/qfd/states/12000.html" TargetMode="External"/><Relationship Id="rId21" Type="http://schemas.openxmlformats.org/officeDocument/2006/relationships/hyperlink" Target="http://www.americasroof.com/highest/fl.shtml" TargetMode="External"/><Relationship Id="rId42" Type="http://schemas.openxmlformats.org/officeDocument/2006/relationships/hyperlink" Target="http://research.myfwc.com/fishkill/" TargetMode="External"/><Relationship Id="rId63" Type="http://schemas.openxmlformats.org/officeDocument/2006/relationships/image" Target="media/image6.jpeg"/><Relationship Id="rId84" Type="http://schemas.openxmlformats.org/officeDocument/2006/relationships/hyperlink" Target="http://www.dep.state.fl.us/water/monitoring/docs/seds/FFW_Metals_Report_Final.pdf" TargetMode="External"/><Relationship Id="rId138" Type="http://schemas.openxmlformats.org/officeDocument/2006/relationships/hyperlink" Target="http://www.dep.state.fl.us/water/watersheds/assessment/index.htm" TargetMode="External"/><Relationship Id="rId159" Type="http://schemas.openxmlformats.org/officeDocument/2006/relationships/hyperlink" Target="http://www.dep.state.fl.us/waste/quick_topics/database_reports/pages/stcm/stcm_reports.htm" TargetMode="External"/><Relationship Id="rId324" Type="http://schemas.openxmlformats.org/officeDocument/2006/relationships/header" Target="header9.xml"/><Relationship Id="rId170" Type="http://schemas.openxmlformats.org/officeDocument/2006/relationships/hyperlink" Target="file:///C:\Espy_J\My%20Documents\305b%20Integrated%20reports\2010\:_" TargetMode="External"/><Relationship Id="rId191" Type="http://schemas.openxmlformats.org/officeDocument/2006/relationships/hyperlink" Target="http://www.dep.state.fl.us/water/nonpoint/index.htm" TargetMode="External"/><Relationship Id="rId205" Type="http://schemas.openxmlformats.org/officeDocument/2006/relationships/hyperlink" Target="http://consensus.fsu.edu/fertilizer-task-force/pdfs2/Fertilizer_Task_Force_Final_Report11408-3.pdf" TargetMode="External"/><Relationship Id="rId226" Type="http://schemas.openxmlformats.org/officeDocument/2006/relationships/hyperlink" Target="http://www.dep.state.fl.us/water/wqssp/classes.htm" TargetMode="External"/><Relationship Id="rId247" Type="http://schemas.openxmlformats.org/officeDocument/2006/relationships/hyperlink" Target="http://www.dep.state.fl.us/water/monitoring/sediments.htm" TargetMode="External"/><Relationship Id="rId107" Type="http://schemas.openxmlformats.org/officeDocument/2006/relationships/image" Target="media/image30.jpeg"/><Relationship Id="rId268" Type="http://schemas.openxmlformats.org/officeDocument/2006/relationships/hyperlink" Target="http://myfwc.com/conservation/Conservation_ValueofConservation_EconSaltwaterImpact.htm" TargetMode="External"/><Relationship Id="rId289" Type="http://schemas.openxmlformats.org/officeDocument/2006/relationships/hyperlink" Target="http://publicfiles.dep.state.fl.us/dear/labs/sas/library/docs/wet_depf.pdf" TargetMode="External"/><Relationship Id="rId11" Type="http://schemas.openxmlformats.org/officeDocument/2006/relationships/header" Target="header2.xml"/><Relationship Id="rId32" Type="http://schemas.openxmlformats.org/officeDocument/2006/relationships/hyperlink" Target="http://esetappsdoh.doh.state.fl.us/irm00beachwater/default.aspx" TargetMode="External"/><Relationship Id="rId53" Type="http://schemas.openxmlformats.org/officeDocument/2006/relationships/hyperlink" Target="http://www.dep.state.fl.us/labs/qa/sops.htm" TargetMode="External"/><Relationship Id="rId74" Type="http://schemas.openxmlformats.org/officeDocument/2006/relationships/image" Target="media/image10.jpeg"/><Relationship Id="rId128" Type="http://schemas.openxmlformats.org/officeDocument/2006/relationships/hyperlink" Target="http://www.epa.gov/storet/" TargetMode="External"/><Relationship Id="rId149" Type="http://schemas.openxmlformats.org/officeDocument/2006/relationships/hyperlink" Target="http://www.dep.state.fl.us/water/wff/wsupply/" TargetMode="External"/><Relationship Id="rId314" Type="http://schemas.openxmlformats.org/officeDocument/2006/relationships/hyperlink" Target="http://www.epa.gov/cwns/" TargetMode="External"/><Relationship Id="rId5" Type="http://schemas.openxmlformats.org/officeDocument/2006/relationships/footnotes" Target="footnotes.xml"/><Relationship Id="rId95" Type="http://schemas.openxmlformats.org/officeDocument/2006/relationships/image" Target="media/image23.jpeg"/><Relationship Id="rId160" Type="http://schemas.openxmlformats.org/officeDocument/2006/relationships/hyperlink" Target="http://www.dep.state.fl.us/waste/categories/pcp/default.htm" TargetMode="External"/><Relationship Id="rId181" Type="http://schemas.openxmlformats.org/officeDocument/2006/relationships/hyperlink" Target="http://www.dep.state.fl.us/water/watersheds/swim.htm" TargetMode="External"/><Relationship Id="rId216" Type="http://schemas.openxmlformats.org/officeDocument/2006/relationships/hyperlink" Target="http://www.floridaagwaterpolicy.com/" TargetMode="External"/><Relationship Id="rId237" Type="http://schemas.openxmlformats.org/officeDocument/2006/relationships/hyperlink" Target="http://www.dep.state.fl.us/water/groundwater/delineate.htm" TargetMode="External"/><Relationship Id="rId258" Type="http://schemas.openxmlformats.org/officeDocument/2006/relationships/hyperlink" Target="http://esetappsdoh.doh.state.fl.us/irm00beachwater/default.aspx" TargetMode="External"/><Relationship Id="rId279" Type="http://schemas.openxmlformats.org/officeDocument/2006/relationships/hyperlink" Target="http://publicfiles.dep.state.fl.us/dear/labs/sas/library/docs/wet_herb.pdf" TargetMode="External"/><Relationship Id="rId22" Type="http://schemas.openxmlformats.org/officeDocument/2006/relationships/image" Target="media/image4.png"/><Relationship Id="rId43" Type="http://schemas.openxmlformats.org/officeDocument/2006/relationships/hyperlink" Target="http://www.dep.state.fl.us/water/wqssp/nutrients/" TargetMode="External"/><Relationship Id="rId64" Type="http://schemas.openxmlformats.org/officeDocument/2006/relationships/hyperlink" Target="http://publicfiles.dep.state.fl.us/dear/labs/sas/sopdoc/sci_final.pdf" TargetMode="External"/><Relationship Id="rId118" Type="http://schemas.openxmlformats.org/officeDocument/2006/relationships/image" Target="media/image41.jpeg"/><Relationship Id="rId139" Type="http://schemas.openxmlformats.org/officeDocument/2006/relationships/image" Target="media/image48.jpeg"/><Relationship Id="rId290" Type="http://schemas.openxmlformats.org/officeDocument/2006/relationships/hyperlink" Target="http://publicfiles.dep.state.fl.us/dear/labs/sas/library/docs/wet_stfp.pdf" TargetMode="External"/><Relationship Id="rId304" Type="http://schemas.openxmlformats.org/officeDocument/2006/relationships/hyperlink" Target="http://www.census.gov/compendia/statab/2010/tables/10s0014.pdf" TargetMode="External"/><Relationship Id="rId325" Type="http://schemas.openxmlformats.org/officeDocument/2006/relationships/footer" Target="footer6.xml"/><Relationship Id="rId85" Type="http://schemas.openxmlformats.org/officeDocument/2006/relationships/hyperlink" Target="http://www.dep.state.fl.us/waste/quick_topics/publications/documents/sediment/volume2.pdf" TargetMode="External"/><Relationship Id="rId150" Type="http://schemas.openxmlformats.org/officeDocument/2006/relationships/hyperlink" Target="http://www.dep.state.fl.us/water/drinkingwater/" TargetMode="External"/><Relationship Id="rId171" Type="http://schemas.openxmlformats.org/officeDocument/2006/relationships/hyperlink" Target="file:///C:\Espy_J\My%20Documents\305b%20Integrated%20reports\2010\._" TargetMode="External"/><Relationship Id="rId192" Type="http://schemas.openxmlformats.org/officeDocument/2006/relationships/hyperlink" Target="http://www.dep.state.fl.us/water/tmdl/index.htm" TargetMode="External"/><Relationship Id="rId206" Type="http://schemas.openxmlformats.org/officeDocument/2006/relationships/hyperlink" Target="http://www.dep.state.fl.us/springs/reports/files/UF_SpringsNutrients_Report.pdf" TargetMode="External"/><Relationship Id="rId227" Type="http://schemas.openxmlformats.org/officeDocument/2006/relationships/hyperlink" Target="http://www.floridasprings.org" TargetMode="External"/><Relationship Id="rId248" Type="http://schemas.openxmlformats.org/officeDocument/2006/relationships/hyperlink" Target="http://www.dep.state.fl.us/swapp/" TargetMode="External"/><Relationship Id="rId269" Type="http://schemas.openxmlformats.org/officeDocument/2006/relationships/hyperlink" Target="http://lakewatch.ifas.ufl.edu/circpdffolder/ABCsInt.pdf" TargetMode="External"/><Relationship Id="rId12" Type="http://schemas.openxmlformats.org/officeDocument/2006/relationships/hyperlink" Target="http://www.dep.state.fl.us/water/monitoring/basins.htm" TargetMode="External"/><Relationship Id="rId33" Type="http://schemas.openxmlformats.org/officeDocument/2006/relationships/hyperlink" Target="http://www.doh.state.fl.us/Environment/medicine/aquatic/index.html" TargetMode="External"/><Relationship Id="rId108" Type="http://schemas.openxmlformats.org/officeDocument/2006/relationships/image" Target="media/image31.jpeg"/><Relationship Id="rId129" Type="http://schemas.openxmlformats.org/officeDocument/2006/relationships/hyperlink" Target="http://www.envirobase.usgs.gov/" TargetMode="External"/><Relationship Id="rId280" Type="http://schemas.openxmlformats.org/officeDocument/2006/relationships/hyperlink" Target="http://www.dep.state.fl.us/water/monitoring/docs/seds/SQAGs_for_Florida_Inland_Waters_01_03.PDF" TargetMode="External"/><Relationship Id="rId315" Type="http://schemas.openxmlformats.org/officeDocument/2006/relationships/hyperlink" Target="http://www.epa.gov/storet/" TargetMode="External"/><Relationship Id="rId54" Type="http://schemas.openxmlformats.org/officeDocument/2006/relationships/hyperlink" Target="http://publicfiles.dep.state.fl.us/dear/labs/sas/sopdoc/sci_final.pdf" TargetMode="External"/><Relationship Id="rId75" Type="http://schemas.openxmlformats.org/officeDocument/2006/relationships/image" Target="media/image11.jpeg"/><Relationship Id="rId96" Type="http://schemas.openxmlformats.org/officeDocument/2006/relationships/header" Target="header3.xml"/><Relationship Id="rId140" Type="http://schemas.openxmlformats.org/officeDocument/2006/relationships/image" Target="media/image49.jpeg"/><Relationship Id="rId161" Type="http://schemas.openxmlformats.org/officeDocument/2006/relationships/hyperlink" Target="http://www.dep.state.fl.us/waste/categories/drycleaning/default.htm" TargetMode="External"/><Relationship Id="rId182" Type="http://schemas.openxmlformats.org/officeDocument/2006/relationships/hyperlink" Target="http://www.dep.state.fl.us/water/wastewater/permitting.htm" TargetMode="External"/><Relationship Id="rId217" Type="http://schemas.openxmlformats.org/officeDocument/2006/relationships/hyperlink" Target="http://publicfiles.dep.state.fl.us/FGS/FGS_Publications/FGS%20Library%20Documents/FLCoastSedContamAtlas.pdf" TargetMode="External"/><Relationship Id="rId6" Type="http://schemas.openxmlformats.org/officeDocument/2006/relationships/endnotes" Target="endnotes.xml"/><Relationship Id="rId238" Type="http://schemas.openxmlformats.org/officeDocument/2006/relationships/hyperlink" Target="http://www.dep.state.fl.us/water/drinkingwater/" TargetMode="External"/><Relationship Id="rId259" Type="http://schemas.openxmlformats.org/officeDocument/2006/relationships/hyperlink" Target="http://esetappsdoh.doh.state.fl.us/irm00beachwater/default.aspx" TargetMode="External"/><Relationship Id="rId23" Type="http://schemas.openxmlformats.org/officeDocument/2006/relationships/image" Target="media/image5.png"/><Relationship Id="rId119" Type="http://schemas.openxmlformats.org/officeDocument/2006/relationships/image" Target="media/image42.jpeg"/><Relationship Id="rId270" Type="http://schemas.openxmlformats.org/officeDocument/2006/relationships/hyperlink" Target="http://www.dep.state.fl.us/springs/reports/files/SpringsTaskForceReport.pdf" TargetMode="External"/><Relationship Id="rId291" Type="http://schemas.openxmlformats.org/officeDocument/2006/relationships/hyperlink" Target="http://www.dep.state.fl.us/WATER/monitoring/docs/seds/estuarine.pdf" TargetMode="External"/><Relationship Id="rId305" Type="http://schemas.openxmlformats.org/officeDocument/2006/relationships/hyperlink" Target="http://www.census.gov/compendia/statab/2010/tables/10s0016.pdf" TargetMode="External"/><Relationship Id="rId326" Type="http://schemas.openxmlformats.org/officeDocument/2006/relationships/footer" Target="footer7.xml"/><Relationship Id="rId44" Type="http://schemas.openxmlformats.org/officeDocument/2006/relationships/hyperlink" Target="http://edis.ifas.ufl.edu/pdffiles/SS/SS52800.pdf" TargetMode="External"/><Relationship Id="rId65" Type="http://schemas.openxmlformats.org/officeDocument/2006/relationships/hyperlink" Target="http://publicfiles.dep.state.fl.us/dear/labs/sas/sopdoc/lci_final.pdf" TargetMode="External"/><Relationship Id="rId86" Type="http://schemas.openxmlformats.org/officeDocument/2006/relationships/hyperlink" Target="http://www.dep.state.fl.us/WATER/monitoring/docs/seds/SQAGs_for_Florida_Inland_Waters_01_03.PDF" TargetMode="External"/><Relationship Id="rId130" Type="http://schemas.openxmlformats.org/officeDocument/2006/relationships/hyperlink" Target="http://www8.swfwmd.state.fl.us/WMIS/ResourceData/ExtDefault.aspx" TargetMode="External"/><Relationship Id="rId151" Type="http://schemas.openxmlformats.org/officeDocument/2006/relationships/header" Target="header7.xml"/><Relationship Id="rId172" Type="http://schemas.openxmlformats.org/officeDocument/2006/relationships/hyperlink" Target="ftp://ftp.dep.state.fl.us/pub/incoming/2010%20integrated%20report/Watershed%25%20Assessment%20Program" TargetMode="External"/><Relationship Id="rId193" Type="http://schemas.openxmlformats.org/officeDocument/2006/relationships/image" Target="media/image53.wmf"/><Relationship Id="rId207" Type="http://schemas.openxmlformats.org/officeDocument/2006/relationships/hyperlink" Target="http://www.dep.state.fl.us/water/monitoring/docs/seds/FFW_Metals_Report_Final.pdf" TargetMode="External"/><Relationship Id="rId228" Type="http://schemas.openxmlformats.org/officeDocument/2006/relationships/hyperlink" Target="http://www.dep.state.fl.us/water/drinkingwater/index.htm" TargetMode="External"/><Relationship Id="rId249" Type="http://schemas.openxmlformats.org/officeDocument/2006/relationships/hyperlink" Target="http://www.dep.state.fl.us/Water/wetlands/erp/rules/stormwater/index.htm" TargetMode="External"/><Relationship Id="rId13" Type="http://schemas.openxmlformats.org/officeDocument/2006/relationships/hyperlink" Target="http://www.flclimatechange.us/documents.cfm" TargetMode="External"/><Relationship Id="rId109" Type="http://schemas.openxmlformats.org/officeDocument/2006/relationships/image" Target="media/image32.jpeg"/><Relationship Id="rId260" Type="http://schemas.openxmlformats.org/officeDocument/2006/relationships/hyperlink" Target="http://esetappsdoh.doh.state.fl.us/irm00beachwater/history/hisintro.htm" TargetMode="External"/><Relationship Id="rId281" Type="http://schemas.openxmlformats.org/officeDocument/2006/relationships/hyperlink" Target="http://pubs.usgs.gov/sir/2009/5125/" TargetMode="External"/><Relationship Id="rId316" Type="http://schemas.openxmlformats.org/officeDocument/2006/relationships/hyperlink" Target="http://www.fws.gov/wetlands/StatusAndTrends/" TargetMode="External"/><Relationship Id="rId34" Type="http://schemas.openxmlformats.org/officeDocument/2006/relationships/hyperlink" Target="http://www.epa.gov/ogwdw000/ccl/ccl3.html" TargetMode="External"/><Relationship Id="rId55" Type="http://schemas.openxmlformats.org/officeDocument/2006/relationships/hyperlink" Target="http://publicfiles.dep.state.fl.us/dear/labs/sas/library/docs/wet_depf.pdf" TargetMode="External"/><Relationship Id="rId76" Type="http://schemas.openxmlformats.org/officeDocument/2006/relationships/image" Target="media/image12.jpeg"/><Relationship Id="rId97" Type="http://schemas.openxmlformats.org/officeDocument/2006/relationships/header" Target="header4.xml"/><Relationship Id="rId120" Type="http://schemas.openxmlformats.org/officeDocument/2006/relationships/image" Target="media/image43.jpeg"/><Relationship Id="rId141" Type="http://schemas.openxmlformats.org/officeDocument/2006/relationships/image" Target="media/image50.jpeg"/><Relationship Id="rId7" Type="http://schemas.openxmlformats.org/officeDocument/2006/relationships/image" Target="media/image1.png"/><Relationship Id="rId162" Type="http://schemas.openxmlformats.org/officeDocument/2006/relationships/hyperlink" Target="http://www.epa.gov/superfund/sites/npl/" TargetMode="External"/><Relationship Id="rId183" Type="http://schemas.openxmlformats.org/officeDocument/2006/relationships/hyperlink" Target="http://www.dep.state.fl.us/water/wastewater/permitting.htm" TargetMode="External"/><Relationship Id="rId218" Type="http://schemas.openxmlformats.org/officeDocument/2006/relationships/hyperlink" Target="http://www.dep.state.fl.us/water/docs/2004_Integrated_Report.pdf" TargetMode="External"/><Relationship Id="rId239" Type="http://schemas.openxmlformats.org/officeDocument/2006/relationships/hyperlink" Target="http://www.doh.state.fl.us/Environment/water/index.html" TargetMode="External"/><Relationship Id="rId250" Type="http://schemas.openxmlformats.org/officeDocument/2006/relationships/hyperlink" Target="http://www.dep.state.fl.us/water/storet/index.htm" TargetMode="External"/><Relationship Id="rId271" Type="http://schemas.openxmlformats.org/officeDocument/2006/relationships/hyperlink" Target="http://www.floridatrend.com/article.asp?aID=50744" TargetMode="External"/><Relationship Id="rId292" Type="http://schemas.openxmlformats.org/officeDocument/2006/relationships/hyperlink" Target="http://www.dep.state.fl.us/geology/geologictopics/springs/bulletin66.htm" TargetMode="External"/><Relationship Id="rId306" Type="http://schemas.openxmlformats.org/officeDocument/2006/relationships/hyperlink" Target="http://www.census.gov/compendia/statab/2010/tables/10s0018.pdf" TargetMode="External"/><Relationship Id="rId24" Type="http://schemas.openxmlformats.org/officeDocument/2006/relationships/hyperlink" Target="http://www.epa.gov/region4/water/watersheds/watershed_summaries.html" TargetMode="External"/><Relationship Id="rId45" Type="http://schemas.openxmlformats.org/officeDocument/2006/relationships/hyperlink" Target="http://www.dep.state.fl.us/Water/wetlands/erp/rules/stormwater/docs/ah_rule_draft_031710.pdf" TargetMode="External"/><Relationship Id="rId66" Type="http://schemas.openxmlformats.org/officeDocument/2006/relationships/hyperlink" Target="http://www.dep.state.fl.us/water/monitoring/fwseds.htm" TargetMode="External"/><Relationship Id="rId87" Type="http://schemas.openxmlformats.org/officeDocument/2006/relationships/hyperlink" Target="http://www.dep.state.fl.us/water/monitoring/sediments.htm" TargetMode="External"/><Relationship Id="rId110" Type="http://schemas.openxmlformats.org/officeDocument/2006/relationships/image" Target="media/image33.jpeg"/><Relationship Id="rId131" Type="http://schemas.openxmlformats.org/officeDocument/2006/relationships/hyperlink" Target="http://water.usgs.gov/" TargetMode="External"/><Relationship Id="rId327" Type="http://schemas.openxmlformats.org/officeDocument/2006/relationships/header" Target="header10.xml"/><Relationship Id="rId152" Type="http://schemas.openxmlformats.org/officeDocument/2006/relationships/footer" Target="footer4.xml"/><Relationship Id="rId173" Type="http://schemas.openxmlformats.org/officeDocument/2006/relationships/hyperlink" Target="http://www.dep.state.fl.us/legal/Rules/shared/62-303/62-303.pdf" TargetMode="External"/><Relationship Id="rId194" Type="http://schemas.openxmlformats.org/officeDocument/2006/relationships/oleObject" Target="embeddings/oleObject1.bin"/><Relationship Id="rId208" Type="http://schemas.openxmlformats.org/officeDocument/2006/relationships/hyperlink" Target="http://www.evergladesplan.org/index.aspx" TargetMode="External"/><Relationship Id="rId229" Type="http://schemas.openxmlformats.org/officeDocument/2006/relationships/hyperlink" Target="http://www.dep.state.fl.us/water/storet/index.htm" TargetMode="External"/><Relationship Id="rId240" Type="http://schemas.openxmlformats.org/officeDocument/2006/relationships/hyperlink" Target="http://www.dep.state.fl.us/water/drinkingwater/index.htm" TargetMode="External"/><Relationship Id="rId261" Type="http://schemas.openxmlformats.org/officeDocument/2006/relationships/hyperlink" Target="http://www.doh.state.fl.us/environment/community/fishconsumptionadvisories/index.html" TargetMode="External"/><Relationship Id="rId14" Type="http://schemas.openxmlformats.org/officeDocument/2006/relationships/image" Target="media/image2.emf"/><Relationship Id="rId30" Type="http://schemas.openxmlformats.org/officeDocument/2006/relationships/hyperlink" Target="http://www.doh.state.fl.us/environment/medicine/fishconsumptionadvisories/index.html" TargetMode="External"/><Relationship Id="rId35" Type="http://schemas.openxmlformats.org/officeDocument/2006/relationships/hyperlink" Target="http://research.myfwc.com/features/category_main.asp?id=2343" TargetMode="External"/><Relationship Id="rId56" Type="http://schemas.openxmlformats.org/officeDocument/2006/relationships/hyperlink" Target="http://publicfiles.dep.state.fl.us/dear/labs/sas/library/docs/wet_herb.pdf" TargetMode="External"/><Relationship Id="rId77" Type="http://schemas.openxmlformats.org/officeDocument/2006/relationships/image" Target="media/image13.jpeg"/><Relationship Id="rId100" Type="http://schemas.openxmlformats.org/officeDocument/2006/relationships/header" Target="header5.xml"/><Relationship Id="rId105" Type="http://schemas.openxmlformats.org/officeDocument/2006/relationships/image" Target="media/image28.jpeg"/><Relationship Id="rId126" Type="http://schemas.openxmlformats.org/officeDocument/2006/relationships/hyperlink" Target="http://www.dep.state.fl.us/legal/Rules/shared/62-303/62-303.pdf" TargetMode="External"/><Relationship Id="rId147" Type="http://schemas.openxmlformats.org/officeDocument/2006/relationships/hyperlink" Target="http://www.doh.state.fl.us/Environment/water/petroleum/saindex.html" TargetMode="External"/><Relationship Id="rId168" Type="http://schemas.openxmlformats.org/officeDocument/2006/relationships/hyperlink" Target="file:///C:\Espy_J\My%20Documents\305b%20Integrated%20reports\2010\:_" TargetMode="External"/><Relationship Id="rId282" Type="http://schemas.openxmlformats.org/officeDocument/2006/relationships/hyperlink" Target="http://tidesandcurrents.noaa.gov/hab/" TargetMode="External"/><Relationship Id="rId312" Type="http://schemas.openxmlformats.org/officeDocument/2006/relationships/hyperlink" Target="http://www.epa.gov/cwns/2004rtc/cwns2004rtc.pdf" TargetMode="External"/><Relationship Id="rId317" Type="http://schemas.openxmlformats.org/officeDocument/2006/relationships/hyperlink" Target="http://water.usgs.gov/" TargetMode="External"/><Relationship Id="rId8" Type="http://schemas.openxmlformats.org/officeDocument/2006/relationships/header" Target="header1.xml"/><Relationship Id="rId51" Type="http://schemas.openxmlformats.org/officeDocument/2006/relationships/hyperlink" Target="http://www.epa.gov/owow/monitoring/elements/" TargetMode="External"/><Relationship Id="rId72" Type="http://schemas.openxmlformats.org/officeDocument/2006/relationships/image" Target="media/image9.jpeg"/><Relationship Id="rId93" Type="http://schemas.openxmlformats.org/officeDocument/2006/relationships/image" Target="media/image21.jpeg"/><Relationship Id="rId98" Type="http://schemas.openxmlformats.org/officeDocument/2006/relationships/hyperlink" Target="http://www.dep.state.fl.us/water/monitoring/index.htm" TargetMode="External"/><Relationship Id="rId121" Type="http://schemas.openxmlformats.org/officeDocument/2006/relationships/image" Target="media/image44.jpeg"/><Relationship Id="rId142" Type="http://schemas.openxmlformats.org/officeDocument/2006/relationships/hyperlink" Target="http://www.dep.state.fl.us/WATER/monitoring/docs/seds/estuarine.pdf" TargetMode="External"/><Relationship Id="rId163" Type="http://schemas.openxmlformats.org/officeDocument/2006/relationships/hyperlink" Target="http://www.dep.state.fl.us/waste/categories/wc/pages/cleanup/default.htm" TargetMode="External"/><Relationship Id="rId184" Type="http://schemas.openxmlformats.org/officeDocument/2006/relationships/hyperlink" Target="http://www.dep.state.fl.us/water/nonpoint/" TargetMode="External"/><Relationship Id="rId189" Type="http://schemas.openxmlformats.org/officeDocument/2006/relationships/hyperlink" Target="http://www.stormwater.ucf.edu/" TargetMode="External"/><Relationship Id="rId219" Type="http://schemas.openxmlformats.org/officeDocument/2006/relationships/hyperlink" Target="http://www.dep.state.fl.us/water/tmdl/stat_rep.htm" TargetMode="External"/><Relationship Id="rId3" Type="http://schemas.openxmlformats.org/officeDocument/2006/relationships/settings" Target="settings.xml"/><Relationship Id="rId214" Type="http://schemas.openxmlformats.org/officeDocument/2006/relationships/hyperlink" Target="http://www.floridaaquaculture.com/SEAS/SEAS_intro.htm" TargetMode="External"/><Relationship Id="rId230" Type="http://schemas.openxmlformats.org/officeDocument/2006/relationships/hyperlink" Target="http://www.dep.state.fl.us/water/docs/2006_Integrated_Report.pdf" TargetMode="External"/><Relationship Id="rId235" Type="http://schemas.openxmlformats.org/officeDocument/2006/relationships/hyperlink" Target="http://www.dep.state.fl.us/water/bgalgae/index.htm" TargetMode="External"/><Relationship Id="rId251" Type="http://schemas.openxmlformats.org/officeDocument/2006/relationships/hyperlink" Target="http://www.dep.state.fl.us/water/tmdl/index.htm" TargetMode="External"/><Relationship Id="rId256" Type="http://schemas.openxmlformats.org/officeDocument/2006/relationships/hyperlink" Target="http://www.dep.state.fl.us/water/groundwater/wellhead.htm" TargetMode="External"/><Relationship Id="rId277" Type="http://schemas.openxmlformats.org/officeDocument/2006/relationships/hyperlink" Target="http://gulfofmexicoalliance.org/" TargetMode="External"/><Relationship Id="rId298" Type="http://schemas.openxmlformats.org/officeDocument/2006/relationships/hyperlink" Target="http://www.srwmd.state.fl.us/index.aspx?NID=151" TargetMode="External"/><Relationship Id="rId25" Type="http://schemas.openxmlformats.org/officeDocument/2006/relationships/hyperlink" Target="http://www.dep.state.fl.us/water/drinkingwater/index.htm" TargetMode="External"/><Relationship Id="rId46" Type="http://schemas.openxmlformats.org/officeDocument/2006/relationships/hyperlink" Target="http://www.dep.state.fl.us/Water/wetlands/erp/rules/stormwater/index.htm" TargetMode="External"/><Relationship Id="rId67" Type="http://schemas.openxmlformats.org/officeDocument/2006/relationships/hyperlink" Target="http://www.dep.state.fl.us/water/monitoring/docs/seds/SQAGs_for_Florida_Inland_Waters_01_03.PDF" TargetMode="External"/><Relationship Id="rId116" Type="http://schemas.openxmlformats.org/officeDocument/2006/relationships/image" Target="media/image39.jpeg"/><Relationship Id="rId137" Type="http://schemas.openxmlformats.org/officeDocument/2006/relationships/hyperlink" Target="https://www.flrules.org/Default.asp" TargetMode="External"/><Relationship Id="rId158" Type="http://schemas.openxmlformats.org/officeDocument/2006/relationships/hyperlink" Target="http://www.swfwmd.state.fl.us/" TargetMode="External"/><Relationship Id="rId272" Type="http://schemas.openxmlformats.org/officeDocument/2006/relationships/hyperlink" Target="http://publicfiles.dep.state.fl.us/dear/labs/sas/sopdoc/sci_final.pdf" TargetMode="External"/><Relationship Id="rId293" Type="http://schemas.openxmlformats.org/officeDocument/2006/relationships/hyperlink" Target="http://publicfiles.dep.state.fl.us/FGS/FGS_Publications/FGS%20Library%20Documents/FLCoastSedContamAtlas.pdf" TargetMode="External"/><Relationship Id="rId302" Type="http://schemas.openxmlformats.org/officeDocument/2006/relationships/hyperlink" Target="http://hsc.usf.edu/publichealth/EOH/BRACE/" TargetMode="External"/><Relationship Id="rId307" Type="http://schemas.openxmlformats.org/officeDocument/2006/relationships/hyperlink" Target="http://www.epa.gov/owow/TMDL/2002wqma.html" TargetMode="External"/><Relationship Id="rId323" Type="http://schemas.openxmlformats.org/officeDocument/2006/relationships/hyperlink" Target="http://www.greenwaterlab.com/newsite/articles/Assessment%20of%20Cyanotoxins%202001.pdf" TargetMode="External"/><Relationship Id="rId328" Type="http://schemas.openxmlformats.org/officeDocument/2006/relationships/fontTable" Target="fontTable.xml"/><Relationship Id="rId20" Type="http://schemas.openxmlformats.org/officeDocument/2006/relationships/hyperlink" Target="http://www.sfwmd.gov/portal/page/portal/levelthree/americas%20everglades" TargetMode="External"/><Relationship Id="rId41" Type="http://schemas.openxmlformats.org/officeDocument/2006/relationships/hyperlink" Target="http://habsos.noaa.gov/gis-mapping" TargetMode="External"/><Relationship Id="rId62" Type="http://schemas.openxmlformats.org/officeDocument/2006/relationships/hyperlink" Target="http://www.epa.gov/emap/" TargetMode="External"/><Relationship Id="rId83" Type="http://schemas.openxmlformats.org/officeDocument/2006/relationships/hyperlink" Target="http://www.dep.state.fl.us/water/monitoring/docs/seds/estuarine.pdf" TargetMode="External"/><Relationship Id="rId88" Type="http://schemas.openxmlformats.org/officeDocument/2006/relationships/image" Target="media/image18.jpeg"/><Relationship Id="rId111" Type="http://schemas.openxmlformats.org/officeDocument/2006/relationships/image" Target="media/image34.jpeg"/><Relationship Id="rId132" Type="http://schemas.openxmlformats.org/officeDocument/2006/relationships/hyperlink" Target="http://lakewatch.ifas.ufl.edu/" TargetMode="External"/><Relationship Id="rId153" Type="http://schemas.openxmlformats.org/officeDocument/2006/relationships/footer" Target="footer5.xml"/><Relationship Id="rId174" Type="http://schemas.openxmlformats.org/officeDocument/2006/relationships/hyperlink" Target="http://www.floridaagwaterpolicy.com/" TargetMode="External"/><Relationship Id="rId179" Type="http://schemas.openxmlformats.org/officeDocument/2006/relationships/hyperlink" Target="https://www.flrules.org/Default.asp" TargetMode="External"/><Relationship Id="rId195" Type="http://schemas.openxmlformats.org/officeDocument/2006/relationships/hyperlink" Target="http://if-srvv-edis.ifas.ufl.edu/topic_fyn" TargetMode="External"/><Relationship Id="rId209" Type="http://schemas.openxmlformats.org/officeDocument/2006/relationships/hyperlink" Target="http://ufdcweb1.uflib.ufl.edu/ufdc/?b=UF00095137&amp;v=00001" TargetMode="External"/><Relationship Id="rId190" Type="http://schemas.openxmlformats.org/officeDocument/2006/relationships/hyperlink" Target="http://www.dep.state.fl.us/water/nonpoint/agsrc.htm" TargetMode="External"/><Relationship Id="rId204" Type="http://schemas.openxmlformats.org/officeDocument/2006/relationships/hyperlink" Target="http://hsc.usf.edu/publichealth/EOH/BRACE/" TargetMode="External"/><Relationship Id="rId220" Type="http://schemas.openxmlformats.org/officeDocument/2006/relationships/hyperlink" Target="http://www.dep.state.fl.us/water/tmdl/docs/AmendedIWR.pdf" TargetMode="External"/><Relationship Id="rId225" Type="http://schemas.openxmlformats.org/officeDocument/2006/relationships/hyperlink" Target="http://www.dep.state.fl.us/labs/mercury/index.htm" TargetMode="External"/><Relationship Id="rId241" Type="http://schemas.openxmlformats.org/officeDocument/2006/relationships/hyperlink" Target="http://www.dep.state.fl.us/water/esoc.htm" TargetMode="External"/><Relationship Id="rId246" Type="http://schemas.openxmlformats.org/officeDocument/2006/relationships/hyperlink" Target="http://www.dep.state.fl.us/water/wqssp/nutrients/index.htm" TargetMode="External"/><Relationship Id="rId267" Type="http://schemas.openxmlformats.org/officeDocument/2006/relationships/hyperlink" Target="http://research.myfwc.com/features/category_main.asp?id=2343" TargetMode="External"/><Relationship Id="rId288" Type="http://schemas.openxmlformats.org/officeDocument/2006/relationships/hyperlink" Target="http://www.doh.state.fl.us/environment/community/%20aquatic/pdfs/Cyanobacteria_200208.pdf" TargetMode="External"/><Relationship Id="rId15" Type="http://schemas.openxmlformats.org/officeDocument/2006/relationships/image" Target="media/image3.emf"/><Relationship Id="rId36" Type="http://schemas.openxmlformats.org/officeDocument/2006/relationships/hyperlink" Target="ftp://ftp.dep.state.fl.us/pub/incoming/2010%20integrated%20report/A%20Strategic%20Implementation%20Plan%20for%20Florida%20COOS:" TargetMode="External"/><Relationship Id="rId57" Type="http://schemas.openxmlformats.org/officeDocument/2006/relationships/hyperlink" Target="http://publicfiles.dep.state.fl.us/dear/labs/sas/library/docs/wet_stfp.pdf" TargetMode="External"/><Relationship Id="rId106" Type="http://schemas.openxmlformats.org/officeDocument/2006/relationships/image" Target="media/image29.jpeg"/><Relationship Id="rId127" Type="http://schemas.openxmlformats.org/officeDocument/2006/relationships/hyperlink" Target="http://www.dep.state.fl.us/water/storet/index.htm" TargetMode="External"/><Relationship Id="rId262" Type="http://schemas.openxmlformats.org/officeDocument/2006/relationships/hyperlink" Target="http://esetappsdoh.doh.state.fl.us/irm00beachwater/terms.htm" TargetMode="External"/><Relationship Id="rId283" Type="http://schemas.openxmlformats.org/officeDocument/2006/relationships/hyperlink" Target="http://www.nrdc.org/water/oceans/florida/flfuture.pdf" TargetMode="External"/><Relationship Id="rId313" Type="http://schemas.openxmlformats.org/officeDocument/2006/relationships/hyperlink" Target="http://www.epa.gov/ogwdw000/ccl/ccl3.html" TargetMode="External"/><Relationship Id="rId318" Type="http://schemas.openxmlformats.org/officeDocument/2006/relationships/hyperlink" Target="http://fl.water.usgs.gov/WaterUse/Historical_Tables_Miscellaneous/florida-historical-category.1970-2000.htm" TargetMode="External"/><Relationship Id="rId10" Type="http://schemas.openxmlformats.org/officeDocument/2006/relationships/footer" Target="footer2.xml"/><Relationship Id="rId31" Type="http://schemas.openxmlformats.org/officeDocument/2006/relationships/hyperlink" Target="http://www.floridaaquaculture.com/SEAS/SEAS_intro.htm" TargetMode="External"/><Relationship Id="rId52" Type="http://schemas.openxmlformats.org/officeDocument/2006/relationships/hyperlink" Target="http://www.dep.state.fl.us/water/monitoring/docs/MonitoringStrategy_106.pdf" TargetMode="External"/><Relationship Id="rId73" Type="http://schemas.openxmlformats.org/officeDocument/2006/relationships/hyperlink" Target="http://www.dep.state.fl.us/water/monitoring/basins.htm" TargetMode="External"/><Relationship Id="rId78" Type="http://schemas.openxmlformats.org/officeDocument/2006/relationships/image" Target="media/image14.jpeg"/><Relationship Id="rId94" Type="http://schemas.openxmlformats.org/officeDocument/2006/relationships/image" Target="media/image22.png"/><Relationship Id="rId99" Type="http://schemas.openxmlformats.org/officeDocument/2006/relationships/image" Target="media/image24.jpeg"/><Relationship Id="rId101" Type="http://schemas.openxmlformats.org/officeDocument/2006/relationships/header" Target="header6.xml"/><Relationship Id="rId122" Type="http://schemas.openxmlformats.org/officeDocument/2006/relationships/image" Target="media/image45.jpeg"/><Relationship Id="rId143" Type="http://schemas.openxmlformats.org/officeDocument/2006/relationships/hyperlink" Target="http://www.dep.state.fl.us/WATER/monitoring/docs/seds/SQAGs_for_Florida_Inland_Waters_01_03.PDF" TargetMode="External"/><Relationship Id="rId148" Type="http://schemas.openxmlformats.org/officeDocument/2006/relationships/hyperlink" Target="http://www.doh.state.fl.us/Environment/water/index.html" TargetMode="External"/><Relationship Id="rId164" Type="http://schemas.openxmlformats.org/officeDocument/2006/relationships/hyperlink" Target="http://www.dep.state.fl.us/water/nonpoint/agsrc.htm" TargetMode="External"/><Relationship Id="rId169" Type="http://schemas.openxmlformats.org/officeDocument/2006/relationships/hyperlink" Target="file:///C:\Espy_J\My%20Documents\305b%20Integrated%20reports\2010\._" TargetMode="External"/><Relationship Id="rId185" Type="http://schemas.openxmlformats.org/officeDocument/2006/relationships/hyperlink" Target="http://www.floridaagwaterpolicy.com/" TargetMode="External"/><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hyperlink" Target="http://www.dep.state.fl.us/water/watersheds/assessment/index.htm" TargetMode="External"/><Relationship Id="rId210" Type="http://schemas.openxmlformats.org/officeDocument/2006/relationships/hyperlink" Target="http://www.fws.gov/wetlands/_documents/gSandT/NationalReports/WetlandsLossesUS1780sto1980s.pdf" TargetMode="External"/><Relationship Id="rId215" Type="http://schemas.openxmlformats.org/officeDocument/2006/relationships/hyperlink" Target="http://www.floridaaquaculture.com/RedTide/RedTideInfo.htm" TargetMode="External"/><Relationship Id="rId236" Type="http://schemas.openxmlformats.org/officeDocument/2006/relationships/hyperlink" Target="http://www.dep.state.fl.us/waste/categories/pss/default.htm" TargetMode="External"/><Relationship Id="rId257" Type="http://schemas.openxmlformats.org/officeDocument/2006/relationships/hyperlink" Target="http://www.doh.state.fl.us/Environment/medicine/aquatic/index.html" TargetMode="External"/><Relationship Id="rId278" Type="http://schemas.openxmlformats.org/officeDocument/2006/relationships/hyperlink" Target="http://publicfiles.dep.state.fl.us/DEAR/BMAP/Wekiva/Reports&amp;ReferenceDocuments/FDEP2008SpringsReport/2008FDEPSpringsDataReport_final.pdf" TargetMode="External"/><Relationship Id="rId26" Type="http://schemas.openxmlformats.org/officeDocument/2006/relationships/hyperlink" Target="http://www.doh.state.fl.us/environment/water/index.html" TargetMode="External"/><Relationship Id="rId231" Type="http://schemas.openxmlformats.org/officeDocument/2006/relationships/hyperlink" Target="http://www.dep.state.fl.us/water/wqssp/docs/CanalRechargeReport.pdf" TargetMode="External"/><Relationship Id="rId252" Type="http://schemas.openxmlformats.org/officeDocument/2006/relationships/hyperlink" Target="http://www.dep.state.fl.us/water/uic/" TargetMode="External"/><Relationship Id="rId273" Type="http://schemas.openxmlformats.org/officeDocument/2006/relationships/hyperlink" Target="http://www.fws.gov/wetlands/_documents/gSandT/StateRegionalReports/FloridaWetlandsStatusTrends1970sto1980s.pdf" TargetMode="External"/><Relationship Id="rId294" Type="http://schemas.openxmlformats.org/officeDocument/2006/relationships/hyperlink" Target="http://www.sfwmd.gov/portal/page/portal/sfwmdmain/home%20page" TargetMode="External"/><Relationship Id="rId308" Type="http://schemas.openxmlformats.org/officeDocument/2006/relationships/hyperlink" Target="http://www.epa.gov/owow/monitoring/elements/" TargetMode="External"/><Relationship Id="rId329" Type="http://schemas.openxmlformats.org/officeDocument/2006/relationships/theme" Target="theme/theme1.xml"/><Relationship Id="rId47" Type="http://schemas.openxmlformats.org/officeDocument/2006/relationships/hyperlink" Target="http://www.dep.state.fl.us/water/esoc.htm" TargetMode="External"/><Relationship Id="rId68" Type="http://schemas.openxmlformats.org/officeDocument/2006/relationships/hyperlink" Target="http://www.dep.state.fl.us/water/monitoring/docs/design_document_final_12_09_09.pdf" TargetMode="External"/><Relationship Id="rId89" Type="http://schemas.openxmlformats.org/officeDocument/2006/relationships/image" Target="media/image19.jpeg"/><Relationship Id="rId112" Type="http://schemas.openxmlformats.org/officeDocument/2006/relationships/image" Target="media/image35.jpeg"/><Relationship Id="rId133" Type="http://schemas.openxmlformats.org/officeDocument/2006/relationships/image" Target="media/image47.png"/><Relationship Id="rId154" Type="http://schemas.openxmlformats.org/officeDocument/2006/relationships/header" Target="header8.xml"/><Relationship Id="rId175" Type="http://schemas.openxmlformats.org/officeDocument/2006/relationships/hyperlink" Target="https://www.flrules.org/Default.asp" TargetMode="External"/><Relationship Id="rId196" Type="http://schemas.openxmlformats.org/officeDocument/2006/relationships/hyperlink" Target="http://fyn.ifas.ufl.edu/professionals/BMP_overview.htm" TargetMode="External"/><Relationship Id="rId200" Type="http://schemas.openxmlformats.org/officeDocument/2006/relationships/hyperlink" Target="http://research.myfwc.com/engine/download_redirection_process.asp?file=TR_14screen.pdf&amp;objid=20125&amp;dltype=article" TargetMode="External"/><Relationship Id="rId16" Type="http://schemas.openxmlformats.org/officeDocument/2006/relationships/hyperlink" Target="http://www.srwmd.state.fl.us/" TargetMode="External"/><Relationship Id="rId221" Type="http://schemas.openxmlformats.org/officeDocument/2006/relationships/hyperlink" Target="http://www.dep.state.fl.us/water/monitoring/fwseds.htm" TargetMode="External"/><Relationship Id="rId242" Type="http://schemas.openxmlformats.org/officeDocument/2006/relationships/hyperlink" Target="http://www.floridasprings.org/" TargetMode="External"/><Relationship Id="rId263" Type="http://schemas.openxmlformats.org/officeDocument/2006/relationships/hyperlink" Target="http://www.doh.state.fl.us/Environment/water/petroleum/saindex.html" TargetMode="External"/><Relationship Id="rId284" Type="http://schemas.openxmlformats.org/officeDocument/2006/relationships/hyperlink" Target="http://www.netstate.com/states/intro/fl_intro.htm" TargetMode="External"/><Relationship Id="rId319" Type="http://schemas.openxmlformats.org/officeDocument/2006/relationships/hyperlink" Target="http://www.envirobase.usgs.gov/" TargetMode="External"/><Relationship Id="rId37" Type="http://schemas.openxmlformats.org/officeDocument/2006/relationships/hyperlink" Target="http://gulfofmexicoalliance.org/" TargetMode="External"/><Relationship Id="rId58" Type="http://schemas.openxmlformats.org/officeDocument/2006/relationships/hyperlink" Target="http://www.epa.gov/owow/TMDL/2002wqma.html" TargetMode="External"/><Relationship Id="rId79" Type="http://schemas.openxmlformats.org/officeDocument/2006/relationships/image" Target="media/image15.jpeg"/><Relationship Id="rId102" Type="http://schemas.openxmlformats.org/officeDocument/2006/relationships/image" Target="media/image25.png"/><Relationship Id="rId123" Type="http://schemas.openxmlformats.org/officeDocument/2006/relationships/image" Target="media/image46.jpeg"/><Relationship Id="rId144" Type="http://schemas.openxmlformats.org/officeDocument/2006/relationships/hyperlink" Target="http://research.myfwc.com/features/category_sub.asp?id=3448" TargetMode="External"/><Relationship Id="rId90" Type="http://schemas.openxmlformats.org/officeDocument/2006/relationships/hyperlink" Target="http://www.dep.state.fl.us/water/monitoring/index.htm" TargetMode="External"/><Relationship Id="rId165" Type="http://schemas.openxmlformats.org/officeDocument/2006/relationships/image" Target="media/image51.png"/><Relationship Id="rId186" Type="http://schemas.openxmlformats.org/officeDocument/2006/relationships/hyperlink" Target="http://www.dep.state.fl.us/water/nonpoint/index.htm" TargetMode="External"/><Relationship Id="rId211" Type="http://schemas.openxmlformats.org/officeDocument/2006/relationships/hyperlink" Target="http://www.fws.gov/wetlands/_documents/gSandT/StateRegionalReports/FloridasWetlandsUpdateStatusTrends1985to1996.pdf" TargetMode="External"/><Relationship Id="rId232" Type="http://schemas.openxmlformats.org/officeDocument/2006/relationships/hyperlink" Target="http://dep.state.fl.us/water/tmdl/docs/tmdls/merc-tmdl-plan-draft.pdf" TargetMode="External"/><Relationship Id="rId253" Type="http://schemas.openxmlformats.org/officeDocument/2006/relationships/hyperlink" Target="http://www.dep.state.fl.us/water/wff/wsupply/" TargetMode="External"/><Relationship Id="rId274" Type="http://schemas.openxmlformats.org/officeDocument/2006/relationships/hyperlink" Target="https://my.sfwmd.gov/portal/page/portal/pg_grp_sfwmd_sfer/portlet_sfer/tab2236037/2010%20report/v1/chapters/v1_ch3B.pdf" TargetMode="External"/><Relationship Id="rId295" Type="http://schemas.openxmlformats.org/officeDocument/2006/relationships/hyperlink" Target="https://my.sfwmd.gov/portal/page/portal/pg_grp_sfwmd_watershed/subtabs_evergladesflbay_home/tab1834093/flbayalgalbloom.pdf" TargetMode="External"/><Relationship Id="rId309" Type="http://schemas.openxmlformats.org/officeDocument/2006/relationships/hyperlink" Target="http://www.epa.gov/wed/pages/ecoregions/fl_eco.htm" TargetMode="External"/><Relationship Id="rId27" Type="http://schemas.openxmlformats.org/officeDocument/2006/relationships/hyperlink" Target="http://esetappsdoh.doh.state.fl.us/irm00beachwater/terms.htm" TargetMode="External"/><Relationship Id="rId48" Type="http://schemas.openxmlformats.org/officeDocument/2006/relationships/hyperlink" Target="http://www.dep.state.fl.us/water/storet/index.htm" TargetMode="External"/><Relationship Id="rId69" Type="http://schemas.openxmlformats.org/officeDocument/2006/relationships/hyperlink" Target="http://www.dep.state.fl.us/water/monitoring/docs/design_document_final_12_09_09.pdf" TargetMode="External"/><Relationship Id="rId113" Type="http://schemas.openxmlformats.org/officeDocument/2006/relationships/image" Target="media/image36.jpeg"/><Relationship Id="rId134" Type="http://schemas.openxmlformats.org/officeDocument/2006/relationships/hyperlink" Target="http://www.dep.state.fl.us/water/tmdl/index.htm" TargetMode="External"/><Relationship Id="rId320" Type="http://schemas.openxmlformats.org/officeDocument/2006/relationships/hyperlink" Target="http://www.floridatrend.com/article.asp?id=5795" TargetMode="External"/><Relationship Id="rId80" Type="http://schemas.openxmlformats.org/officeDocument/2006/relationships/image" Target="media/image16.jpeg"/><Relationship Id="rId155" Type="http://schemas.openxmlformats.org/officeDocument/2006/relationships/chart" Target="charts/chart1.xml"/><Relationship Id="rId176" Type="http://schemas.openxmlformats.org/officeDocument/2006/relationships/hyperlink" Target="http://www.dep.state.fl.us/water/watersheds/assessment/index.htm" TargetMode="External"/><Relationship Id="rId197" Type="http://schemas.openxmlformats.org/officeDocument/2006/relationships/hyperlink" Target="http://www.epa.gov/owm/mtb/cwns/2004rtc/toc.htm" TargetMode="External"/><Relationship Id="rId201" Type="http://schemas.openxmlformats.org/officeDocument/2006/relationships/hyperlink" Target="http://www.stateofflorida.com/Portal/DesktopDefault.aspx?tabid=95" TargetMode="External"/><Relationship Id="rId222" Type="http://schemas.openxmlformats.org/officeDocument/2006/relationships/hyperlink" Target="http://www.dep.state.fl.us/water/docs/2004_Integrated_Report.pdf" TargetMode="External"/><Relationship Id="rId243" Type="http://schemas.openxmlformats.org/officeDocument/2006/relationships/hyperlink" Target="http://www.dep.state.fl.us/secretary/designateduse.htm" TargetMode="External"/><Relationship Id="rId264" Type="http://schemas.openxmlformats.org/officeDocument/2006/relationships/hyperlink" Target="http://www.doh.state.fl.us/environment/water/index.html" TargetMode="External"/><Relationship Id="rId285" Type="http://schemas.openxmlformats.org/officeDocument/2006/relationships/hyperlink" Target="http://www.dep.state.fl.us/water/wetlands/docs/erp/nwerp_brochure.pdf" TargetMode="External"/><Relationship Id="rId17" Type="http://schemas.openxmlformats.org/officeDocument/2006/relationships/hyperlink" Target="http://www.sfwmd.gov/portal/page/portal/levelthree/kissimmee%20river" TargetMode="External"/><Relationship Id="rId38" Type="http://schemas.openxmlformats.org/officeDocument/2006/relationships/hyperlink" Target="http://research.myfwc.com/features/view_article.asp?id=27095" TargetMode="External"/><Relationship Id="rId59" Type="http://schemas.openxmlformats.org/officeDocument/2006/relationships/hyperlink" Target="http://www.dep.state.fl.us/water/monitoring/status.htm" TargetMode="External"/><Relationship Id="rId103" Type="http://schemas.openxmlformats.org/officeDocument/2006/relationships/image" Target="media/image26.png"/><Relationship Id="rId124" Type="http://schemas.openxmlformats.org/officeDocument/2006/relationships/hyperlink" Target="ftp://ftp.dep.state.fl.us/pub/incoming/2010%20integrated%20report/Watershed%20Assessment%20Program" TargetMode="External"/><Relationship Id="rId310" Type="http://schemas.openxmlformats.org/officeDocument/2006/relationships/hyperlink" Target="http://www.epa.gov/region4/water/tmdl/florida/" TargetMode="External"/><Relationship Id="rId70" Type="http://schemas.openxmlformats.org/officeDocument/2006/relationships/image" Target="media/image7.jpeg"/><Relationship Id="rId91" Type="http://schemas.openxmlformats.org/officeDocument/2006/relationships/hyperlink" Target="http://www.dep.state.fl.us/water/monitoring/basins.htm" TargetMode="External"/><Relationship Id="rId145" Type="http://schemas.openxmlformats.org/officeDocument/2006/relationships/hyperlink" Target="http://www.dep.state.fl.us/water/monitoring/index.htm" TargetMode="External"/><Relationship Id="rId166" Type="http://schemas.openxmlformats.org/officeDocument/2006/relationships/image" Target="media/image52.png"/><Relationship Id="rId187" Type="http://schemas.openxmlformats.org/officeDocument/2006/relationships/hyperlink" Target="http://www.dep.state.fl.us/water/nonpoint/index.htm" TargetMode="External"/><Relationship Id="rId1" Type="http://schemas.openxmlformats.org/officeDocument/2006/relationships/numbering" Target="numbering.xml"/><Relationship Id="rId212" Type="http://schemas.openxmlformats.org/officeDocument/2006/relationships/hyperlink" Target="http://iodeweb1.vliz.be/odin/bitstream/1834/758/1/Lora%20E5.pdf" TargetMode="External"/><Relationship Id="rId233" Type="http://schemas.openxmlformats.org/officeDocument/2006/relationships/hyperlink" Target="http://www.dep.state.fl.us/water/docs/2008_Integrated_Report.pdf" TargetMode="External"/><Relationship Id="rId254" Type="http://schemas.openxmlformats.org/officeDocument/2006/relationships/hyperlink" Target="http://www.dep.state.fl.us/water/watersheds/assessment/index.htm" TargetMode="External"/><Relationship Id="rId28" Type="http://schemas.openxmlformats.org/officeDocument/2006/relationships/hyperlink" Target="http://esetappsdoh.doh.state.fl.us/irm00beachwater/default.aspx" TargetMode="External"/><Relationship Id="rId49" Type="http://schemas.openxmlformats.org/officeDocument/2006/relationships/hyperlink" Target="http://www.epa.gov/storet/" TargetMode="External"/><Relationship Id="rId114" Type="http://schemas.openxmlformats.org/officeDocument/2006/relationships/image" Target="media/image37.jpeg"/><Relationship Id="rId275" Type="http://schemas.openxmlformats.org/officeDocument/2006/relationships/hyperlink" Target="http://www.dep.state.fl.us/water/tmdl/docs/tmdls/final/gp2/Wekiva_MainStem04182008.pdf" TargetMode="External"/><Relationship Id="rId296" Type="http://schemas.openxmlformats.org/officeDocument/2006/relationships/hyperlink" Target="http://research.myfwc.com/features/view_article.asp?id=26925" TargetMode="External"/><Relationship Id="rId300" Type="http://schemas.openxmlformats.org/officeDocument/2006/relationships/hyperlink" Target="http://edis.ifas.ufl.edu/pdffiles/SS/SS52800.pdf" TargetMode="External"/><Relationship Id="rId60" Type="http://schemas.openxmlformats.org/officeDocument/2006/relationships/hyperlink" Target="http://www.dep.state.fl.us/water/monitoring/trend.htm" TargetMode="External"/><Relationship Id="rId81" Type="http://schemas.openxmlformats.org/officeDocument/2006/relationships/image" Target="media/image17.jpeg"/><Relationship Id="rId135" Type="http://schemas.openxmlformats.org/officeDocument/2006/relationships/hyperlink" Target="http://www.dep.state.fl.us/water/watersheds/assessment/index.htm" TargetMode="External"/><Relationship Id="rId156" Type="http://schemas.openxmlformats.org/officeDocument/2006/relationships/hyperlink" Target="http://www.dep.state.fl.us/water/monitoring/index.htm" TargetMode="External"/><Relationship Id="rId177" Type="http://schemas.openxmlformats.org/officeDocument/2006/relationships/hyperlink" Target="http://www.dep.state.fl.us/water/watersheds/bmap.htm" TargetMode="External"/><Relationship Id="rId198" Type="http://schemas.openxmlformats.org/officeDocument/2006/relationships/hyperlink" Target="http://www.evergladesplan.org/index.aspx" TargetMode="External"/><Relationship Id="rId321" Type="http://schemas.openxmlformats.org/officeDocument/2006/relationships/hyperlink" Target="http://www.wqa.org/glossary.cfm?gl=1146" TargetMode="External"/><Relationship Id="rId202" Type="http://schemas.openxmlformats.org/officeDocument/2006/relationships/hyperlink" Target="http://www.americasroof.com/highest/fl.shtml" TargetMode="External"/><Relationship Id="rId223" Type="http://schemas.openxmlformats.org/officeDocument/2006/relationships/hyperlink" Target="http://www.dep.state.fl.us/labs/qa/qadocument.htm" TargetMode="External"/><Relationship Id="rId244" Type="http://schemas.openxmlformats.org/officeDocument/2006/relationships/hyperlink" Target="http://www.dep.state.fl.us/WATER/monitoring/fwseds.htm" TargetMode="External"/><Relationship Id="rId18" Type="http://schemas.openxmlformats.org/officeDocument/2006/relationships/hyperlink" Target="http://lakewatch.ifas.ufl.edu/" TargetMode="External"/><Relationship Id="rId39" Type="http://schemas.openxmlformats.org/officeDocument/2006/relationships/hyperlink" Target="http://research.myfwc.com/" TargetMode="External"/><Relationship Id="rId265" Type="http://schemas.openxmlformats.org/officeDocument/2006/relationships/hyperlink" Target="http://research.myfwc.com/" TargetMode="External"/><Relationship Id="rId286" Type="http://schemas.openxmlformats.org/officeDocument/2006/relationships/hyperlink" Target="http://edis.ifas.ufl.edu/pdffiles/SS/SS52800.pdf" TargetMode="External"/><Relationship Id="rId50" Type="http://schemas.openxmlformats.org/officeDocument/2006/relationships/hyperlink" Target="http://www.dep.state.fl.us/water/monitoring/index.htm" TargetMode="External"/><Relationship Id="rId104" Type="http://schemas.openxmlformats.org/officeDocument/2006/relationships/image" Target="media/image27.jpeg"/><Relationship Id="rId125" Type="http://schemas.openxmlformats.org/officeDocument/2006/relationships/hyperlink" Target="http://www.dep.state.fl.us/water/tmdl/index.htm" TargetMode="External"/><Relationship Id="rId146" Type="http://schemas.openxmlformats.org/officeDocument/2006/relationships/hyperlink" Target="http://www.dep.state.fl.us/springs/" TargetMode="External"/><Relationship Id="rId167" Type="http://schemas.openxmlformats.org/officeDocument/2006/relationships/hyperlink" Target="file:///C:\Espy_J\My%20Documents\305b%20Integrated%20reports\2010\._" TargetMode="External"/><Relationship Id="rId188" Type="http://schemas.openxmlformats.org/officeDocument/2006/relationships/hyperlink" Target="http://www.dep.state.fl.us/water/nonpoint/index.htm" TargetMode="External"/><Relationship Id="rId311" Type="http://schemas.openxmlformats.org/officeDocument/2006/relationships/hyperlink" Target="http://www.epa.gov/storet/" TargetMode="External"/><Relationship Id="rId71" Type="http://schemas.openxmlformats.org/officeDocument/2006/relationships/image" Target="media/image8.png"/><Relationship Id="rId92" Type="http://schemas.openxmlformats.org/officeDocument/2006/relationships/image" Target="media/image20.png"/><Relationship Id="rId213" Type="http://schemas.openxmlformats.org/officeDocument/2006/relationships/hyperlink" Target="https://www.flrules.org/gateway/ChapterHome.asp?Chapter=5E-1" TargetMode="External"/><Relationship Id="rId234" Type="http://schemas.openxmlformats.org/officeDocument/2006/relationships/hyperlink" Target="http://www.dep.state.fl.us/labs/qa/sops.htm" TargetMode="External"/><Relationship Id="rId2" Type="http://schemas.openxmlformats.org/officeDocument/2006/relationships/styles" Target="styles.xml"/><Relationship Id="rId29" Type="http://schemas.openxmlformats.org/officeDocument/2006/relationships/hyperlink" Target="http://www.dep.state.fl.us/labs/bars/sas/mercury/index.htm" TargetMode="External"/><Relationship Id="rId255" Type="http://schemas.openxmlformats.org/officeDocument/2006/relationships/hyperlink" Target="http://www.dep.state.fl.us/water/monitoring/basins.htm" TargetMode="External"/><Relationship Id="rId276" Type="http://schemas.openxmlformats.org/officeDocument/2006/relationships/hyperlink" Target="http://publicfiles.dep.state.fl.us/dear/labs/sas/sopdoc/lci_final.pdf" TargetMode="External"/><Relationship Id="rId297" Type="http://schemas.openxmlformats.org/officeDocument/2006/relationships/hyperlink" Target="http://publicfiles.dep.state.fl.us/dear/labs/sas/library/docs/springs/synthesisreport.pdf" TargetMode="External"/><Relationship Id="rId40" Type="http://schemas.openxmlformats.org/officeDocument/2006/relationships/hyperlink" Target="http://www.floridaaquaculture.com/SEAS/SEAS_intro.htm" TargetMode="External"/><Relationship Id="rId115" Type="http://schemas.openxmlformats.org/officeDocument/2006/relationships/image" Target="media/image38.jpeg"/><Relationship Id="rId136" Type="http://schemas.openxmlformats.org/officeDocument/2006/relationships/hyperlink" Target="http://www.dep.state.fl.us/water/tmdl/index.htm" TargetMode="External"/><Relationship Id="rId157" Type="http://schemas.openxmlformats.org/officeDocument/2006/relationships/hyperlink" Target="http://www.dep.state.fl.us/geology/" TargetMode="External"/><Relationship Id="rId178" Type="http://schemas.openxmlformats.org/officeDocument/2006/relationships/hyperlink" Target="http://www.dep.state.fl.us/water/watersheds/assessment/index.htm" TargetMode="External"/><Relationship Id="rId301" Type="http://schemas.openxmlformats.org/officeDocument/2006/relationships/hyperlink" Target="http://lakewatch.ifas.ufl.edu/" TargetMode="External"/><Relationship Id="rId322" Type="http://schemas.openxmlformats.org/officeDocument/2006/relationships/hyperlink" Target="http://www.epa.gov/owow/tmdl/2002wqma.html" TargetMode="External"/><Relationship Id="rId61" Type="http://schemas.openxmlformats.org/officeDocument/2006/relationships/hyperlink" Target="http://www.dep.state.fl.us/water/watersheds/index.htm" TargetMode="External"/><Relationship Id="rId82" Type="http://schemas.openxmlformats.org/officeDocument/2006/relationships/footer" Target="footer3.xml"/><Relationship Id="rId199" Type="http://schemas.openxmlformats.org/officeDocument/2006/relationships/hyperlink" Target="http://www.dep.state.fl.us/water/wetlands/docs/erp/nwerp_brochure.pdf" TargetMode="External"/><Relationship Id="rId203" Type="http://schemas.openxmlformats.org/officeDocument/2006/relationships/hyperlink" Target="http://water.usgs.gov/ogw/pubs/ofr0289/jda_mobilization.htm" TargetMode="External"/><Relationship Id="rId19" Type="http://schemas.openxmlformats.org/officeDocument/2006/relationships/hyperlink" Target="http://www.epa.gov/wed/pages/ecoregions/fl_eco.htm" TargetMode="External"/><Relationship Id="rId224" Type="http://schemas.openxmlformats.org/officeDocument/2006/relationships/hyperlink" Target="http://www.dep.state.fl.us/water/monitoring/docs/MonitoringStrategy_106.pdf" TargetMode="External"/><Relationship Id="rId245" Type="http://schemas.openxmlformats.org/officeDocument/2006/relationships/hyperlink" Target="http://www.dep.state.fl.us/water/nonpoint/" TargetMode="External"/><Relationship Id="rId266" Type="http://schemas.openxmlformats.org/officeDocument/2006/relationships/hyperlink" Target="http://research.myfwc.com/fishkill/" TargetMode="External"/><Relationship Id="rId287" Type="http://schemas.openxmlformats.org/officeDocument/2006/relationships/hyperlink" Target="https://my.sfwmd.gov/portal/page/portal/pg_grp_sfwmd_sfer/portlet_sfer/tab2236037/2010%20report/v1/chapters/v1_ch1.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publicfiles.dep.state.fl.us/FGS/FGS_Publications/FGS%20Library%20Documents/FLCoastSedContamAtlas.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bar"/>
        <c:grouping val="clustered"/>
        <c:ser>
          <c:idx val="0"/>
          <c:order val="0"/>
          <c:tx>
            <c:strRef>
              <c:f>Sheet1!$B$1</c:f>
              <c:strCache>
                <c:ptCount val="1"/>
                <c:pt idx="0">
                  <c:v>Public Water Systems</c:v>
                </c:pt>
              </c:strCache>
            </c:strRef>
          </c:tx>
          <c:cat>
            <c:strRef>
              <c:f>Sheet1!$A$2:$A$7</c:f>
              <c:strCache>
                <c:ptCount val="6"/>
                <c:pt idx="0">
                  <c:v>VOCs</c:v>
                </c:pt>
                <c:pt idx="1">
                  <c:v>Pesticides/SOCs</c:v>
                </c:pt>
                <c:pt idx="2">
                  <c:v>Nitrate</c:v>
                </c:pt>
                <c:pt idx="3">
                  <c:v>Primary Metals</c:v>
                </c:pt>
                <c:pt idx="4">
                  <c:v>Saline Water</c:v>
                </c:pt>
                <c:pt idx="5">
                  <c:v>Radionuclides</c:v>
                </c:pt>
              </c:strCache>
            </c:strRef>
          </c:cat>
          <c:val>
            <c:numRef>
              <c:f>Sheet1!$B$2:$B$7</c:f>
              <c:numCache>
                <c:formatCode>General</c:formatCode>
                <c:ptCount val="6"/>
                <c:pt idx="0">
                  <c:v>13</c:v>
                </c:pt>
                <c:pt idx="1">
                  <c:v>13</c:v>
                </c:pt>
                <c:pt idx="2">
                  <c:v>29</c:v>
                </c:pt>
                <c:pt idx="3">
                  <c:v>42</c:v>
                </c:pt>
                <c:pt idx="4">
                  <c:v>38</c:v>
                </c:pt>
                <c:pt idx="5">
                  <c:v>49</c:v>
                </c:pt>
              </c:numCache>
            </c:numRef>
          </c:val>
        </c:ser>
        <c:ser>
          <c:idx val="1"/>
          <c:order val="1"/>
          <c:tx>
            <c:strRef>
              <c:f>Sheet1!$C$1</c:f>
              <c:strCache>
                <c:ptCount val="1"/>
                <c:pt idx="0">
                  <c:v>Private Wells</c:v>
                </c:pt>
              </c:strCache>
            </c:strRef>
          </c:tx>
          <c:cat>
            <c:strRef>
              <c:f>Sheet1!$A$2:$A$7</c:f>
              <c:strCache>
                <c:ptCount val="6"/>
                <c:pt idx="0">
                  <c:v>VOCs</c:v>
                </c:pt>
                <c:pt idx="1">
                  <c:v>Pesticides/SOCs</c:v>
                </c:pt>
                <c:pt idx="2">
                  <c:v>Nitrate</c:v>
                </c:pt>
                <c:pt idx="3">
                  <c:v>Primary Metals</c:v>
                </c:pt>
                <c:pt idx="4">
                  <c:v>Saline Water</c:v>
                </c:pt>
                <c:pt idx="5">
                  <c:v>Radionuclides</c:v>
                </c:pt>
              </c:strCache>
            </c:strRef>
          </c:cat>
          <c:val>
            <c:numRef>
              <c:f>Sheet1!$C$2:$C$7</c:f>
              <c:numCache>
                <c:formatCode>General</c:formatCode>
                <c:ptCount val="6"/>
                <c:pt idx="0">
                  <c:v>89</c:v>
                </c:pt>
                <c:pt idx="1">
                  <c:v>40</c:v>
                </c:pt>
                <c:pt idx="2">
                  <c:v>322</c:v>
                </c:pt>
                <c:pt idx="3">
                  <c:v>792</c:v>
                </c:pt>
                <c:pt idx="4">
                  <c:v>4</c:v>
                </c:pt>
              </c:numCache>
            </c:numRef>
          </c:val>
        </c:ser>
        <c:axId val="75831552"/>
        <c:axId val="75841536"/>
      </c:barChart>
      <c:catAx>
        <c:axId val="75831552"/>
        <c:scaling>
          <c:orientation val="minMax"/>
        </c:scaling>
        <c:axPos val="l"/>
        <c:tickLblPos val="nextTo"/>
        <c:crossAx val="75841536"/>
        <c:crosses val="autoZero"/>
        <c:auto val="1"/>
        <c:lblAlgn val="ctr"/>
        <c:lblOffset val="100"/>
      </c:catAx>
      <c:valAx>
        <c:axId val="75841536"/>
        <c:scaling>
          <c:orientation val="minMax"/>
        </c:scaling>
        <c:axPos val="b"/>
        <c:majorGridlines/>
        <c:numFmt formatCode="General" sourceLinked="1"/>
        <c:tickLblPos val="nextTo"/>
        <c:crossAx val="75831552"/>
        <c:crosses val="autoZero"/>
        <c:crossBetween val="between"/>
      </c:valAx>
      <c:spPr>
        <a:ln w="6350"/>
      </c:spPr>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899</TotalTime>
  <Pages>218</Pages>
  <Words>69626</Words>
  <Characters>429525</Characters>
  <Application>Microsoft Office Word</Application>
  <DocSecurity>0</DocSecurity>
  <Lines>3579</Lines>
  <Paragraphs>996</Paragraphs>
  <ScaleCrop>false</ScaleCrop>
  <HeadingPairs>
    <vt:vector size="2" baseType="variant">
      <vt:variant>
        <vt:lpstr>Title</vt:lpstr>
      </vt:variant>
      <vt:variant>
        <vt:i4>1</vt:i4>
      </vt:variant>
    </vt:vector>
  </HeadingPairs>
  <TitlesOfParts>
    <vt:vector size="1" baseType="lpstr">
      <vt:lpstr>Draft Annotated Outline, 2006 Integrated Report</vt:lpstr>
    </vt:vector>
  </TitlesOfParts>
  <Company>Florida Department of Environmental Protection</Company>
  <LinksUpToDate>false</LinksUpToDate>
  <CharactersWithSpaces>498155</CharactersWithSpaces>
  <SharedDoc>false</SharedDoc>
  <HLinks>
    <vt:vector size="3054" baseType="variant">
      <vt:variant>
        <vt:i4>1245188</vt:i4>
      </vt:variant>
      <vt:variant>
        <vt:i4>2262</vt:i4>
      </vt:variant>
      <vt:variant>
        <vt:i4>0</vt:i4>
      </vt:variant>
      <vt:variant>
        <vt:i4>5</vt:i4>
      </vt:variant>
      <vt:variant>
        <vt:lpwstr>http://www.greenwaterlab.com/newsite/articles/Assessment of Cyanotoxins 2001.pdf</vt:lpwstr>
      </vt:variant>
      <vt:variant>
        <vt:lpwstr/>
      </vt:variant>
      <vt:variant>
        <vt:i4>4063334</vt:i4>
      </vt:variant>
      <vt:variant>
        <vt:i4>2259</vt:i4>
      </vt:variant>
      <vt:variant>
        <vt:i4>0</vt:i4>
      </vt:variant>
      <vt:variant>
        <vt:i4>5</vt:i4>
      </vt:variant>
      <vt:variant>
        <vt:lpwstr>http://www.epa.gov/owow/tmdl/2002wqma.html</vt:lpwstr>
      </vt:variant>
      <vt:variant>
        <vt:lpwstr/>
      </vt:variant>
      <vt:variant>
        <vt:i4>2228272</vt:i4>
      </vt:variant>
      <vt:variant>
        <vt:i4>2256</vt:i4>
      </vt:variant>
      <vt:variant>
        <vt:i4>0</vt:i4>
      </vt:variant>
      <vt:variant>
        <vt:i4>5</vt:i4>
      </vt:variant>
      <vt:variant>
        <vt:lpwstr>http://www.wqa.org/glossary.cfm?gl=1146</vt:lpwstr>
      </vt:variant>
      <vt:variant>
        <vt:lpwstr/>
      </vt:variant>
      <vt:variant>
        <vt:i4>2424880</vt:i4>
      </vt:variant>
      <vt:variant>
        <vt:i4>2253</vt:i4>
      </vt:variant>
      <vt:variant>
        <vt:i4>0</vt:i4>
      </vt:variant>
      <vt:variant>
        <vt:i4>5</vt:i4>
      </vt:variant>
      <vt:variant>
        <vt:lpwstr>http://www.floridatrend.com/article.asp?id=5795</vt:lpwstr>
      </vt:variant>
      <vt:variant>
        <vt:lpwstr/>
      </vt:variant>
      <vt:variant>
        <vt:i4>6553711</vt:i4>
      </vt:variant>
      <vt:variant>
        <vt:i4>2250</vt:i4>
      </vt:variant>
      <vt:variant>
        <vt:i4>0</vt:i4>
      </vt:variant>
      <vt:variant>
        <vt:i4>5</vt:i4>
      </vt:variant>
      <vt:variant>
        <vt:lpwstr>http://www.envirobase.usgs.gov/</vt:lpwstr>
      </vt:variant>
      <vt:variant>
        <vt:lpwstr/>
      </vt:variant>
      <vt:variant>
        <vt:i4>4915269</vt:i4>
      </vt:variant>
      <vt:variant>
        <vt:i4>2247</vt:i4>
      </vt:variant>
      <vt:variant>
        <vt:i4>0</vt:i4>
      </vt:variant>
      <vt:variant>
        <vt:i4>5</vt:i4>
      </vt:variant>
      <vt:variant>
        <vt:lpwstr>http://fl.water.usgs.gov/WaterUse/Historical_Tables_Miscellaneous/florida-historical-category.1970-2000.htm</vt:lpwstr>
      </vt:variant>
      <vt:variant>
        <vt:lpwstr/>
      </vt:variant>
      <vt:variant>
        <vt:i4>2490418</vt:i4>
      </vt:variant>
      <vt:variant>
        <vt:i4>2244</vt:i4>
      </vt:variant>
      <vt:variant>
        <vt:i4>0</vt:i4>
      </vt:variant>
      <vt:variant>
        <vt:i4>5</vt:i4>
      </vt:variant>
      <vt:variant>
        <vt:lpwstr>http://water.usgs.gov/</vt:lpwstr>
      </vt:variant>
      <vt:variant>
        <vt:lpwstr/>
      </vt:variant>
      <vt:variant>
        <vt:i4>4259920</vt:i4>
      </vt:variant>
      <vt:variant>
        <vt:i4>2241</vt:i4>
      </vt:variant>
      <vt:variant>
        <vt:i4>0</vt:i4>
      </vt:variant>
      <vt:variant>
        <vt:i4>5</vt:i4>
      </vt:variant>
      <vt:variant>
        <vt:lpwstr>http://www.fws.gov/wetlands/StatusAndTrends/</vt:lpwstr>
      </vt:variant>
      <vt:variant>
        <vt:lpwstr/>
      </vt:variant>
      <vt:variant>
        <vt:i4>6815804</vt:i4>
      </vt:variant>
      <vt:variant>
        <vt:i4>2238</vt:i4>
      </vt:variant>
      <vt:variant>
        <vt:i4>0</vt:i4>
      </vt:variant>
      <vt:variant>
        <vt:i4>5</vt:i4>
      </vt:variant>
      <vt:variant>
        <vt:lpwstr>http://www.epa.gov/storet/</vt:lpwstr>
      </vt:variant>
      <vt:variant>
        <vt:lpwstr/>
      </vt:variant>
      <vt:variant>
        <vt:i4>1835082</vt:i4>
      </vt:variant>
      <vt:variant>
        <vt:i4>2235</vt:i4>
      </vt:variant>
      <vt:variant>
        <vt:i4>0</vt:i4>
      </vt:variant>
      <vt:variant>
        <vt:i4>5</vt:i4>
      </vt:variant>
      <vt:variant>
        <vt:lpwstr>http://www.epa.gov/cwns/</vt:lpwstr>
      </vt:variant>
      <vt:variant>
        <vt:lpwstr/>
      </vt:variant>
      <vt:variant>
        <vt:i4>6094873</vt:i4>
      </vt:variant>
      <vt:variant>
        <vt:i4>2232</vt:i4>
      </vt:variant>
      <vt:variant>
        <vt:i4>0</vt:i4>
      </vt:variant>
      <vt:variant>
        <vt:i4>5</vt:i4>
      </vt:variant>
      <vt:variant>
        <vt:lpwstr>http://www.epa.gov/ogwdw000/ccl/ccl3.html</vt:lpwstr>
      </vt:variant>
      <vt:variant>
        <vt:lpwstr>chemical</vt:lpwstr>
      </vt:variant>
      <vt:variant>
        <vt:i4>8192055</vt:i4>
      </vt:variant>
      <vt:variant>
        <vt:i4>2229</vt:i4>
      </vt:variant>
      <vt:variant>
        <vt:i4>0</vt:i4>
      </vt:variant>
      <vt:variant>
        <vt:i4>5</vt:i4>
      </vt:variant>
      <vt:variant>
        <vt:lpwstr>http://www.epa.gov/cwns/2004rtc/cwns2004rtc.pdf</vt:lpwstr>
      </vt:variant>
      <vt:variant>
        <vt:lpwstr/>
      </vt:variant>
      <vt:variant>
        <vt:i4>6815804</vt:i4>
      </vt:variant>
      <vt:variant>
        <vt:i4>2226</vt:i4>
      </vt:variant>
      <vt:variant>
        <vt:i4>0</vt:i4>
      </vt:variant>
      <vt:variant>
        <vt:i4>5</vt:i4>
      </vt:variant>
      <vt:variant>
        <vt:lpwstr>http://www.epa.gov/storet/</vt:lpwstr>
      </vt:variant>
      <vt:variant>
        <vt:lpwstr/>
      </vt:variant>
      <vt:variant>
        <vt:i4>7012392</vt:i4>
      </vt:variant>
      <vt:variant>
        <vt:i4>2223</vt:i4>
      </vt:variant>
      <vt:variant>
        <vt:i4>0</vt:i4>
      </vt:variant>
      <vt:variant>
        <vt:i4>5</vt:i4>
      </vt:variant>
      <vt:variant>
        <vt:lpwstr>http://www.epa.gov/region4/water/tmdl/florida/</vt:lpwstr>
      </vt:variant>
      <vt:variant>
        <vt:lpwstr/>
      </vt:variant>
      <vt:variant>
        <vt:i4>7143493</vt:i4>
      </vt:variant>
      <vt:variant>
        <vt:i4>2220</vt:i4>
      </vt:variant>
      <vt:variant>
        <vt:i4>0</vt:i4>
      </vt:variant>
      <vt:variant>
        <vt:i4>5</vt:i4>
      </vt:variant>
      <vt:variant>
        <vt:lpwstr>http://www.epa.gov/wed/pages/ecoregions/fl_eco.htm</vt:lpwstr>
      </vt:variant>
      <vt:variant>
        <vt:lpwstr/>
      </vt:variant>
      <vt:variant>
        <vt:i4>4718614</vt:i4>
      </vt:variant>
      <vt:variant>
        <vt:i4>2217</vt:i4>
      </vt:variant>
      <vt:variant>
        <vt:i4>0</vt:i4>
      </vt:variant>
      <vt:variant>
        <vt:i4>5</vt:i4>
      </vt:variant>
      <vt:variant>
        <vt:lpwstr>http://www.epa.gov/owow/monitoring/elements/</vt:lpwstr>
      </vt:variant>
      <vt:variant>
        <vt:lpwstr/>
      </vt:variant>
      <vt:variant>
        <vt:i4>4063334</vt:i4>
      </vt:variant>
      <vt:variant>
        <vt:i4>2214</vt:i4>
      </vt:variant>
      <vt:variant>
        <vt:i4>0</vt:i4>
      </vt:variant>
      <vt:variant>
        <vt:i4>5</vt:i4>
      </vt:variant>
      <vt:variant>
        <vt:lpwstr>http://www.epa.gov/owow/TMDL/2002wqma.html</vt:lpwstr>
      </vt:variant>
      <vt:variant>
        <vt:lpwstr/>
      </vt:variant>
      <vt:variant>
        <vt:i4>6684721</vt:i4>
      </vt:variant>
      <vt:variant>
        <vt:i4>2211</vt:i4>
      </vt:variant>
      <vt:variant>
        <vt:i4>0</vt:i4>
      </vt:variant>
      <vt:variant>
        <vt:i4>5</vt:i4>
      </vt:variant>
      <vt:variant>
        <vt:lpwstr>http://www.census.gov/compendia/statab/2010/tables/10s0018.pdf</vt:lpwstr>
      </vt:variant>
      <vt:variant>
        <vt:lpwstr/>
      </vt:variant>
      <vt:variant>
        <vt:i4>6815793</vt:i4>
      </vt:variant>
      <vt:variant>
        <vt:i4>2208</vt:i4>
      </vt:variant>
      <vt:variant>
        <vt:i4>0</vt:i4>
      </vt:variant>
      <vt:variant>
        <vt:i4>5</vt:i4>
      </vt:variant>
      <vt:variant>
        <vt:lpwstr>http://www.census.gov/compendia/statab/2010/tables/10s0016.pdf</vt:lpwstr>
      </vt:variant>
      <vt:variant>
        <vt:lpwstr/>
      </vt:variant>
      <vt:variant>
        <vt:i4>6946865</vt:i4>
      </vt:variant>
      <vt:variant>
        <vt:i4>2205</vt:i4>
      </vt:variant>
      <vt:variant>
        <vt:i4>0</vt:i4>
      </vt:variant>
      <vt:variant>
        <vt:i4>5</vt:i4>
      </vt:variant>
      <vt:variant>
        <vt:lpwstr>http://www.census.gov/compendia/statab/2010/tables/10s0014.pdf</vt:lpwstr>
      </vt:variant>
      <vt:variant>
        <vt:lpwstr/>
      </vt:variant>
      <vt:variant>
        <vt:i4>7209073</vt:i4>
      </vt:variant>
      <vt:variant>
        <vt:i4>2202</vt:i4>
      </vt:variant>
      <vt:variant>
        <vt:i4>0</vt:i4>
      </vt:variant>
      <vt:variant>
        <vt:i4>5</vt:i4>
      </vt:variant>
      <vt:variant>
        <vt:lpwstr>http://quickfacts.census.gov/qfd/states/12000.html</vt:lpwstr>
      </vt:variant>
      <vt:variant>
        <vt:lpwstr/>
      </vt:variant>
      <vt:variant>
        <vt:i4>7602226</vt:i4>
      </vt:variant>
      <vt:variant>
        <vt:i4>2199</vt:i4>
      </vt:variant>
      <vt:variant>
        <vt:i4>0</vt:i4>
      </vt:variant>
      <vt:variant>
        <vt:i4>5</vt:i4>
      </vt:variant>
      <vt:variant>
        <vt:lpwstr>http://hsc.usf.edu/publichealth/EOH/BRACE/</vt:lpwstr>
      </vt:variant>
      <vt:variant>
        <vt:lpwstr/>
      </vt:variant>
      <vt:variant>
        <vt:i4>6422589</vt:i4>
      </vt:variant>
      <vt:variant>
        <vt:i4>2196</vt:i4>
      </vt:variant>
      <vt:variant>
        <vt:i4>0</vt:i4>
      </vt:variant>
      <vt:variant>
        <vt:i4>5</vt:i4>
      </vt:variant>
      <vt:variant>
        <vt:lpwstr>http://lakewatch.ifas.ufl.edu/</vt:lpwstr>
      </vt:variant>
      <vt:variant>
        <vt:lpwstr/>
      </vt:variant>
      <vt:variant>
        <vt:i4>720961</vt:i4>
      </vt:variant>
      <vt:variant>
        <vt:i4>2193</vt:i4>
      </vt:variant>
      <vt:variant>
        <vt:i4>0</vt:i4>
      </vt:variant>
      <vt:variant>
        <vt:i4>5</vt:i4>
      </vt:variant>
      <vt:variant>
        <vt:lpwstr>http://edis.ifas.ufl.edu/pdffiles/SS/SS52800.pdf</vt:lpwstr>
      </vt:variant>
      <vt:variant>
        <vt:lpwstr/>
      </vt:variant>
      <vt:variant>
        <vt:i4>7733284</vt:i4>
      </vt:variant>
      <vt:variant>
        <vt:i4>2190</vt:i4>
      </vt:variant>
      <vt:variant>
        <vt:i4>0</vt:i4>
      </vt:variant>
      <vt:variant>
        <vt:i4>5</vt:i4>
      </vt:variant>
      <vt:variant>
        <vt:lpwstr>http://www.stormwater.ucf.edu/</vt:lpwstr>
      </vt:variant>
      <vt:variant>
        <vt:lpwstr/>
      </vt:variant>
      <vt:variant>
        <vt:i4>3997804</vt:i4>
      </vt:variant>
      <vt:variant>
        <vt:i4>2187</vt:i4>
      </vt:variant>
      <vt:variant>
        <vt:i4>0</vt:i4>
      </vt:variant>
      <vt:variant>
        <vt:i4>5</vt:i4>
      </vt:variant>
      <vt:variant>
        <vt:lpwstr>http://www.srwmd.state.fl.us/index.aspx?NID=151</vt:lpwstr>
      </vt:variant>
      <vt:variant>
        <vt:lpwstr/>
      </vt:variant>
      <vt:variant>
        <vt:i4>1900615</vt:i4>
      </vt:variant>
      <vt:variant>
        <vt:i4>2184</vt:i4>
      </vt:variant>
      <vt:variant>
        <vt:i4>0</vt:i4>
      </vt:variant>
      <vt:variant>
        <vt:i4>5</vt:i4>
      </vt:variant>
      <vt:variant>
        <vt:lpwstr>http://publicfiles.dep.state.fl.us/dear/labs/sas/library/docs/springs/synthesisreport.pdf</vt:lpwstr>
      </vt:variant>
      <vt:variant>
        <vt:lpwstr/>
      </vt:variant>
      <vt:variant>
        <vt:i4>7667713</vt:i4>
      </vt:variant>
      <vt:variant>
        <vt:i4>2181</vt:i4>
      </vt:variant>
      <vt:variant>
        <vt:i4>0</vt:i4>
      </vt:variant>
      <vt:variant>
        <vt:i4>5</vt:i4>
      </vt:variant>
      <vt:variant>
        <vt:lpwstr>http://research.myfwc.com/features/view_article.asp?id=26925</vt:lpwstr>
      </vt:variant>
      <vt:variant>
        <vt:lpwstr/>
      </vt:variant>
      <vt:variant>
        <vt:i4>2162700</vt:i4>
      </vt:variant>
      <vt:variant>
        <vt:i4>2178</vt:i4>
      </vt:variant>
      <vt:variant>
        <vt:i4>0</vt:i4>
      </vt:variant>
      <vt:variant>
        <vt:i4>5</vt:i4>
      </vt:variant>
      <vt:variant>
        <vt:lpwstr>https://my.sfwmd.gov/portal/page/portal/pg_grp_sfwmd_watershed/subtabs_evergladesflbay_home/tab1834093/flbayalgalbloom.pdf</vt:lpwstr>
      </vt:variant>
      <vt:variant>
        <vt:lpwstr/>
      </vt:variant>
      <vt:variant>
        <vt:i4>6488102</vt:i4>
      </vt:variant>
      <vt:variant>
        <vt:i4>2175</vt:i4>
      </vt:variant>
      <vt:variant>
        <vt:i4>0</vt:i4>
      </vt:variant>
      <vt:variant>
        <vt:i4>5</vt:i4>
      </vt:variant>
      <vt:variant>
        <vt:lpwstr>http://www.sfwmd.gov/portal/page/portal/sfwmdmain/home page</vt:lpwstr>
      </vt:variant>
      <vt:variant>
        <vt:lpwstr/>
      </vt:variant>
      <vt:variant>
        <vt:i4>2555907</vt:i4>
      </vt:variant>
      <vt:variant>
        <vt:i4>2172</vt:i4>
      </vt:variant>
      <vt:variant>
        <vt:i4>0</vt:i4>
      </vt:variant>
      <vt:variant>
        <vt:i4>5</vt:i4>
      </vt:variant>
      <vt:variant>
        <vt:lpwstr>http://publicfiles.dep.state.fl.us/FGS/FGS_Publications/FGS Library Documents/FLCoastSedContamAtlas.pdf</vt:lpwstr>
      </vt:variant>
      <vt:variant>
        <vt:lpwstr/>
      </vt:variant>
      <vt:variant>
        <vt:i4>4849736</vt:i4>
      </vt:variant>
      <vt:variant>
        <vt:i4>2169</vt:i4>
      </vt:variant>
      <vt:variant>
        <vt:i4>0</vt:i4>
      </vt:variant>
      <vt:variant>
        <vt:i4>5</vt:i4>
      </vt:variant>
      <vt:variant>
        <vt:lpwstr>http://www.dep.state.fl.us/geology/geologictopics/springs/bulletin66.htm</vt:lpwstr>
      </vt:variant>
      <vt:variant>
        <vt:lpwstr/>
      </vt:variant>
      <vt:variant>
        <vt:i4>3276925</vt:i4>
      </vt:variant>
      <vt:variant>
        <vt:i4>2166</vt:i4>
      </vt:variant>
      <vt:variant>
        <vt:i4>0</vt:i4>
      </vt:variant>
      <vt:variant>
        <vt:i4>5</vt:i4>
      </vt:variant>
      <vt:variant>
        <vt:lpwstr>http://www.dep.state.fl.us/WATER/monitoring/docs/seds/estuarine.pdf</vt:lpwstr>
      </vt:variant>
      <vt:variant>
        <vt:lpwstr/>
      </vt:variant>
      <vt:variant>
        <vt:i4>6226044</vt:i4>
      </vt:variant>
      <vt:variant>
        <vt:i4>2163</vt:i4>
      </vt:variant>
      <vt:variant>
        <vt:i4>0</vt:i4>
      </vt:variant>
      <vt:variant>
        <vt:i4>5</vt:i4>
      </vt:variant>
      <vt:variant>
        <vt:lpwstr>http://publicfiles.dep.state.fl.us/dear/labs/sas/library/docs/wet_stfp.pdf</vt:lpwstr>
      </vt:variant>
      <vt:variant>
        <vt:lpwstr/>
      </vt:variant>
      <vt:variant>
        <vt:i4>5767293</vt:i4>
      </vt:variant>
      <vt:variant>
        <vt:i4>2160</vt:i4>
      </vt:variant>
      <vt:variant>
        <vt:i4>0</vt:i4>
      </vt:variant>
      <vt:variant>
        <vt:i4>5</vt:i4>
      </vt:variant>
      <vt:variant>
        <vt:lpwstr>http://publicfiles.dep.state.fl.us/dear/labs/sas/library/docs/wet_depf.pdf</vt:lpwstr>
      </vt:variant>
      <vt:variant>
        <vt:lpwstr/>
      </vt:variant>
      <vt:variant>
        <vt:i4>7077967</vt:i4>
      </vt:variant>
      <vt:variant>
        <vt:i4>2157</vt:i4>
      </vt:variant>
      <vt:variant>
        <vt:i4>0</vt:i4>
      </vt:variant>
      <vt:variant>
        <vt:i4>5</vt:i4>
      </vt:variant>
      <vt:variant>
        <vt:lpwstr>http://www.doh.state.fl.us/environment/community/ aquatic/pdfs/Cyanobacteria_200208.pdf</vt:lpwstr>
      </vt:variant>
      <vt:variant>
        <vt:lpwstr/>
      </vt:variant>
      <vt:variant>
        <vt:i4>7405690</vt:i4>
      </vt:variant>
      <vt:variant>
        <vt:i4>2154</vt:i4>
      </vt:variant>
      <vt:variant>
        <vt:i4>0</vt:i4>
      </vt:variant>
      <vt:variant>
        <vt:i4>5</vt:i4>
      </vt:variant>
      <vt:variant>
        <vt:lpwstr>https://my.sfwmd.gov/portal/page/portal/pg_grp_sfwmd_sfer/_x000b_portlet_sfer/tab2236037/2010 report/v1/chapters/v1_ch1.pdf</vt:lpwstr>
      </vt:variant>
      <vt:variant>
        <vt:lpwstr/>
      </vt:variant>
      <vt:variant>
        <vt:i4>720961</vt:i4>
      </vt:variant>
      <vt:variant>
        <vt:i4>2151</vt:i4>
      </vt:variant>
      <vt:variant>
        <vt:i4>0</vt:i4>
      </vt:variant>
      <vt:variant>
        <vt:i4>5</vt:i4>
      </vt:variant>
      <vt:variant>
        <vt:lpwstr>http://edis.ifas.ufl.edu/pdffiles/SS/SS52800.pdf</vt:lpwstr>
      </vt:variant>
      <vt:variant>
        <vt:lpwstr/>
      </vt:variant>
      <vt:variant>
        <vt:i4>262242</vt:i4>
      </vt:variant>
      <vt:variant>
        <vt:i4>2148</vt:i4>
      </vt:variant>
      <vt:variant>
        <vt:i4>0</vt:i4>
      </vt:variant>
      <vt:variant>
        <vt:i4>5</vt:i4>
      </vt:variant>
      <vt:variant>
        <vt:lpwstr>http://www.dep.state.fl.us/water/wetlands/docs/erp/nwerp_brochure.pdf</vt:lpwstr>
      </vt:variant>
      <vt:variant>
        <vt:lpwstr/>
      </vt:variant>
      <vt:variant>
        <vt:i4>2162769</vt:i4>
      </vt:variant>
      <vt:variant>
        <vt:i4>2145</vt:i4>
      </vt:variant>
      <vt:variant>
        <vt:i4>0</vt:i4>
      </vt:variant>
      <vt:variant>
        <vt:i4>5</vt:i4>
      </vt:variant>
      <vt:variant>
        <vt:lpwstr>http://www.netstate.com/states/intro/fl_intro.htm</vt:lpwstr>
      </vt:variant>
      <vt:variant>
        <vt:lpwstr/>
      </vt:variant>
      <vt:variant>
        <vt:i4>4522079</vt:i4>
      </vt:variant>
      <vt:variant>
        <vt:i4>2142</vt:i4>
      </vt:variant>
      <vt:variant>
        <vt:i4>0</vt:i4>
      </vt:variant>
      <vt:variant>
        <vt:i4>5</vt:i4>
      </vt:variant>
      <vt:variant>
        <vt:lpwstr>http://www.nrdc.org/water/oceans/florida/flfuture.pdf</vt:lpwstr>
      </vt:variant>
      <vt:variant>
        <vt:lpwstr/>
      </vt:variant>
      <vt:variant>
        <vt:i4>1900570</vt:i4>
      </vt:variant>
      <vt:variant>
        <vt:i4>2139</vt:i4>
      </vt:variant>
      <vt:variant>
        <vt:i4>0</vt:i4>
      </vt:variant>
      <vt:variant>
        <vt:i4>5</vt:i4>
      </vt:variant>
      <vt:variant>
        <vt:lpwstr>http://tidesandcurrents.noaa.gov/hab/</vt:lpwstr>
      </vt:variant>
      <vt:variant>
        <vt:lpwstr/>
      </vt:variant>
      <vt:variant>
        <vt:i4>6946907</vt:i4>
      </vt:variant>
      <vt:variant>
        <vt:i4>2136</vt:i4>
      </vt:variant>
      <vt:variant>
        <vt:i4>0</vt:i4>
      </vt:variant>
      <vt:variant>
        <vt:i4>5</vt:i4>
      </vt:variant>
      <vt:variant>
        <vt:lpwstr>http://pubs.usgs.gov/_x000b_sir/2009/5125/</vt:lpwstr>
      </vt:variant>
      <vt:variant>
        <vt:lpwstr/>
      </vt:variant>
      <vt:variant>
        <vt:i4>3145834</vt:i4>
      </vt:variant>
      <vt:variant>
        <vt:i4>2133</vt:i4>
      </vt:variant>
      <vt:variant>
        <vt:i4>0</vt:i4>
      </vt:variant>
      <vt:variant>
        <vt:i4>5</vt:i4>
      </vt:variant>
      <vt:variant>
        <vt:lpwstr>http://www.dep.state.fl.us/water/monitoring/docs/seds/SQAGs_for_Florida_Inland_Waters_01_03.PDF</vt:lpwstr>
      </vt:variant>
      <vt:variant>
        <vt:lpwstr/>
      </vt:variant>
      <vt:variant>
        <vt:i4>4325435</vt:i4>
      </vt:variant>
      <vt:variant>
        <vt:i4>2130</vt:i4>
      </vt:variant>
      <vt:variant>
        <vt:i4>0</vt:i4>
      </vt:variant>
      <vt:variant>
        <vt:i4>5</vt:i4>
      </vt:variant>
      <vt:variant>
        <vt:lpwstr>http://www.dep.state.fl.us/waste/quick_topics/publications/documents/sediment/volume2.pdf</vt:lpwstr>
      </vt:variant>
      <vt:variant>
        <vt:lpwstr/>
      </vt:variant>
      <vt:variant>
        <vt:i4>327751</vt:i4>
      </vt:variant>
      <vt:variant>
        <vt:i4>2127</vt:i4>
      </vt:variant>
      <vt:variant>
        <vt:i4>0</vt:i4>
      </vt:variant>
      <vt:variant>
        <vt:i4>5</vt:i4>
      </vt:variant>
      <vt:variant>
        <vt:lpwstr>http://publicfiles.dep.state.fl.us/dear/labs/_x000b_sas/library/docs/wet_herb.pdf</vt:lpwstr>
      </vt:variant>
      <vt:variant>
        <vt:lpwstr/>
      </vt:variant>
      <vt:variant>
        <vt:i4>5767228</vt:i4>
      </vt:variant>
      <vt:variant>
        <vt:i4>2124</vt:i4>
      </vt:variant>
      <vt:variant>
        <vt:i4>0</vt:i4>
      </vt:variant>
      <vt:variant>
        <vt:i4>5</vt:i4>
      </vt:variant>
      <vt:variant>
        <vt:lpwstr>http://publicfiles.dep.state.fl.us/DEAR/BMAP/Wekiva/Reports&amp;ReferenceDocuments/FDEP2008SpringsReport/2008FDEPSpringsDataReport_final.pdf</vt:lpwstr>
      </vt:variant>
      <vt:variant>
        <vt:lpwstr/>
      </vt:variant>
      <vt:variant>
        <vt:i4>4522009</vt:i4>
      </vt:variant>
      <vt:variant>
        <vt:i4>2121</vt:i4>
      </vt:variant>
      <vt:variant>
        <vt:i4>0</vt:i4>
      </vt:variant>
      <vt:variant>
        <vt:i4>5</vt:i4>
      </vt:variant>
      <vt:variant>
        <vt:lpwstr>http://gulfofmexicoalliance.org/</vt:lpwstr>
      </vt:variant>
      <vt:variant>
        <vt:lpwstr/>
      </vt:variant>
      <vt:variant>
        <vt:i4>7602179</vt:i4>
      </vt:variant>
      <vt:variant>
        <vt:i4>2118</vt:i4>
      </vt:variant>
      <vt:variant>
        <vt:i4>0</vt:i4>
      </vt:variant>
      <vt:variant>
        <vt:i4>5</vt:i4>
      </vt:variant>
      <vt:variant>
        <vt:lpwstr>http://publicfiles.dep.state.fl.us/dear/labs/sas/sopdoc/lci_final.pdf</vt:lpwstr>
      </vt:variant>
      <vt:variant>
        <vt:lpwstr/>
      </vt:variant>
      <vt:variant>
        <vt:i4>4325473</vt:i4>
      </vt:variant>
      <vt:variant>
        <vt:i4>2115</vt:i4>
      </vt:variant>
      <vt:variant>
        <vt:i4>0</vt:i4>
      </vt:variant>
      <vt:variant>
        <vt:i4>5</vt:i4>
      </vt:variant>
      <vt:variant>
        <vt:lpwstr>http://www.dep.state.fl.us/water/tmdl/docs/tmdls/final/gp2/Wekiva_MainStem04182008.pdf</vt:lpwstr>
      </vt:variant>
      <vt:variant>
        <vt:lpwstr/>
      </vt:variant>
      <vt:variant>
        <vt:i4>6356993</vt:i4>
      </vt:variant>
      <vt:variant>
        <vt:i4>2112</vt:i4>
      </vt:variant>
      <vt:variant>
        <vt:i4>0</vt:i4>
      </vt:variant>
      <vt:variant>
        <vt:i4>5</vt:i4>
      </vt:variant>
      <vt:variant>
        <vt:lpwstr>https://my.sfwmd.gov/portal/page/portal/pg_grp_sfwmd_sfer/portlet_sfer/tab2236037/2010 report/v1/chapters/v1_ch3B.pdf</vt:lpwstr>
      </vt:variant>
      <vt:variant>
        <vt:lpwstr/>
      </vt:variant>
      <vt:variant>
        <vt:i4>3932240</vt:i4>
      </vt:variant>
      <vt:variant>
        <vt:i4>2109</vt:i4>
      </vt:variant>
      <vt:variant>
        <vt:i4>0</vt:i4>
      </vt:variant>
      <vt:variant>
        <vt:i4>5</vt:i4>
      </vt:variant>
      <vt:variant>
        <vt:lpwstr>http://www.fws.gov/wetlands/_documents/gSandT/StateRegionalReports/FloridaWetlandsStatusTrends1970sto1980s.pdf</vt:lpwstr>
      </vt:variant>
      <vt:variant>
        <vt:lpwstr/>
      </vt:variant>
      <vt:variant>
        <vt:i4>7602204</vt:i4>
      </vt:variant>
      <vt:variant>
        <vt:i4>2106</vt:i4>
      </vt:variant>
      <vt:variant>
        <vt:i4>0</vt:i4>
      </vt:variant>
      <vt:variant>
        <vt:i4>5</vt:i4>
      </vt:variant>
      <vt:variant>
        <vt:lpwstr>http://publicfiles.dep.state.fl.us/dear/labs/sas/sopdoc/sci_final.pdf</vt:lpwstr>
      </vt:variant>
      <vt:variant>
        <vt:lpwstr/>
      </vt:variant>
      <vt:variant>
        <vt:i4>1900628</vt:i4>
      </vt:variant>
      <vt:variant>
        <vt:i4>2103</vt:i4>
      </vt:variant>
      <vt:variant>
        <vt:i4>0</vt:i4>
      </vt:variant>
      <vt:variant>
        <vt:i4>5</vt:i4>
      </vt:variant>
      <vt:variant>
        <vt:lpwstr>http://www.floridatrend.com/article.asp?aID=50744</vt:lpwstr>
      </vt:variant>
      <vt:variant>
        <vt:lpwstr/>
      </vt:variant>
      <vt:variant>
        <vt:i4>3473446</vt:i4>
      </vt:variant>
      <vt:variant>
        <vt:i4>2100</vt:i4>
      </vt:variant>
      <vt:variant>
        <vt:i4>0</vt:i4>
      </vt:variant>
      <vt:variant>
        <vt:i4>5</vt:i4>
      </vt:variant>
      <vt:variant>
        <vt:lpwstr>http://www.dep.state.fl.us/springs/reports/files/SpringsTaskForceReport.pdf</vt:lpwstr>
      </vt:variant>
      <vt:variant>
        <vt:lpwstr/>
      </vt:variant>
      <vt:variant>
        <vt:i4>7929900</vt:i4>
      </vt:variant>
      <vt:variant>
        <vt:i4>2097</vt:i4>
      </vt:variant>
      <vt:variant>
        <vt:i4>0</vt:i4>
      </vt:variant>
      <vt:variant>
        <vt:i4>5</vt:i4>
      </vt:variant>
      <vt:variant>
        <vt:lpwstr>http://lakewatch.ifas.ufl.edu/circpdffolder/ABCsInt.pdf</vt:lpwstr>
      </vt:variant>
      <vt:variant>
        <vt:lpwstr/>
      </vt:variant>
      <vt:variant>
        <vt:i4>6750246</vt:i4>
      </vt:variant>
      <vt:variant>
        <vt:i4>2094</vt:i4>
      </vt:variant>
      <vt:variant>
        <vt:i4>0</vt:i4>
      </vt:variant>
      <vt:variant>
        <vt:i4>5</vt:i4>
      </vt:variant>
      <vt:variant>
        <vt:lpwstr>http://myfwc.com/conservation/Conservation_ValueofConservation_EconSaltwaterImpact.htm</vt:lpwstr>
      </vt:variant>
      <vt:variant>
        <vt:lpwstr/>
      </vt:variant>
      <vt:variant>
        <vt:i4>6357083</vt:i4>
      </vt:variant>
      <vt:variant>
        <vt:i4>2091</vt:i4>
      </vt:variant>
      <vt:variant>
        <vt:i4>0</vt:i4>
      </vt:variant>
      <vt:variant>
        <vt:i4>5</vt:i4>
      </vt:variant>
      <vt:variant>
        <vt:lpwstr>http://research.myfwc.com/features/category_main.asp?id=2343</vt:lpwstr>
      </vt:variant>
      <vt:variant>
        <vt:lpwstr/>
      </vt:variant>
      <vt:variant>
        <vt:i4>6422631</vt:i4>
      </vt:variant>
      <vt:variant>
        <vt:i4>2088</vt:i4>
      </vt:variant>
      <vt:variant>
        <vt:i4>0</vt:i4>
      </vt:variant>
      <vt:variant>
        <vt:i4>5</vt:i4>
      </vt:variant>
      <vt:variant>
        <vt:lpwstr>http://research.myfwc.com/fishkill/</vt:lpwstr>
      </vt:variant>
      <vt:variant>
        <vt:lpwstr/>
      </vt:variant>
      <vt:variant>
        <vt:i4>6684789</vt:i4>
      </vt:variant>
      <vt:variant>
        <vt:i4>2085</vt:i4>
      </vt:variant>
      <vt:variant>
        <vt:i4>0</vt:i4>
      </vt:variant>
      <vt:variant>
        <vt:i4>5</vt:i4>
      </vt:variant>
      <vt:variant>
        <vt:lpwstr>http://research.myfwc.com/</vt:lpwstr>
      </vt:variant>
      <vt:variant>
        <vt:lpwstr/>
      </vt:variant>
      <vt:variant>
        <vt:i4>7602231</vt:i4>
      </vt:variant>
      <vt:variant>
        <vt:i4>2082</vt:i4>
      </vt:variant>
      <vt:variant>
        <vt:i4>0</vt:i4>
      </vt:variant>
      <vt:variant>
        <vt:i4>5</vt:i4>
      </vt:variant>
      <vt:variant>
        <vt:lpwstr>http://www.doh.state.fl.us/environment/water/index.html</vt:lpwstr>
      </vt:variant>
      <vt:variant>
        <vt:lpwstr/>
      </vt:variant>
      <vt:variant>
        <vt:i4>6553719</vt:i4>
      </vt:variant>
      <vt:variant>
        <vt:i4>2079</vt:i4>
      </vt:variant>
      <vt:variant>
        <vt:i4>0</vt:i4>
      </vt:variant>
      <vt:variant>
        <vt:i4>5</vt:i4>
      </vt:variant>
      <vt:variant>
        <vt:lpwstr>http://www.doh.state.fl.us/Environment/water/petroleum/saindex.html</vt:lpwstr>
      </vt:variant>
      <vt:variant>
        <vt:lpwstr/>
      </vt:variant>
      <vt:variant>
        <vt:i4>4522053</vt:i4>
      </vt:variant>
      <vt:variant>
        <vt:i4>2076</vt:i4>
      </vt:variant>
      <vt:variant>
        <vt:i4>0</vt:i4>
      </vt:variant>
      <vt:variant>
        <vt:i4>5</vt:i4>
      </vt:variant>
      <vt:variant>
        <vt:lpwstr>http://esetappsdoh.doh.state.fl.us/irm00beachwater/terms.htm</vt:lpwstr>
      </vt:variant>
      <vt:variant>
        <vt:lpwstr/>
      </vt:variant>
      <vt:variant>
        <vt:i4>786460</vt:i4>
      </vt:variant>
      <vt:variant>
        <vt:i4>2073</vt:i4>
      </vt:variant>
      <vt:variant>
        <vt:i4>0</vt:i4>
      </vt:variant>
      <vt:variant>
        <vt:i4>5</vt:i4>
      </vt:variant>
      <vt:variant>
        <vt:lpwstr>http://www.doh.state.fl.us/environment/community/fishconsumptionadvisories/index.html</vt:lpwstr>
      </vt:variant>
      <vt:variant>
        <vt:lpwstr/>
      </vt:variant>
      <vt:variant>
        <vt:i4>6619172</vt:i4>
      </vt:variant>
      <vt:variant>
        <vt:i4>2070</vt:i4>
      </vt:variant>
      <vt:variant>
        <vt:i4>0</vt:i4>
      </vt:variant>
      <vt:variant>
        <vt:i4>5</vt:i4>
      </vt:variant>
      <vt:variant>
        <vt:lpwstr>http://esetappsdoh.doh.state.fl.us/irm00beachwater/history/hisintro.htm</vt:lpwstr>
      </vt:variant>
      <vt:variant>
        <vt:lpwstr/>
      </vt:variant>
      <vt:variant>
        <vt:i4>2555938</vt:i4>
      </vt:variant>
      <vt:variant>
        <vt:i4>2067</vt:i4>
      </vt:variant>
      <vt:variant>
        <vt:i4>0</vt:i4>
      </vt:variant>
      <vt:variant>
        <vt:i4>5</vt:i4>
      </vt:variant>
      <vt:variant>
        <vt:lpwstr>http://esetappsdoh.doh.state.fl.us/irm00beachwater/default.aspx</vt:lpwstr>
      </vt:variant>
      <vt:variant>
        <vt:lpwstr/>
      </vt:variant>
      <vt:variant>
        <vt:i4>2555938</vt:i4>
      </vt:variant>
      <vt:variant>
        <vt:i4>2064</vt:i4>
      </vt:variant>
      <vt:variant>
        <vt:i4>0</vt:i4>
      </vt:variant>
      <vt:variant>
        <vt:i4>5</vt:i4>
      </vt:variant>
      <vt:variant>
        <vt:lpwstr>http://esetappsdoh.doh.state.fl.us/irm00beachwater/default.aspx</vt:lpwstr>
      </vt:variant>
      <vt:variant>
        <vt:lpwstr/>
      </vt:variant>
      <vt:variant>
        <vt:i4>3473470</vt:i4>
      </vt:variant>
      <vt:variant>
        <vt:i4>2061</vt:i4>
      </vt:variant>
      <vt:variant>
        <vt:i4>0</vt:i4>
      </vt:variant>
      <vt:variant>
        <vt:i4>5</vt:i4>
      </vt:variant>
      <vt:variant>
        <vt:lpwstr>http://www.doh.state.fl.us/Environment/medicine/aquatic/index.html</vt:lpwstr>
      </vt:variant>
      <vt:variant>
        <vt:lpwstr/>
      </vt:variant>
      <vt:variant>
        <vt:i4>6094848</vt:i4>
      </vt:variant>
      <vt:variant>
        <vt:i4>2058</vt:i4>
      </vt:variant>
      <vt:variant>
        <vt:i4>0</vt:i4>
      </vt:variant>
      <vt:variant>
        <vt:i4>5</vt:i4>
      </vt:variant>
      <vt:variant>
        <vt:lpwstr>http://www.dep.state.fl.us/water/groundwater/wellhead.htm</vt:lpwstr>
      </vt:variant>
      <vt:variant>
        <vt:lpwstr/>
      </vt:variant>
      <vt:variant>
        <vt:i4>3670122</vt:i4>
      </vt:variant>
      <vt:variant>
        <vt:i4>2055</vt:i4>
      </vt:variant>
      <vt:variant>
        <vt:i4>0</vt:i4>
      </vt:variant>
      <vt:variant>
        <vt:i4>5</vt:i4>
      </vt:variant>
      <vt:variant>
        <vt:lpwstr>http://www.dep.state.fl.us/water/monitoring/basins.htm</vt:lpwstr>
      </vt:variant>
      <vt:variant>
        <vt:lpwstr/>
      </vt:variant>
      <vt:variant>
        <vt:i4>5505109</vt:i4>
      </vt:variant>
      <vt:variant>
        <vt:i4>2052</vt:i4>
      </vt:variant>
      <vt:variant>
        <vt:i4>0</vt:i4>
      </vt:variant>
      <vt:variant>
        <vt:i4>5</vt:i4>
      </vt:variant>
      <vt:variant>
        <vt:lpwstr>http://www.dep.state.fl.us/water/watersheds/assessment/index.htm</vt:lpwstr>
      </vt:variant>
      <vt:variant>
        <vt:lpwstr/>
      </vt:variant>
      <vt:variant>
        <vt:i4>1572878</vt:i4>
      </vt:variant>
      <vt:variant>
        <vt:i4>2049</vt:i4>
      </vt:variant>
      <vt:variant>
        <vt:i4>0</vt:i4>
      </vt:variant>
      <vt:variant>
        <vt:i4>5</vt:i4>
      </vt:variant>
      <vt:variant>
        <vt:lpwstr>http://www.dep.state.fl.us/water/wff/wsupply/</vt:lpwstr>
      </vt:variant>
      <vt:variant>
        <vt:lpwstr/>
      </vt:variant>
      <vt:variant>
        <vt:i4>1310785</vt:i4>
      </vt:variant>
      <vt:variant>
        <vt:i4>2046</vt:i4>
      </vt:variant>
      <vt:variant>
        <vt:i4>0</vt:i4>
      </vt:variant>
      <vt:variant>
        <vt:i4>5</vt:i4>
      </vt:variant>
      <vt:variant>
        <vt:lpwstr>http://www.dep.state.fl.us/water/uic/</vt:lpwstr>
      </vt:variant>
      <vt:variant>
        <vt:lpwstr/>
      </vt:variant>
      <vt:variant>
        <vt:i4>7077940</vt:i4>
      </vt:variant>
      <vt:variant>
        <vt:i4>2043</vt:i4>
      </vt:variant>
      <vt:variant>
        <vt:i4>0</vt:i4>
      </vt:variant>
      <vt:variant>
        <vt:i4>5</vt:i4>
      </vt:variant>
      <vt:variant>
        <vt:lpwstr>http://www.dep.state.fl.us/water/tmdl/index.htm</vt:lpwstr>
      </vt:variant>
      <vt:variant>
        <vt:lpwstr/>
      </vt:variant>
      <vt:variant>
        <vt:i4>327751</vt:i4>
      </vt:variant>
      <vt:variant>
        <vt:i4>2040</vt:i4>
      </vt:variant>
      <vt:variant>
        <vt:i4>0</vt:i4>
      </vt:variant>
      <vt:variant>
        <vt:i4>5</vt:i4>
      </vt:variant>
      <vt:variant>
        <vt:lpwstr>http://www.dep.state.fl.us/water/storet/index.htm</vt:lpwstr>
      </vt:variant>
      <vt:variant>
        <vt:lpwstr/>
      </vt:variant>
      <vt:variant>
        <vt:i4>5111887</vt:i4>
      </vt:variant>
      <vt:variant>
        <vt:i4>2037</vt:i4>
      </vt:variant>
      <vt:variant>
        <vt:i4>0</vt:i4>
      </vt:variant>
      <vt:variant>
        <vt:i4>5</vt:i4>
      </vt:variant>
      <vt:variant>
        <vt:lpwstr>http://www.dep.state.fl.us/Water/wetlands/erp/rules/stormwater/index.htm</vt:lpwstr>
      </vt:variant>
      <vt:variant>
        <vt:lpwstr/>
      </vt:variant>
      <vt:variant>
        <vt:i4>1114116</vt:i4>
      </vt:variant>
      <vt:variant>
        <vt:i4>2034</vt:i4>
      </vt:variant>
      <vt:variant>
        <vt:i4>0</vt:i4>
      </vt:variant>
      <vt:variant>
        <vt:i4>5</vt:i4>
      </vt:variant>
      <vt:variant>
        <vt:lpwstr>http://www.dep.state.fl.us/swapp/</vt:lpwstr>
      </vt:variant>
      <vt:variant>
        <vt:lpwstr/>
      </vt:variant>
      <vt:variant>
        <vt:i4>65600</vt:i4>
      </vt:variant>
      <vt:variant>
        <vt:i4>2031</vt:i4>
      </vt:variant>
      <vt:variant>
        <vt:i4>0</vt:i4>
      </vt:variant>
      <vt:variant>
        <vt:i4>5</vt:i4>
      </vt:variant>
      <vt:variant>
        <vt:lpwstr>http://www.dep.state.fl.us/water/monitoring/sediments.htm</vt:lpwstr>
      </vt:variant>
      <vt:variant>
        <vt:lpwstr/>
      </vt:variant>
      <vt:variant>
        <vt:i4>6815853</vt:i4>
      </vt:variant>
      <vt:variant>
        <vt:i4>2028</vt:i4>
      </vt:variant>
      <vt:variant>
        <vt:i4>0</vt:i4>
      </vt:variant>
      <vt:variant>
        <vt:i4>5</vt:i4>
      </vt:variant>
      <vt:variant>
        <vt:lpwstr>http://www.dep.state.fl.us/water/wqssp/nutrients/index.htm</vt:lpwstr>
      </vt:variant>
      <vt:variant>
        <vt:lpwstr/>
      </vt:variant>
      <vt:variant>
        <vt:i4>2883626</vt:i4>
      </vt:variant>
      <vt:variant>
        <vt:i4>2025</vt:i4>
      </vt:variant>
      <vt:variant>
        <vt:i4>0</vt:i4>
      </vt:variant>
      <vt:variant>
        <vt:i4>5</vt:i4>
      </vt:variant>
      <vt:variant>
        <vt:lpwstr>http://www.dep.state.fl.us/water/nonpoint/</vt:lpwstr>
      </vt:variant>
      <vt:variant>
        <vt:lpwstr/>
      </vt:variant>
      <vt:variant>
        <vt:i4>2228324</vt:i4>
      </vt:variant>
      <vt:variant>
        <vt:i4>2022</vt:i4>
      </vt:variant>
      <vt:variant>
        <vt:i4>0</vt:i4>
      </vt:variant>
      <vt:variant>
        <vt:i4>5</vt:i4>
      </vt:variant>
      <vt:variant>
        <vt:lpwstr>http://www.dep.state.fl.us/WATER/monitoring/fwseds.htm</vt:lpwstr>
      </vt:variant>
      <vt:variant>
        <vt:lpwstr/>
      </vt:variant>
      <vt:variant>
        <vt:i4>8323174</vt:i4>
      </vt:variant>
      <vt:variant>
        <vt:i4>2019</vt:i4>
      </vt:variant>
      <vt:variant>
        <vt:i4>0</vt:i4>
      </vt:variant>
      <vt:variant>
        <vt:i4>5</vt:i4>
      </vt:variant>
      <vt:variant>
        <vt:lpwstr>http://www.dep.state.fl.us/secretary/designateduse.htm</vt:lpwstr>
      </vt:variant>
      <vt:variant>
        <vt:lpwstr/>
      </vt:variant>
      <vt:variant>
        <vt:i4>2555966</vt:i4>
      </vt:variant>
      <vt:variant>
        <vt:i4>2016</vt:i4>
      </vt:variant>
      <vt:variant>
        <vt:i4>0</vt:i4>
      </vt:variant>
      <vt:variant>
        <vt:i4>5</vt:i4>
      </vt:variant>
      <vt:variant>
        <vt:lpwstr>http://www.floridasprings.org/</vt:lpwstr>
      </vt:variant>
      <vt:variant>
        <vt:lpwstr/>
      </vt:variant>
      <vt:variant>
        <vt:i4>5374032</vt:i4>
      </vt:variant>
      <vt:variant>
        <vt:i4>2013</vt:i4>
      </vt:variant>
      <vt:variant>
        <vt:i4>0</vt:i4>
      </vt:variant>
      <vt:variant>
        <vt:i4>5</vt:i4>
      </vt:variant>
      <vt:variant>
        <vt:lpwstr>http://www.dep.state.fl.us/water/esoc.htm</vt:lpwstr>
      </vt:variant>
      <vt:variant>
        <vt:lpwstr/>
      </vt:variant>
      <vt:variant>
        <vt:i4>720960</vt:i4>
      </vt:variant>
      <vt:variant>
        <vt:i4>2010</vt:i4>
      </vt:variant>
      <vt:variant>
        <vt:i4>0</vt:i4>
      </vt:variant>
      <vt:variant>
        <vt:i4>5</vt:i4>
      </vt:variant>
      <vt:variant>
        <vt:lpwstr>http://www.dep.state.fl.us/water/drinkingwater/index.htm</vt:lpwstr>
      </vt:variant>
      <vt:variant>
        <vt:lpwstr/>
      </vt:variant>
      <vt:variant>
        <vt:i4>6684735</vt:i4>
      </vt:variant>
      <vt:variant>
        <vt:i4>2007</vt:i4>
      </vt:variant>
      <vt:variant>
        <vt:i4>0</vt:i4>
      </vt:variant>
      <vt:variant>
        <vt:i4>5</vt:i4>
      </vt:variant>
      <vt:variant>
        <vt:lpwstr>http://www.doh.state.fl.us/Environment/water/index.html</vt:lpwstr>
      </vt:variant>
      <vt:variant>
        <vt:lpwstr>Drinking2</vt:lpwstr>
      </vt:variant>
      <vt:variant>
        <vt:i4>8060990</vt:i4>
      </vt:variant>
      <vt:variant>
        <vt:i4>2004</vt:i4>
      </vt:variant>
      <vt:variant>
        <vt:i4>0</vt:i4>
      </vt:variant>
      <vt:variant>
        <vt:i4>5</vt:i4>
      </vt:variant>
      <vt:variant>
        <vt:lpwstr>http://www.dep.state.fl.us/water/drinkingwater/</vt:lpwstr>
      </vt:variant>
      <vt:variant>
        <vt:lpwstr/>
      </vt:variant>
      <vt:variant>
        <vt:i4>7471143</vt:i4>
      </vt:variant>
      <vt:variant>
        <vt:i4>2001</vt:i4>
      </vt:variant>
      <vt:variant>
        <vt:i4>0</vt:i4>
      </vt:variant>
      <vt:variant>
        <vt:i4>5</vt:i4>
      </vt:variant>
      <vt:variant>
        <vt:lpwstr>http://www.dep.state.fl.us/water/groundwater/delineate.htm</vt:lpwstr>
      </vt:variant>
      <vt:variant>
        <vt:lpwstr/>
      </vt:variant>
      <vt:variant>
        <vt:i4>3407904</vt:i4>
      </vt:variant>
      <vt:variant>
        <vt:i4>1998</vt:i4>
      </vt:variant>
      <vt:variant>
        <vt:i4>0</vt:i4>
      </vt:variant>
      <vt:variant>
        <vt:i4>5</vt:i4>
      </vt:variant>
      <vt:variant>
        <vt:lpwstr>http://www.dep.state.fl.us/waste/categories/pss/default.htm</vt:lpwstr>
      </vt:variant>
      <vt:variant>
        <vt:lpwstr/>
      </vt:variant>
      <vt:variant>
        <vt:i4>7536700</vt:i4>
      </vt:variant>
      <vt:variant>
        <vt:i4>1995</vt:i4>
      </vt:variant>
      <vt:variant>
        <vt:i4>0</vt:i4>
      </vt:variant>
      <vt:variant>
        <vt:i4>5</vt:i4>
      </vt:variant>
      <vt:variant>
        <vt:lpwstr>http://www.dep.state.fl.us/water/bgalgae/index.htm</vt:lpwstr>
      </vt:variant>
      <vt:variant>
        <vt:lpwstr/>
      </vt:variant>
      <vt:variant>
        <vt:i4>6946875</vt:i4>
      </vt:variant>
      <vt:variant>
        <vt:i4>1992</vt:i4>
      </vt:variant>
      <vt:variant>
        <vt:i4>0</vt:i4>
      </vt:variant>
      <vt:variant>
        <vt:i4>5</vt:i4>
      </vt:variant>
      <vt:variant>
        <vt:lpwstr>http://www.dep.state.fl.us/labs/qa/sops.htm</vt:lpwstr>
      </vt:variant>
      <vt:variant>
        <vt:lpwstr/>
      </vt:variant>
      <vt:variant>
        <vt:i4>7012410</vt:i4>
      </vt:variant>
      <vt:variant>
        <vt:i4>1989</vt:i4>
      </vt:variant>
      <vt:variant>
        <vt:i4>0</vt:i4>
      </vt:variant>
      <vt:variant>
        <vt:i4>5</vt:i4>
      </vt:variant>
      <vt:variant>
        <vt:lpwstr>http://www.dep.state.fl.us/water/docs/2008_Integrated_Report.pdf</vt:lpwstr>
      </vt:variant>
      <vt:variant>
        <vt:lpwstr/>
      </vt:variant>
      <vt:variant>
        <vt:i4>1245262</vt:i4>
      </vt:variant>
      <vt:variant>
        <vt:i4>1986</vt:i4>
      </vt:variant>
      <vt:variant>
        <vt:i4>0</vt:i4>
      </vt:variant>
      <vt:variant>
        <vt:i4>5</vt:i4>
      </vt:variant>
      <vt:variant>
        <vt:lpwstr>http://dep.state.fl.us/water/tmdl/docs/tmdls/merc-tmdl-plan-draft.pdf</vt:lpwstr>
      </vt:variant>
      <vt:variant>
        <vt:lpwstr/>
      </vt:variant>
      <vt:variant>
        <vt:i4>7536748</vt:i4>
      </vt:variant>
      <vt:variant>
        <vt:i4>1983</vt:i4>
      </vt:variant>
      <vt:variant>
        <vt:i4>0</vt:i4>
      </vt:variant>
      <vt:variant>
        <vt:i4>5</vt:i4>
      </vt:variant>
      <vt:variant>
        <vt:lpwstr>http://www.dep.state.fl.us/water/wqssp/docs/CanalRechargeReport.pdf</vt:lpwstr>
      </vt:variant>
      <vt:variant>
        <vt:lpwstr/>
      </vt:variant>
      <vt:variant>
        <vt:i4>6619194</vt:i4>
      </vt:variant>
      <vt:variant>
        <vt:i4>1980</vt:i4>
      </vt:variant>
      <vt:variant>
        <vt:i4>0</vt:i4>
      </vt:variant>
      <vt:variant>
        <vt:i4>5</vt:i4>
      </vt:variant>
      <vt:variant>
        <vt:lpwstr>http://www.dep.state.fl.us/water/docs/2006_Integrated_Report.pdf</vt:lpwstr>
      </vt:variant>
      <vt:variant>
        <vt:lpwstr/>
      </vt:variant>
      <vt:variant>
        <vt:i4>327751</vt:i4>
      </vt:variant>
      <vt:variant>
        <vt:i4>1977</vt:i4>
      </vt:variant>
      <vt:variant>
        <vt:i4>0</vt:i4>
      </vt:variant>
      <vt:variant>
        <vt:i4>5</vt:i4>
      </vt:variant>
      <vt:variant>
        <vt:lpwstr>http://www.dep.state.fl.us/water/storet/index.htm</vt:lpwstr>
      </vt:variant>
      <vt:variant>
        <vt:lpwstr/>
      </vt:variant>
      <vt:variant>
        <vt:i4>720960</vt:i4>
      </vt:variant>
      <vt:variant>
        <vt:i4>1974</vt:i4>
      </vt:variant>
      <vt:variant>
        <vt:i4>0</vt:i4>
      </vt:variant>
      <vt:variant>
        <vt:i4>5</vt:i4>
      </vt:variant>
      <vt:variant>
        <vt:lpwstr>http://www.dep.state.fl.us/water/drinkingwater/index.htm</vt:lpwstr>
      </vt:variant>
      <vt:variant>
        <vt:lpwstr/>
      </vt:variant>
      <vt:variant>
        <vt:i4>2555966</vt:i4>
      </vt:variant>
      <vt:variant>
        <vt:i4>1971</vt:i4>
      </vt:variant>
      <vt:variant>
        <vt:i4>0</vt:i4>
      </vt:variant>
      <vt:variant>
        <vt:i4>5</vt:i4>
      </vt:variant>
      <vt:variant>
        <vt:lpwstr>http://www.floridasprings.org/</vt:lpwstr>
      </vt:variant>
      <vt:variant>
        <vt:lpwstr/>
      </vt:variant>
      <vt:variant>
        <vt:i4>7405605</vt:i4>
      </vt:variant>
      <vt:variant>
        <vt:i4>1968</vt:i4>
      </vt:variant>
      <vt:variant>
        <vt:i4>0</vt:i4>
      </vt:variant>
      <vt:variant>
        <vt:i4>5</vt:i4>
      </vt:variant>
      <vt:variant>
        <vt:lpwstr>http://www.dep.state.fl.us/water/wqssp/classes.htm</vt:lpwstr>
      </vt:variant>
      <vt:variant>
        <vt:lpwstr/>
      </vt:variant>
      <vt:variant>
        <vt:i4>5767199</vt:i4>
      </vt:variant>
      <vt:variant>
        <vt:i4>1965</vt:i4>
      </vt:variant>
      <vt:variant>
        <vt:i4>0</vt:i4>
      </vt:variant>
      <vt:variant>
        <vt:i4>5</vt:i4>
      </vt:variant>
      <vt:variant>
        <vt:lpwstr>http://www.dep.state.fl.us/labs/mercury/index.htm</vt:lpwstr>
      </vt:variant>
      <vt:variant>
        <vt:lpwstr/>
      </vt:variant>
      <vt:variant>
        <vt:i4>393342</vt:i4>
      </vt:variant>
      <vt:variant>
        <vt:i4>1962</vt:i4>
      </vt:variant>
      <vt:variant>
        <vt:i4>0</vt:i4>
      </vt:variant>
      <vt:variant>
        <vt:i4>5</vt:i4>
      </vt:variant>
      <vt:variant>
        <vt:lpwstr>http://www.dep.state.fl.us/water/monitoring/docs/MonitoringStrategy_106.pdf</vt:lpwstr>
      </vt:variant>
      <vt:variant>
        <vt:lpwstr/>
      </vt:variant>
      <vt:variant>
        <vt:i4>1835085</vt:i4>
      </vt:variant>
      <vt:variant>
        <vt:i4>1959</vt:i4>
      </vt:variant>
      <vt:variant>
        <vt:i4>0</vt:i4>
      </vt:variant>
      <vt:variant>
        <vt:i4>5</vt:i4>
      </vt:variant>
      <vt:variant>
        <vt:lpwstr>http://www.dep.state.fl.us/labs/qa/qadocument.htm</vt:lpwstr>
      </vt:variant>
      <vt:variant>
        <vt:lpwstr/>
      </vt:variant>
      <vt:variant>
        <vt:i4>6750266</vt:i4>
      </vt:variant>
      <vt:variant>
        <vt:i4>1956</vt:i4>
      </vt:variant>
      <vt:variant>
        <vt:i4>0</vt:i4>
      </vt:variant>
      <vt:variant>
        <vt:i4>5</vt:i4>
      </vt:variant>
      <vt:variant>
        <vt:lpwstr>http://www.dep.state.fl.us/water/docs/2004_Integrated_Report.pdf</vt:lpwstr>
      </vt:variant>
      <vt:variant>
        <vt:lpwstr/>
      </vt:variant>
      <vt:variant>
        <vt:i4>2228324</vt:i4>
      </vt:variant>
      <vt:variant>
        <vt:i4>1953</vt:i4>
      </vt:variant>
      <vt:variant>
        <vt:i4>0</vt:i4>
      </vt:variant>
      <vt:variant>
        <vt:i4>5</vt:i4>
      </vt:variant>
      <vt:variant>
        <vt:lpwstr>http://www.dep.state.fl.us/water/monitoring/fwseds.htm</vt:lpwstr>
      </vt:variant>
      <vt:variant>
        <vt:lpwstr/>
      </vt:variant>
      <vt:variant>
        <vt:i4>1572876</vt:i4>
      </vt:variant>
      <vt:variant>
        <vt:i4>1950</vt:i4>
      </vt:variant>
      <vt:variant>
        <vt:i4>0</vt:i4>
      </vt:variant>
      <vt:variant>
        <vt:i4>5</vt:i4>
      </vt:variant>
      <vt:variant>
        <vt:lpwstr>http://www.dep.state.fl.us/water/tmdl/docs/AmendedIWR.pdf</vt:lpwstr>
      </vt:variant>
      <vt:variant>
        <vt:lpwstr/>
      </vt:variant>
      <vt:variant>
        <vt:i4>3801179</vt:i4>
      </vt:variant>
      <vt:variant>
        <vt:i4>1947</vt:i4>
      </vt:variant>
      <vt:variant>
        <vt:i4>0</vt:i4>
      </vt:variant>
      <vt:variant>
        <vt:i4>5</vt:i4>
      </vt:variant>
      <vt:variant>
        <vt:lpwstr>http://www.dep.state.fl.us/water/tmdl/stat_rep.htm</vt:lpwstr>
      </vt:variant>
      <vt:variant>
        <vt:lpwstr/>
      </vt:variant>
      <vt:variant>
        <vt:i4>6750266</vt:i4>
      </vt:variant>
      <vt:variant>
        <vt:i4>1944</vt:i4>
      </vt:variant>
      <vt:variant>
        <vt:i4>0</vt:i4>
      </vt:variant>
      <vt:variant>
        <vt:i4>5</vt:i4>
      </vt:variant>
      <vt:variant>
        <vt:lpwstr>http://www.dep.state.fl.us/water/docs/2004_Integrated_Report.pdf</vt:lpwstr>
      </vt:variant>
      <vt:variant>
        <vt:lpwstr/>
      </vt:variant>
      <vt:variant>
        <vt:i4>2555907</vt:i4>
      </vt:variant>
      <vt:variant>
        <vt:i4>1941</vt:i4>
      </vt:variant>
      <vt:variant>
        <vt:i4>0</vt:i4>
      </vt:variant>
      <vt:variant>
        <vt:i4>5</vt:i4>
      </vt:variant>
      <vt:variant>
        <vt:lpwstr>http://publicfiles.dep.state.fl.us/FGS/FGS_Publications/FGS Library Documents/FLCoastSedContamAtlas.pdf</vt:lpwstr>
      </vt:variant>
      <vt:variant>
        <vt:lpwstr/>
      </vt:variant>
      <vt:variant>
        <vt:i4>5767243</vt:i4>
      </vt:variant>
      <vt:variant>
        <vt:i4>1938</vt:i4>
      </vt:variant>
      <vt:variant>
        <vt:i4>0</vt:i4>
      </vt:variant>
      <vt:variant>
        <vt:i4>5</vt:i4>
      </vt:variant>
      <vt:variant>
        <vt:lpwstr>http://www.floridaagwaterpolicy.com/</vt:lpwstr>
      </vt:variant>
      <vt:variant>
        <vt:lpwstr/>
      </vt:variant>
      <vt:variant>
        <vt:i4>6094918</vt:i4>
      </vt:variant>
      <vt:variant>
        <vt:i4>1935</vt:i4>
      </vt:variant>
      <vt:variant>
        <vt:i4>0</vt:i4>
      </vt:variant>
      <vt:variant>
        <vt:i4>5</vt:i4>
      </vt:variant>
      <vt:variant>
        <vt:lpwstr>http://www.floridaaquaculture.com/RedTide/RedTideInfo.htm</vt:lpwstr>
      </vt:variant>
      <vt:variant>
        <vt:lpwstr/>
      </vt:variant>
      <vt:variant>
        <vt:i4>3801118</vt:i4>
      </vt:variant>
      <vt:variant>
        <vt:i4>1932</vt:i4>
      </vt:variant>
      <vt:variant>
        <vt:i4>0</vt:i4>
      </vt:variant>
      <vt:variant>
        <vt:i4>5</vt:i4>
      </vt:variant>
      <vt:variant>
        <vt:lpwstr>http://www.floridaaquaculture.com/SEAS/SEAS_intro.htm</vt:lpwstr>
      </vt:variant>
      <vt:variant>
        <vt:lpwstr/>
      </vt:variant>
      <vt:variant>
        <vt:i4>196701</vt:i4>
      </vt:variant>
      <vt:variant>
        <vt:i4>1929</vt:i4>
      </vt:variant>
      <vt:variant>
        <vt:i4>0</vt:i4>
      </vt:variant>
      <vt:variant>
        <vt:i4>5</vt:i4>
      </vt:variant>
      <vt:variant>
        <vt:lpwstr>https://www.flrules.org/gateway/ChapterHome.asp?Chapter=5E-1</vt:lpwstr>
      </vt:variant>
      <vt:variant>
        <vt:lpwstr/>
      </vt:variant>
      <vt:variant>
        <vt:i4>2031685</vt:i4>
      </vt:variant>
      <vt:variant>
        <vt:i4>1926</vt:i4>
      </vt:variant>
      <vt:variant>
        <vt:i4>0</vt:i4>
      </vt:variant>
      <vt:variant>
        <vt:i4>5</vt:i4>
      </vt:variant>
      <vt:variant>
        <vt:lpwstr>http://iodeweb1.vliz.be/odin/bitstream/1834/758/1/Lora E5.pdf</vt:lpwstr>
      </vt:variant>
      <vt:variant>
        <vt:lpwstr/>
      </vt:variant>
      <vt:variant>
        <vt:i4>7012366</vt:i4>
      </vt:variant>
      <vt:variant>
        <vt:i4>1923</vt:i4>
      </vt:variant>
      <vt:variant>
        <vt:i4>0</vt:i4>
      </vt:variant>
      <vt:variant>
        <vt:i4>5</vt:i4>
      </vt:variant>
      <vt:variant>
        <vt:lpwstr>http://www.fws.gov/wetlands/_documents/gSandT/StateRegionalReports/FloridasWetlandsUpdateStatusTrends1985to1996.pdf</vt:lpwstr>
      </vt:variant>
      <vt:variant>
        <vt:lpwstr/>
      </vt:variant>
      <vt:variant>
        <vt:i4>7340039</vt:i4>
      </vt:variant>
      <vt:variant>
        <vt:i4>1920</vt:i4>
      </vt:variant>
      <vt:variant>
        <vt:i4>0</vt:i4>
      </vt:variant>
      <vt:variant>
        <vt:i4>5</vt:i4>
      </vt:variant>
      <vt:variant>
        <vt:lpwstr>http://www.fws.gov/wetlands/_documents/gSandT/NationalReports/WetlandsLossesUS1780sto1980s.pdf</vt:lpwstr>
      </vt:variant>
      <vt:variant>
        <vt:lpwstr/>
      </vt:variant>
      <vt:variant>
        <vt:i4>655390</vt:i4>
      </vt:variant>
      <vt:variant>
        <vt:i4>1917</vt:i4>
      </vt:variant>
      <vt:variant>
        <vt:i4>0</vt:i4>
      </vt:variant>
      <vt:variant>
        <vt:i4>5</vt:i4>
      </vt:variant>
      <vt:variant>
        <vt:lpwstr>http://ufdcweb1.uflib.ufl.edu/ufdc/?b=UF00095137&amp;v=00001</vt:lpwstr>
      </vt:variant>
      <vt:variant>
        <vt:lpwstr/>
      </vt:variant>
      <vt:variant>
        <vt:i4>262209</vt:i4>
      </vt:variant>
      <vt:variant>
        <vt:i4>1914</vt:i4>
      </vt:variant>
      <vt:variant>
        <vt:i4>0</vt:i4>
      </vt:variant>
      <vt:variant>
        <vt:i4>5</vt:i4>
      </vt:variant>
      <vt:variant>
        <vt:lpwstr>http://www.evergladesplan.org/index.aspx</vt:lpwstr>
      </vt:variant>
      <vt:variant>
        <vt:lpwstr/>
      </vt:variant>
      <vt:variant>
        <vt:i4>4259872</vt:i4>
      </vt:variant>
      <vt:variant>
        <vt:i4>1911</vt:i4>
      </vt:variant>
      <vt:variant>
        <vt:i4>0</vt:i4>
      </vt:variant>
      <vt:variant>
        <vt:i4>5</vt:i4>
      </vt:variant>
      <vt:variant>
        <vt:lpwstr>http://www.dep.state.fl.us/water/monitoring/docs/seds/FFW_Metals_Report_Final.pdf</vt:lpwstr>
      </vt:variant>
      <vt:variant>
        <vt:lpwstr/>
      </vt:variant>
      <vt:variant>
        <vt:i4>1376285</vt:i4>
      </vt:variant>
      <vt:variant>
        <vt:i4>1908</vt:i4>
      </vt:variant>
      <vt:variant>
        <vt:i4>0</vt:i4>
      </vt:variant>
      <vt:variant>
        <vt:i4>5</vt:i4>
      </vt:variant>
      <vt:variant>
        <vt:lpwstr>http://www.dep.state.fl.us/springs/reports/files/UF_SpringsNutrients_Report.pdf</vt:lpwstr>
      </vt:variant>
      <vt:variant>
        <vt:lpwstr/>
      </vt:variant>
      <vt:variant>
        <vt:i4>1704003</vt:i4>
      </vt:variant>
      <vt:variant>
        <vt:i4>1905</vt:i4>
      </vt:variant>
      <vt:variant>
        <vt:i4>0</vt:i4>
      </vt:variant>
      <vt:variant>
        <vt:i4>5</vt:i4>
      </vt:variant>
      <vt:variant>
        <vt:lpwstr>http://consensus.fsu.edu/fertilizer-task-force/pdfs2/Fertilizer_Task_Force_Final_Report11408-3.pdf</vt:lpwstr>
      </vt:variant>
      <vt:variant>
        <vt:lpwstr/>
      </vt:variant>
      <vt:variant>
        <vt:i4>7602226</vt:i4>
      </vt:variant>
      <vt:variant>
        <vt:i4>1902</vt:i4>
      </vt:variant>
      <vt:variant>
        <vt:i4>0</vt:i4>
      </vt:variant>
      <vt:variant>
        <vt:i4>5</vt:i4>
      </vt:variant>
      <vt:variant>
        <vt:lpwstr>http://hsc.usf.edu/publichealth/EOH/BRACE/</vt:lpwstr>
      </vt:variant>
      <vt:variant>
        <vt:lpwstr/>
      </vt:variant>
      <vt:variant>
        <vt:i4>2949132</vt:i4>
      </vt:variant>
      <vt:variant>
        <vt:i4>1899</vt:i4>
      </vt:variant>
      <vt:variant>
        <vt:i4>0</vt:i4>
      </vt:variant>
      <vt:variant>
        <vt:i4>5</vt:i4>
      </vt:variant>
      <vt:variant>
        <vt:lpwstr>http://water.usgs.gov/ogw/pubs/ofr0289/jda_mobilization.htm</vt:lpwstr>
      </vt:variant>
      <vt:variant>
        <vt:lpwstr/>
      </vt:variant>
      <vt:variant>
        <vt:i4>917515</vt:i4>
      </vt:variant>
      <vt:variant>
        <vt:i4>1896</vt:i4>
      </vt:variant>
      <vt:variant>
        <vt:i4>0</vt:i4>
      </vt:variant>
      <vt:variant>
        <vt:i4>5</vt:i4>
      </vt:variant>
      <vt:variant>
        <vt:lpwstr>http://www.americasroof.com/highest/fl.shtml</vt:lpwstr>
      </vt:variant>
      <vt:variant>
        <vt:lpwstr/>
      </vt:variant>
      <vt:variant>
        <vt:i4>4980741</vt:i4>
      </vt:variant>
      <vt:variant>
        <vt:i4>1893</vt:i4>
      </vt:variant>
      <vt:variant>
        <vt:i4>0</vt:i4>
      </vt:variant>
      <vt:variant>
        <vt:i4>5</vt:i4>
      </vt:variant>
      <vt:variant>
        <vt:lpwstr>http://www.stateofflorida.com/Portal/DesktopDefault.aspx?tabid=95</vt:lpwstr>
      </vt:variant>
      <vt:variant>
        <vt:lpwstr/>
      </vt:variant>
      <vt:variant>
        <vt:i4>7864396</vt:i4>
      </vt:variant>
      <vt:variant>
        <vt:i4>1890</vt:i4>
      </vt:variant>
      <vt:variant>
        <vt:i4>0</vt:i4>
      </vt:variant>
      <vt:variant>
        <vt:i4>5</vt:i4>
      </vt:variant>
      <vt:variant>
        <vt:lpwstr>http://research.myfwc.com/engine/download_redirection_process.asp?file=TR_14screen.pdf&amp;objid=20125&amp;dltype=article</vt:lpwstr>
      </vt:variant>
      <vt:variant>
        <vt:lpwstr/>
      </vt:variant>
      <vt:variant>
        <vt:i4>262242</vt:i4>
      </vt:variant>
      <vt:variant>
        <vt:i4>1887</vt:i4>
      </vt:variant>
      <vt:variant>
        <vt:i4>0</vt:i4>
      </vt:variant>
      <vt:variant>
        <vt:i4>5</vt:i4>
      </vt:variant>
      <vt:variant>
        <vt:lpwstr>http://www.dep.state.fl.us/water/wetlands/docs/erp/nwerp_brochure.pdf</vt:lpwstr>
      </vt:variant>
      <vt:variant>
        <vt:lpwstr/>
      </vt:variant>
      <vt:variant>
        <vt:i4>262209</vt:i4>
      </vt:variant>
      <vt:variant>
        <vt:i4>1881</vt:i4>
      </vt:variant>
      <vt:variant>
        <vt:i4>0</vt:i4>
      </vt:variant>
      <vt:variant>
        <vt:i4>5</vt:i4>
      </vt:variant>
      <vt:variant>
        <vt:lpwstr>http://www.evergladesplan.org/index.aspx</vt:lpwstr>
      </vt:variant>
      <vt:variant>
        <vt:lpwstr/>
      </vt:variant>
      <vt:variant>
        <vt:i4>8060965</vt:i4>
      </vt:variant>
      <vt:variant>
        <vt:i4>1878</vt:i4>
      </vt:variant>
      <vt:variant>
        <vt:i4>0</vt:i4>
      </vt:variant>
      <vt:variant>
        <vt:i4>5</vt:i4>
      </vt:variant>
      <vt:variant>
        <vt:lpwstr>http://www.epa.gov/owm/mtb/cwns/2004rtc/toc.htm</vt:lpwstr>
      </vt:variant>
      <vt:variant>
        <vt:lpwstr/>
      </vt:variant>
      <vt:variant>
        <vt:i4>524391</vt:i4>
      </vt:variant>
      <vt:variant>
        <vt:i4>1875</vt:i4>
      </vt:variant>
      <vt:variant>
        <vt:i4>0</vt:i4>
      </vt:variant>
      <vt:variant>
        <vt:i4>5</vt:i4>
      </vt:variant>
      <vt:variant>
        <vt:lpwstr>http://fyn.ifas.ufl.edu/professionals/BMP_overview.htm</vt:lpwstr>
      </vt:variant>
      <vt:variant>
        <vt:lpwstr/>
      </vt:variant>
      <vt:variant>
        <vt:i4>3801173</vt:i4>
      </vt:variant>
      <vt:variant>
        <vt:i4>1872</vt:i4>
      </vt:variant>
      <vt:variant>
        <vt:i4>0</vt:i4>
      </vt:variant>
      <vt:variant>
        <vt:i4>5</vt:i4>
      </vt:variant>
      <vt:variant>
        <vt:lpwstr>http://if-srvv-edis.ifas.ufl.edu/topic_fyn</vt:lpwstr>
      </vt:variant>
      <vt:variant>
        <vt:lpwstr/>
      </vt:variant>
      <vt:variant>
        <vt:i4>7077940</vt:i4>
      </vt:variant>
      <vt:variant>
        <vt:i4>1869</vt:i4>
      </vt:variant>
      <vt:variant>
        <vt:i4>0</vt:i4>
      </vt:variant>
      <vt:variant>
        <vt:i4>5</vt:i4>
      </vt:variant>
      <vt:variant>
        <vt:lpwstr>http://www.dep.state.fl.us/water/tmdl/index.htm</vt:lpwstr>
      </vt:variant>
      <vt:variant>
        <vt:lpwstr/>
      </vt:variant>
      <vt:variant>
        <vt:i4>8192055</vt:i4>
      </vt:variant>
      <vt:variant>
        <vt:i4>1866</vt:i4>
      </vt:variant>
      <vt:variant>
        <vt:i4>0</vt:i4>
      </vt:variant>
      <vt:variant>
        <vt:i4>5</vt:i4>
      </vt:variant>
      <vt:variant>
        <vt:lpwstr>http://www.dep.state.fl.us/water/nonpoint/index.htm</vt:lpwstr>
      </vt:variant>
      <vt:variant>
        <vt:lpwstr/>
      </vt:variant>
      <vt:variant>
        <vt:i4>6488115</vt:i4>
      </vt:variant>
      <vt:variant>
        <vt:i4>1863</vt:i4>
      </vt:variant>
      <vt:variant>
        <vt:i4>0</vt:i4>
      </vt:variant>
      <vt:variant>
        <vt:i4>5</vt:i4>
      </vt:variant>
      <vt:variant>
        <vt:lpwstr>http://www.dep.state.fl.us/water/nonpoint/agsrc.htm</vt:lpwstr>
      </vt:variant>
      <vt:variant>
        <vt:lpwstr/>
      </vt:variant>
      <vt:variant>
        <vt:i4>7733284</vt:i4>
      </vt:variant>
      <vt:variant>
        <vt:i4>1860</vt:i4>
      </vt:variant>
      <vt:variant>
        <vt:i4>0</vt:i4>
      </vt:variant>
      <vt:variant>
        <vt:i4>5</vt:i4>
      </vt:variant>
      <vt:variant>
        <vt:lpwstr>http://www.stormwater.ucf.edu/</vt:lpwstr>
      </vt:variant>
      <vt:variant>
        <vt:lpwstr/>
      </vt:variant>
      <vt:variant>
        <vt:i4>8192055</vt:i4>
      </vt:variant>
      <vt:variant>
        <vt:i4>1857</vt:i4>
      </vt:variant>
      <vt:variant>
        <vt:i4>0</vt:i4>
      </vt:variant>
      <vt:variant>
        <vt:i4>5</vt:i4>
      </vt:variant>
      <vt:variant>
        <vt:lpwstr>http://www.dep.state.fl.us/water/nonpoint/index.htm</vt:lpwstr>
      </vt:variant>
      <vt:variant>
        <vt:lpwstr/>
      </vt:variant>
      <vt:variant>
        <vt:i4>8192055</vt:i4>
      </vt:variant>
      <vt:variant>
        <vt:i4>1854</vt:i4>
      </vt:variant>
      <vt:variant>
        <vt:i4>0</vt:i4>
      </vt:variant>
      <vt:variant>
        <vt:i4>5</vt:i4>
      </vt:variant>
      <vt:variant>
        <vt:lpwstr>http://www.dep.state.fl.us/water/nonpoint/index.htm</vt:lpwstr>
      </vt:variant>
      <vt:variant>
        <vt:lpwstr/>
      </vt:variant>
      <vt:variant>
        <vt:i4>8192055</vt:i4>
      </vt:variant>
      <vt:variant>
        <vt:i4>1851</vt:i4>
      </vt:variant>
      <vt:variant>
        <vt:i4>0</vt:i4>
      </vt:variant>
      <vt:variant>
        <vt:i4>5</vt:i4>
      </vt:variant>
      <vt:variant>
        <vt:lpwstr>http://www.dep.state.fl.us/water/nonpoint/index.htm</vt:lpwstr>
      </vt:variant>
      <vt:variant>
        <vt:lpwstr/>
      </vt:variant>
      <vt:variant>
        <vt:i4>5767243</vt:i4>
      </vt:variant>
      <vt:variant>
        <vt:i4>1848</vt:i4>
      </vt:variant>
      <vt:variant>
        <vt:i4>0</vt:i4>
      </vt:variant>
      <vt:variant>
        <vt:i4>5</vt:i4>
      </vt:variant>
      <vt:variant>
        <vt:lpwstr>http://www.floridaagwaterpolicy.com/</vt:lpwstr>
      </vt:variant>
      <vt:variant>
        <vt:lpwstr/>
      </vt:variant>
      <vt:variant>
        <vt:i4>2883626</vt:i4>
      </vt:variant>
      <vt:variant>
        <vt:i4>1845</vt:i4>
      </vt:variant>
      <vt:variant>
        <vt:i4>0</vt:i4>
      </vt:variant>
      <vt:variant>
        <vt:i4>5</vt:i4>
      </vt:variant>
      <vt:variant>
        <vt:lpwstr>http://www.dep.state.fl.us/water/nonpoint/</vt:lpwstr>
      </vt:variant>
      <vt:variant>
        <vt:lpwstr/>
      </vt:variant>
      <vt:variant>
        <vt:i4>4128871</vt:i4>
      </vt:variant>
      <vt:variant>
        <vt:i4>1842</vt:i4>
      </vt:variant>
      <vt:variant>
        <vt:i4>0</vt:i4>
      </vt:variant>
      <vt:variant>
        <vt:i4>5</vt:i4>
      </vt:variant>
      <vt:variant>
        <vt:lpwstr>http://www.dep.state.fl.us/water/wastewater/permitting.htm</vt:lpwstr>
      </vt:variant>
      <vt:variant>
        <vt:lpwstr/>
      </vt:variant>
      <vt:variant>
        <vt:i4>4128871</vt:i4>
      </vt:variant>
      <vt:variant>
        <vt:i4>1839</vt:i4>
      </vt:variant>
      <vt:variant>
        <vt:i4>0</vt:i4>
      </vt:variant>
      <vt:variant>
        <vt:i4>5</vt:i4>
      </vt:variant>
      <vt:variant>
        <vt:lpwstr>http://www.dep.state.fl.us/water/wastewater/permitting.htm</vt:lpwstr>
      </vt:variant>
      <vt:variant>
        <vt:lpwstr/>
      </vt:variant>
      <vt:variant>
        <vt:i4>5177353</vt:i4>
      </vt:variant>
      <vt:variant>
        <vt:i4>1836</vt:i4>
      </vt:variant>
      <vt:variant>
        <vt:i4>0</vt:i4>
      </vt:variant>
      <vt:variant>
        <vt:i4>5</vt:i4>
      </vt:variant>
      <vt:variant>
        <vt:lpwstr>http://www.dep.state.fl.us/water/watersheds/swim.htm</vt:lpwstr>
      </vt:variant>
      <vt:variant>
        <vt:lpwstr/>
      </vt:variant>
      <vt:variant>
        <vt:i4>5505109</vt:i4>
      </vt:variant>
      <vt:variant>
        <vt:i4>1833</vt:i4>
      </vt:variant>
      <vt:variant>
        <vt:i4>0</vt:i4>
      </vt:variant>
      <vt:variant>
        <vt:i4>5</vt:i4>
      </vt:variant>
      <vt:variant>
        <vt:lpwstr>http://www.dep.state.fl.us/water/watersheds/assessment/index.htm</vt:lpwstr>
      </vt:variant>
      <vt:variant>
        <vt:lpwstr/>
      </vt:variant>
      <vt:variant>
        <vt:i4>7471137</vt:i4>
      </vt:variant>
      <vt:variant>
        <vt:i4>1830</vt:i4>
      </vt:variant>
      <vt:variant>
        <vt:i4>0</vt:i4>
      </vt:variant>
      <vt:variant>
        <vt:i4>5</vt:i4>
      </vt:variant>
      <vt:variant>
        <vt:lpwstr>https://www.flrules.org/Default.asp</vt:lpwstr>
      </vt:variant>
      <vt:variant>
        <vt:lpwstr/>
      </vt:variant>
      <vt:variant>
        <vt:i4>5505109</vt:i4>
      </vt:variant>
      <vt:variant>
        <vt:i4>1827</vt:i4>
      </vt:variant>
      <vt:variant>
        <vt:i4>0</vt:i4>
      </vt:variant>
      <vt:variant>
        <vt:i4>5</vt:i4>
      </vt:variant>
      <vt:variant>
        <vt:lpwstr>http://www.dep.state.fl.us/water/watersheds/assessment/index.htm</vt:lpwstr>
      </vt:variant>
      <vt:variant>
        <vt:lpwstr/>
      </vt:variant>
      <vt:variant>
        <vt:i4>4718608</vt:i4>
      </vt:variant>
      <vt:variant>
        <vt:i4>1821</vt:i4>
      </vt:variant>
      <vt:variant>
        <vt:i4>0</vt:i4>
      </vt:variant>
      <vt:variant>
        <vt:i4>5</vt:i4>
      </vt:variant>
      <vt:variant>
        <vt:lpwstr>http://www.dep.state.fl.us/water/watersheds/bmap.htm</vt:lpwstr>
      </vt:variant>
      <vt:variant>
        <vt:lpwstr/>
      </vt:variant>
      <vt:variant>
        <vt:i4>5505109</vt:i4>
      </vt:variant>
      <vt:variant>
        <vt:i4>1818</vt:i4>
      </vt:variant>
      <vt:variant>
        <vt:i4>0</vt:i4>
      </vt:variant>
      <vt:variant>
        <vt:i4>5</vt:i4>
      </vt:variant>
      <vt:variant>
        <vt:lpwstr>http://www.dep.state.fl.us/water/watersheds/assessment/index.htm</vt:lpwstr>
      </vt:variant>
      <vt:variant>
        <vt:lpwstr/>
      </vt:variant>
      <vt:variant>
        <vt:i4>7471137</vt:i4>
      </vt:variant>
      <vt:variant>
        <vt:i4>1815</vt:i4>
      </vt:variant>
      <vt:variant>
        <vt:i4>0</vt:i4>
      </vt:variant>
      <vt:variant>
        <vt:i4>5</vt:i4>
      </vt:variant>
      <vt:variant>
        <vt:lpwstr>https://www.flrules.org/Default.asp</vt:lpwstr>
      </vt:variant>
      <vt:variant>
        <vt:lpwstr/>
      </vt:variant>
      <vt:variant>
        <vt:i4>5767243</vt:i4>
      </vt:variant>
      <vt:variant>
        <vt:i4>1812</vt:i4>
      </vt:variant>
      <vt:variant>
        <vt:i4>0</vt:i4>
      </vt:variant>
      <vt:variant>
        <vt:i4>5</vt:i4>
      </vt:variant>
      <vt:variant>
        <vt:lpwstr>http://www.floridaagwaterpolicy.com/</vt:lpwstr>
      </vt:variant>
      <vt:variant>
        <vt:lpwstr/>
      </vt:variant>
      <vt:variant>
        <vt:i4>7471151</vt:i4>
      </vt:variant>
      <vt:variant>
        <vt:i4>1809</vt:i4>
      </vt:variant>
      <vt:variant>
        <vt:i4>0</vt:i4>
      </vt:variant>
      <vt:variant>
        <vt:i4>5</vt:i4>
      </vt:variant>
      <vt:variant>
        <vt:lpwstr>http://www.dep.state.fl.us/legal/Rules/shared/62-303/62-303.pdf</vt:lpwstr>
      </vt:variant>
      <vt:variant>
        <vt:lpwstr/>
      </vt:variant>
      <vt:variant>
        <vt:i4>1835029</vt:i4>
      </vt:variant>
      <vt:variant>
        <vt:i4>1806</vt:i4>
      </vt:variant>
      <vt:variant>
        <vt:i4>0</vt:i4>
      </vt:variant>
      <vt:variant>
        <vt:i4>5</vt:i4>
      </vt:variant>
      <vt:variant>
        <vt:lpwstr>ftp://ftp.dep.state.fl.us/pub/incoming/2010 integrated report/Watershed%25 Assessment Program</vt:lpwstr>
      </vt:variant>
      <vt:variant>
        <vt:lpwstr/>
      </vt:variant>
      <vt:variant>
        <vt:i4>1441880</vt:i4>
      </vt:variant>
      <vt:variant>
        <vt:i4>1803</vt:i4>
      </vt:variant>
      <vt:variant>
        <vt:i4>0</vt:i4>
      </vt:variant>
      <vt:variant>
        <vt:i4>5</vt:i4>
      </vt:variant>
      <vt:variant>
        <vt:lpwstr>../../../../Espy_J/My Documents/305b Integrated reports/2010/._</vt:lpwstr>
      </vt:variant>
      <vt:variant>
        <vt:lpwstr>_Chapter_7._</vt:lpwstr>
      </vt:variant>
      <vt:variant>
        <vt:i4>852044</vt:i4>
      </vt:variant>
      <vt:variant>
        <vt:i4>1800</vt:i4>
      </vt:variant>
      <vt:variant>
        <vt:i4>0</vt:i4>
      </vt:variant>
      <vt:variant>
        <vt:i4>5</vt:i4>
      </vt:variant>
      <vt:variant>
        <vt:lpwstr>../../../../Espy_J/My Documents/305b Integrated reports/2010/:_</vt:lpwstr>
      </vt:variant>
      <vt:variant>
        <vt:lpwstr>_Chapter_8:_</vt:lpwstr>
      </vt:variant>
      <vt:variant>
        <vt:i4>1441880</vt:i4>
      </vt:variant>
      <vt:variant>
        <vt:i4>1797</vt:i4>
      </vt:variant>
      <vt:variant>
        <vt:i4>0</vt:i4>
      </vt:variant>
      <vt:variant>
        <vt:i4>5</vt:i4>
      </vt:variant>
      <vt:variant>
        <vt:lpwstr>../../../../Espy_J/My Documents/305b Integrated reports/2010/._</vt:lpwstr>
      </vt:variant>
      <vt:variant>
        <vt:lpwstr>_Chapter_7._</vt:lpwstr>
      </vt:variant>
      <vt:variant>
        <vt:i4>196684</vt:i4>
      </vt:variant>
      <vt:variant>
        <vt:i4>1794</vt:i4>
      </vt:variant>
      <vt:variant>
        <vt:i4>0</vt:i4>
      </vt:variant>
      <vt:variant>
        <vt:i4>5</vt:i4>
      </vt:variant>
      <vt:variant>
        <vt:lpwstr>../../../../Espy_J/My Documents/305b Integrated reports/2010/:_</vt:lpwstr>
      </vt:variant>
      <vt:variant>
        <vt:lpwstr>_Chapter_6:_</vt:lpwstr>
      </vt:variant>
      <vt:variant>
        <vt:i4>1310808</vt:i4>
      </vt:variant>
      <vt:variant>
        <vt:i4>1791</vt:i4>
      </vt:variant>
      <vt:variant>
        <vt:i4>0</vt:i4>
      </vt:variant>
      <vt:variant>
        <vt:i4>5</vt:i4>
      </vt:variant>
      <vt:variant>
        <vt:lpwstr>../../../../Espy_J/My Documents/305b Integrated reports/2010/._</vt:lpwstr>
      </vt:variant>
      <vt:variant>
        <vt:lpwstr>_Chapter_5._</vt:lpwstr>
      </vt:variant>
      <vt:variant>
        <vt:i4>6488115</vt:i4>
      </vt:variant>
      <vt:variant>
        <vt:i4>1788</vt:i4>
      </vt:variant>
      <vt:variant>
        <vt:i4>0</vt:i4>
      </vt:variant>
      <vt:variant>
        <vt:i4>5</vt:i4>
      </vt:variant>
      <vt:variant>
        <vt:lpwstr>http://www.dep.state.fl.us/water/nonpoint/agsrc.htm</vt:lpwstr>
      </vt:variant>
      <vt:variant>
        <vt:lpwstr/>
      </vt:variant>
      <vt:variant>
        <vt:i4>4391006</vt:i4>
      </vt:variant>
      <vt:variant>
        <vt:i4>1785</vt:i4>
      </vt:variant>
      <vt:variant>
        <vt:i4>0</vt:i4>
      </vt:variant>
      <vt:variant>
        <vt:i4>5</vt:i4>
      </vt:variant>
      <vt:variant>
        <vt:lpwstr>http://www.dep.state.fl.us/waste/categories/wc/pages/cleanup/default.htm</vt:lpwstr>
      </vt:variant>
      <vt:variant>
        <vt:lpwstr/>
      </vt:variant>
      <vt:variant>
        <vt:i4>2621482</vt:i4>
      </vt:variant>
      <vt:variant>
        <vt:i4>1782</vt:i4>
      </vt:variant>
      <vt:variant>
        <vt:i4>0</vt:i4>
      </vt:variant>
      <vt:variant>
        <vt:i4>5</vt:i4>
      </vt:variant>
      <vt:variant>
        <vt:lpwstr>http://www.epa.gov/superfund/sites/npl/</vt:lpwstr>
      </vt:variant>
      <vt:variant>
        <vt:lpwstr/>
      </vt:variant>
      <vt:variant>
        <vt:i4>3342397</vt:i4>
      </vt:variant>
      <vt:variant>
        <vt:i4>1779</vt:i4>
      </vt:variant>
      <vt:variant>
        <vt:i4>0</vt:i4>
      </vt:variant>
      <vt:variant>
        <vt:i4>5</vt:i4>
      </vt:variant>
      <vt:variant>
        <vt:lpwstr>http://www.dep.state.fl.us/waste/categories/drycleaning/default.htm</vt:lpwstr>
      </vt:variant>
      <vt:variant>
        <vt:lpwstr/>
      </vt:variant>
      <vt:variant>
        <vt:i4>2359331</vt:i4>
      </vt:variant>
      <vt:variant>
        <vt:i4>1776</vt:i4>
      </vt:variant>
      <vt:variant>
        <vt:i4>0</vt:i4>
      </vt:variant>
      <vt:variant>
        <vt:i4>5</vt:i4>
      </vt:variant>
      <vt:variant>
        <vt:lpwstr>http://www.dep.state.fl.us/waste/categories/pcp/default.htm</vt:lpwstr>
      </vt:variant>
      <vt:variant>
        <vt:lpwstr/>
      </vt:variant>
      <vt:variant>
        <vt:i4>6946899</vt:i4>
      </vt:variant>
      <vt:variant>
        <vt:i4>1773</vt:i4>
      </vt:variant>
      <vt:variant>
        <vt:i4>0</vt:i4>
      </vt:variant>
      <vt:variant>
        <vt:i4>5</vt:i4>
      </vt:variant>
      <vt:variant>
        <vt:lpwstr>http://www.dep.state.fl.us/waste/quick_topics/database_reports/pages/stcm/stcm_reports.htm</vt:lpwstr>
      </vt:variant>
      <vt:variant>
        <vt:lpwstr/>
      </vt:variant>
      <vt:variant>
        <vt:i4>6619256</vt:i4>
      </vt:variant>
      <vt:variant>
        <vt:i4>1770</vt:i4>
      </vt:variant>
      <vt:variant>
        <vt:i4>0</vt:i4>
      </vt:variant>
      <vt:variant>
        <vt:i4>5</vt:i4>
      </vt:variant>
      <vt:variant>
        <vt:lpwstr>http://www.swfwmd.state.fl.us/</vt:lpwstr>
      </vt:variant>
      <vt:variant>
        <vt:lpwstr/>
      </vt:variant>
      <vt:variant>
        <vt:i4>7143533</vt:i4>
      </vt:variant>
      <vt:variant>
        <vt:i4>1767</vt:i4>
      </vt:variant>
      <vt:variant>
        <vt:i4>0</vt:i4>
      </vt:variant>
      <vt:variant>
        <vt:i4>5</vt:i4>
      </vt:variant>
      <vt:variant>
        <vt:lpwstr>http://www.dep.state.fl.us/geology/</vt:lpwstr>
      </vt:variant>
      <vt:variant>
        <vt:lpwstr/>
      </vt:variant>
      <vt:variant>
        <vt:i4>1507410</vt:i4>
      </vt:variant>
      <vt:variant>
        <vt:i4>1764</vt:i4>
      </vt:variant>
      <vt:variant>
        <vt:i4>0</vt:i4>
      </vt:variant>
      <vt:variant>
        <vt:i4>5</vt:i4>
      </vt:variant>
      <vt:variant>
        <vt:lpwstr>http://www.dep.state.fl.us/water/monitoring/index.htm</vt:lpwstr>
      </vt:variant>
      <vt:variant>
        <vt:lpwstr/>
      </vt:variant>
      <vt:variant>
        <vt:i4>7209043</vt:i4>
      </vt:variant>
      <vt:variant>
        <vt:i4>1761</vt:i4>
      </vt:variant>
      <vt:variant>
        <vt:i4>0</vt:i4>
      </vt:variant>
      <vt:variant>
        <vt:i4>5</vt:i4>
      </vt:variant>
      <vt:variant>
        <vt:lpwstr/>
      </vt:variant>
      <vt:variant>
        <vt:lpwstr>_Chapter_5._</vt:lpwstr>
      </vt:variant>
      <vt:variant>
        <vt:i4>7209043</vt:i4>
      </vt:variant>
      <vt:variant>
        <vt:i4>1758</vt:i4>
      </vt:variant>
      <vt:variant>
        <vt:i4>0</vt:i4>
      </vt:variant>
      <vt:variant>
        <vt:i4>5</vt:i4>
      </vt:variant>
      <vt:variant>
        <vt:lpwstr/>
      </vt:variant>
      <vt:variant>
        <vt:lpwstr>_Chapter_5._</vt:lpwstr>
      </vt:variant>
      <vt:variant>
        <vt:i4>8060990</vt:i4>
      </vt:variant>
      <vt:variant>
        <vt:i4>1755</vt:i4>
      </vt:variant>
      <vt:variant>
        <vt:i4>0</vt:i4>
      </vt:variant>
      <vt:variant>
        <vt:i4>5</vt:i4>
      </vt:variant>
      <vt:variant>
        <vt:lpwstr>http://www.dep.state.fl.us/water/drinkingwater/</vt:lpwstr>
      </vt:variant>
      <vt:variant>
        <vt:lpwstr/>
      </vt:variant>
      <vt:variant>
        <vt:i4>1572878</vt:i4>
      </vt:variant>
      <vt:variant>
        <vt:i4>1752</vt:i4>
      </vt:variant>
      <vt:variant>
        <vt:i4>0</vt:i4>
      </vt:variant>
      <vt:variant>
        <vt:i4>5</vt:i4>
      </vt:variant>
      <vt:variant>
        <vt:lpwstr>http://www.dep.state.fl.us/water/wff/wsupply/</vt:lpwstr>
      </vt:variant>
      <vt:variant>
        <vt:lpwstr/>
      </vt:variant>
      <vt:variant>
        <vt:i4>6684735</vt:i4>
      </vt:variant>
      <vt:variant>
        <vt:i4>1749</vt:i4>
      </vt:variant>
      <vt:variant>
        <vt:i4>0</vt:i4>
      </vt:variant>
      <vt:variant>
        <vt:i4>5</vt:i4>
      </vt:variant>
      <vt:variant>
        <vt:lpwstr>http://www.doh.state.fl.us/Environment/water/index.html</vt:lpwstr>
      </vt:variant>
      <vt:variant>
        <vt:lpwstr>Drinking2</vt:lpwstr>
      </vt:variant>
      <vt:variant>
        <vt:i4>6553719</vt:i4>
      </vt:variant>
      <vt:variant>
        <vt:i4>1746</vt:i4>
      </vt:variant>
      <vt:variant>
        <vt:i4>0</vt:i4>
      </vt:variant>
      <vt:variant>
        <vt:i4>5</vt:i4>
      </vt:variant>
      <vt:variant>
        <vt:lpwstr>http://www.doh.state.fl.us/Environment/water/petroleum/saindex.html</vt:lpwstr>
      </vt:variant>
      <vt:variant>
        <vt:lpwstr/>
      </vt:variant>
      <vt:variant>
        <vt:i4>7274621</vt:i4>
      </vt:variant>
      <vt:variant>
        <vt:i4>1743</vt:i4>
      </vt:variant>
      <vt:variant>
        <vt:i4>0</vt:i4>
      </vt:variant>
      <vt:variant>
        <vt:i4>5</vt:i4>
      </vt:variant>
      <vt:variant>
        <vt:lpwstr>http://www.dep.state.fl.us/springs/</vt:lpwstr>
      </vt:variant>
      <vt:variant>
        <vt:lpwstr/>
      </vt:variant>
      <vt:variant>
        <vt:i4>1507410</vt:i4>
      </vt:variant>
      <vt:variant>
        <vt:i4>1740</vt:i4>
      </vt:variant>
      <vt:variant>
        <vt:i4>0</vt:i4>
      </vt:variant>
      <vt:variant>
        <vt:i4>5</vt:i4>
      </vt:variant>
      <vt:variant>
        <vt:lpwstr>http://www.dep.state.fl.us/water/monitoring/index.htm</vt:lpwstr>
      </vt:variant>
      <vt:variant>
        <vt:lpwstr/>
      </vt:variant>
      <vt:variant>
        <vt:i4>6225983</vt:i4>
      </vt:variant>
      <vt:variant>
        <vt:i4>1737</vt:i4>
      </vt:variant>
      <vt:variant>
        <vt:i4>0</vt:i4>
      </vt:variant>
      <vt:variant>
        <vt:i4>5</vt:i4>
      </vt:variant>
      <vt:variant>
        <vt:lpwstr>http://research.myfwc.com/features/category_sub.asp?id=3448</vt:lpwstr>
      </vt:variant>
      <vt:variant>
        <vt:lpwstr/>
      </vt:variant>
      <vt:variant>
        <vt:i4>3145834</vt:i4>
      </vt:variant>
      <vt:variant>
        <vt:i4>1734</vt:i4>
      </vt:variant>
      <vt:variant>
        <vt:i4>0</vt:i4>
      </vt:variant>
      <vt:variant>
        <vt:i4>5</vt:i4>
      </vt:variant>
      <vt:variant>
        <vt:lpwstr>http://www.dep.state.fl.us/WATER/monitoring/docs/seds/SQAGs_for_Florida_Inland_Waters_01_03.PDF</vt:lpwstr>
      </vt:variant>
      <vt:variant>
        <vt:lpwstr/>
      </vt:variant>
      <vt:variant>
        <vt:i4>7143495</vt:i4>
      </vt:variant>
      <vt:variant>
        <vt:i4>1731</vt:i4>
      </vt:variant>
      <vt:variant>
        <vt:i4>0</vt:i4>
      </vt:variant>
      <vt:variant>
        <vt:i4>5</vt:i4>
      </vt:variant>
      <vt:variant>
        <vt:lpwstr/>
      </vt:variant>
      <vt:variant>
        <vt:lpwstr>_Chapter_6:_</vt:lpwstr>
      </vt:variant>
      <vt:variant>
        <vt:i4>3276925</vt:i4>
      </vt:variant>
      <vt:variant>
        <vt:i4>1728</vt:i4>
      </vt:variant>
      <vt:variant>
        <vt:i4>0</vt:i4>
      </vt:variant>
      <vt:variant>
        <vt:i4>5</vt:i4>
      </vt:variant>
      <vt:variant>
        <vt:lpwstr>http://www.dep.state.fl.us/WATER/monitoring/docs/seds/estuarine.pdf</vt:lpwstr>
      </vt:variant>
      <vt:variant>
        <vt:lpwstr/>
      </vt:variant>
      <vt:variant>
        <vt:i4>7077971</vt:i4>
      </vt:variant>
      <vt:variant>
        <vt:i4>1725</vt:i4>
      </vt:variant>
      <vt:variant>
        <vt:i4>0</vt:i4>
      </vt:variant>
      <vt:variant>
        <vt:i4>5</vt:i4>
      </vt:variant>
      <vt:variant>
        <vt:lpwstr/>
      </vt:variant>
      <vt:variant>
        <vt:lpwstr>_Chapter_7._</vt:lpwstr>
      </vt:variant>
      <vt:variant>
        <vt:i4>5505109</vt:i4>
      </vt:variant>
      <vt:variant>
        <vt:i4>1722</vt:i4>
      </vt:variant>
      <vt:variant>
        <vt:i4>0</vt:i4>
      </vt:variant>
      <vt:variant>
        <vt:i4>5</vt:i4>
      </vt:variant>
      <vt:variant>
        <vt:lpwstr>http://www.dep.state.fl.us/water/watersheds/assessment/index.htm</vt:lpwstr>
      </vt:variant>
      <vt:variant>
        <vt:lpwstr/>
      </vt:variant>
      <vt:variant>
        <vt:i4>7077971</vt:i4>
      </vt:variant>
      <vt:variant>
        <vt:i4>1719</vt:i4>
      </vt:variant>
      <vt:variant>
        <vt:i4>0</vt:i4>
      </vt:variant>
      <vt:variant>
        <vt:i4>5</vt:i4>
      </vt:variant>
      <vt:variant>
        <vt:lpwstr/>
      </vt:variant>
      <vt:variant>
        <vt:lpwstr>_Chapter_7._</vt:lpwstr>
      </vt:variant>
      <vt:variant>
        <vt:i4>7471137</vt:i4>
      </vt:variant>
      <vt:variant>
        <vt:i4>1716</vt:i4>
      </vt:variant>
      <vt:variant>
        <vt:i4>0</vt:i4>
      </vt:variant>
      <vt:variant>
        <vt:i4>5</vt:i4>
      </vt:variant>
      <vt:variant>
        <vt:lpwstr>https://www.flrules.org/Default.asp</vt:lpwstr>
      </vt:variant>
      <vt:variant>
        <vt:lpwstr/>
      </vt:variant>
      <vt:variant>
        <vt:i4>7077940</vt:i4>
      </vt:variant>
      <vt:variant>
        <vt:i4>1713</vt:i4>
      </vt:variant>
      <vt:variant>
        <vt:i4>0</vt:i4>
      </vt:variant>
      <vt:variant>
        <vt:i4>5</vt:i4>
      </vt:variant>
      <vt:variant>
        <vt:lpwstr>http://www.dep.state.fl.us/water/tmdl/index.htm</vt:lpwstr>
      </vt:variant>
      <vt:variant>
        <vt:lpwstr/>
      </vt:variant>
      <vt:variant>
        <vt:i4>5505109</vt:i4>
      </vt:variant>
      <vt:variant>
        <vt:i4>1710</vt:i4>
      </vt:variant>
      <vt:variant>
        <vt:i4>0</vt:i4>
      </vt:variant>
      <vt:variant>
        <vt:i4>5</vt:i4>
      </vt:variant>
      <vt:variant>
        <vt:lpwstr>http://www.dep.state.fl.us/water/watersheds/assessment/index.htm</vt:lpwstr>
      </vt:variant>
      <vt:variant>
        <vt:lpwstr/>
      </vt:variant>
      <vt:variant>
        <vt:i4>7077940</vt:i4>
      </vt:variant>
      <vt:variant>
        <vt:i4>1707</vt:i4>
      </vt:variant>
      <vt:variant>
        <vt:i4>0</vt:i4>
      </vt:variant>
      <vt:variant>
        <vt:i4>5</vt:i4>
      </vt:variant>
      <vt:variant>
        <vt:lpwstr>http://www.dep.state.fl.us/water/tmdl/index.htm</vt:lpwstr>
      </vt:variant>
      <vt:variant>
        <vt:lpwstr/>
      </vt:variant>
      <vt:variant>
        <vt:i4>6422589</vt:i4>
      </vt:variant>
      <vt:variant>
        <vt:i4>1704</vt:i4>
      </vt:variant>
      <vt:variant>
        <vt:i4>0</vt:i4>
      </vt:variant>
      <vt:variant>
        <vt:i4>5</vt:i4>
      </vt:variant>
      <vt:variant>
        <vt:lpwstr>http://lakewatch.ifas.ufl.edu/</vt:lpwstr>
      </vt:variant>
      <vt:variant>
        <vt:lpwstr/>
      </vt:variant>
      <vt:variant>
        <vt:i4>2490418</vt:i4>
      </vt:variant>
      <vt:variant>
        <vt:i4>1701</vt:i4>
      </vt:variant>
      <vt:variant>
        <vt:i4>0</vt:i4>
      </vt:variant>
      <vt:variant>
        <vt:i4>5</vt:i4>
      </vt:variant>
      <vt:variant>
        <vt:lpwstr>http://water.usgs.gov/</vt:lpwstr>
      </vt:variant>
      <vt:variant>
        <vt:lpwstr/>
      </vt:variant>
      <vt:variant>
        <vt:i4>6094932</vt:i4>
      </vt:variant>
      <vt:variant>
        <vt:i4>1698</vt:i4>
      </vt:variant>
      <vt:variant>
        <vt:i4>0</vt:i4>
      </vt:variant>
      <vt:variant>
        <vt:i4>5</vt:i4>
      </vt:variant>
      <vt:variant>
        <vt:lpwstr>http://www8.swfwmd.state.fl.us/WMIS/ResourceData/ExtDefault.aspx</vt:lpwstr>
      </vt:variant>
      <vt:variant>
        <vt:lpwstr/>
      </vt:variant>
      <vt:variant>
        <vt:i4>6553711</vt:i4>
      </vt:variant>
      <vt:variant>
        <vt:i4>1695</vt:i4>
      </vt:variant>
      <vt:variant>
        <vt:i4>0</vt:i4>
      </vt:variant>
      <vt:variant>
        <vt:i4>5</vt:i4>
      </vt:variant>
      <vt:variant>
        <vt:lpwstr>http://www.envirobase.usgs.gov/</vt:lpwstr>
      </vt:variant>
      <vt:variant>
        <vt:lpwstr/>
      </vt:variant>
      <vt:variant>
        <vt:i4>6815804</vt:i4>
      </vt:variant>
      <vt:variant>
        <vt:i4>1692</vt:i4>
      </vt:variant>
      <vt:variant>
        <vt:i4>0</vt:i4>
      </vt:variant>
      <vt:variant>
        <vt:i4>5</vt:i4>
      </vt:variant>
      <vt:variant>
        <vt:lpwstr>http://www.epa.gov/storet/</vt:lpwstr>
      </vt:variant>
      <vt:variant>
        <vt:lpwstr/>
      </vt:variant>
      <vt:variant>
        <vt:i4>327751</vt:i4>
      </vt:variant>
      <vt:variant>
        <vt:i4>1689</vt:i4>
      </vt:variant>
      <vt:variant>
        <vt:i4>0</vt:i4>
      </vt:variant>
      <vt:variant>
        <vt:i4>5</vt:i4>
      </vt:variant>
      <vt:variant>
        <vt:lpwstr>http://www.dep.state.fl.us/water/storet/index.htm</vt:lpwstr>
      </vt:variant>
      <vt:variant>
        <vt:lpwstr/>
      </vt:variant>
      <vt:variant>
        <vt:i4>7471151</vt:i4>
      </vt:variant>
      <vt:variant>
        <vt:i4>1686</vt:i4>
      </vt:variant>
      <vt:variant>
        <vt:i4>0</vt:i4>
      </vt:variant>
      <vt:variant>
        <vt:i4>5</vt:i4>
      </vt:variant>
      <vt:variant>
        <vt:lpwstr>http://www.dep.state.fl.us/legal/Rules/shared/62-303/62-303.pdf</vt:lpwstr>
      </vt:variant>
      <vt:variant>
        <vt:lpwstr/>
      </vt:variant>
      <vt:variant>
        <vt:i4>983116</vt:i4>
      </vt:variant>
      <vt:variant>
        <vt:i4>1683</vt:i4>
      </vt:variant>
      <vt:variant>
        <vt:i4>0</vt:i4>
      </vt:variant>
      <vt:variant>
        <vt:i4>5</vt:i4>
      </vt:variant>
      <vt:variant>
        <vt:lpwstr/>
      </vt:variant>
      <vt:variant>
        <vt:lpwstr>_Chapter_11:_</vt:lpwstr>
      </vt:variant>
      <vt:variant>
        <vt:i4>7077940</vt:i4>
      </vt:variant>
      <vt:variant>
        <vt:i4>1680</vt:i4>
      </vt:variant>
      <vt:variant>
        <vt:i4>0</vt:i4>
      </vt:variant>
      <vt:variant>
        <vt:i4>5</vt:i4>
      </vt:variant>
      <vt:variant>
        <vt:lpwstr>http://www.dep.state.fl.us/water/tmdl/index.htm</vt:lpwstr>
      </vt:variant>
      <vt:variant>
        <vt:lpwstr/>
      </vt:variant>
      <vt:variant>
        <vt:i4>7209000</vt:i4>
      </vt:variant>
      <vt:variant>
        <vt:i4>1677</vt:i4>
      </vt:variant>
      <vt:variant>
        <vt:i4>0</vt:i4>
      </vt:variant>
      <vt:variant>
        <vt:i4>5</vt:i4>
      </vt:variant>
      <vt:variant>
        <vt:lpwstr>ftp://ftp.dep.state.fl.us/pub/incoming/2010 integrated report/Watershed Assessment Program</vt:lpwstr>
      </vt:variant>
      <vt:variant>
        <vt:lpwstr/>
      </vt:variant>
      <vt:variant>
        <vt:i4>1507410</vt:i4>
      </vt:variant>
      <vt:variant>
        <vt:i4>1674</vt:i4>
      </vt:variant>
      <vt:variant>
        <vt:i4>0</vt:i4>
      </vt:variant>
      <vt:variant>
        <vt:i4>5</vt:i4>
      </vt:variant>
      <vt:variant>
        <vt:lpwstr>http://www.dep.state.fl.us/water/monitoring/index.htm</vt:lpwstr>
      </vt:variant>
      <vt:variant>
        <vt:lpwstr/>
      </vt:variant>
      <vt:variant>
        <vt:i4>3670122</vt:i4>
      </vt:variant>
      <vt:variant>
        <vt:i4>1671</vt:i4>
      </vt:variant>
      <vt:variant>
        <vt:i4>0</vt:i4>
      </vt:variant>
      <vt:variant>
        <vt:i4>5</vt:i4>
      </vt:variant>
      <vt:variant>
        <vt:lpwstr>http://www.dep.state.fl.us/water/monitoring/basins.htm</vt:lpwstr>
      </vt:variant>
      <vt:variant>
        <vt:lpwstr/>
      </vt:variant>
      <vt:variant>
        <vt:i4>1507410</vt:i4>
      </vt:variant>
      <vt:variant>
        <vt:i4>1668</vt:i4>
      </vt:variant>
      <vt:variant>
        <vt:i4>0</vt:i4>
      </vt:variant>
      <vt:variant>
        <vt:i4>5</vt:i4>
      </vt:variant>
      <vt:variant>
        <vt:lpwstr>http://www.dep.state.fl.us/water/monitoring/index.htm</vt:lpwstr>
      </vt:variant>
      <vt:variant>
        <vt:lpwstr/>
      </vt:variant>
      <vt:variant>
        <vt:i4>65600</vt:i4>
      </vt:variant>
      <vt:variant>
        <vt:i4>1665</vt:i4>
      </vt:variant>
      <vt:variant>
        <vt:i4>0</vt:i4>
      </vt:variant>
      <vt:variant>
        <vt:i4>5</vt:i4>
      </vt:variant>
      <vt:variant>
        <vt:lpwstr>http://www.dep.state.fl.us/water/monitoring/sediments.htm</vt:lpwstr>
      </vt:variant>
      <vt:variant>
        <vt:lpwstr/>
      </vt:variant>
      <vt:variant>
        <vt:i4>3145834</vt:i4>
      </vt:variant>
      <vt:variant>
        <vt:i4>1662</vt:i4>
      </vt:variant>
      <vt:variant>
        <vt:i4>0</vt:i4>
      </vt:variant>
      <vt:variant>
        <vt:i4>5</vt:i4>
      </vt:variant>
      <vt:variant>
        <vt:lpwstr>http://www.dep.state.fl.us/WATER/monitoring/docs/seds/SQAGs_for_Florida_Inland_Waters_01_03.PDF</vt:lpwstr>
      </vt:variant>
      <vt:variant>
        <vt:lpwstr/>
      </vt:variant>
      <vt:variant>
        <vt:i4>4325435</vt:i4>
      </vt:variant>
      <vt:variant>
        <vt:i4>1659</vt:i4>
      </vt:variant>
      <vt:variant>
        <vt:i4>0</vt:i4>
      </vt:variant>
      <vt:variant>
        <vt:i4>5</vt:i4>
      </vt:variant>
      <vt:variant>
        <vt:lpwstr>http://www.dep.state.fl.us/waste/quick_topics/publications/documents/sediment/volume2.pdf</vt:lpwstr>
      </vt:variant>
      <vt:variant>
        <vt:lpwstr/>
      </vt:variant>
      <vt:variant>
        <vt:i4>4259872</vt:i4>
      </vt:variant>
      <vt:variant>
        <vt:i4>1656</vt:i4>
      </vt:variant>
      <vt:variant>
        <vt:i4>0</vt:i4>
      </vt:variant>
      <vt:variant>
        <vt:i4>5</vt:i4>
      </vt:variant>
      <vt:variant>
        <vt:lpwstr>http://www.dep.state.fl.us/water/monitoring/docs/seds/FFW_Metals_Report_Final.pdf</vt:lpwstr>
      </vt:variant>
      <vt:variant>
        <vt:lpwstr/>
      </vt:variant>
      <vt:variant>
        <vt:i4>3276925</vt:i4>
      </vt:variant>
      <vt:variant>
        <vt:i4>1653</vt:i4>
      </vt:variant>
      <vt:variant>
        <vt:i4>0</vt:i4>
      </vt:variant>
      <vt:variant>
        <vt:i4>5</vt:i4>
      </vt:variant>
      <vt:variant>
        <vt:lpwstr>http://www.dep.state.fl.us/water/monitoring/docs/seds/estuarine.pdf</vt:lpwstr>
      </vt:variant>
      <vt:variant>
        <vt:lpwstr/>
      </vt:variant>
      <vt:variant>
        <vt:i4>3670122</vt:i4>
      </vt:variant>
      <vt:variant>
        <vt:i4>1650</vt:i4>
      </vt:variant>
      <vt:variant>
        <vt:i4>0</vt:i4>
      </vt:variant>
      <vt:variant>
        <vt:i4>5</vt:i4>
      </vt:variant>
      <vt:variant>
        <vt:lpwstr>http://www.dep.state.fl.us/water/monitoring/basins.htm</vt:lpwstr>
      </vt:variant>
      <vt:variant>
        <vt:lpwstr/>
      </vt:variant>
      <vt:variant>
        <vt:i4>7209043</vt:i4>
      </vt:variant>
      <vt:variant>
        <vt:i4>1647</vt:i4>
      </vt:variant>
      <vt:variant>
        <vt:i4>0</vt:i4>
      </vt:variant>
      <vt:variant>
        <vt:i4>5</vt:i4>
      </vt:variant>
      <vt:variant>
        <vt:lpwstr/>
      </vt:variant>
      <vt:variant>
        <vt:lpwstr>_Chapter_5._</vt:lpwstr>
      </vt:variant>
      <vt:variant>
        <vt:i4>3604509</vt:i4>
      </vt:variant>
      <vt:variant>
        <vt:i4>1644</vt:i4>
      </vt:variant>
      <vt:variant>
        <vt:i4>0</vt:i4>
      </vt:variant>
      <vt:variant>
        <vt:i4>5</vt:i4>
      </vt:variant>
      <vt:variant>
        <vt:lpwstr>http://www.dep.state.fl.us/water/monitoring/docs/design_document_final_12_09_09.pdf</vt:lpwstr>
      </vt:variant>
      <vt:variant>
        <vt:lpwstr/>
      </vt:variant>
      <vt:variant>
        <vt:i4>3604509</vt:i4>
      </vt:variant>
      <vt:variant>
        <vt:i4>1641</vt:i4>
      </vt:variant>
      <vt:variant>
        <vt:i4>0</vt:i4>
      </vt:variant>
      <vt:variant>
        <vt:i4>5</vt:i4>
      </vt:variant>
      <vt:variant>
        <vt:lpwstr>http://www.dep.state.fl.us/water/monitoring/docs/design_document_final_12_09_09.pdf</vt:lpwstr>
      </vt:variant>
      <vt:variant>
        <vt:lpwstr/>
      </vt:variant>
      <vt:variant>
        <vt:i4>3145834</vt:i4>
      </vt:variant>
      <vt:variant>
        <vt:i4>1638</vt:i4>
      </vt:variant>
      <vt:variant>
        <vt:i4>0</vt:i4>
      </vt:variant>
      <vt:variant>
        <vt:i4>5</vt:i4>
      </vt:variant>
      <vt:variant>
        <vt:lpwstr>http://www.dep.state.fl.us/water/monitoring/docs/seds/SQAGs_for_Florida_Inland_Waters_01_03.PDF</vt:lpwstr>
      </vt:variant>
      <vt:variant>
        <vt:lpwstr/>
      </vt:variant>
      <vt:variant>
        <vt:i4>2228324</vt:i4>
      </vt:variant>
      <vt:variant>
        <vt:i4>1635</vt:i4>
      </vt:variant>
      <vt:variant>
        <vt:i4>0</vt:i4>
      </vt:variant>
      <vt:variant>
        <vt:i4>5</vt:i4>
      </vt:variant>
      <vt:variant>
        <vt:lpwstr>http://www.dep.state.fl.us/water/monitoring/fwseds.htm</vt:lpwstr>
      </vt:variant>
      <vt:variant>
        <vt:lpwstr/>
      </vt:variant>
      <vt:variant>
        <vt:i4>7602179</vt:i4>
      </vt:variant>
      <vt:variant>
        <vt:i4>1632</vt:i4>
      </vt:variant>
      <vt:variant>
        <vt:i4>0</vt:i4>
      </vt:variant>
      <vt:variant>
        <vt:i4>5</vt:i4>
      </vt:variant>
      <vt:variant>
        <vt:lpwstr>http://publicfiles.dep.state.fl.us/dear/labs/sas/sopdoc/lci_final.pdf</vt:lpwstr>
      </vt:variant>
      <vt:variant>
        <vt:lpwstr/>
      </vt:variant>
      <vt:variant>
        <vt:i4>7602204</vt:i4>
      </vt:variant>
      <vt:variant>
        <vt:i4>1629</vt:i4>
      </vt:variant>
      <vt:variant>
        <vt:i4>0</vt:i4>
      </vt:variant>
      <vt:variant>
        <vt:i4>5</vt:i4>
      </vt:variant>
      <vt:variant>
        <vt:lpwstr>http://publicfiles.dep.state.fl.us/dear/labs/sas/sopdoc/sci_final.pdf</vt:lpwstr>
      </vt:variant>
      <vt:variant>
        <vt:lpwstr/>
      </vt:variant>
      <vt:variant>
        <vt:i4>1376339</vt:i4>
      </vt:variant>
      <vt:variant>
        <vt:i4>1626</vt:i4>
      </vt:variant>
      <vt:variant>
        <vt:i4>0</vt:i4>
      </vt:variant>
      <vt:variant>
        <vt:i4>5</vt:i4>
      </vt:variant>
      <vt:variant>
        <vt:lpwstr>http://www.epa.gov/emap/</vt:lpwstr>
      </vt:variant>
      <vt:variant>
        <vt:lpwstr/>
      </vt:variant>
      <vt:variant>
        <vt:i4>65620</vt:i4>
      </vt:variant>
      <vt:variant>
        <vt:i4>1623</vt:i4>
      </vt:variant>
      <vt:variant>
        <vt:i4>0</vt:i4>
      </vt:variant>
      <vt:variant>
        <vt:i4>5</vt:i4>
      </vt:variant>
      <vt:variant>
        <vt:lpwstr>http://www.dep.state.fl.us/water/watersheds/index.htm</vt:lpwstr>
      </vt:variant>
      <vt:variant>
        <vt:lpwstr/>
      </vt:variant>
      <vt:variant>
        <vt:i4>82</vt:i4>
      </vt:variant>
      <vt:variant>
        <vt:i4>1620</vt:i4>
      </vt:variant>
      <vt:variant>
        <vt:i4>0</vt:i4>
      </vt:variant>
      <vt:variant>
        <vt:i4>5</vt:i4>
      </vt:variant>
      <vt:variant>
        <vt:lpwstr>http://www.dep.state.fl.us/water/monitoring/trend.htm</vt:lpwstr>
      </vt:variant>
      <vt:variant>
        <vt:lpwstr/>
      </vt:variant>
      <vt:variant>
        <vt:i4>3145842</vt:i4>
      </vt:variant>
      <vt:variant>
        <vt:i4>1617</vt:i4>
      </vt:variant>
      <vt:variant>
        <vt:i4>0</vt:i4>
      </vt:variant>
      <vt:variant>
        <vt:i4>5</vt:i4>
      </vt:variant>
      <vt:variant>
        <vt:lpwstr>http://www.dep.state.fl.us/water/monitoring/status.htm</vt:lpwstr>
      </vt:variant>
      <vt:variant>
        <vt:lpwstr/>
      </vt:variant>
      <vt:variant>
        <vt:i4>4063334</vt:i4>
      </vt:variant>
      <vt:variant>
        <vt:i4>1614</vt:i4>
      </vt:variant>
      <vt:variant>
        <vt:i4>0</vt:i4>
      </vt:variant>
      <vt:variant>
        <vt:i4>5</vt:i4>
      </vt:variant>
      <vt:variant>
        <vt:lpwstr>http://www.epa.gov/owow/TMDL/2002wqma.html</vt:lpwstr>
      </vt:variant>
      <vt:variant>
        <vt:lpwstr/>
      </vt:variant>
      <vt:variant>
        <vt:i4>6226044</vt:i4>
      </vt:variant>
      <vt:variant>
        <vt:i4>1611</vt:i4>
      </vt:variant>
      <vt:variant>
        <vt:i4>0</vt:i4>
      </vt:variant>
      <vt:variant>
        <vt:i4>5</vt:i4>
      </vt:variant>
      <vt:variant>
        <vt:lpwstr>http://publicfiles.dep.state.fl.us/dear/labs/sas/library/docs/wet_stfp.pdf</vt:lpwstr>
      </vt:variant>
      <vt:variant>
        <vt:lpwstr/>
      </vt:variant>
      <vt:variant>
        <vt:i4>6029427</vt:i4>
      </vt:variant>
      <vt:variant>
        <vt:i4>1608</vt:i4>
      </vt:variant>
      <vt:variant>
        <vt:i4>0</vt:i4>
      </vt:variant>
      <vt:variant>
        <vt:i4>5</vt:i4>
      </vt:variant>
      <vt:variant>
        <vt:lpwstr>http://publicfiles.dep.state.fl.us/dear/labs/sas/library/docs/wet_herb.pdf</vt:lpwstr>
      </vt:variant>
      <vt:variant>
        <vt:lpwstr/>
      </vt:variant>
      <vt:variant>
        <vt:i4>5767293</vt:i4>
      </vt:variant>
      <vt:variant>
        <vt:i4>1605</vt:i4>
      </vt:variant>
      <vt:variant>
        <vt:i4>0</vt:i4>
      </vt:variant>
      <vt:variant>
        <vt:i4>5</vt:i4>
      </vt:variant>
      <vt:variant>
        <vt:lpwstr>http://publicfiles.dep.state.fl.us/dear/labs/sas/library/docs/wet_depf.pdf</vt:lpwstr>
      </vt:variant>
      <vt:variant>
        <vt:lpwstr/>
      </vt:variant>
      <vt:variant>
        <vt:i4>7602204</vt:i4>
      </vt:variant>
      <vt:variant>
        <vt:i4>1602</vt:i4>
      </vt:variant>
      <vt:variant>
        <vt:i4>0</vt:i4>
      </vt:variant>
      <vt:variant>
        <vt:i4>5</vt:i4>
      </vt:variant>
      <vt:variant>
        <vt:lpwstr>http://publicfiles.dep.state.fl.us/dear/labs/sas/sopdoc/sci_final.pdf</vt:lpwstr>
      </vt:variant>
      <vt:variant>
        <vt:lpwstr/>
      </vt:variant>
      <vt:variant>
        <vt:i4>6946875</vt:i4>
      </vt:variant>
      <vt:variant>
        <vt:i4>1599</vt:i4>
      </vt:variant>
      <vt:variant>
        <vt:i4>0</vt:i4>
      </vt:variant>
      <vt:variant>
        <vt:i4>5</vt:i4>
      </vt:variant>
      <vt:variant>
        <vt:lpwstr>http://www.dep.state.fl.us/labs/qa/sops.htm</vt:lpwstr>
      </vt:variant>
      <vt:variant>
        <vt:lpwstr/>
      </vt:variant>
      <vt:variant>
        <vt:i4>393342</vt:i4>
      </vt:variant>
      <vt:variant>
        <vt:i4>1596</vt:i4>
      </vt:variant>
      <vt:variant>
        <vt:i4>0</vt:i4>
      </vt:variant>
      <vt:variant>
        <vt:i4>5</vt:i4>
      </vt:variant>
      <vt:variant>
        <vt:lpwstr>http://www.dep.state.fl.us/water/monitoring/docs/MonitoringStrategy_106.pdf</vt:lpwstr>
      </vt:variant>
      <vt:variant>
        <vt:lpwstr/>
      </vt:variant>
      <vt:variant>
        <vt:i4>4718614</vt:i4>
      </vt:variant>
      <vt:variant>
        <vt:i4>1593</vt:i4>
      </vt:variant>
      <vt:variant>
        <vt:i4>0</vt:i4>
      </vt:variant>
      <vt:variant>
        <vt:i4>5</vt:i4>
      </vt:variant>
      <vt:variant>
        <vt:lpwstr>http://www.epa.gov/owow/monitoring/elements/</vt:lpwstr>
      </vt:variant>
      <vt:variant>
        <vt:lpwstr/>
      </vt:variant>
      <vt:variant>
        <vt:i4>1507410</vt:i4>
      </vt:variant>
      <vt:variant>
        <vt:i4>1590</vt:i4>
      </vt:variant>
      <vt:variant>
        <vt:i4>0</vt:i4>
      </vt:variant>
      <vt:variant>
        <vt:i4>5</vt:i4>
      </vt:variant>
      <vt:variant>
        <vt:lpwstr>http://www.dep.state.fl.us/water/monitoring/index.htm</vt:lpwstr>
      </vt:variant>
      <vt:variant>
        <vt:lpwstr/>
      </vt:variant>
      <vt:variant>
        <vt:i4>7209043</vt:i4>
      </vt:variant>
      <vt:variant>
        <vt:i4>1587</vt:i4>
      </vt:variant>
      <vt:variant>
        <vt:i4>0</vt:i4>
      </vt:variant>
      <vt:variant>
        <vt:i4>5</vt:i4>
      </vt:variant>
      <vt:variant>
        <vt:lpwstr/>
      </vt:variant>
      <vt:variant>
        <vt:lpwstr>_Chapter_5._</vt:lpwstr>
      </vt:variant>
      <vt:variant>
        <vt:i4>6815804</vt:i4>
      </vt:variant>
      <vt:variant>
        <vt:i4>1584</vt:i4>
      </vt:variant>
      <vt:variant>
        <vt:i4>0</vt:i4>
      </vt:variant>
      <vt:variant>
        <vt:i4>5</vt:i4>
      </vt:variant>
      <vt:variant>
        <vt:lpwstr>http://www.epa.gov/storet/</vt:lpwstr>
      </vt:variant>
      <vt:variant>
        <vt:lpwstr/>
      </vt:variant>
      <vt:variant>
        <vt:i4>327751</vt:i4>
      </vt:variant>
      <vt:variant>
        <vt:i4>1581</vt:i4>
      </vt:variant>
      <vt:variant>
        <vt:i4>0</vt:i4>
      </vt:variant>
      <vt:variant>
        <vt:i4>5</vt:i4>
      </vt:variant>
      <vt:variant>
        <vt:lpwstr>http://www.dep.state.fl.us/water/storet/index.htm</vt:lpwstr>
      </vt:variant>
      <vt:variant>
        <vt:lpwstr/>
      </vt:variant>
      <vt:variant>
        <vt:i4>5374032</vt:i4>
      </vt:variant>
      <vt:variant>
        <vt:i4>1578</vt:i4>
      </vt:variant>
      <vt:variant>
        <vt:i4>0</vt:i4>
      </vt:variant>
      <vt:variant>
        <vt:i4>5</vt:i4>
      </vt:variant>
      <vt:variant>
        <vt:lpwstr>http://www.dep.state.fl.us/water/esoc.htm</vt:lpwstr>
      </vt:variant>
      <vt:variant>
        <vt:lpwstr/>
      </vt:variant>
      <vt:variant>
        <vt:i4>5111887</vt:i4>
      </vt:variant>
      <vt:variant>
        <vt:i4>1575</vt:i4>
      </vt:variant>
      <vt:variant>
        <vt:i4>0</vt:i4>
      </vt:variant>
      <vt:variant>
        <vt:i4>5</vt:i4>
      </vt:variant>
      <vt:variant>
        <vt:lpwstr>http://www.dep.state.fl.us/Water/wetlands/erp/rules/stormwater/index.htm</vt:lpwstr>
      </vt:variant>
      <vt:variant>
        <vt:lpwstr/>
      </vt:variant>
      <vt:variant>
        <vt:i4>5636135</vt:i4>
      </vt:variant>
      <vt:variant>
        <vt:i4>1572</vt:i4>
      </vt:variant>
      <vt:variant>
        <vt:i4>0</vt:i4>
      </vt:variant>
      <vt:variant>
        <vt:i4>5</vt:i4>
      </vt:variant>
      <vt:variant>
        <vt:lpwstr>http://www.dep.state.fl.us/Water/wetlands/erp/rules/stormwater/docs/ah_rule_draft_031710.pdf</vt:lpwstr>
      </vt:variant>
      <vt:variant>
        <vt:lpwstr/>
      </vt:variant>
      <vt:variant>
        <vt:i4>720961</vt:i4>
      </vt:variant>
      <vt:variant>
        <vt:i4>1569</vt:i4>
      </vt:variant>
      <vt:variant>
        <vt:i4>0</vt:i4>
      </vt:variant>
      <vt:variant>
        <vt:i4>5</vt:i4>
      </vt:variant>
      <vt:variant>
        <vt:lpwstr>http://edis.ifas.ufl.edu/pdffiles/SS/SS52800.pdf</vt:lpwstr>
      </vt:variant>
      <vt:variant>
        <vt:lpwstr/>
      </vt:variant>
      <vt:variant>
        <vt:i4>1572883</vt:i4>
      </vt:variant>
      <vt:variant>
        <vt:i4>1566</vt:i4>
      </vt:variant>
      <vt:variant>
        <vt:i4>0</vt:i4>
      </vt:variant>
      <vt:variant>
        <vt:i4>5</vt:i4>
      </vt:variant>
      <vt:variant>
        <vt:lpwstr>http://www.dep.state.fl.us/water/wqssp/nutrients/</vt:lpwstr>
      </vt:variant>
      <vt:variant>
        <vt:lpwstr/>
      </vt:variant>
      <vt:variant>
        <vt:i4>983116</vt:i4>
      </vt:variant>
      <vt:variant>
        <vt:i4>1563</vt:i4>
      </vt:variant>
      <vt:variant>
        <vt:i4>0</vt:i4>
      </vt:variant>
      <vt:variant>
        <vt:i4>5</vt:i4>
      </vt:variant>
      <vt:variant>
        <vt:lpwstr/>
      </vt:variant>
      <vt:variant>
        <vt:lpwstr>_Chapter_11:_</vt:lpwstr>
      </vt:variant>
      <vt:variant>
        <vt:i4>6422631</vt:i4>
      </vt:variant>
      <vt:variant>
        <vt:i4>1560</vt:i4>
      </vt:variant>
      <vt:variant>
        <vt:i4>0</vt:i4>
      </vt:variant>
      <vt:variant>
        <vt:i4>5</vt:i4>
      </vt:variant>
      <vt:variant>
        <vt:lpwstr>http://research.myfwc.com/fishkill/</vt:lpwstr>
      </vt:variant>
      <vt:variant>
        <vt:lpwstr/>
      </vt:variant>
      <vt:variant>
        <vt:i4>7864370</vt:i4>
      </vt:variant>
      <vt:variant>
        <vt:i4>1557</vt:i4>
      </vt:variant>
      <vt:variant>
        <vt:i4>0</vt:i4>
      </vt:variant>
      <vt:variant>
        <vt:i4>5</vt:i4>
      </vt:variant>
      <vt:variant>
        <vt:lpwstr>http://habsos.noaa.gov/gis-mapping</vt:lpwstr>
      </vt:variant>
      <vt:variant>
        <vt:lpwstr/>
      </vt:variant>
      <vt:variant>
        <vt:i4>3801118</vt:i4>
      </vt:variant>
      <vt:variant>
        <vt:i4>1554</vt:i4>
      </vt:variant>
      <vt:variant>
        <vt:i4>0</vt:i4>
      </vt:variant>
      <vt:variant>
        <vt:i4>5</vt:i4>
      </vt:variant>
      <vt:variant>
        <vt:lpwstr>http://www.floridaaquaculture.com/SEAS/SEAS_intro.htm</vt:lpwstr>
      </vt:variant>
      <vt:variant>
        <vt:lpwstr/>
      </vt:variant>
      <vt:variant>
        <vt:i4>6684789</vt:i4>
      </vt:variant>
      <vt:variant>
        <vt:i4>1551</vt:i4>
      </vt:variant>
      <vt:variant>
        <vt:i4>0</vt:i4>
      </vt:variant>
      <vt:variant>
        <vt:i4>5</vt:i4>
      </vt:variant>
      <vt:variant>
        <vt:lpwstr>http://research.myfwc.com/</vt:lpwstr>
      </vt:variant>
      <vt:variant>
        <vt:lpwstr/>
      </vt:variant>
      <vt:variant>
        <vt:i4>8126475</vt:i4>
      </vt:variant>
      <vt:variant>
        <vt:i4>1548</vt:i4>
      </vt:variant>
      <vt:variant>
        <vt:i4>0</vt:i4>
      </vt:variant>
      <vt:variant>
        <vt:i4>5</vt:i4>
      </vt:variant>
      <vt:variant>
        <vt:lpwstr>http://research.myfwc.com/features/view_article.asp?id=27095</vt:lpwstr>
      </vt:variant>
      <vt:variant>
        <vt:lpwstr/>
      </vt:variant>
      <vt:variant>
        <vt:i4>4522009</vt:i4>
      </vt:variant>
      <vt:variant>
        <vt:i4>1545</vt:i4>
      </vt:variant>
      <vt:variant>
        <vt:i4>0</vt:i4>
      </vt:variant>
      <vt:variant>
        <vt:i4>5</vt:i4>
      </vt:variant>
      <vt:variant>
        <vt:lpwstr>http://gulfofmexicoalliance.org/</vt:lpwstr>
      </vt:variant>
      <vt:variant>
        <vt:lpwstr/>
      </vt:variant>
      <vt:variant>
        <vt:i4>7143486</vt:i4>
      </vt:variant>
      <vt:variant>
        <vt:i4>1542</vt:i4>
      </vt:variant>
      <vt:variant>
        <vt:i4>0</vt:i4>
      </vt:variant>
      <vt:variant>
        <vt:i4>5</vt:i4>
      </vt:variant>
      <vt:variant>
        <vt:lpwstr>ftp://ftp.dep.state.fl.us/pub/incoming/2010 integrated report/A Strategic Implementation Plan for Florida COOS:</vt:lpwstr>
      </vt:variant>
      <vt:variant>
        <vt:lpwstr/>
      </vt:variant>
      <vt:variant>
        <vt:i4>6357083</vt:i4>
      </vt:variant>
      <vt:variant>
        <vt:i4>1539</vt:i4>
      </vt:variant>
      <vt:variant>
        <vt:i4>0</vt:i4>
      </vt:variant>
      <vt:variant>
        <vt:i4>5</vt:i4>
      </vt:variant>
      <vt:variant>
        <vt:lpwstr>http://research.myfwc.com/features/category_main.asp?id=2343</vt:lpwstr>
      </vt:variant>
      <vt:variant>
        <vt:lpwstr/>
      </vt:variant>
      <vt:variant>
        <vt:i4>6094873</vt:i4>
      </vt:variant>
      <vt:variant>
        <vt:i4>1536</vt:i4>
      </vt:variant>
      <vt:variant>
        <vt:i4>0</vt:i4>
      </vt:variant>
      <vt:variant>
        <vt:i4>5</vt:i4>
      </vt:variant>
      <vt:variant>
        <vt:lpwstr>http://www.epa.gov/ogwdw000/ccl/ccl3.html</vt:lpwstr>
      </vt:variant>
      <vt:variant>
        <vt:lpwstr>chemical</vt:lpwstr>
      </vt:variant>
      <vt:variant>
        <vt:i4>3473470</vt:i4>
      </vt:variant>
      <vt:variant>
        <vt:i4>1533</vt:i4>
      </vt:variant>
      <vt:variant>
        <vt:i4>0</vt:i4>
      </vt:variant>
      <vt:variant>
        <vt:i4>5</vt:i4>
      </vt:variant>
      <vt:variant>
        <vt:lpwstr>http://www.doh.state.fl.us/Environment/medicine/aquatic/index.html</vt:lpwstr>
      </vt:variant>
      <vt:variant>
        <vt:lpwstr/>
      </vt:variant>
      <vt:variant>
        <vt:i4>2555938</vt:i4>
      </vt:variant>
      <vt:variant>
        <vt:i4>1530</vt:i4>
      </vt:variant>
      <vt:variant>
        <vt:i4>0</vt:i4>
      </vt:variant>
      <vt:variant>
        <vt:i4>5</vt:i4>
      </vt:variant>
      <vt:variant>
        <vt:lpwstr>http://esetappsdoh.doh.state.fl.us/irm00beachwater/default.aspx</vt:lpwstr>
      </vt:variant>
      <vt:variant>
        <vt:lpwstr/>
      </vt:variant>
      <vt:variant>
        <vt:i4>3801118</vt:i4>
      </vt:variant>
      <vt:variant>
        <vt:i4>1527</vt:i4>
      </vt:variant>
      <vt:variant>
        <vt:i4>0</vt:i4>
      </vt:variant>
      <vt:variant>
        <vt:i4>5</vt:i4>
      </vt:variant>
      <vt:variant>
        <vt:lpwstr>http://www.floridaaquaculture.com/SEAS/SEAS_intro.htm</vt:lpwstr>
      </vt:variant>
      <vt:variant>
        <vt:lpwstr/>
      </vt:variant>
      <vt:variant>
        <vt:i4>5505119</vt:i4>
      </vt:variant>
      <vt:variant>
        <vt:i4>1524</vt:i4>
      </vt:variant>
      <vt:variant>
        <vt:i4>0</vt:i4>
      </vt:variant>
      <vt:variant>
        <vt:i4>5</vt:i4>
      </vt:variant>
      <vt:variant>
        <vt:lpwstr>http://www.doh.state.fl.us/environment/medicine/fishconsumptionadvisories/index.html</vt:lpwstr>
      </vt:variant>
      <vt:variant>
        <vt:lpwstr/>
      </vt:variant>
      <vt:variant>
        <vt:i4>2293866</vt:i4>
      </vt:variant>
      <vt:variant>
        <vt:i4>1521</vt:i4>
      </vt:variant>
      <vt:variant>
        <vt:i4>0</vt:i4>
      </vt:variant>
      <vt:variant>
        <vt:i4>5</vt:i4>
      </vt:variant>
      <vt:variant>
        <vt:lpwstr>http://www.dep.state.fl.us/labs/bars/sas/mercury/index.htm</vt:lpwstr>
      </vt:variant>
      <vt:variant>
        <vt:lpwstr/>
      </vt:variant>
      <vt:variant>
        <vt:i4>2555938</vt:i4>
      </vt:variant>
      <vt:variant>
        <vt:i4>1518</vt:i4>
      </vt:variant>
      <vt:variant>
        <vt:i4>0</vt:i4>
      </vt:variant>
      <vt:variant>
        <vt:i4>5</vt:i4>
      </vt:variant>
      <vt:variant>
        <vt:lpwstr>http://esetappsdoh.doh.state.fl.us/irm00beachwater/default.aspx</vt:lpwstr>
      </vt:variant>
      <vt:variant>
        <vt:lpwstr/>
      </vt:variant>
      <vt:variant>
        <vt:i4>4522053</vt:i4>
      </vt:variant>
      <vt:variant>
        <vt:i4>1515</vt:i4>
      </vt:variant>
      <vt:variant>
        <vt:i4>0</vt:i4>
      </vt:variant>
      <vt:variant>
        <vt:i4>5</vt:i4>
      </vt:variant>
      <vt:variant>
        <vt:lpwstr>http://esetappsdoh.doh.state.fl.us/irm00beachwater/terms.htm</vt:lpwstr>
      </vt:variant>
      <vt:variant>
        <vt:lpwstr/>
      </vt:variant>
      <vt:variant>
        <vt:i4>7602231</vt:i4>
      </vt:variant>
      <vt:variant>
        <vt:i4>1512</vt:i4>
      </vt:variant>
      <vt:variant>
        <vt:i4>0</vt:i4>
      </vt:variant>
      <vt:variant>
        <vt:i4>5</vt:i4>
      </vt:variant>
      <vt:variant>
        <vt:lpwstr>http://www.doh.state.fl.us/environment/water/index.html</vt:lpwstr>
      </vt:variant>
      <vt:variant>
        <vt:lpwstr/>
      </vt:variant>
      <vt:variant>
        <vt:i4>720960</vt:i4>
      </vt:variant>
      <vt:variant>
        <vt:i4>1509</vt:i4>
      </vt:variant>
      <vt:variant>
        <vt:i4>0</vt:i4>
      </vt:variant>
      <vt:variant>
        <vt:i4>5</vt:i4>
      </vt:variant>
      <vt:variant>
        <vt:lpwstr>http://www.dep.state.fl.us/water/drinkingwater/index.htm</vt:lpwstr>
      </vt:variant>
      <vt:variant>
        <vt:lpwstr/>
      </vt:variant>
      <vt:variant>
        <vt:i4>983116</vt:i4>
      </vt:variant>
      <vt:variant>
        <vt:i4>1506</vt:i4>
      </vt:variant>
      <vt:variant>
        <vt:i4>0</vt:i4>
      </vt:variant>
      <vt:variant>
        <vt:i4>5</vt:i4>
      </vt:variant>
      <vt:variant>
        <vt:lpwstr/>
      </vt:variant>
      <vt:variant>
        <vt:lpwstr>_Chapter_11:_</vt:lpwstr>
      </vt:variant>
      <vt:variant>
        <vt:i4>2555988</vt:i4>
      </vt:variant>
      <vt:variant>
        <vt:i4>1500</vt:i4>
      </vt:variant>
      <vt:variant>
        <vt:i4>0</vt:i4>
      </vt:variant>
      <vt:variant>
        <vt:i4>5</vt:i4>
      </vt:variant>
      <vt:variant>
        <vt:lpwstr>http://www.epa.gov/region4/water/watersheds/watershed_summaries.html</vt:lpwstr>
      </vt:variant>
      <vt:variant>
        <vt:lpwstr/>
      </vt:variant>
      <vt:variant>
        <vt:i4>983116</vt:i4>
      </vt:variant>
      <vt:variant>
        <vt:i4>1497</vt:i4>
      </vt:variant>
      <vt:variant>
        <vt:i4>0</vt:i4>
      </vt:variant>
      <vt:variant>
        <vt:i4>5</vt:i4>
      </vt:variant>
      <vt:variant>
        <vt:lpwstr/>
      </vt:variant>
      <vt:variant>
        <vt:lpwstr>_Chapter_11:_</vt:lpwstr>
      </vt:variant>
      <vt:variant>
        <vt:i4>917515</vt:i4>
      </vt:variant>
      <vt:variant>
        <vt:i4>1491</vt:i4>
      </vt:variant>
      <vt:variant>
        <vt:i4>0</vt:i4>
      </vt:variant>
      <vt:variant>
        <vt:i4>5</vt:i4>
      </vt:variant>
      <vt:variant>
        <vt:lpwstr>http://www.americasroof.com/highest/fl.shtml</vt:lpwstr>
      </vt:variant>
      <vt:variant>
        <vt:lpwstr/>
      </vt:variant>
      <vt:variant>
        <vt:i4>7209013</vt:i4>
      </vt:variant>
      <vt:variant>
        <vt:i4>1488</vt:i4>
      </vt:variant>
      <vt:variant>
        <vt:i4>0</vt:i4>
      </vt:variant>
      <vt:variant>
        <vt:i4>5</vt:i4>
      </vt:variant>
      <vt:variant>
        <vt:lpwstr>http://www.sfwmd.gov/portal/page/portal/levelthree/americas everglades</vt:lpwstr>
      </vt:variant>
      <vt:variant>
        <vt:lpwstr/>
      </vt:variant>
      <vt:variant>
        <vt:i4>7143493</vt:i4>
      </vt:variant>
      <vt:variant>
        <vt:i4>1485</vt:i4>
      </vt:variant>
      <vt:variant>
        <vt:i4>0</vt:i4>
      </vt:variant>
      <vt:variant>
        <vt:i4>5</vt:i4>
      </vt:variant>
      <vt:variant>
        <vt:lpwstr>http://www.epa.gov/wed/pages/ecoregions/fl_eco.htm</vt:lpwstr>
      </vt:variant>
      <vt:variant>
        <vt:lpwstr/>
      </vt:variant>
      <vt:variant>
        <vt:i4>6422589</vt:i4>
      </vt:variant>
      <vt:variant>
        <vt:i4>1482</vt:i4>
      </vt:variant>
      <vt:variant>
        <vt:i4>0</vt:i4>
      </vt:variant>
      <vt:variant>
        <vt:i4>5</vt:i4>
      </vt:variant>
      <vt:variant>
        <vt:lpwstr>http://lakewatch.ifas.ufl.edu/</vt:lpwstr>
      </vt:variant>
      <vt:variant>
        <vt:lpwstr/>
      </vt:variant>
      <vt:variant>
        <vt:i4>3276903</vt:i4>
      </vt:variant>
      <vt:variant>
        <vt:i4>1479</vt:i4>
      </vt:variant>
      <vt:variant>
        <vt:i4>0</vt:i4>
      </vt:variant>
      <vt:variant>
        <vt:i4>5</vt:i4>
      </vt:variant>
      <vt:variant>
        <vt:lpwstr>http://www.sfwmd.gov/portal/page/portal/levelthree/kissimmee river</vt:lpwstr>
      </vt:variant>
      <vt:variant>
        <vt:lpwstr/>
      </vt:variant>
      <vt:variant>
        <vt:i4>458838</vt:i4>
      </vt:variant>
      <vt:variant>
        <vt:i4>1476</vt:i4>
      </vt:variant>
      <vt:variant>
        <vt:i4>0</vt:i4>
      </vt:variant>
      <vt:variant>
        <vt:i4>5</vt:i4>
      </vt:variant>
      <vt:variant>
        <vt:lpwstr>http://www.srwmd.state.fl.us/</vt:lpwstr>
      </vt:variant>
      <vt:variant>
        <vt:lpwstr/>
      </vt:variant>
      <vt:variant>
        <vt:i4>3735653</vt:i4>
      </vt:variant>
      <vt:variant>
        <vt:i4>1473</vt:i4>
      </vt:variant>
      <vt:variant>
        <vt:i4>0</vt:i4>
      </vt:variant>
      <vt:variant>
        <vt:i4>5</vt:i4>
      </vt:variant>
      <vt:variant>
        <vt:lpwstr>http://www.flclimatechange.us/documents.cfm</vt:lpwstr>
      </vt:variant>
      <vt:variant>
        <vt:lpwstr/>
      </vt:variant>
      <vt:variant>
        <vt:i4>3670122</vt:i4>
      </vt:variant>
      <vt:variant>
        <vt:i4>1470</vt:i4>
      </vt:variant>
      <vt:variant>
        <vt:i4>0</vt:i4>
      </vt:variant>
      <vt:variant>
        <vt:i4>5</vt:i4>
      </vt:variant>
      <vt:variant>
        <vt:lpwstr>http://www.dep.state.fl.us/water/monitoring/basins.htm</vt:lpwstr>
      </vt:variant>
      <vt:variant>
        <vt:lpwstr/>
      </vt:variant>
      <vt:variant>
        <vt:i4>983116</vt:i4>
      </vt:variant>
      <vt:variant>
        <vt:i4>1467</vt:i4>
      </vt:variant>
      <vt:variant>
        <vt:i4>0</vt:i4>
      </vt:variant>
      <vt:variant>
        <vt:i4>5</vt:i4>
      </vt:variant>
      <vt:variant>
        <vt:lpwstr/>
      </vt:variant>
      <vt:variant>
        <vt:lpwstr>_Chapter_11:_</vt:lpwstr>
      </vt:variant>
      <vt:variant>
        <vt:i4>983116</vt:i4>
      </vt:variant>
      <vt:variant>
        <vt:i4>1464</vt:i4>
      </vt:variant>
      <vt:variant>
        <vt:i4>0</vt:i4>
      </vt:variant>
      <vt:variant>
        <vt:i4>5</vt:i4>
      </vt:variant>
      <vt:variant>
        <vt:lpwstr/>
      </vt:variant>
      <vt:variant>
        <vt:lpwstr>_Chapter_11:_</vt:lpwstr>
      </vt:variant>
      <vt:variant>
        <vt:i4>6094860</vt:i4>
      </vt:variant>
      <vt:variant>
        <vt:i4>1461</vt:i4>
      </vt:variant>
      <vt:variant>
        <vt:i4>0</vt:i4>
      </vt:variant>
      <vt:variant>
        <vt:i4>5</vt:i4>
      </vt:variant>
      <vt:variant>
        <vt:lpwstr/>
      </vt:variant>
      <vt:variant>
        <vt:lpwstr>_Chapter_7.__1</vt:lpwstr>
      </vt:variant>
      <vt:variant>
        <vt:i4>6815815</vt:i4>
      </vt:variant>
      <vt:variant>
        <vt:i4>1458</vt:i4>
      </vt:variant>
      <vt:variant>
        <vt:i4>0</vt:i4>
      </vt:variant>
      <vt:variant>
        <vt:i4>5</vt:i4>
      </vt:variant>
      <vt:variant>
        <vt:lpwstr/>
      </vt:variant>
      <vt:variant>
        <vt:lpwstr>_Chapter_3:_</vt:lpwstr>
      </vt:variant>
      <vt:variant>
        <vt:i4>983116</vt:i4>
      </vt:variant>
      <vt:variant>
        <vt:i4>1455</vt:i4>
      </vt:variant>
      <vt:variant>
        <vt:i4>0</vt:i4>
      </vt:variant>
      <vt:variant>
        <vt:i4>5</vt:i4>
      </vt:variant>
      <vt:variant>
        <vt:lpwstr/>
      </vt:variant>
      <vt:variant>
        <vt:lpwstr>_Chapter_11:_</vt:lpwstr>
      </vt:variant>
      <vt:variant>
        <vt:i4>983117</vt:i4>
      </vt:variant>
      <vt:variant>
        <vt:i4>1452</vt:i4>
      </vt:variant>
      <vt:variant>
        <vt:i4>0</vt:i4>
      </vt:variant>
      <vt:variant>
        <vt:i4>5</vt:i4>
      </vt:variant>
      <vt:variant>
        <vt:lpwstr/>
      </vt:variant>
      <vt:variant>
        <vt:lpwstr>_Chapter_10:_</vt:lpwstr>
      </vt:variant>
      <vt:variant>
        <vt:i4>7143495</vt:i4>
      </vt:variant>
      <vt:variant>
        <vt:i4>1449</vt:i4>
      </vt:variant>
      <vt:variant>
        <vt:i4>0</vt:i4>
      </vt:variant>
      <vt:variant>
        <vt:i4>5</vt:i4>
      </vt:variant>
      <vt:variant>
        <vt:lpwstr/>
      </vt:variant>
      <vt:variant>
        <vt:lpwstr>_Chapter_6:_</vt:lpwstr>
      </vt:variant>
      <vt:variant>
        <vt:i4>1966129</vt:i4>
      </vt:variant>
      <vt:variant>
        <vt:i4>1442</vt:i4>
      </vt:variant>
      <vt:variant>
        <vt:i4>0</vt:i4>
      </vt:variant>
      <vt:variant>
        <vt:i4>5</vt:i4>
      </vt:variant>
      <vt:variant>
        <vt:lpwstr/>
      </vt:variant>
      <vt:variant>
        <vt:lpwstr>_Toc271029074</vt:lpwstr>
      </vt:variant>
      <vt:variant>
        <vt:i4>1966129</vt:i4>
      </vt:variant>
      <vt:variant>
        <vt:i4>1436</vt:i4>
      </vt:variant>
      <vt:variant>
        <vt:i4>0</vt:i4>
      </vt:variant>
      <vt:variant>
        <vt:i4>5</vt:i4>
      </vt:variant>
      <vt:variant>
        <vt:lpwstr/>
      </vt:variant>
      <vt:variant>
        <vt:lpwstr>_Toc271029073</vt:lpwstr>
      </vt:variant>
      <vt:variant>
        <vt:i4>1966129</vt:i4>
      </vt:variant>
      <vt:variant>
        <vt:i4>1430</vt:i4>
      </vt:variant>
      <vt:variant>
        <vt:i4>0</vt:i4>
      </vt:variant>
      <vt:variant>
        <vt:i4>5</vt:i4>
      </vt:variant>
      <vt:variant>
        <vt:lpwstr/>
      </vt:variant>
      <vt:variant>
        <vt:lpwstr>_Toc271029072</vt:lpwstr>
      </vt:variant>
      <vt:variant>
        <vt:i4>1966129</vt:i4>
      </vt:variant>
      <vt:variant>
        <vt:i4>1424</vt:i4>
      </vt:variant>
      <vt:variant>
        <vt:i4>0</vt:i4>
      </vt:variant>
      <vt:variant>
        <vt:i4>5</vt:i4>
      </vt:variant>
      <vt:variant>
        <vt:lpwstr/>
      </vt:variant>
      <vt:variant>
        <vt:lpwstr>_Toc271029071</vt:lpwstr>
      </vt:variant>
      <vt:variant>
        <vt:i4>1966129</vt:i4>
      </vt:variant>
      <vt:variant>
        <vt:i4>1418</vt:i4>
      </vt:variant>
      <vt:variant>
        <vt:i4>0</vt:i4>
      </vt:variant>
      <vt:variant>
        <vt:i4>5</vt:i4>
      </vt:variant>
      <vt:variant>
        <vt:lpwstr/>
      </vt:variant>
      <vt:variant>
        <vt:lpwstr>_Toc271029070</vt:lpwstr>
      </vt:variant>
      <vt:variant>
        <vt:i4>2031665</vt:i4>
      </vt:variant>
      <vt:variant>
        <vt:i4>1412</vt:i4>
      </vt:variant>
      <vt:variant>
        <vt:i4>0</vt:i4>
      </vt:variant>
      <vt:variant>
        <vt:i4>5</vt:i4>
      </vt:variant>
      <vt:variant>
        <vt:lpwstr/>
      </vt:variant>
      <vt:variant>
        <vt:lpwstr>_Toc271029069</vt:lpwstr>
      </vt:variant>
      <vt:variant>
        <vt:i4>2031665</vt:i4>
      </vt:variant>
      <vt:variant>
        <vt:i4>1406</vt:i4>
      </vt:variant>
      <vt:variant>
        <vt:i4>0</vt:i4>
      </vt:variant>
      <vt:variant>
        <vt:i4>5</vt:i4>
      </vt:variant>
      <vt:variant>
        <vt:lpwstr/>
      </vt:variant>
      <vt:variant>
        <vt:lpwstr>_Toc271029068</vt:lpwstr>
      </vt:variant>
      <vt:variant>
        <vt:i4>2031665</vt:i4>
      </vt:variant>
      <vt:variant>
        <vt:i4>1400</vt:i4>
      </vt:variant>
      <vt:variant>
        <vt:i4>0</vt:i4>
      </vt:variant>
      <vt:variant>
        <vt:i4>5</vt:i4>
      </vt:variant>
      <vt:variant>
        <vt:lpwstr/>
      </vt:variant>
      <vt:variant>
        <vt:lpwstr>_Toc271029067</vt:lpwstr>
      </vt:variant>
      <vt:variant>
        <vt:i4>2031665</vt:i4>
      </vt:variant>
      <vt:variant>
        <vt:i4>1394</vt:i4>
      </vt:variant>
      <vt:variant>
        <vt:i4>0</vt:i4>
      </vt:variant>
      <vt:variant>
        <vt:i4>5</vt:i4>
      </vt:variant>
      <vt:variant>
        <vt:lpwstr/>
      </vt:variant>
      <vt:variant>
        <vt:lpwstr>_Toc271029066</vt:lpwstr>
      </vt:variant>
      <vt:variant>
        <vt:i4>2031665</vt:i4>
      </vt:variant>
      <vt:variant>
        <vt:i4>1388</vt:i4>
      </vt:variant>
      <vt:variant>
        <vt:i4>0</vt:i4>
      </vt:variant>
      <vt:variant>
        <vt:i4>5</vt:i4>
      </vt:variant>
      <vt:variant>
        <vt:lpwstr/>
      </vt:variant>
      <vt:variant>
        <vt:lpwstr>_Toc271029065</vt:lpwstr>
      </vt:variant>
      <vt:variant>
        <vt:i4>2031665</vt:i4>
      </vt:variant>
      <vt:variant>
        <vt:i4>1382</vt:i4>
      </vt:variant>
      <vt:variant>
        <vt:i4>0</vt:i4>
      </vt:variant>
      <vt:variant>
        <vt:i4>5</vt:i4>
      </vt:variant>
      <vt:variant>
        <vt:lpwstr/>
      </vt:variant>
      <vt:variant>
        <vt:lpwstr>_Toc271029064</vt:lpwstr>
      </vt:variant>
      <vt:variant>
        <vt:i4>2031665</vt:i4>
      </vt:variant>
      <vt:variant>
        <vt:i4>1376</vt:i4>
      </vt:variant>
      <vt:variant>
        <vt:i4>0</vt:i4>
      </vt:variant>
      <vt:variant>
        <vt:i4>5</vt:i4>
      </vt:variant>
      <vt:variant>
        <vt:lpwstr/>
      </vt:variant>
      <vt:variant>
        <vt:lpwstr>_Toc271029063</vt:lpwstr>
      </vt:variant>
      <vt:variant>
        <vt:i4>2031665</vt:i4>
      </vt:variant>
      <vt:variant>
        <vt:i4>1370</vt:i4>
      </vt:variant>
      <vt:variant>
        <vt:i4>0</vt:i4>
      </vt:variant>
      <vt:variant>
        <vt:i4>5</vt:i4>
      </vt:variant>
      <vt:variant>
        <vt:lpwstr/>
      </vt:variant>
      <vt:variant>
        <vt:lpwstr>_Toc271029062</vt:lpwstr>
      </vt:variant>
      <vt:variant>
        <vt:i4>2031665</vt:i4>
      </vt:variant>
      <vt:variant>
        <vt:i4>1364</vt:i4>
      </vt:variant>
      <vt:variant>
        <vt:i4>0</vt:i4>
      </vt:variant>
      <vt:variant>
        <vt:i4>5</vt:i4>
      </vt:variant>
      <vt:variant>
        <vt:lpwstr/>
      </vt:variant>
      <vt:variant>
        <vt:lpwstr>_Toc271029061</vt:lpwstr>
      </vt:variant>
      <vt:variant>
        <vt:i4>2031665</vt:i4>
      </vt:variant>
      <vt:variant>
        <vt:i4>1358</vt:i4>
      </vt:variant>
      <vt:variant>
        <vt:i4>0</vt:i4>
      </vt:variant>
      <vt:variant>
        <vt:i4>5</vt:i4>
      </vt:variant>
      <vt:variant>
        <vt:lpwstr/>
      </vt:variant>
      <vt:variant>
        <vt:lpwstr>_Toc271029060</vt:lpwstr>
      </vt:variant>
      <vt:variant>
        <vt:i4>1835057</vt:i4>
      </vt:variant>
      <vt:variant>
        <vt:i4>1352</vt:i4>
      </vt:variant>
      <vt:variant>
        <vt:i4>0</vt:i4>
      </vt:variant>
      <vt:variant>
        <vt:i4>5</vt:i4>
      </vt:variant>
      <vt:variant>
        <vt:lpwstr/>
      </vt:variant>
      <vt:variant>
        <vt:lpwstr>_Toc271029059</vt:lpwstr>
      </vt:variant>
      <vt:variant>
        <vt:i4>1835057</vt:i4>
      </vt:variant>
      <vt:variant>
        <vt:i4>1346</vt:i4>
      </vt:variant>
      <vt:variant>
        <vt:i4>0</vt:i4>
      </vt:variant>
      <vt:variant>
        <vt:i4>5</vt:i4>
      </vt:variant>
      <vt:variant>
        <vt:lpwstr/>
      </vt:variant>
      <vt:variant>
        <vt:lpwstr>_Toc271029058</vt:lpwstr>
      </vt:variant>
      <vt:variant>
        <vt:i4>1835057</vt:i4>
      </vt:variant>
      <vt:variant>
        <vt:i4>1340</vt:i4>
      </vt:variant>
      <vt:variant>
        <vt:i4>0</vt:i4>
      </vt:variant>
      <vt:variant>
        <vt:i4>5</vt:i4>
      </vt:variant>
      <vt:variant>
        <vt:lpwstr/>
      </vt:variant>
      <vt:variant>
        <vt:lpwstr>_Toc271029057</vt:lpwstr>
      </vt:variant>
      <vt:variant>
        <vt:i4>1835057</vt:i4>
      </vt:variant>
      <vt:variant>
        <vt:i4>1334</vt:i4>
      </vt:variant>
      <vt:variant>
        <vt:i4>0</vt:i4>
      </vt:variant>
      <vt:variant>
        <vt:i4>5</vt:i4>
      </vt:variant>
      <vt:variant>
        <vt:lpwstr/>
      </vt:variant>
      <vt:variant>
        <vt:lpwstr>_Toc271029056</vt:lpwstr>
      </vt:variant>
      <vt:variant>
        <vt:i4>1835057</vt:i4>
      </vt:variant>
      <vt:variant>
        <vt:i4>1328</vt:i4>
      </vt:variant>
      <vt:variant>
        <vt:i4>0</vt:i4>
      </vt:variant>
      <vt:variant>
        <vt:i4>5</vt:i4>
      </vt:variant>
      <vt:variant>
        <vt:lpwstr/>
      </vt:variant>
      <vt:variant>
        <vt:lpwstr>_Toc271029055</vt:lpwstr>
      </vt:variant>
      <vt:variant>
        <vt:i4>1835057</vt:i4>
      </vt:variant>
      <vt:variant>
        <vt:i4>1322</vt:i4>
      </vt:variant>
      <vt:variant>
        <vt:i4>0</vt:i4>
      </vt:variant>
      <vt:variant>
        <vt:i4>5</vt:i4>
      </vt:variant>
      <vt:variant>
        <vt:lpwstr/>
      </vt:variant>
      <vt:variant>
        <vt:lpwstr>_Toc271029054</vt:lpwstr>
      </vt:variant>
      <vt:variant>
        <vt:i4>1835057</vt:i4>
      </vt:variant>
      <vt:variant>
        <vt:i4>1316</vt:i4>
      </vt:variant>
      <vt:variant>
        <vt:i4>0</vt:i4>
      </vt:variant>
      <vt:variant>
        <vt:i4>5</vt:i4>
      </vt:variant>
      <vt:variant>
        <vt:lpwstr/>
      </vt:variant>
      <vt:variant>
        <vt:lpwstr>_Toc271029053</vt:lpwstr>
      </vt:variant>
      <vt:variant>
        <vt:i4>1835057</vt:i4>
      </vt:variant>
      <vt:variant>
        <vt:i4>1310</vt:i4>
      </vt:variant>
      <vt:variant>
        <vt:i4>0</vt:i4>
      </vt:variant>
      <vt:variant>
        <vt:i4>5</vt:i4>
      </vt:variant>
      <vt:variant>
        <vt:lpwstr/>
      </vt:variant>
      <vt:variant>
        <vt:lpwstr>_Toc271029052</vt:lpwstr>
      </vt:variant>
      <vt:variant>
        <vt:i4>1835057</vt:i4>
      </vt:variant>
      <vt:variant>
        <vt:i4>1304</vt:i4>
      </vt:variant>
      <vt:variant>
        <vt:i4>0</vt:i4>
      </vt:variant>
      <vt:variant>
        <vt:i4>5</vt:i4>
      </vt:variant>
      <vt:variant>
        <vt:lpwstr/>
      </vt:variant>
      <vt:variant>
        <vt:lpwstr>_Toc271029051</vt:lpwstr>
      </vt:variant>
      <vt:variant>
        <vt:i4>1835057</vt:i4>
      </vt:variant>
      <vt:variant>
        <vt:i4>1298</vt:i4>
      </vt:variant>
      <vt:variant>
        <vt:i4>0</vt:i4>
      </vt:variant>
      <vt:variant>
        <vt:i4>5</vt:i4>
      </vt:variant>
      <vt:variant>
        <vt:lpwstr/>
      </vt:variant>
      <vt:variant>
        <vt:lpwstr>_Toc271029050</vt:lpwstr>
      </vt:variant>
      <vt:variant>
        <vt:i4>1900593</vt:i4>
      </vt:variant>
      <vt:variant>
        <vt:i4>1292</vt:i4>
      </vt:variant>
      <vt:variant>
        <vt:i4>0</vt:i4>
      </vt:variant>
      <vt:variant>
        <vt:i4>5</vt:i4>
      </vt:variant>
      <vt:variant>
        <vt:lpwstr/>
      </vt:variant>
      <vt:variant>
        <vt:lpwstr>_Toc271029049</vt:lpwstr>
      </vt:variant>
      <vt:variant>
        <vt:i4>1900593</vt:i4>
      </vt:variant>
      <vt:variant>
        <vt:i4>1286</vt:i4>
      </vt:variant>
      <vt:variant>
        <vt:i4>0</vt:i4>
      </vt:variant>
      <vt:variant>
        <vt:i4>5</vt:i4>
      </vt:variant>
      <vt:variant>
        <vt:lpwstr/>
      </vt:variant>
      <vt:variant>
        <vt:lpwstr>_Toc271029048</vt:lpwstr>
      </vt:variant>
      <vt:variant>
        <vt:i4>1900593</vt:i4>
      </vt:variant>
      <vt:variant>
        <vt:i4>1280</vt:i4>
      </vt:variant>
      <vt:variant>
        <vt:i4>0</vt:i4>
      </vt:variant>
      <vt:variant>
        <vt:i4>5</vt:i4>
      </vt:variant>
      <vt:variant>
        <vt:lpwstr/>
      </vt:variant>
      <vt:variant>
        <vt:lpwstr>_Toc271029047</vt:lpwstr>
      </vt:variant>
      <vt:variant>
        <vt:i4>1900593</vt:i4>
      </vt:variant>
      <vt:variant>
        <vt:i4>1274</vt:i4>
      </vt:variant>
      <vt:variant>
        <vt:i4>0</vt:i4>
      </vt:variant>
      <vt:variant>
        <vt:i4>5</vt:i4>
      </vt:variant>
      <vt:variant>
        <vt:lpwstr/>
      </vt:variant>
      <vt:variant>
        <vt:lpwstr>_Toc271029046</vt:lpwstr>
      </vt:variant>
      <vt:variant>
        <vt:i4>1900593</vt:i4>
      </vt:variant>
      <vt:variant>
        <vt:i4>1268</vt:i4>
      </vt:variant>
      <vt:variant>
        <vt:i4>0</vt:i4>
      </vt:variant>
      <vt:variant>
        <vt:i4>5</vt:i4>
      </vt:variant>
      <vt:variant>
        <vt:lpwstr/>
      </vt:variant>
      <vt:variant>
        <vt:lpwstr>_Toc271029045</vt:lpwstr>
      </vt:variant>
      <vt:variant>
        <vt:i4>1900593</vt:i4>
      </vt:variant>
      <vt:variant>
        <vt:i4>1262</vt:i4>
      </vt:variant>
      <vt:variant>
        <vt:i4>0</vt:i4>
      </vt:variant>
      <vt:variant>
        <vt:i4>5</vt:i4>
      </vt:variant>
      <vt:variant>
        <vt:lpwstr/>
      </vt:variant>
      <vt:variant>
        <vt:lpwstr>_Toc271029044</vt:lpwstr>
      </vt:variant>
      <vt:variant>
        <vt:i4>1900593</vt:i4>
      </vt:variant>
      <vt:variant>
        <vt:i4>1256</vt:i4>
      </vt:variant>
      <vt:variant>
        <vt:i4>0</vt:i4>
      </vt:variant>
      <vt:variant>
        <vt:i4>5</vt:i4>
      </vt:variant>
      <vt:variant>
        <vt:lpwstr/>
      </vt:variant>
      <vt:variant>
        <vt:lpwstr>_Toc271029043</vt:lpwstr>
      </vt:variant>
      <vt:variant>
        <vt:i4>1900593</vt:i4>
      </vt:variant>
      <vt:variant>
        <vt:i4>1250</vt:i4>
      </vt:variant>
      <vt:variant>
        <vt:i4>0</vt:i4>
      </vt:variant>
      <vt:variant>
        <vt:i4>5</vt:i4>
      </vt:variant>
      <vt:variant>
        <vt:lpwstr/>
      </vt:variant>
      <vt:variant>
        <vt:lpwstr>_Toc271029042</vt:lpwstr>
      </vt:variant>
      <vt:variant>
        <vt:i4>1900593</vt:i4>
      </vt:variant>
      <vt:variant>
        <vt:i4>1244</vt:i4>
      </vt:variant>
      <vt:variant>
        <vt:i4>0</vt:i4>
      </vt:variant>
      <vt:variant>
        <vt:i4>5</vt:i4>
      </vt:variant>
      <vt:variant>
        <vt:lpwstr/>
      </vt:variant>
      <vt:variant>
        <vt:lpwstr>_Toc271029041</vt:lpwstr>
      </vt:variant>
      <vt:variant>
        <vt:i4>1900593</vt:i4>
      </vt:variant>
      <vt:variant>
        <vt:i4>1238</vt:i4>
      </vt:variant>
      <vt:variant>
        <vt:i4>0</vt:i4>
      </vt:variant>
      <vt:variant>
        <vt:i4>5</vt:i4>
      </vt:variant>
      <vt:variant>
        <vt:lpwstr/>
      </vt:variant>
      <vt:variant>
        <vt:lpwstr>_Toc271029040</vt:lpwstr>
      </vt:variant>
      <vt:variant>
        <vt:i4>1703985</vt:i4>
      </vt:variant>
      <vt:variant>
        <vt:i4>1232</vt:i4>
      </vt:variant>
      <vt:variant>
        <vt:i4>0</vt:i4>
      </vt:variant>
      <vt:variant>
        <vt:i4>5</vt:i4>
      </vt:variant>
      <vt:variant>
        <vt:lpwstr/>
      </vt:variant>
      <vt:variant>
        <vt:lpwstr>_Toc271029039</vt:lpwstr>
      </vt:variant>
      <vt:variant>
        <vt:i4>1703985</vt:i4>
      </vt:variant>
      <vt:variant>
        <vt:i4>1226</vt:i4>
      </vt:variant>
      <vt:variant>
        <vt:i4>0</vt:i4>
      </vt:variant>
      <vt:variant>
        <vt:i4>5</vt:i4>
      </vt:variant>
      <vt:variant>
        <vt:lpwstr/>
      </vt:variant>
      <vt:variant>
        <vt:lpwstr>_Toc271029038</vt:lpwstr>
      </vt:variant>
      <vt:variant>
        <vt:i4>1703985</vt:i4>
      </vt:variant>
      <vt:variant>
        <vt:i4>1220</vt:i4>
      </vt:variant>
      <vt:variant>
        <vt:i4>0</vt:i4>
      </vt:variant>
      <vt:variant>
        <vt:i4>5</vt:i4>
      </vt:variant>
      <vt:variant>
        <vt:lpwstr/>
      </vt:variant>
      <vt:variant>
        <vt:lpwstr>_Toc271029037</vt:lpwstr>
      </vt:variant>
      <vt:variant>
        <vt:i4>1703985</vt:i4>
      </vt:variant>
      <vt:variant>
        <vt:i4>1214</vt:i4>
      </vt:variant>
      <vt:variant>
        <vt:i4>0</vt:i4>
      </vt:variant>
      <vt:variant>
        <vt:i4>5</vt:i4>
      </vt:variant>
      <vt:variant>
        <vt:lpwstr/>
      </vt:variant>
      <vt:variant>
        <vt:lpwstr>_Toc271029036</vt:lpwstr>
      </vt:variant>
      <vt:variant>
        <vt:i4>1703985</vt:i4>
      </vt:variant>
      <vt:variant>
        <vt:i4>1208</vt:i4>
      </vt:variant>
      <vt:variant>
        <vt:i4>0</vt:i4>
      </vt:variant>
      <vt:variant>
        <vt:i4>5</vt:i4>
      </vt:variant>
      <vt:variant>
        <vt:lpwstr/>
      </vt:variant>
      <vt:variant>
        <vt:lpwstr>_Toc271029035</vt:lpwstr>
      </vt:variant>
      <vt:variant>
        <vt:i4>1703985</vt:i4>
      </vt:variant>
      <vt:variant>
        <vt:i4>1202</vt:i4>
      </vt:variant>
      <vt:variant>
        <vt:i4>0</vt:i4>
      </vt:variant>
      <vt:variant>
        <vt:i4>5</vt:i4>
      </vt:variant>
      <vt:variant>
        <vt:lpwstr/>
      </vt:variant>
      <vt:variant>
        <vt:lpwstr>_Toc271029034</vt:lpwstr>
      </vt:variant>
      <vt:variant>
        <vt:i4>1703985</vt:i4>
      </vt:variant>
      <vt:variant>
        <vt:i4>1196</vt:i4>
      </vt:variant>
      <vt:variant>
        <vt:i4>0</vt:i4>
      </vt:variant>
      <vt:variant>
        <vt:i4>5</vt:i4>
      </vt:variant>
      <vt:variant>
        <vt:lpwstr/>
      </vt:variant>
      <vt:variant>
        <vt:lpwstr>_Toc271029033</vt:lpwstr>
      </vt:variant>
      <vt:variant>
        <vt:i4>1703985</vt:i4>
      </vt:variant>
      <vt:variant>
        <vt:i4>1190</vt:i4>
      </vt:variant>
      <vt:variant>
        <vt:i4>0</vt:i4>
      </vt:variant>
      <vt:variant>
        <vt:i4>5</vt:i4>
      </vt:variant>
      <vt:variant>
        <vt:lpwstr/>
      </vt:variant>
      <vt:variant>
        <vt:lpwstr>_Toc271029032</vt:lpwstr>
      </vt:variant>
      <vt:variant>
        <vt:i4>1703985</vt:i4>
      </vt:variant>
      <vt:variant>
        <vt:i4>1184</vt:i4>
      </vt:variant>
      <vt:variant>
        <vt:i4>0</vt:i4>
      </vt:variant>
      <vt:variant>
        <vt:i4>5</vt:i4>
      </vt:variant>
      <vt:variant>
        <vt:lpwstr/>
      </vt:variant>
      <vt:variant>
        <vt:lpwstr>_Toc271029031</vt:lpwstr>
      </vt:variant>
      <vt:variant>
        <vt:i4>1703985</vt:i4>
      </vt:variant>
      <vt:variant>
        <vt:i4>1178</vt:i4>
      </vt:variant>
      <vt:variant>
        <vt:i4>0</vt:i4>
      </vt:variant>
      <vt:variant>
        <vt:i4>5</vt:i4>
      </vt:variant>
      <vt:variant>
        <vt:lpwstr/>
      </vt:variant>
      <vt:variant>
        <vt:lpwstr>_Toc271029030</vt:lpwstr>
      </vt:variant>
      <vt:variant>
        <vt:i4>1769521</vt:i4>
      </vt:variant>
      <vt:variant>
        <vt:i4>1172</vt:i4>
      </vt:variant>
      <vt:variant>
        <vt:i4>0</vt:i4>
      </vt:variant>
      <vt:variant>
        <vt:i4>5</vt:i4>
      </vt:variant>
      <vt:variant>
        <vt:lpwstr/>
      </vt:variant>
      <vt:variant>
        <vt:lpwstr>_Toc271029029</vt:lpwstr>
      </vt:variant>
      <vt:variant>
        <vt:i4>1769521</vt:i4>
      </vt:variant>
      <vt:variant>
        <vt:i4>1166</vt:i4>
      </vt:variant>
      <vt:variant>
        <vt:i4>0</vt:i4>
      </vt:variant>
      <vt:variant>
        <vt:i4>5</vt:i4>
      </vt:variant>
      <vt:variant>
        <vt:lpwstr/>
      </vt:variant>
      <vt:variant>
        <vt:lpwstr>_Toc271029028</vt:lpwstr>
      </vt:variant>
      <vt:variant>
        <vt:i4>1769521</vt:i4>
      </vt:variant>
      <vt:variant>
        <vt:i4>1160</vt:i4>
      </vt:variant>
      <vt:variant>
        <vt:i4>0</vt:i4>
      </vt:variant>
      <vt:variant>
        <vt:i4>5</vt:i4>
      </vt:variant>
      <vt:variant>
        <vt:lpwstr/>
      </vt:variant>
      <vt:variant>
        <vt:lpwstr>_Toc271029027</vt:lpwstr>
      </vt:variant>
      <vt:variant>
        <vt:i4>1769521</vt:i4>
      </vt:variant>
      <vt:variant>
        <vt:i4>1154</vt:i4>
      </vt:variant>
      <vt:variant>
        <vt:i4>0</vt:i4>
      </vt:variant>
      <vt:variant>
        <vt:i4>5</vt:i4>
      </vt:variant>
      <vt:variant>
        <vt:lpwstr/>
      </vt:variant>
      <vt:variant>
        <vt:lpwstr>_Toc271029026</vt:lpwstr>
      </vt:variant>
      <vt:variant>
        <vt:i4>1769521</vt:i4>
      </vt:variant>
      <vt:variant>
        <vt:i4>1148</vt:i4>
      </vt:variant>
      <vt:variant>
        <vt:i4>0</vt:i4>
      </vt:variant>
      <vt:variant>
        <vt:i4>5</vt:i4>
      </vt:variant>
      <vt:variant>
        <vt:lpwstr/>
      </vt:variant>
      <vt:variant>
        <vt:lpwstr>_Toc271029025</vt:lpwstr>
      </vt:variant>
      <vt:variant>
        <vt:i4>1769521</vt:i4>
      </vt:variant>
      <vt:variant>
        <vt:i4>1142</vt:i4>
      </vt:variant>
      <vt:variant>
        <vt:i4>0</vt:i4>
      </vt:variant>
      <vt:variant>
        <vt:i4>5</vt:i4>
      </vt:variant>
      <vt:variant>
        <vt:lpwstr/>
      </vt:variant>
      <vt:variant>
        <vt:lpwstr>_Toc271029024</vt:lpwstr>
      </vt:variant>
      <vt:variant>
        <vt:i4>1769521</vt:i4>
      </vt:variant>
      <vt:variant>
        <vt:i4>1136</vt:i4>
      </vt:variant>
      <vt:variant>
        <vt:i4>0</vt:i4>
      </vt:variant>
      <vt:variant>
        <vt:i4>5</vt:i4>
      </vt:variant>
      <vt:variant>
        <vt:lpwstr/>
      </vt:variant>
      <vt:variant>
        <vt:lpwstr>_Toc271029023</vt:lpwstr>
      </vt:variant>
      <vt:variant>
        <vt:i4>1769521</vt:i4>
      </vt:variant>
      <vt:variant>
        <vt:i4>1130</vt:i4>
      </vt:variant>
      <vt:variant>
        <vt:i4>0</vt:i4>
      </vt:variant>
      <vt:variant>
        <vt:i4>5</vt:i4>
      </vt:variant>
      <vt:variant>
        <vt:lpwstr/>
      </vt:variant>
      <vt:variant>
        <vt:lpwstr>_Toc271029022</vt:lpwstr>
      </vt:variant>
      <vt:variant>
        <vt:i4>1769521</vt:i4>
      </vt:variant>
      <vt:variant>
        <vt:i4>1121</vt:i4>
      </vt:variant>
      <vt:variant>
        <vt:i4>0</vt:i4>
      </vt:variant>
      <vt:variant>
        <vt:i4>5</vt:i4>
      </vt:variant>
      <vt:variant>
        <vt:lpwstr/>
      </vt:variant>
      <vt:variant>
        <vt:lpwstr>_Toc271029021</vt:lpwstr>
      </vt:variant>
      <vt:variant>
        <vt:i4>1769521</vt:i4>
      </vt:variant>
      <vt:variant>
        <vt:i4>1115</vt:i4>
      </vt:variant>
      <vt:variant>
        <vt:i4>0</vt:i4>
      </vt:variant>
      <vt:variant>
        <vt:i4>5</vt:i4>
      </vt:variant>
      <vt:variant>
        <vt:lpwstr/>
      </vt:variant>
      <vt:variant>
        <vt:lpwstr>_Toc271029020</vt:lpwstr>
      </vt:variant>
      <vt:variant>
        <vt:i4>1572913</vt:i4>
      </vt:variant>
      <vt:variant>
        <vt:i4>1109</vt:i4>
      </vt:variant>
      <vt:variant>
        <vt:i4>0</vt:i4>
      </vt:variant>
      <vt:variant>
        <vt:i4>5</vt:i4>
      </vt:variant>
      <vt:variant>
        <vt:lpwstr/>
      </vt:variant>
      <vt:variant>
        <vt:lpwstr>_Toc271029019</vt:lpwstr>
      </vt:variant>
      <vt:variant>
        <vt:i4>1572913</vt:i4>
      </vt:variant>
      <vt:variant>
        <vt:i4>1103</vt:i4>
      </vt:variant>
      <vt:variant>
        <vt:i4>0</vt:i4>
      </vt:variant>
      <vt:variant>
        <vt:i4>5</vt:i4>
      </vt:variant>
      <vt:variant>
        <vt:lpwstr/>
      </vt:variant>
      <vt:variant>
        <vt:lpwstr>_Toc271029018</vt:lpwstr>
      </vt:variant>
      <vt:variant>
        <vt:i4>1572913</vt:i4>
      </vt:variant>
      <vt:variant>
        <vt:i4>1097</vt:i4>
      </vt:variant>
      <vt:variant>
        <vt:i4>0</vt:i4>
      </vt:variant>
      <vt:variant>
        <vt:i4>5</vt:i4>
      </vt:variant>
      <vt:variant>
        <vt:lpwstr/>
      </vt:variant>
      <vt:variant>
        <vt:lpwstr>_Toc271029017</vt:lpwstr>
      </vt:variant>
      <vt:variant>
        <vt:i4>1572913</vt:i4>
      </vt:variant>
      <vt:variant>
        <vt:i4>1091</vt:i4>
      </vt:variant>
      <vt:variant>
        <vt:i4>0</vt:i4>
      </vt:variant>
      <vt:variant>
        <vt:i4>5</vt:i4>
      </vt:variant>
      <vt:variant>
        <vt:lpwstr/>
      </vt:variant>
      <vt:variant>
        <vt:lpwstr>_Toc271029016</vt:lpwstr>
      </vt:variant>
      <vt:variant>
        <vt:i4>1572913</vt:i4>
      </vt:variant>
      <vt:variant>
        <vt:i4>1085</vt:i4>
      </vt:variant>
      <vt:variant>
        <vt:i4>0</vt:i4>
      </vt:variant>
      <vt:variant>
        <vt:i4>5</vt:i4>
      </vt:variant>
      <vt:variant>
        <vt:lpwstr/>
      </vt:variant>
      <vt:variant>
        <vt:lpwstr>_Toc271029015</vt:lpwstr>
      </vt:variant>
      <vt:variant>
        <vt:i4>1572913</vt:i4>
      </vt:variant>
      <vt:variant>
        <vt:i4>1079</vt:i4>
      </vt:variant>
      <vt:variant>
        <vt:i4>0</vt:i4>
      </vt:variant>
      <vt:variant>
        <vt:i4>5</vt:i4>
      </vt:variant>
      <vt:variant>
        <vt:lpwstr/>
      </vt:variant>
      <vt:variant>
        <vt:lpwstr>_Toc271029014</vt:lpwstr>
      </vt:variant>
      <vt:variant>
        <vt:i4>1572913</vt:i4>
      </vt:variant>
      <vt:variant>
        <vt:i4>1073</vt:i4>
      </vt:variant>
      <vt:variant>
        <vt:i4>0</vt:i4>
      </vt:variant>
      <vt:variant>
        <vt:i4>5</vt:i4>
      </vt:variant>
      <vt:variant>
        <vt:lpwstr/>
      </vt:variant>
      <vt:variant>
        <vt:lpwstr>_Toc271029013</vt:lpwstr>
      </vt:variant>
      <vt:variant>
        <vt:i4>1572913</vt:i4>
      </vt:variant>
      <vt:variant>
        <vt:i4>1067</vt:i4>
      </vt:variant>
      <vt:variant>
        <vt:i4>0</vt:i4>
      </vt:variant>
      <vt:variant>
        <vt:i4>5</vt:i4>
      </vt:variant>
      <vt:variant>
        <vt:lpwstr/>
      </vt:variant>
      <vt:variant>
        <vt:lpwstr>_Toc271029012</vt:lpwstr>
      </vt:variant>
      <vt:variant>
        <vt:i4>1572913</vt:i4>
      </vt:variant>
      <vt:variant>
        <vt:i4>1061</vt:i4>
      </vt:variant>
      <vt:variant>
        <vt:i4>0</vt:i4>
      </vt:variant>
      <vt:variant>
        <vt:i4>5</vt:i4>
      </vt:variant>
      <vt:variant>
        <vt:lpwstr/>
      </vt:variant>
      <vt:variant>
        <vt:lpwstr>_Toc271029011</vt:lpwstr>
      </vt:variant>
      <vt:variant>
        <vt:i4>1572913</vt:i4>
      </vt:variant>
      <vt:variant>
        <vt:i4>1055</vt:i4>
      </vt:variant>
      <vt:variant>
        <vt:i4>0</vt:i4>
      </vt:variant>
      <vt:variant>
        <vt:i4>5</vt:i4>
      </vt:variant>
      <vt:variant>
        <vt:lpwstr/>
      </vt:variant>
      <vt:variant>
        <vt:lpwstr>_Toc271029010</vt:lpwstr>
      </vt:variant>
      <vt:variant>
        <vt:i4>1638449</vt:i4>
      </vt:variant>
      <vt:variant>
        <vt:i4>1049</vt:i4>
      </vt:variant>
      <vt:variant>
        <vt:i4>0</vt:i4>
      </vt:variant>
      <vt:variant>
        <vt:i4>5</vt:i4>
      </vt:variant>
      <vt:variant>
        <vt:lpwstr/>
      </vt:variant>
      <vt:variant>
        <vt:lpwstr>_Toc271029009</vt:lpwstr>
      </vt:variant>
      <vt:variant>
        <vt:i4>1638449</vt:i4>
      </vt:variant>
      <vt:variant>
        <vt:i4>1043</vt:i4>
      </vt:variant>
      <vt:variant>
        <vt:i4>0</vt:i4>
      </vt:variant>
      <vt:variant>
        <vt:i4>5</vt:i4>
      </vt:variant>
      <vt:variant>
        <vt:lpwstr/>
      </vt:variant>
      <vt:variant>
        <vt:lpwstr>_Toc271029008</vt:lpwstr>
      </vt:variant>
      <vt:variant>
        <vt:i4>1638449</vt:i4>
      </vt:variant>
      <vt:variant>
        <vt:i4>1037</vt:i4>
      </vt:variant>
      <vt:variant>
        <vt:i4>0</vt:i4>
      </vt:variant>
      <vt:variant>
        <vt:i4>5</vt:i4>
      </vt:variant>
      <vt:variant>
        <vt:lpwstr/>
      </vt:variant>
      <vt:variant>
        <vt:lpwstr>_Toc271029007</vt:lpwstr>
      </vt:variant>
      <vt:variant>
        <vt:i4>1638449</vt:i4>
      </vt:variant>
      <vt:variant>
        <vt:i4>1031</vt:i4>
      </vt:variant>
      <vt:variant>
        <vt:i4>0</vt:i4>
      </vt:variant>
      <vt:variant>
        <vt:i4>5</vt:i4>
      </vt:variant>
      <vt:variant>
        <vt:lpwstr/>
      </vt:variant>
      <vt:variant>
        <vt:lpwstr>_Toc271029006</vt:lpwstr>
      </vt:variant>
      <vt:variant>
        <vt:i4>1638449</vt:i4>
      </vt:variant>
      <vt:variant>
        <vt:i4>1025</vt:i4>
      </vt:variant>
      <vt:variant>
        <vt:i4>0</vt:i4>
      </vt:variant>
      <vt:variant>
        <vt:i4>5</vt:i4>
      </vt:variant>
      <vt:variant>
        <vt:lpwstr/>
      </vt:variant>
      <vt:variant>
        <vt:lpwstr>_Toc271029005</vt:lpwstr>
      </vt:variant>
      <vt:variant>
        <vt:i4>1638449</vt:i4>
      </vt:variant>
      <vt:variant>
        <vt:i4>1019</vt:i4>
      </vt:variant>
      <vt:variant>
        <vt:i4>0</vt:i4>
      </vt:variant>
      <vt:variant>
        <vt:i4>5</vt:i4>
      </vt:variant>
      <vt:variant>
        <vt:lpwstr/>
      </vt:variant>
      <vt:variant>
        <vt:lpwstr>_Toc271029004</vt:lpwstr>
      </vt:variant>
      <vt:variant>
        <vt:i4>1638449</vt:i4>
      </vt:variant>
      <vt:variant>
        <vt:i4>1013</vt:i4>
      </vt:variant>
      <vt:variant>
        <vt:i4>0</vt:i4>
      </vt:variant>
      <vt:variant>
        <vt:i4>5</vt:i4>
      </vt:variant>
      <vt:variant>
        <vt:lpwstr/>
      </vt:variant>
      <vt:variant>
        <vt:lpwstr>_Toc271029003</vt:lpwstr>
      </vt:variant>
      <vt:variant>
        <vt:i4>1638449</vt:i4>
      </vt:variant>
      <vt:variant>
        <vt:i4>1007</vt:i4>
      </vt:variant>
      <vt:variant>
        <vt:i4>0</vt:i4>
      </vt:variant>
      <vt:variant>
        <vt:i4>5</vt:i4>
      </vt:variant>
      <vt:variant>
        <vt:lpwstr/>
      </vt:variant>
      <vt:variant>
        <vt:lpwstr>_Toc271029002</vt:lpwstr>
      </vt:variant>
      <vt:variant>
        <vt:i4>1638449</vt:i4>
      </vt:variant>
      <vt:variant>
        <vt:i4>1001</vt:i4>
      </vt:variant>
      <vt:variant>
        <vt:i4>0</vt:i4>
      </vt:variant>
      <vt:variant>
        <vt:i4>5</vt:i4>
      </vt:variant>
      <vt:variant>
        <vt:lpwstr/>
      </vt:variant>
      <vt:variant>
        <vt:lpwstr>_Toc271029001</vt:lpwstr>
      </vt:variant>
      <vt:variant>
        <vt:i4>1638449</vt:i4>
      </vt:variant>
      <vt:variant>
        <vt:i4>995</vt:i4>
      </vt:variant>
      <vt:variant>
        <vt:i4>0</vt:i4>
      </vt:variant>
      <vt:variant>
        <vt:i4>5</vt:i4>
      </vt:variant>
      <vt:variant>
        <vt:lpwstr/>
      </vt:variant>
      <vt:variant>
        <vt:lpwstr>_Toc271029000</vt:lpwstr>
      </vt:variant>
      <vt:variant>
        <vt:i4>1114168</vt:i4>
      </vt:variant>
      <vt:variant>
        <vt:i4>989</vt:i4>
      </vt:variant>
      <vt:variant>
        <vt:i4>0</vt:i4>
      </vt:variant>
      <vt:variant>
        <vt:i4>5</vt:i4>
      </vt:variant>
      <vt:variant>
        <vt:lpwstr/>
      </vt:variant>
      <vt:variant>
        <vt:lpwstr>_Toc271028999</vt:lpwstr>
      </vt:variant>
      <vt:variant>
        <vt:i4>1114168</vt:i4>
      </vt:variant>
      <vt:variant>
        <vt:i4>983</vt:i4>
      </vt:variant>
      <vt:variant>
        <vt:i4>0</vt:i4>
      </vt:variant>
      <vt:variant>
        <vt:i4>5</vt:i4>
      </vt:variant>
      <vt:variant>
        <vt:lpwstr/>
      </vt:variant>
      <vt:variant>
        <vt:lpwstr>_Toc271028998</vt:lpwstr>
      </vt:variant>
      <vt:variant>
        <vt:i4>1114168</vt:i4>
      </vt:variant>
      <vt:variant>
        <vt:i4>977</vt:i4>
      </vt:variant>
      <vt:variant>
        <vt:i4>0</vt:i4>
      </vt:variant>
      <vt:variant>
        <vt:i4>5</vt:i4>
      </vt:variant>
      <vt:variant>
        <vt:lpwstr/>
      </vt:variant>
      <vt:variant>
        <vt:lpwstr>_Toc271028997</vt:lpwstr>
      </vt:variant>
      <vt:variant>
        <vt:i4>1114168</vt:i4>
      </vt:variant>
      <vt:variant>
        <vt:i4>971</vt:i4>
      </vt:variant>
      <vt:variant>
        <vt:i4>0</vt:i4>
      </vt:variant>
      <vt:variant>
        <vt:i4>5</vt:i4>
      </vt:variant>
      <vt:variant>
        <vt:lpwstr/>
      </vt:variant>
      <vt:variant>
        <vt:lpwstr>_Toc271028996</vt:lpwstr>
      </vt:variant>
      <vt:variant>
        <vt:i4>1114168</vt:i4>
      </vt:variant>
      <vt:variant>
        <vt:i4>965</vt:i4>
      </vt:variant>
      <vt:variant>
        <vt:i4>0</vt:i4>
      </vt:variant>
      <vt:variant>
        <vt:i4>5</vt:i4>
      </vt:variant>
      <vt:variant>
        <vt:lpwstr/>
      </vt:variant>
      <vt:variant>
        <vt:lpwstr>_Toc271028995</vt:lpwstr>
      </vt:variant>
      <vt:variant>
        <vt:i4>1114168</vt:i4>
      </vt:variant>
      <vt:variant>
        <vt:i4>959</vt:i4>
      </vt:variant>
      <vt:variant>
        <vt:i4>0</vt:i4>
      </vt:variant>
      <vt:variant>
        <vt:i4>5</vt:i4>
      </vt:variant>
      <vt:variant>
        <vt:lpwstr/>
      </vt:variant>
      <vt:variant>
        <vt:lpwstr>_Toc271028994</vt:lpwstr>
      </vt:variant>
      <vt:variant>
        <vt:i4>1114168</vt:i4>
      </vt:variant>
      <vt:variant>
        <vt:i4>953</vt:i4>
      </vt:variant>
      <vt:variant>
        <vt:i4>0</vt:i4>
      </vt:variant>
      <vt:variant>
        <vt:i4>5</vt:i4>
      </vt:variant>
      <vt:variant>
        <vt:lpwstr/>
      </vt:variant>
      <vt:variant>
        <vt:lpwstr>_Toc271028993</vt:lpwstr>
      </vt:variant>
      <vt:variant>
        <vt:i4>1114168</vt:i4>
      </vt:variant>
      <vt:variant>
        <vt:i4>947</vt:i4>
      </vt:variant>
      <vt:variant>
        <vt:i4>0</vt:i4>
      </vt:variant>
      <vt:variant>
        <vt:i4>5</vt:i4>
      </vt:variant>
      <vt:variant>
        <vt:lpwstr/>
      </vt:variant>
      <vt:variant>
        <vt:lpwstr>_Toc271028992</vt:lpwstr>
      </vt:variant>
      <vt:variant>
        <vt:i4>1114168</vt:i4>
      </vt:variant>
      <vt:variant>
        <vt:i4>941</vt:i4>
      </vt:variant>
      <vt:variant>
        <vt:i4>0</vt:i4>
      </vt:variant>
      <vt:variant>
        <vt:i4>5</vt:i4>
      </vt:variant>
      <vt:variant>
        <vt:lpwstr/>
      </vt:variant>
      <vt:variant>
        <vt:lpwstr>_Toc271028991</vt:lpwstr>
      </vt:variant>
      <vt:variant>
        <vt:i4>1114168</vt:i4>
      </vt:variant>
      <vt:variant>
        <vt:i4>935</vt:i4>
      </vt:variant>
      <vt:variant>
        <vt:i4>0</vt:i4>
      </vt:variant>
      <vt:variant>
        <vt:i4>5</vt:i4>
      </vt:variant>
      <vt:variant>
        <vt:lpwstr/>
      </vt:variant>
      <vt:variant>
        <vt:lpwstr>_Toc271028990</vt:lpwstr>
      </vt:variant>
      <vt:variant>
        <vt:i4>1048632</vt:i4>
      </vt:variant>
      <vt:variant>
        <vt:i4>929</vt:i4>
      </vt:variant>
      <vt:variant>
        <vt:i4>0</vt:i4>
      </vt:variant>
      <vt:variant>
        <vt:i4>5</vt:i4>
      </vt:variant>
      <vt:variant>
        <vt:lpwstr/>
      </vt:variant>
      <vt:variant>
        <vt:lpwstr>_Toc271028989</vt:lpwstr>
      </vt:variant>
      <vt:variant>
        <vt:i4>1048632</vt:i4>
      </vt:variant>
      <vt:variant>
        <vt:i4>923</vt:i4>
      </vt:variant>
      <vt:variant>
        <vt:i4>0</vt:i4>
      </vt:variant>
      <vt:variant>
        <vt:i4>5</vt:i4>
      </vt:variant>
      <vt:variant>
        <vt:lpwstr/>
      </vt:variant>
      <vt:variant>
        <vt:lpwstr>_Toc271028988</vt:lpwstr>
      </vt:variant>
      <vt:variant>
        <vt:i4>1048632</vt:i4>
      </vt:variant>
      <vt:variant>
        <vt:i4>917</vt:i4>
      </vt:variant>
      <vt:variant>
        <vt:i4>0</vt:i4>
      </vt:variant>
      <vt:variant>
        <vt:i4>5</vt:i4>
      </vt:variant>
      <vt:variant>
        <vt:lpwstr/>
      </vt:variant>
      <vt:variant>
        <vt:lpwstr>_Toc271028987</vt:lpwstr>
      </vt:variant>
      <vt:variant>
        <vt:i4>1048632</vt:i4>
      </vt:variant>
      <vt:variant>
        <vt:i4>911</vt:i4>
      </vt:variant>
      <vt:variant>
        <vt:i4>0</vt:i4>
      </vt:variant>
      <vt:variant>
        <vt:i4>5</vt:i4>
      </vt:variant>
      <vt:variant>
        <vt:lpwstr/>
      </vt:variant>
      <vt:variant>
        <vt:lpwstr>_Toc271028986</vt:lpwstr>
      </vt:variant>
      <vt:variant>
        <vt:i4>1048632</vt:i4>
      </vt:variant>
      <vt:variant>
        <vt:i4>905</vt:i4>
      </vt:variant>
      <vt:variant>
        <vt:i4>0</vt:i4>
      </vt:variant>
      <vt:variant>
        <vt:i4>5</vt:i4>
      </vt:variant>
      <vt:variant>
        <vt:lpwstr/>
      </vt:variant>
      <vt:variant>
        <vt:lpwstr>_Toc271028985</vt:lpwstr>
      </vt:variant>
      <vt:variant>
        <vt:i4>1048632</vt:i4>
      </vt:variant>
      <vt:variant>
        <vt:i4>899</vt:i4>
      </vt:variant>
      <vt:variant>
        <vt:i4>0</vt:i4>
      </vt:variant>
      <vt:variant>
        <vt:i4>5</vt:i4>
      </vt:variant>
      <vt:variant>
        <vt:lpwstr/>
      </vt:variant>
      <vt:variant>
        <vt:lpwstr>_Toc271028984</vt:lpwstr>
      </vt:variant>
      <vt:variant>
        <vt:i4>1048632</vt:i4>
      </vt:variant>
      <vt:variant>
        <vt:i4>893</vt:i4>
      </vt:variant>
      <vt:variant>
        <vt:i4>0</vt:i4>
      </vt:variant>
      <vt:variant>
        <vt:i4>5</vt:i4>
      </vt:variant>
      <vt:variant>
        <vt:lpwstr/>
      </vt:variant>
      <vt:variant>
        <vt:lpwstr>_Toc271028983</vt:lpwstr>
      </vt:variant>
      <vt:variant>
        <vt:i4>1048632</vt:i4>
      </vt:variant>
      <vt:variant>
        <vt:i4>887</vt:i4>
      </vt:variant>
      <vt:variant>
        <vt:i4>0</vt:i4>
      </vt:variant>
      <vt:variant>
        <vt:i4>5</vt:i4>
      </vt:variant>
      <vt:variant>
        <vt:lpwstr/>
      </vt:variant>
      <vt:variant>
        <vt:lpwstr>_Toc271028982</vt:lpwstr>
      </vt:variant>
      <vt:variant>
        <vt:i4>1048632</vt:i4>
      </vt:variant>
      <vt:variant>
        <vt:i4>881</vt:i4>
      </vt:variant>
      <vt:variant>
        <vt:i4>0</vt:i4>
      </vt:variant>
      <vt:variant>
        <vt:i4>5</vt:i4>
      </vt:variant>
      <vt:variant>
        <vt:lpwstr/>
      </vt:variant>
      <vt:variant>
        <vt:lpwstr>_Toc271028981</vt:lpwstr>
      </vt:variant>
      <vt:variant>
        <vt:i4>1048632</vt:i4>
      </vt:variant>
      <vt:variant>
        <vt:i4>875</vt:i4>
      </vt:variant>
      <vt:variant>
        <vt:i4>0</vt:i4>
      </vt:variant>
      <vt:variant>
        <vt:i4>5</vt:i4>
      </vt:variant>
      <vt:variant>
        <vt:lpwstr/>
      </vt:variant>
      <vt:variant>
        <vt:lpwstr>_Toc271028980</vt:lpwstr>
      </vt:variant>
      <vt:variant>
        <vt:i4>2031672</vt:i4>
      </vt:variant>
      <vt:variant>
        <vt:i4>869</vt:i4>
      </vt:variant>
      <vt:variant>
        <vt:i4>0</vt:i4>
      </vt:variant>
      <vt:variant>
        <vt:i4>5</vt:i4>
      </vt:variant>
      <vt:variant>
        <vt:lpwstr/>
      </vt:variant>
      <vt:variant>
        <vt:lpwstr>_Toc271028979</vt:lpwstr>
      </vt:variant>
      <vt:variant>
        <vt:i4>2031672</vt:i4>
      </vt:variant>
      <vt:variant>
        <vt:i4>863</vt:i4>
      </vt:variant>
      <vt:variant>
        <vt:i4>0</vt:i4>
      </vt:variant>
      <vt:variant>
        <vt:i4>5</vt:i4>
      </vt:variant>
      <vt:variant>
        <vt:lpwstr/>
      </vt:variant>
      <vt:variant>
        <vt:lpwstr>_Toc271028978</vt:lpwstr>
      </vt:variant>
      <vt:variant>
        <vt:i4>2031672</vt:i4>
      </vt:variant>
      <vt:variant>
        <vt:i4>857</vt:i4>
      </vt:variant>
      <vt:variant>
        <vt:i4>0</vt:i4>
      </vt:variant>
      <vt:variant>
        <vt:i4>5</vt:i4>
      </vt:variant>
      <vt:variant>
        <vt:lpwstr/>
      </vt:variant>
      <vt:variant>
        <vt:lpwstr>_Toc271028977</vt:lpwstr>
      </vt:variant>
      <vt:variant>
        <vt:i4>2031672</vt:i4>
      </vt:variant>
      <vt:variant>
        <vt:i4>851</vt:i4>
      </vt:variant>
      <vt:variant>
        <vt:i4>0</vt:i4>
      </vt:variant>
      <vt:variant>
        <vt:i4>5</vt:i4>
      </vt:variant>
      <vt:variant>
        <vt:lpwstr/>
      </vt:variant>
      <vt:variant>
        <vt:lpwstr>_Toc271028976</vt:lpwstr>
      </vt:variant>
      <vt:variant>
        <vt:i4>2031672</vt:i4>
      </vt:variant>
      <vt:variant>
        <vt:i4>845</vt:i4>
      </vt:variant>
      <vt:variant>
        <vt:i4>0</vt:i4>
      </vt:variant>
      <vt:variant>
        <vt:i4>5</vt:i4>
      </vt:variant>
      <vt:variant>
        <vt:lpwstr/>
      </vt:variant>
      <vt:variant>
        <vt:lpwstr>_Toc271028975</vt:lpwstr>
      </vt:variant>
      <vt:variant>
        <vt:i4>2031672</vt:i4>
      </vt:variant>
      <vt:variant>
        <vt:i4>839</vt:i4>
      </vt:variant>
      <vt:variant>
        <vt:i4>0</vt:i4>
      </vt:variant>
      <vt:variant>
        <vt:i4>5</vt:i4>
      </vt:variant>
      <vt:variant>
        <vt:lpwstr/>
      </vt:variant>
      <vt:variant>
        <vt:lpwstr>_Toc271028974</vt:lpwstr>
      </vt:variant>
      <vt:variant>
        <vt:i4>2031672</vt:i4>
      </vt:variant>
      <vt:variant>
        <vt:i4>833</vt:i4>
      </vt:variant>
      <vt:variant>
        <vt:i4>0</vt:i4>
      </vt:variant>
      <vt:variant>
        <vt:i4>5</vt:i4>
      </vt:variant>
      <vt:variant>
        <vt:lpwstr/>
      </vt:variant>
      <vt:variant>
        <vt:lpwstr>_Toc271028973</vt:lpwstr>
      </vt:variant>
      <vt:variant>
        <vt:i4>2031672</vt:i4>
      </vt:variant>
      <vt:variant>
        <vt:i4>827</vt:i4>
      </vt:variant>
      <vt:variant>
        <vt:i4>0</vt:i4>
      </vt:variant>
      <vt:variant>
        <vt:i4>5</vt:i4>
      </vt:variant>
      <vt:variant>
        <vt:lpwstr/>
      </vt:variant>
      <vt:variant>
        <vt:lpwstr>_Toc271028972</vt:lpwstr>
      </vt:variant>
      <vt:variant>
        <vt:i4>2031672</vt:i4>
      </vt:variant>
      <vt:variant>
        <vt:i4>821</vt:i4>
      </vt:variant>
      <vt:variant>
        <vt:i4>0</vt:i4>
      </vt:variant>
      <vt:variant>
        <vt:i4>5</vt:i4>
      </vt:variant>
      <vt:variant>
        <vt:lpwstr/>
      </vt:variant>
      <vt:variant>
        <vt:lpwstr>_Toc271028971</vt:lpwstr>
      </vt:variant>
      <vt:variant>
        <vt:i4>2031672</vt:i4>
      </vt:variant>
      <vt:variant>
        <vt:i4>815</vt:i4>
      </vt:variant>
      <vt:variant>
        <vt:i4>0</vt:i4>
      </vt:variant>
      <vt:variant>
        <vt:i4>5</vt:i4>
      </vt:variant>
      <vt:variant>
        <vt:lpwstr/>
      </vt:variant>
      <vt:variant>
        <vt:lpwstr>_Toc271028970</vt:lpwstr>
      </vt:variant>
      <vt:variant>
        <vt:i4>1966136</vt:i4>
      </vt:variant>
      <vt:variant>
        <vt:i4>809</vt:i4>
      </vt:variant>
      <vt:variant>
        <vt:i4>0</vt:i4>
      </vt:variant>
      <vt:variant>
        <vt:i4>5</vt:i4>
      </vt:variant>
      <vt:variant>
        <vt:lpwstr/>
      </vt:variant>
      <vt:variant>
        <vt:lpwstr>_Toc271028969</vt:lpwstr>
      </vt:variant>
      <vt:variant>
        <vt:i4>1966136</vt:i4>
      </vt:variant>
      <vt:variant>
        <vt:i4>803</vt:i4>
      </vt:variant>
      <vt:variant>
        <vt:i4>0</vt:i4>
      </vt:variant>
      <vt:variant>
        <vt:i4>5</vt:i4>
      </vt:variant>
      <vt:variant>
        <vt:lpwstr/>
      </vt:variant>
      <vt:variant>
        <vt:lpwstr>_Toc271028968</vt:lpwstr>
      </vt:variant>
      <vt:variant>
        <vt:i4>1966136</vt:i4>
      </vt:variant>
      <vt:variant>
        <vt:i4>797</vt:i4>
      </vt:variant>
      <vt:variant>
        <vt:i4>0</vt:i4>
      </vt:variant>
      <vt:variant>
        <vt:i4>5</vt:i4>
      </vt:variant>
      <vt:variant>
        <vt:lpwstr/>
      </vt:variant>
      <vt:variant>
        <vt:lpwstr>_Toc271028967</vt:lpwstr>
      </vt:variant>
      <vt:variant>
        <vt:i4>1966136</vt:i4>
      </vt:variant>
      <vt:variant>
        <vt:i4>791</vt:i4>
      </vt:variant>
      <vt:variant>
        <vt:i4>0</vt:i4>
      </vt:variant>
      <vt:variant>
        <vt:i4>5</vt:i4>
      </vt:variant>
      <vt:variant>
        <vt:lpwstr/>
      </vt:variant>
      <vt:variant>
        <vt:lpwstr>_Toc271028966</vt:lpwstr>
      </vt:variant>
      <vt:variant>
        <vt:i4>1966136</vt:i4>
      </vt:variant>
      <vt:variant>
        <vt:i4>785</vt:i4>
      </vt:variant>
      <vt:variant>
        <vt:i4>0</vt:i4>
      </vt:variant>
      <vt:variant>
        <vt:i4>5</vt:i4>
      </vt:variant>
      <vt:variant>
        <vt:lpwstr/>
      </vt:variant>
      <vt:variant>
        <vt:lpwstr>_Toc271028965</vt:lpwstr>
      </vt:variant>
      <vt:variant>
        <vt:i4>1966136</vt:i4>
      </vt:variant>
      <vt:variant>
        <vt:i4>779</vt:i4>
      </vt:variant>
      <vt:variant>
        <vt:i4>0</vt:i4>
      </vt:variant>
      <vt:variant>
        <vt:i4>5</vt:i4>
      </vt:variant>
      <vt:variant>
        <vt:lpwstr/>
      </vt:variant>
      <vt:variant>
        <vt:lpwstr>_Toc271028964</vt:lpwstr>
      </vt:variant>
      <vt:variant>
        <vt:i4>1966136</vt:i4>
      </vt:variant>
      <vt:variant>
        <vt:i4>773</vt:i4>
      </vt:variant>
      <vt:variant>
        <vt:i4>0</vt:i4>
      </vt:variant>
      <vt:variant>
        <vt:i4>5</vt:i4>
      </vt:variant>
      <vt:variant>
        <vt:lpwstr/>
      </vt:variant>
      <vt:variant>
        <vt:lpwstr>_Toc271028963</vt:lpwstr>
      </vt:variant>
      <vt:variant>
        <vt:i4>1966136</vt:i4>
      </vt:variant>
      <vt:variant>
        <vt:i4>767</vt:i4>
      </vt:variant>
      <vt:variant>
        <vt:i4>0</vt:i4>
      </vt:variant>
      <vt:variant>
        <vt:i4>5</vt:i4>
      </vt:variant>
      <vt:variant>
        <vt:lpwstr/>
      </vt:variant>
      <vt:variant>
        <vt:lpwstr>_Toc271028962</vt:lpwstr>
      </vt:variant>
      <vt:variant>
        <vt:i4>1966136</vt:i4>
      </vt:variant>
      <vt:variant>
        <vt:i4>761</vt:i4>
      </vt:variant>
      <vt:variant>
        <vt:i4>0</vt:i4>
      </vt:variant>
      <vt:variant>
        <vt:i4>5</vt:i4>
      </vt:variant>
      <vt:variant>
        <vt:lpwstr/>
      </vt:variant>
      <vt:variant>
        <vt:lpwstr>_Toc271028961</vt:lpwstr>
      </vt:variant>
      <vt:variant>
        <vt:i4>1966136</vt:i4>
      </vt:variant>
      <vt:variant>
        <vt:i4>755</vt:i4>
      </vt:variant>
      <vt:variant>
        <vt:i4>0</vt:i4>
      </vt:variant>
      <vt:variant>
        <vt:i4>5</vt:i4>
      </vt:variant>
      <vt:variant>
        <vt:lpwstr/>
      </vt:variant>
      <vt:variant>
        <vt:lpwstr>_Toc271028960</vt:lpwstr>
      </vt:variant>
      <vt:variant>
        <vt:i4>1900600</vt:i4>
      </vt:variant>
      <vt:variant>
        <vt:i4>749</vt:i4>
      </vt:variant>
      <vt:variant>
        <vt:i4>0</vt:i4>
      </vt:variant>
      <vt:variant>
        <vt:i4>5</vt:i4>
      </vt:variant>
      <vt:variant>
        <vt:lpwstr/>
      </vt:variant>
      <vt:variant>
        <vt:lpwstr>_Toc271028959</vt:lpwstr>
      </vt:variant>
      <vt:variant>
        <vt:i4>1900600</vt:i4>
      </vt:variant>
      <vt:variant>
        <vt:i4>743</vt:i4>
      </vt:variant>
      <vt:variant>
        <vt:i4>0</vt:i4>
      </vt:variant>
      <vt:variant>
        <vt:i4>5</vt:i4>
      </vt:variant>
      <vt:variant>
        <vt:lpwstr/>
      </vt:variant>
      <vt:variant>
        <vt:lpwstr>_Toc271028958</vt:lpwstr>
      </vt:variant>
      <vt:variant>
        <vt:i4>1900600</vt:i4>
      </vt:variant>
      <vt:variant>
        <vt:i4>737</vt:i4>
      </vt:variant>
      <vt:variant>
        <vt:i4>0</vt:i4>
      </vt:variant>
      <vt:variant>
        <vt:i4>5</vt:i4>
      </vt:variant>
      <vt:variant>
        <vt:lpwstr/>
      </vt:variant>
      <vt:variant>
        <vt:lpwstr>_Toc271028957</vt:lpwstr>
      </vt:variant>
      <vt:variant>
        <vt:i4>1900600</vt:i4>
      </vt:variant>
      <vt:variant>
        <vt:i4>731</vt:i4>
      </vt:variant>
      <vt:variant>
        <vt:i4>0</vt:i4>
      </vt:variant>
      <vt:variant>
        <vt:i4>5</vt:i4>
      </vt:variant>
      <vt:variant>
        <vt:lpwstr/>
      </vt:variant>
      <vt:variant>
        <vt:lpwstr>_Toc271028956</vt:lpwstr>
      </vt:variant>
      <vt:variant>
        <vt:i4>1900600</vt:i4>
      </vt:variant>
      <vt:variant>
        <vt:i4>725</vt:i4>
      </vt:variant>
      <vt:variant>
        <vt:i4>0</vt:i4>
      </vt:variant>
      <vt:variant>
        <vt:i4>5</vt:i4>
      </vt:variant>
      <vt:variant>
        <vt:lpwstr/>
      </vt:variant>
      <vt:variant>
        <vt:lpwstr>_Toc271028955</vt:lpwstr>
      </vt:variant>
      <vt:variant>
        <vt:i4>1900600</vt:i4>
      </vt:variant>
      <vt:variant>
        <vt:i4>719</vt:i4>
      </vt:variant>
      <vt:variant>
        <vt:i4>0</vt:i4>
      </vt:variant>
      <vt:variant>
        <vt:i4>5</vt:i4>
      </vt:variant>
      <vt:variant>
        <vt:lpwstr/>
      </vt:variant>
      <vt:variant>
        <vt:lpwstr>_Toc271028954</vt:lpwstr>
      </vt:variant>
      <vt:variant>
        <vt:i4>1900600</vt:i4>
      </vt:variant>
      <vt:variant>
        <vt:i4>713</vt:i4>
      </vt:variant>
      <vt:variant>
        <vt:i4>0</vt:i4>
      </vt:variant>
      <vt:variant>
        <vt:i4>5</vt:i4>
      </vt:variant>
      <vt:variant>
        <vt:lpwstr/>
      </vt:variant>
      <vt:variant>
        <vt:lpwstr>_Toc271028953</vt:lpwstr>
      </vt:variant>
      <vt:variant>
        <vt:i4>1900600</vt:i4>
      </vt:variant>
      <vt:variant>
        <vt:i4>707</vt:i4>
      </vt:variant>
      <vt:variant>
        <vt:i4>0</vt:i4>
      </vt:variant>
      <vt:variant>
        <vt:i4>5</vt:i4>
      </vt:variant>
      <vt:variant>
        <vt:lpwstr/>
      </vt:variant>
      <vt:variant>
        <vt:lpwstr>_Toc271028952</vt:lpwstr>
      </vt:variant>
      <vt:variant>
        <vt:i4>1900600</vt:i4>
      </vt:variant>
      <vt:variant>
        <vt:i4>701</vt:i4>
      </vt:variant>
      <vt:variant>
        <vt:i4>0</vt:i4>
      </vt:variant>
      <vt:variant>
        <vt:i4>5</vt:i4>
      </vt:variant>
      <vt:variant>
        <vt:lpwstr/>
      </vt:variant>
      <vt:variant>
        <vt:lpwstr>_Toc271028951</vt:lpwstr>
      </vt:variant>
      <vt:variant>
        <vt:i4>1900600</vt:i4>
      </vt:variant>
      <vt:variant>
        <vt:i4>695</vt:i4>
      </vt:variant>
      <vt:variant>
        <vt:i4>0</vt:i4>
      </vt:variant>
      <vt:variant>
        <vt:i4>5</vt:i4>
      </vt:variant>
      <vt:variant>
        <vt:lpwstr/>
      </vt:variant>
      <vt:variant>
        <vt:lpwstr>_Toc271028950</vt:lpwstr>
      </vt:variant>
      <vt:variant>
        <vt:i4>1835064</vt:i4>
      </vt:variant>
      <vt:variant>
        <vt:i4>686</vt:i4>
      </vt:variant>
      <vt:variant>
        <vt:i4>0</vt:i4>
      </vt:variant>
      <vt:variant>
        <vt:i4>5</vt:i4>
      </vt:variant>
      <vt:variant>
        <vt:lpwstr/>
      </vt:variant>
      <vt:variant>
        <vt:lpwstr>_Toc271028949</vt:lpwstr>
      </vt:variant>
      <vt:variant>
        <vt:i4>1835064</vt:i4>
      </vt:variant>
      <vt:variant>
        <vt:i4>680</vt:i4>
      </vt:variant>
      <vt:variant>
        <vt:i4>0</vt:i4>
      </vt:variant>
      <vt:variant>
        <vt:i4>5</vt:i4>
      </vt:variant>
      <vt:variant>
        <vt:lpwstr/>
      </vt:variant>
      <vt:variant>
        <vt:lpwstr>_Toc271028948</vt:lpwstr>
      </vt:variant>
      <vt:variant>
        <vt:i4>1835064</vt:i4>
      </vt:variant>
      <vt:variant>
        <vt:i4>674</vt:i4>
      </vt:variant>
      <vt:variant>
        <vt:i4>0</vt:i4>
      </vt:variant>
      <vt:variant>
        <vt:i4>5</vt:i4>
      </vt:variant>
      <vt:variant>
        <vt:lpwstr/>
      </vt:variant>
      <vt:variant>
        <vt:lpwstr>_Toc271028947</vt:lpwstr>
      </vt:variant>
      <vt:variant>
        <vt:i4>1835064</vt:i4>
      </vt:variant>
      <vt:variant>
        <vt:i4>668</vt:i4>
      </vt:variant>
      <vt:variant>
        <vt:i4>0</vt:i4>
      </vt:variant>
      <vt:variant>
        <vt:i4>5</vt:i4>
      </vt:variant>
      <vt:variant>
        <vt:lpwstr/>
      </vt:variant>
      <vt:variant>
        <vt:lpwstr>_Toc271028946</vt:lpwstr>
      </vt:variant>
      <vt:variant>
        <vt:i4>1835064</vt:i4>
      </vt:variant>
      <vt:variant>
        <vt:i4>662</vt:i4>
      </vt:variant>
      <vt:variant>
        <vt:i4>0</vt:i4>
      </vt:variant>
      <vt:variant>
        <vt:i4>5</vt:i4>
      </vt:variant>
      <vt:variant>
        <vt:lpwstr/>
      </vt:variant>
      <vt:variant>
        <vt:lpwstr>_Toc271028945</vt:lpwstr>
      </vt:variant>
      <vt:variant>
        <vt:i4>1835064</vt:i4>
      </vt:variant>
      <vt:variant>
        <vt:i4>656</vt:i4>
      </vt:variant>
      <vt:variant>
        <vt:i4>0</vt:i4>
      </vt:variant>
      <vt:variant>
        <vt:i4>5</vt:i4>
      </vt:variant>
      <vt:variant>
        <vt:lpwstr/>
      </vt:variant>
      <vt:variant>
        <vt:lpwstr>_Toc271028944</vt:lpwstr>
      </vt:variant>
      <vt:variant>
        <vt:i4>1835064</vt:i4>
      </vt:variant>
      <vt:variant>
        <vt:i4>650</vt:i4>
      </vt:variant>
      <vt:variant>
        <vt:i4>0</vt:i4>
      </vt:variant>
      <vt:variant>
        <vt:i4>5</vt:i4>
      </vt:variant>
      <vt:variant>
        <vt:lpwstr/>
      </vt:variant>
      <vt:variant>
        <vt:lpwstr>_Toc271028943</vt:lpwstr>
      </vt:variant>
      <vt:variant>
        <vt:i4>1835064</vt:i4>
      </vt:variant>
      <vt:variant>
        <vt:i4>644</vt:i4>
      </vt:variant>
      <vt:variant>
        <vt:i4>0</vt:i4>
      </vt:variant>
      <vt:variant>
        <vt:i4>5</vt:i4>
      </vt:variant>
      <vt:variant>
        <vt:lpwstr/>
      </vt:variant>
      <vt:variant>
        <vt:lpwstr>_Toc271028942</vt:lpwstr>
      </vt:variant>
      <vt:variant>
        <vt:i4>1835064</vt:i4>
      </vt:variant>
      <vt:variant>
        <vt:i4>638</vt:i4>
      </vt:variant>
      <vt:variant>
        <vt:i4>0</vt:i4>
      </vt:variant>
      <vt:variant>
        <vt:i4>5</vt:i4>
      </vt:variant>
      <vt:variant>
        <vt:lpwstr/>
      </vt:variant>
      <vt:variant>
        <vt:lpwstr>_Toc271028941</vt:lpwstr>
      </vt:variant>
      <vt:variant>
        <vt:i4>1835064</vt:i4>
      </vt:variant>
      <vt:variant>
        <vt:i4>632</vt:i4>
      </vt:variant>
      <vt:variant>
        <vt:i4>0</vt:i4>
      </vt:variant>
      <vt:variant>
        <vt:i4>5</vt:i4>
      </vt:variant>
      <vt:variant>
        <vt:lpwstr/>
      </vt:variant>
      <vt:variant>
        <vt:lpwstr>_Toc271028940</vt:lpwstr>
      </vt:variant>
      <vt:variant>
        <vt:i4>1769528</vt:i4>
      </vt:variant>
      <vt:variant>
        <vt:i4>626</vt:i4>
      </vt:variant>
      <vt:variant>
        <vt:i4>0</vt:i4>
      </vt:variant>
      <vt:variant>
        <vt:i4>5</vt:i4>
      </vt:variant>
      <vt:variant>
        <vt:lpwstr/>
      </vt:variant>
      <vt:variant>
        <vt:lpwstr>_Toc271028939</vt:lpwstr>
      </vt:variant>
      <vt:variant>
        <vt:i4>1769528</vt:i4>
      </vt:variant>
      <vt:variant>
        <vt:i4>620</vt:i4>
      </vt:variant>
      <vt:variant>
        <vt:i4>0</vt:i4>
      </vt:variant>
      <vt:variant>
        <vt:i4>5</vt:i4>
      </vt:variant>
      <vt:variant>
        <vt:lpwstr/>
      </vt:variant>
      <vt:variant>
        <vt:lpwstr>_Toc271028938</vt:lpwstr>
      </vt:variant>
      <vt:variant>
        <vt:i4>1769528</vt:i4>
      </vt:variant>
      <vt:variant>
        <vt:i4>614</vt:i4>
      </vt:variant>
      <vt:variant>
        <vt:i4>0</vt:i4>
      </vt:variant>
      <vt:variant>
        <vt:i4>5</vt:i4>
      </vt:variant>
      <vt:variant>
        <vt:lpwstr/>
      </vt:variant>
      <vt:variant>
        <vt:lpwstr>_Toc271028937</vt:lpwstr>
      </vt:variant>
      <vt:variant>
        <vt:i4>1769528</vt:i4>
      </vt:variant>
      <vt:variant>
        <vt:i4>608</vt:i4>
      </vt:variant>
      <vt:variant>
        <vt:i4>0</vt:i4>
      </vt:variant>
      <vt:variant>
        <vt:i4>5</vt:i4>
      </vt:variant>
      <vt:variant>
        <vt:lpwstr/>
      </vt:variant>
      <vt:variant>
        <vt:lpwstr>_Toc271028936</vt:lpwstr>
      </vt:variant>
      <vt:variant>
        <vt:i4>1769528</vt:i4>
      </vt:variant>
      <vt:variant>
        <vt:i4>602</vt:i4>
      </vt:variant>
      <vt:variant>
        <vt:i4>0</vt:i4>
      </vt:variant>
      <vt:variant>
        <vt:i4>5</vt:i4>
      </vt:variant>
      <vt:variant>
        <vt:lpwstr/>
      </vt:variant>
      <vt:variant>
        <vt:lpwstr>_Toc271028935</vt:lpwstr>
      </vt:variant>
      <vt:variant>
        <vt:i4>1769528</vt:i4>
      </vt:variant>
      <vt:variant>
        <vt:i4>596</vt:i4>
      </vt:variant>
      <vt:variant>
        <vt:i4>0</vt:i4>
      </vt:variant>
      <vt:variant>
        <vt:i4>5</vt:i4>
      </vt:variant>
      <vt:variant>
        <vt:lpwstr/>
      </vt:variant>
      <vt:variant>
        <vt:lpwstr>_Toc271028934</vt:lpwstr>
      </vt:variant>
      <vt:variant>
        <vt:i4>1769528</vt:i4>
      </vt:variant>
      <vt:variant>
        <vt:i4>590</vt:i4>
      </vt:variant>
      <vt:variant>
        <vt:i4>0</vt:i4>
      </vt:variant>
      <vt:variant>
        <vt:i4>5</vt:i4>
      </vt:variant>
      <vt:variant>
        <vt:lpwstr/>
      </vt:variant>
      <vt:variant>
        <vt:lpwstr>_Toc271028933</vt:lpwstr>
      </vt:variant>
      <vt:variant>
        <vt:i4>1769528</vt:i4>
      </vt:variant>
      <vt:variant>
        <vt:i4>584</vt:i4>
      </vt:variant>
      <vt:variant>
        <vt:i4>0</vt:i4>
      </vt:variant>
      <vt:variant>
        <vt:i4>5</vt:i4>
      </vt:variant>
      <vt:variant>
        <vt:lpwstr/>
      </vt:variant>
      <vt:variant>
        <vt:lpwstr>_Toc271028932</vt:lpwstr>
      </vt:variant>
      <vt:variant>
        <vt:i4>1769528</vt:i4>
      </vt:variant>
      <vt:variant>
        <vt:i4>578</vt:i4>
      </vt:variant>
      <vt:variant>
        <vt:i4>0</vt:i4>
      </vt:variant>
      <vt:variant>
        <vt:i4>5</vt:i4>
      </vt:variant>
      <vt:variant>
        <vt:lpwstr/>
      </vt:variant>
      <vt:variant>
        <vt:lpwstr>_Toc271028931</vt:lpwstr>
      </vt:variant>
      <vt:variant>
        <vt:i4>1769528</vt:i4>
      </vt:variant>
      <vt:variant>
        <vt:i4>572</vt:i4>
      </vt:variant>
      <vt:variant>
        <vt:i4>0</vt:i4>
      </vt:variant>
      <vt:variant>
        <vt:i4>5</vt:i4>
      </vt:variant>
      <vt:variant>
        <vt:lpwstr/>
      </vt:variant>
      <vt:variant>
        <vt:lpwstr>_Toc271028930</vt:lpwstr>
      </vt:variant>
      <vt:variant>
        <vt:i4>1703992</vt:i4>
      </vt:variant>
      <vt:variant>
        <vt:i4>566</vt:i4>
      </vt:variant>
      <vt:variant>
        <vt:i4>0</vt:i4>
      </vt:variant>
      <vt:variant>
        <vt:i4>5</vt:i4>
      </vt:variant>
      <vt:variant>
        <vt:lpwstr/>
      </vt:variant>
      <vt:variant>
        <vt:lpwstr>_Toc271028929</vt:lpwstr>
      </vt:variant>
      <vt:variant>
        <vt:i4>1703992</vt:i4>
      </vt:variant>
      <vt:variant>
        <vt:i4>560</vt:i4>
      </vt:variant>
      <vt:variant>
        <vt:i4>0</vt:i4>
      </vt:variant>
      <vt:variant>
        <vt:i4>5</vt:i4>
      </vt:variant>
      <vt:variant>
        <vt:lpwstr/>
      </vt:variant>
      <vt:variant>
        <vt:lpwstr>_Toc271028928</vt:lpwstr>
      </vt:variant>
      <vt:variant>
        <vt:i4>1703992</vt:i4>
      </vt:variant>
      <vt:variant>
        <vt:i4>554</vt:i4>
      </vt:variant>
      <vt:variant>
        <vt:i4>0</vt:i4>
      </vt:variant>
      <vt:variant>
        <vt:i4>5</vt:i4>
      </vt:variant>
      <vt:variant>
        <vt:lpwstr/>
      </vt:variant>
      <vt:variant>
        <vt:lpwstr>_Toc271028927</vt:lpwstr>
      </vt:variant>
      <vt:variant>
        <vt:i4>1703992</vt:i4>
      </vt:variant>
      <vt:variant>
        <vt:i4>548</vt:i4>
      </vt:variant>
      <vt:variant>
        <vt:i4>0</vt:i4>
      </vt:variant>
      <vt:variant>
        <vt:i4>5</vt:i4>
      </vt:variant>
      <vt:variant>
        <vt:lpwstr/>
      </vt:variant>
      <vt:variant>
        <vt:lpwstr>_Toc271028926</vt:lpwstr>
      </vt:variant>
      <vt:variant>
        <vt:i4>1703992</vt:i4>
      </vt:variant>
      <vt:variant>
        <vt:i4>542</vt:i4>
      </vt:variant>
      <vt:variant>
        <vt:i4>0</vt:i4>
      </vt:variant>
      <vt:variant>
        <vt:i4>5</vt:i4>
      </vt:variant>
      <vt:variant>
        <vt:lpwstr/>
      </vt:variant>
      <vt:variant>
        <vt:lpwstr>_Toc271028925</vt:lpwstr>
      </vt:variant>
      <vt:variant>
        <vt:i4>1703992</vt:i4>
      </vt:variant>
      <vt:variant>
        <vt:i4>536</vt:i4>
      </vt:variant>
      <vt:variant>
        <vt:i4>0</vt:i4>
      </vt:variant>
      <vt:variant>
        <vt:i4>5</vt:i4>
      </vt:variant>
      <vt:variant>
        <vt:lpwstr/>
      </vt:variant>
      <vt:variant>
        <vt:lpwstr>_Toc271028924</vt:lpwstr>
      </vt:variant>
      <vt:variant>
        <vt:i4>1703992</vt:i4>
      </vt:variant>
      <vt:variant>
        <vt:i4>530</vt:i4>
      </vt:variant>
      <vt:variant>
        <vt:i4>0</vt:i4>
      </vt:variant>
      <vt:variant>
        <vt:i4>5</vt:i4>
      </vt:variant>
      <vt:variant>
        <vt:lpwstr/>
      </vt:variant>
      <vt:variant>
        <vt:lpwstr>_Toc271028923</vt:lpwstr>
      </vt:variant>
      <vt:variant>
        <vt:i4>1703992</vt:i4>
      </vt:variant>
      <vt:variant>
        <vt:i4>524</vt:i4>
      </vt:variant>
      <vt:variant>
        <vt:i4>0</vt:i4>
      </vt:variant>
      <vt:variant>
        <vt:i4>5</vt:i4>
      </vt:variant>
      <vt:variant>
        <vt:lpwstr/>
      </vt:variant>
      <vt:variant>
        <vt:lpwstr>_Toc271028922</vt:lpwstr>
      </vt:variant>
      <vt:variant>
        <vt:i4>1703992</vt:i4>
      </vt:variant>
      <vt:variant>
        <vt:i4>518</vt:i4>
      </vt:variant>
      <vt:variant>
        <vt:i4>0</vt:i4>
      </vt:variant>
      <vt:variant>
        <vt:i4>5</vt:i4>
      </vt:variant>
      <vt:variant>
        <vt:lpwstr/>
      </vt:variant>
      <vt:variant>
        <vt:lpwstr>_Toc271028921</vt:lpwstr>
      </vt:variant>
      <vt:variant>
        <vt:i4>1703992</vt:i4>
      </vt:variant>
      <vt:variant>
        <vt:i4>512</vt:i4>
      </vt:variant>
      <vt:variant>
        <vt:i4>0</vt:i4>
      </vt:variant>
      <vt:variant>
        <vt:i4>5</vt:i4>
      </vt:variant>
      <vt:variant>
        <vt:lpwstr/>
      </vt:variant>
      <vt:variant>
        <vt:lpwstr>_Toc271028920</vt:lpwstr>
      </vt:variant>
      <vt:variant>
        <vt:i4>1638456</vt:i4>
      </vt:variant>
      <vt:variant>
        <vt:i4>506</vt:i4>
      </vt:variant>
      <vt:variant>
        <vt:i4>0</vt:i4>
      </vt:variant>
      <vt:variant>
        <vt:i4>5</vt:i4>
      </vt:variant>
      <vt:variant>
        <vt:lpwstr/>
      </vt:variant>
      <vt:variant>
        <vt:lpwstr>_Toc271028919</vt:lpwstr>
      </vt:variant>
      <vt:variant>
        <vt:i4>1638456</vt:i4>
      </vt:variant>
      <vt:variant>
        <vt:i4>500</vt:i4>
      </vt:variant>
      <vt:variant>
        <vt:i4>0</vt:i4>
      </vt:variant>
      <vt:variant>
        <vt:i4>5</vt:i4>
      </vt:variant>
      <vt:variant>
        <vt:lpwstr/>
      </vt:variant>
      <vt:variant>
        <vt:lpwstr>_Toc271028918</vt:lpwstr>
      </vt:variant>
      <vt:variant>
        <vt:i4>1638456</vt:i4>
      </vt:variant>
      <vt:variant>
        <vt:i4>494</vt:i4>
      </vt:variant>
      <vt:variant>
        <vt:i4>0</vt:i4>
      </vt:variant>
      <vt:variant>
        <vt:i4>5</vt:i4>
      </vt:variant>
      <vt:variant>
        <vt:lpwstr/>
      </vt:variant>
      <vt:variant>
        <vt:lpwstr>_Toc271028917</vt:lpwstr>
      </vt:variant>
      <vt:variant>
        <vt:i4>1638456</vt:i4>
      </vt:variant>
      <vt:variant>
        <vt:i4>488</vt:i4>
      </vt:variant>
      <vt:variant>
        <vt:i4>0</vt:i4>
      </vt:variant>
      <vt:variant>
        <vt:i4>5</vt:i4>
      </vt:variant>
      <vt:variant>
        <vt:lpwstr/>
      </vt:variant>
      <vt:variant>
        <vt:lpwstr>_Toc271028916</vt:lpwstr>
      </vt:variant>
      <vt:variant>
        <vt:i4>1638456</vt:i4>
      </vt:variant>
      <vt:variant>
        <vt:i4>482</vt:i4>
      </vt:variant>
      <vt:variant>
        <vt:i4>0</vt:i4>
      </vt:variant>
      <vt:variant>
        <vt:i4>5</vt:i4>
      </vt:variant>
      <vt:variant>
        <vt:lpwstr/>
      </vt:variant>
      <vt:variant>
        <vt:lpwstr>_Toc271028915</vt:lpwstr>
      </vt:variant>
      <vt:variant>
        <vt:i4>1638456</vt:i4>
      </vt:variant>
      <vt:variant>
        <vt:i4>476</vt:i4>
      </vt:variant>
      <vt:variant>
        <vt:i4>0</vt:i4>
      </vt:variant>
      <vt:variant>
        <vt:i4>5</vt:i4>
      </vt:variant>
      <vt:variant>
        <vt:lpwstr/>
      </vt:variant>
      <vt:variant>
        <vt:lpwstr>_Toc271028914</vt:lpwstr>
      </vt:variant>
      <vt:variant>
        <vt:i4>1638456</vt:i4>
      </vt:variant>
      <vt:variant>
        <vt:i4>470</vt:i4>
      </vt:variant>
      <vt:variant>
        <vt:i4>0</vt:i4>
      </vt:variant>
      <vt:variant>
        <vt:i4>5</vt:i4>
      </vt:variant>
      <vt:variant>
        <vt:lpwstr/>
      </vt:variant>
      <vt:variant>
        <vt:lpwstr>_Toc271028913</vt:lpwstr>
      </vt:variant>
      <vt:variant>
        <vt:i4>1638456</vt:i4>
      </vt:variant>
      <vt:variant>
        <vt:i4>464</vt:i4>
      </vt:variant>
      <vt:variant>
        <vt:i4>0</vt:i4>
      </vt:variant>
      <vt:variant>
        <vt:i4>5</vt:i4>
      </vt:variant>
      <vt:variant>
        <vt:lpwstr/>
      </vt:variant>
      <vt:variant>
        <vt:lpwstr>_Toc271028912</vt:lpwstr>
      </vt:variant>
      <vt:variant>
        <vt:i4>1638456</vt:i4>
      </vt:variant>
      <vt:variant>
        <vt:i4>458</vt:i4>
      </vt:variant>
      <vt:variant>
        <vt:i4>0</vt:i4>
      </vt:variant>
      <vt:variant>
        <vt:i4>5</vt:i4>
      </vt:variant>
      <vt:variant>
        <vt:lpwstr/>
      </vt:variant>
      <vt:variant>
        <vt:lpwstr>_Toc271028911</vt:lpwstr>
      </vt:variant>
      <vt:variant>
        <vt:i4>1638456</vt:i4>
      </vt:variant>
      <vt:variant>
        <vt:i4>452</vt:i4>
      </vt:variant>
      <vt:variant>
        <vt:i4>0</vt:i4>
      </vt:variant>
      <vt:variant>
        <vt:i4>5</vt:i4>
      </vt:variant>
      <vt:variant>
        <vt:lpwstr/>
      </vt:variant>
      <vt:variant>
        <vt:lpwstr>_Toc271028910</vt:lpwstr>
      </vt:variant>
      <vt:variant>
        <vt:i4>1572920</vt:i4>
      </vt:variant>
      <vt:variant>
        <vt:i4>446</vt:i4>
      </vt:variant>
      <vt:variant>
        <vt:i4>0</vt:i4>
      </vt:variant>
      <vt:variant>
        <vt:i4>5</vt:i4>
      </vt:variant>
      <vt:variant>
        <vt:lpwstr/>
      </vt:variant>
      <vt:variant>
        <vt:lpwstr>_Toc271028909</vt:lpwstr>
      </vt:variant>
      <vt:variant>
        <vt:i4>1572920</vt:i4>
      </vt:variant>
      <vt:variant>
        <vt:i4>440</vt:i4>
      </vt:variant>
      <vt:variant>
        <vt:i4>0</vt:i4>
      </vt:variant>
      <vt:variant>
        <vt:i4>5</vt:i4>
      </vt:variant>
      <vt:variant>
        <vt:lpwstr/>
      </vt:variant>
      <vt:variant>
        <vt:lpwstr>_Toc271028908</vt:lpwstr>
      </vt:variant>
      <vt:variant>
        <vt:i4>1572920</vt:i4>
      </vt:variant>
      <vt:variant>
        <vt:i4>434</vt:i4>
      </vt:variant>
      <vt:variant>
        <vt:i4>0</vt:i4>
      </vt:variant>
      <vt:variant>
        <vt:i4>5</vt:i4>
      </vt:variant>
      <vt:variant>
        <vt:lpwstr/>
      </vt:variant>
      <vt:variant>
        <vt:lpwstr>_Toc271028907</vt:lpwstr>
      </vt:variant>
      <vt:variant>
        <vt:i4>1572920</vt:i4>
      </vt:variant>
      <vt:variant>
        <vt:i4>428</vt:i4>
      </vt:variant>
      <vt:variant>
        <vt:i4>0</vt:i4>
      </vt:variant>
      <vt:variant>
        <vt:i4>5</vt:i4>
      </vt:variant>
      <vt:variant>
        <vt:lpwstr/>
      </vt:variant>
      <vt:variant>
        <vt:lpwstr>_Toc271028906</vt:lpwstr>
      </vt:variant>
      <vt:variant>
        <vt:i4>1572920</vt:i4>
      </vt:variant>
      <vt:variant>
        <vt:i4>422</vt:i4>
      </vt:variant>
      <vt:variant>
        <vt:i4>0</vt:i4>
      </vt:variant>
      <vt:variant>
        <vt:i4>5</vt:i4>
      </vt:variant>
      <vt:variant>
        <vt:lpwstr/>
      </vt:variant>
      <vt:variant>
        <vt:lpwstr>_Toc271028905</vt:lpwstr>
      </vt:variant>
      <vt:variant>
        <vt:i4>1572920</vt:i4>
      </vt:variant>
      <vt:variant>
        <vt:i4>416</vt:i4>
      </vt:variant>
      <vt:variant>
        <vt:i4>0</vt:i4>
      </vt:variant>
      <vt:variant>
        <vt:i4>5</vt:i4>
      </vt:variant>
      <vt:variant>
        <vt:lpwstr/>
      </vt:variant>
      <vt:variant>
        <vt:lpwstr>_Toc271028904</vt:lpwstr>
      </vt:variant>
      <vt:variant>
        <vt:i4>1572920</vt:i4>
      </vt:variant>
      <vt:variant>
        <vt:i4>410</vt:i4>
      </vt:variant>
      <vt:variant>
        <vt:i4>0</vt:i4>
      </vt:variant>
      <vt:variant>
        <vt:i4>5</vt:i4>
      </vt:variant>
      <vt:variant>
        <vt:lpwstr/>
      </vt:variant>
      <vt:variant>
        <vt:lpwstr>_Toc271028903</vt:lpwstr>
      </vt:variant>
      <vt:variant>
        <vt:i4>1572920</vt:i4>
      </vt:variant>
      <vt:variant>
        <vt:i4>404</vt:i4>
      </vt:variant>
      <vt:variant>
        <vt:i4>0</vt:i4>
      </vt:variant>
      <vt:variant>
        <vt:i4>5</vt:i4>
      </vt:variant>
      <vt:variant>
        <vt:lpwstr/>
      </vt:variant>
      <vt:variant>
        <vt:lpwstr>_Toc271028902</vt:lpwstr>
      </vt:variant>
      <vt:variant>
        <vt:i4>1572920</vt:i4>
      </vt:variant>
      <vt:variant>
        <vt:i4>398</vt:i4>
      </vt:variant>
      <vt:variant>
        <vt:i4>0</vt:i4>
      </vt:variant>
      <vt:variant>
        <vt:i4>5</vt:i4>
      </vt:variant>
      <vt:variant>
        <vt:lpwstr/>
      </vt:variant>
      <vt:variant>
        <vt:lpwstr>_Toc271028901</vt:lpwstr>
      </vt:variant>
      <vt:variant>
        <vt:i4>1572920</vt:i4>
      </vt:variant>
      <vt:variant>
        <vt:i4>392</vt:i4>
      </vt:variant>
      <vt:variant>
        <vt:i4>0</vt:i4>
      </vt:variant>
      <vt:variant>
        <vt:i4>5</vt:i4>
      </vt:variant>
      <vt:variant>
        <vt:lpwstr/>
      </vt:variant>
      <vt:variant>
        <vt:lpwstr>_Toc271028900</vt:lpwstr>
      </vt:variant>
      <vt:variant>
        <vt:i4>1114169</vt:i4>
      </vt:variant>
      <vt:variant>
        <vt:i4>386</vt:i4>
      </vt:variant>
      <vt:variant>
        <vt:i4>0</vt:i4>
      </vt:variant>
      <vt:variant>
        <vt:i4>5</vt:i4>
      </vt:variant>
      <vt:variant>
        <vt:lpwstr/>
      </vt:variant>
      <vt:variant>
        <vt:lpwstr>_Toc271028899</vt:lpwstr>
      </vt:variant>
      <vt:variant>
        <vt:i4>1114169</vt:i4>
      </vt:variant>
      <vt:variant>
        <vt:i4>380</vt:i4>
      </vt:variant>
      <vt:variant>
        <vt:i4>0</vt:i4>
      </vt:variant>
      <vt:variant>
        <vt:i4>5</vt:i4>
      </vt:variant>
      <vt:variant>
        <vt:lpwstr/>
      </vt:variant>
      <vt:variant>
        <vt:lpwstr>_Toc271028898</vt:lpwstr>
      </vt:variant>
      <vt:variant>
        <vt:i4>1114169</vt:i4>
      </vt:variant>
      <vt:variant>
        <vt:i4>374</vt:i4>
      </vt:variant>
      <vt:variant>
        <vt:i4>0</vt:i4>
      </vt:variant>
      <vt:variant>
        <vt:i4>5</vt:i4>
      </vt:variant>
      <vt:variant>
        <vt:lpwstr/>
      </vt:variant>
      <vt:variant>
        <vt:lpwstr>_Toc271028897</vt:lpwstr>
      </vt:variant>
      <vt:variant>
        <vt:i4>1114169</vt:i4>
      </vt:variant>
      <vt:variant>
        <vt:i4>368</vt:i4>
      </vt:variant>
      <vt:variant>
        <vt:i4>0</vt:i4>
      </vt:variant>
      <vt:variant>
        <vt:i4>5</vt:i4>
      </vt:variant>
      <vt:variant>
        <vt:lpwstr/>
      </vt:variant>
      <vt:variant>
        <vt:lpwstr>_Toc271028896</vt:lpwstr>
      </vt:variant>
      <vt:variant>
        <vt:i4>1114169</vt:i4>
      </vt:variant>
      <vt:variant>
        <vt:i4>362</vt:i4>
      </vt:variant>
      <vt:variant>
        <vt:i4>0</vt:i4>
      </vt:variant>
      <vt:variant>
        <vt:i4>5</vt:i4>
      </vt:variant>
      <vt:variant>
        <vt:lpwstr/>
      </vt:variant>
      <vt:variant>
        <vt:lpwstr>_Toc271028895</vt:lpwstr>
      </vt:variant>
      <vt:variant>
        <vt:i4>1114169</vt:i4>
      </vt:variant>
      <vt:variant>
        <vt:i4>356</vt:i4>
      </vt:variant>
      <vt:variant>
        <vt:i4>0</vt:i4>
      </vt:variant>
      <vt:variant>
        <vt:i4>5</vt:i4>
      </vt:variant>
      <vt:variant>
        <vt:lpwstr/>
      </vt:variant>
      <vt:variant>
        <vt:lpwstr>_Toc271028894</vt:lpwstr>
      </vt:variant>
      <vt:variant>
        <vt:i4>1114169</vt:i4>
      </vt:variant>
      <vt:variant>
        <vt:i4>350</vt:i4>
      </vt:variant>
      <vt:variant>
        <vt:i4>0</vt:i4>
      </vt:variant>
      <vt:variant>
        <vt:i4>5</vt:i4>
      </vt:variant>
      <vt:variant>
        <vt:lpwstr/>
      </vt:variant>
      <vt:variant>
        <vt:lpwstr>_Toc271028893</vt:lpwstr>
      </vt:variant>
      <vt:variant>
        <vt:i4>1114169</vt:i4>
      </vt:variant>
      <vt:variant>
        <vt:i4>344</vt:i4>
      </vt:variant>
      <vt:variant>
        <vt:i4>0</vt:i4>
      </vt:variant>
      <vt:variant>
        <vt:i4>5</vt:i4>
      </vt:variant>
      <vt:variant>
        <vt:lpwstr/>
      </vt:variant>
      <vt:variant>
        <vt:lpwstr>_Toc271028892</vt:lpwstr>
      </vt:variant>
      <vt:variant>
        <vt:i4>1114169</vt:i4>
      </vt:variant>
      <vt:variant>
        <vt:i4>338</vt:i4>
      </vt:variant>
      <vt:variant>
        <vt:i4>0</vt:i4>
      </vt:variant>
      <vt:variant>
        <vt:i4>5</vt:i4>
      </vt:variant>
      <vt:variant>
        <vt:lpwstr/>
      </vt:variant>
      <vt:variant>
        <vt:lpwstr>_Toc271028891</vt:lpwstr>
      </vt:variant>
      <vt:variant>
        <vt:i4>1114169</vt:i4>
      </vt:variant>
      <vt:variant>
        <vt:i4>332</vt:i4>
      </vt:variant>
      <vt:variant>
        <vt:i4>0</vt:i4>
      </vt:variant>
      <vt:variant>
        <vt:i4>5</vt:i4>
      </vt:variant>
      <vt:variant>
        <vt:lpwstr/>
      </vt:variant>
      <vt:variant>
        <vt:lpwstr>_Toc271028890</vt:lpwstr>
      </vt:variant>
      <vt:variant>
        <vt:i4>1048633</vt:i4>
      </vt:variant>
      <vt:variant>
        <vt:i4>326</vt:i4>
      </vt:variant>
      <vt:variant>
        <vt:i4>0</vt:i4>
      </vt:variant>
      <vt:variant>
        <vt:i4>5</vt:i4>
      </vt:variant>
      <vt:variant>
        <vt:lpwstr/>
      </vt:variant>
      <vt:variant>
        <vt:lpwstr>_Toc271028889</vt:lpwstr>
      </vt:variant>
      <vt:variant>
        <vt:i4>1048633</vt:i4>
      </vt:variant>
      <vt:variant>
        <vt:i4>320</vt:i4>
      </vt:variant>
      <vt:variant>
        <vt:i4>0</vt:i4>
      </vt:variant>
      <vt:variant>
        <vt:i4>5</vt:i4>
      </vt:variant>
      <vt:variant>
        <vt:lpwstr/>
      </vt:variant>
      <vt:variant>
        <vt:lpwstr>_Toc271028888</vt:lpwstr>
      </vt:variant>
      <vt:variant>
        <vt:i4>1048633</vt:i4>
      </vt:variant>
      <vt:variant>
        <vt:i4>314</vt:i4>
      </vt:variant>
      <vt:variant>
        <vt:i4>0</vt:i4>
      </vt:variant>
      <vt:variant>
        <vt:i4>5</vt:i4>
      </vt:variant>
      <vt:variant>
        <vt:lpwstr/>
      </vt:variant>
      <vt:variant>
        <vt:lpwstr>_Toc271028887</vt:lpwstr>
      </vt:variant>
      <vt:variant>
        <vt:i4>1048633</vt:i4>
      </vt:variant>
      <vt:variant>
        <vt:i4>308</vt:i4>
      </vt:variant>
      <vt:variant>
        <vt:i4>0</vt:i4>
      </vt:variant>
      <vt:variant>
        <vt:i4>5</vt:i4>
      </vt:variant>
      <vt:variant>
        <vt:lpwstr/>
      </vt:variant>
      <vt:variant>
        <vt:lpwstr>_Toc271028886</vt:lpwstr>
      </vt:variant>
      <vt:variant>
        <vt:i4>1048633</vt:i4>
      </vt:variant>
      <vt:variant>
        <vt:i4>302</vt:i4>
      </vt:variant>
      <vt:variant>
        <vt:i4>0</vt:i4>
      </vt:variant>
      <vt:variant>
        <vt:i4>5</vt:i4>
      </vt:variant>
      <vt:variant>
        <vt:lpwstr/>
      </vt:variant>
      <vt:variant>
        <vt:lpwstr>_Toc271028885</vt:lpwstr>
      </vt:variant>
      <vt:variant>
        <vt:i4>1048633</vt:i4>
      </vt:variant>
      <vt:variant>
        <vt:i4>296</vt:i4>
      </vt:variant>
      <vt:variant>
        <vt:i4>0</vt:i4>
      </vt:variant>
      <vt:variant>
        <vt:i4>5</vt:i4>
      </vt:variant>
      <vt:variant>
        <vt:lpwstr/>
      </vt:variant>
      <vt:variant>
        <vt:lpwstr>_Toc271028884</vt:lpwstr>
      </vt:variant>
      <vt:variant>
        <vt:i4>1048633</vt:i4>
      </vt:variant>
      <vt:variant>
        <vt:i4>290</vt:i4>
      </vt:variant>
      <vt:variant>
        <vt:i4>0</vt:i4>
      </vt:variant>
      <vt:variant>
        <vt:i4>5</vt:i4>
      </vt:variant>
      <vt:variant>
        <vt:lpwstr/>
      </vt:variant>
      <vt:variant>
        <vt:lpwstr>_Toc271028883</vt:lpwstr>
      </vt:variant>
      <vt:variant>
        <vt:i4>1048633</vt:i4>
      </vt:variant>
      <vt:variant>
        <vt:i4>284</vt:i4>
      </vt:variant>
      <vt:variant>
        <vt:i4>0</vt:i4>
      </vt:variant>
      <vt:variant>
        <vt:i4>5</vt:i4>
      </vt:variant>
      <vt:variant>
        <vt:lpwstr/>
      </vt:variant>
      <vt:variant>
        <vt:lpwstr>_Toc271028882</vt:lpwstr>
      </vt:variant>
      <vt:variant>
        <vt:i4>1048633</vt:i4>
      </vt:variant>
      <vt:variant>
        <vt:i4>278</vt:i4>
      </vt:variant>
      <vt:variant>
        <vt:i4>0</vt:i4>
      </vt:variant>
      <vt:variant>
        <vt:i4>5</vt:i4>
      </vt:variant>
      <vt:variant>
        <vt:lpwstr/>
      </vt:variant>
      <vt:variant>
        <vt:lpwstr>_Toc271028881</vt:lpwstr>
      </vt:variant>
      <vt:variant>
        <vt:i4>1048633</vt:i4>
      </vt:variant>
      <vt:variant>
        <vt:i4>272</vt:i4>
      </vt:variant>
      <vt:variant>
        <vt:i4>0</vt:i4>
      </vt:variant>
      <vt:variant>
        <vt:i4>5</vt:i4>
      </vt:variant>
      <vt:variant>
        <vt:lpwstr/>
      </vt:variant>
      <vt:variant>
        <vt:lpwstr>_Toc271028880</vt:lpwstr>
      </vt:variant>
      <vt:variant>
        <vt:i4>2031673</vt:i4>
      </vt:variant>
      <vt:variant>
        <vt:i4>266</vt:i4>
      </vt:variant>
      <vt:variant>
        <vt:i4>0</vt:i4>
      </vt:variant>
      <vt:variant>
        <vt:i4>5</vt:i4>
      </vt:variant>
      <vt:variant>
        <vt:lpwstr/>
      </vt:variant>
      <vt:variant>
        <vt:lpwstr>_Toc271028879</vt:lpwstr>
      </vt:variant>
      <vt:variant>
        <vt:i4>2031673</vt:i4>
      </vt:variant>
      <vt:variant>
        <vt:i4>260</vt:i4>
      </vt:variant>
      <vt:variant>
        <vt:i4>0</vt:i4>
      </vt:variant>
      <vt:variant>
        <vt:i4>5</vt:i4>
      </vt:variant>
      <vt:variant>
        <vt:lpwstr/>
      </vt:variant>
      <vt:variant>
        <vt:lpwstr>_Toc271028878</vt:lpwstr>
      </vt:variant>
      <vt:variant>
        <vt:i4>2031673</vt:i4>
      </vt:variant>
      <vt:variant>
        <vt:i4>254</vt:i4>
      </vt:variant>
      <vt:variant>
        <vt:i4>0</vt:i4>
      </vt:variant>
      <vt:variant>
        <vt:i4>5</vt:i4>
      </vt:variant>
      <vt:variant>
        <vt:lpwstr/>
      </vt:variant>
      <vt:variant>
        <vt:lpwstr>_Toc271028877</vt:lpwstr>
      </vt:variant>
      <vt:variant>
        <vt:i4>2031673</vt:i4>
      </vt:variant>
      <vt:variant>
        <vt:i4>248</vt:i4>
      </vt:variant>
      <vt:variant>
        <vt:i4>0</vt:i4>
      </vt:variant>
      <vt:variant>
        <vt:i4>5</vt:i4>
      </vt:variant>
      <vt:variant>
        <vt:lpwstr/>
      </vt:variant>
      <vt:variant>
        <vt:lpwstr>_Toc271028876</vt:lpwstr>
      </vt:variant>
      <vt:variant>
        <vt:i4>2031673</vt:i4>
      </vt:variant>
      <vt:variant>
        <vt:i4>242</vt:i4>
      </vt:variant>
      <vt:variant>
        <vt:i4>0</vt:i4>
      </vt:variant>
      <vt:variant>
        <vt:i4>5</vt:i4>
      </vt:variant>
      <vt:variant>
        <vt:lpwstr/>
      </vt:variant>
      <vt:variant>
        <vt:lpwstr>_Toc271028875</vt:lpwstr>
      </vt:variant>
      <vt:variant>
        <vt:i4>2031673</vt:i4>
      </vt:variant>
      <vt:variant>
        <vt:i4>236</vt:i4>
      </vt:variant>
      <vt:variant>
        <vt:i4>0</vt:i4>
      </vt:variant>
      <vt:variant>
        <vt:i4>5</vt:i4>
      </vt:variant>
      <vt:variant>
        <vt:lpwstr/>
      </vt:variant>
      <vt:variant>
        <vt:lpwstr>_Toc271028874</vt:lpwstr>
      </vt:variant>
      <vt:variant>
        <vt:i4>2031673</vt:i4>
      </vt:variant>
      <vt:variant>
        <vt:i4>230</vt:i4>
      </vt:variant>
      <vt:variant>
        <vt:i4>0</vt:i4>
      </vt:variant>
      <vt:variant>
        <vt:i4>5</vt:i4>
      </vt:variant>
      <vt:variant>
        <vt:lpwstr/>
      </vt:variant>
      <vt:variant>
        <vt:lpwstr>_Toc271028873</vt:lpwstr>
      </vt:variant>
      <vt:variant>
        <vt:i4>2031673</vt:i4>
      </vt:variant>
      <vt:variant>
        <vt:i4>224</vt:i4>
      </vt:variant>
      <vt:variant>
        <vt:i4>0</vt:i4>
      </vt:variant>
      <vt:variant>
        <vt:i4>5</vt:i4>
      </vt:variant>
      <vt:variant>
        <vt:lpwstr/>
      </vt:variant>
      <vt:variant>
        <vt:lpwstr>_Toc271028872</vt:lpwstr>
      </vt:variant>
      <vt:variant>
        <vt:i4>2031673</vt:i4>
      </vt:variant>
      <vt:variant>
        <vt:i4>218</vt:i4>
      </vt:variant>
      <vt:variant>
        <vt:i4>0</vt:i4>
      </vt:variant>
      <vt:variant>
        <vt:i4>5</vt:i4>
      </vt:variant>
      <vt:variant>
        <vt:lpwstr/>
      </vt:variant>
      <vt:variant>
        <vt:lpwstr>_Toc271028871</vt:lpwstr>
      </vt:variant>
      <vt:variant>
        <vt:i4>2031673</vt:i4>
      </vt:variant>
      <vt:variant>
        <vt:i4>212</vt:i4>
      </vt:variant>
      <vt:variant>
        <vt:i4>0</vt:i4>
      </vt:variant>
      <vt:variant>
        <vt:i4>5</vt:i4>
      </vt:variant>
      <vt:variant>
        <vt:lpwstr/>
      </vt:variant>
      <vt:variant>
        <vt:lpwstr>_Toc271028870</vt:lpwstr>
      </vt:variant>
      <vt:variant>
        <vt:i4>1966137</vt:i4>
      </vt:variant>
      <vt:variant>
        <vt:i4>206</vt:i4>
      </vt:variant>
      <vt:variant>
        <vt:i4>0</vt:i4>
      </vt:variant>
      <vt:variant>
        <vt:i4>5</vt:i4>
      </vt:variant>
      <vt:variant>
        <vt:lpwstr/>
      </vt:variant>
      <vt:variant>
        <vt:lpwstr>_Toc271028869</vt:lpwstr>
      </vt:variant>
      <vt:variant>
        <vt:i4>1966137</vt:i4>
      </vt:variant>
      <vt:variant>
        <vt:i4>200</vt:i4>
      </vt:variant>
      <vt:variant>
        <vt:i4>0</vt:i4>
      </vt:variant>
      <vt:variant>
        <vt:i4>5</vt:i4>
      </vt:variant>
      <vt:variant>
        <vt:lpwstr/>
      </vt:variant>
      <vt:variant>
        <vt:lpwstr>_Toc271028868</vt:lpwstr>
      </vt:variant>
      <vt:variant>
        <vt:i4>1966137</vt:i4>
      </vt:variant>
      <vt:variant>
        <vt:i4>194</vt:i4>
      </vt:variant>
      <vt:variant>
        <vt:i4>0</vt:i4>
      </vt:variant>
      <vt:variant>
        <vt:i4>5</vt:i4>
      </vt:variant>
      <vt:variant>
        <vt:lpwstr/>
      </vt:variant>
      <vt:variant>
        <vt:lpwstr>_Toc271028867</vt:lpwstr>
      </vt:variant>
      <vt:variant>
        <vt:i4>1966137</vt:i4>
      </vt:variant>
      <vt:variant>
        <vt:i4>188</vt:i4>
      </vt:variant>
      <vt:variant>
        <vt:i4>0</vt:i4>
      </vt:variant>
      <vt:variant>
        <vt:i4>5</vt:i4>
      </vt:variant>
      <vt:variant>
        <vt:lpwstr/>
      </vt:variant>
      <vt:variant>
        <vt:lpwstr>_Toc271028866</vt:lpwstr>
      </vt:variant>
      <vt:variant>
        <vt:i4>1966137</vt:i4>
      </vt:variant>
      <vt:variant>
        <vt:i4>182</vt:i4>
      </vt:variant>
      <vt:variant>
        <vt:i4>0</vt:i4>
      </vt:variant>
      <vt:variant>
        <vt:i4>5</vt:i4>
      </vt:variant>
      <vt:variant>
        <vt:lpwstr/>
      </vt:variant>
      <vt:variant>
        <vt:lpwstr>_Toc271028865</vt:lpwstr>
      </vt:variant>
      <vt:variant>
        <vt:i4>1966137</vt:i4>
      </vt:variant>
      <vt:variant>
        <vt:i4>176</vt:i4>
      </vt:variant>
      <vt:variant>
        <vt:i4>0</vt:i4>
      </vt:variant>
      <vt:variant>
        <vt:i4>5</vt:i4>
      </vt:variant>
      <vt:variant>
        <vt:lpwstr/>
      </vt:variant>
      <vt:variant>
        <vt:lpwstr>_Toc271028864</vt:lpwstr>
      </vt:variant>
      <vt:variant>
        <vt:i4>1966137</vt:i4>
      </vt:variant>
      <vt:variant>
        <vt:i4>170</vt:i4>
      </vt:variant>
      <vt:variant>
        <vt:i4>0</vt:i4>
      </vt:variant>
      <vt:variant>
        <vt:i4>5</vt:i4>
      </vt:variant>
      <vt:variant>
        <vt:lpwstr/>
      </vt:variant>
      <vt:variant>
        <vt:lpwstr>_Toc271028863</vt:lpwstr>
      </vt:variant>
      <vt:variant>
        <vt:i4>1966137</vt:i4>
      </vt:variant>
      <vt:variant>
        <vt:i4>164</vt:i4>
      </vt:variant>
      <vt:variant>
        <vt:i4>0</vt:i4>
      </vt:variant>
      <vt:variant>
        <vt:i4>5</vt:i4>
      </vt:variant>
      <vt:variant>
        <vt:lpwstr/>
      </vt:variant>
      <vt:variant>
        <vt:lpwstr>_Toc271028862</vt:lpwstr>
      </vt:variant>
      <vt:variant>
        <vt:i4>1966137</vt:i4>
      </vt:variant>
      <vt:variant>
        <vt:i4>158</vt:i4>
      </vt:variant>
      <vt:variant>
        <vt:i4>0</vt:i4>
      </vt:variant>
      <vt:variant>
        <vt:i4>5</vt:i4>
      </vt:variant>
      <vt:variant>
        <vt:lpwstr/>
      </vt:variant>
      <vt:variant>
        <vt:lpwstr>_Toc271028861</vt:lpwstr>
      </vt:variant>
      <vt:variant>
        <vt:i4>1966137</vt:i4>
      </vt:variant>
      <vt:variant>
        <vt:i4>152</vt:i4>
      </vt:variant>
      <vt:variant>
        <vt:i4>0</vt:i4>
      </vt:variant>
      <vt:variant>
        <vt:i4>5</vt:i4>
      </vt:variant>
      <vt:variant>
        <vt:lpwstr/>
      </vt:variant>
      <vt:variant>
        <vt:lpwstr>_Toc271028860</vt:lpwstr>
      </vt:variant>
      <vt:variant>
        <vt:i4>1900601</vt:i4>
      </vt:variant>
      <vt:variant>
        <vt:i4>146</vt:i4>
      </vt:variant>
      <vt:variant>
        <vt:i4>0</vt:i4>
      </vt:variant>
      <vt:variant>
        <vt:i4>5</vt:i4>
      </vt:variant>
      <vt:variant>
        <vt:lpwstr/>
      </vt:variant>
      <vt:variant>
        <vt:lpwstr>_Toc271028859</vt:lpwstr>
      </vt:variant>
      <vt:variant>
        <vt:i4>1900601</vt:i4>
      </vt:variant>
      <vt:variant>
        <vt:i4>140</vt:i4>
      </vt:variant>
      <vt:variant>
        <vt:i4>0</vt:i4>
      </vt:variant>
      <vt:variant>
        <vt:i4>5</vt:i4>
      </vt:variant>
      <vt:variant>
        <vt:lpwstr/>
      </vt:variant>
      <vt:variant>
        <vt:lpwstr>_Toc271028858</vt:lpwstr>
      </vt:variant>
      <vt:variant>
        <vt:i4>1900601</vt:i4>
      </vt:variant>
      <vt:variant>
        <vt:i4>134</vt:i4>
      </vt:variant>
      <vt:variant>
        <vt:i4>0</vt:i4>
      </vt:variant>
      <vt:variant>
        <vt:i4>5</vt:i4>
      </vt:variant>
      <vt:variant>
        <vt:lpwstr/>
      </vt:variant>
      <vt:variant>
        <vt:lpwstr>_Toc271028857</vt:lpwstr>
      </vt:variant>
      <vt:variant>
        <vt:i4>1900601</vt:i4>
      </vt:variant>
      <vt:variant>
        <vt:i4>128</vt:i4>
      </vt:variant>
      <vt:variant>
        <vt:i4>0</vt:i4>
      </vt:variant>
      <vt:variant>
        <vt:i4>5</vt:i4>
      </vt:variant>
      <vt:variant>
        <vt:lpwstr/>
      </vt:variant>
      <vt:variant>
        <vt:lpwstr>_Toc271028856</vt:lpwstr>
      </vt:variant>
      <vt:variant>
        <vt:i4>1900601</vt:i4>
      </vt:variant>
      <vt:variant>
        <vt:i4>122</vt:i4>
      </vt:variant>
      <vt:variant>
        <vt:i4>0</vt:i4>
      </vt:variant>
      <vt:variant>
        <vt:i4>5</vt:i4>
      </vt:variant>
      <vt:variant>
        <vt:lpwstr/>
      </vt:variant>
      <vt:variant>
        <vt:lpwstr>_Toc271028855</vt:lpwstr>
      </vt:variant>
      <vt:variant>
        <vt:i4>1900601</vt:i4>
      </vt:variant>
      <vt:variant>
        <vt:i4>116</vt:i4>
      </vt:variant>
      <vt:variant>
        <vt:i4>0</vt:i4>
      </vt:variant>
      <vt:variant>
        <vt:i4>5</vt:i4>
      </vt:variant>
      <vt:variant>
        <vt:lpwstr/>
      </vt:variant>
      <vt:variant>
        <vt:lpwstr>_Toc271028854</vt:lpwstr>
      </vt:variant>
      <vt:variant>
        <vt:i4>1900601</vt:i4>
      </vt:variant>
      <vt:variant>
        <vt:i4>110</vt:i4>
      </vt:variant>
      <vt:variant>
        <vt:i4>0</vt:i4>
      </vt:variant>
      <vt:variant>
        <vt:i4>5</vt:i4>
      </vt:variant>
      <vt:variant>
        <vt:lpwstr/>
      </vt:variant>
      <vt:variant>
        <vt:lpwstr>_Toc271028853</vt:lpwstr>
      </vt:variant>
      <vt:variant>
        <vt:i4>1900601</vt:i4>
      </vt:variant>
      <vt:variant>
        <vt:i4>104</vt:i4>
      </vt:variant>
      <vt:variant>
        <vt:i4>0</vt:i4>
      </vt:variant>
      <vt:variant>
        <vt:i4>5</vt:i4>
      </vt:variant>
      <vt:variant>
        <vt:lpwstr/>
      </vt:variant>
      <vt:variant>
        <vt:lpwstr>_Toc271028852</vt:lpwstr>
      </vt:variant>
      <vt:variant>
        <vt:i4>1900601</vt:i4>
      </vt:variant>
      <vt:variant>
        <vt:i4>98</vt:i4>
      </vt:variant>
      <vt:variant>
        <vt:i4>0</vt:i4>
      </vt:variant>
      <vt:variant>
        <vt:i4>5</vt:i4>
      </vt:variant>
      <vt:variant>
        <vt:lpwstr/>
      </vt:variant>
      <vt:variant>
        <vt:lpwstr>_Toc271028851</vt:lpwstr>
      </vt:variant>
      <vt:variant>
        <vt:i4>1900601</vt:i4>
      </vt:variant>
      <vt:variant>
        <vt:i4>92</vt:i4>
      </vt:variant>
      <vt:variant>
        <vt:i4>0</vt:i4>
      </vt:variant>
      <vt:variant>
        <vt:i4>5</vt:i4>
      </vt:variant>
      <vt:variant>
        <vt:lpwstr/>
      </vt:variant>
      <vt:variant>
        <vt:lpwstr>_Toc271028850</vt:lpwstr>
      </vt:variant>
      <vt:variant>
        <vt:i4>1835065</vt:i4>
      </vt:variant>
      <vt:variant>
        <vt:i4>86</vt:i4>
      </vt:variant>
      <vt:variant>
        <vt:i4>0</vt:i4>
      </vt:variant>
      <vt:variant>
        <vt:i4>5</vt:i4>
      </vt:variant>
      <vt:variant>
        <vt:lpwstr/>
      </vt:variant>
      <vt:variant>
        <vt:lpwstr>_Toc271028849</vt:lpwstr>
      </vt:variant>
      <vt:variant>
        <vt:i4>1835065</vt:i4>
      </vt:variant>
      <vt:variant>
        <vt:i4>80</vt:i4>
      </vt:variant>
      <vt:variant>
        <vt:i4>0</vt:i4>
      </vt:variant>
      <vt:variant>
        <vt:i4>5</vt:i4>
      </vt:variant>
      <vt:variant>
        <vt:lpwstr/>
      </vt:variant>
      <vt:variant>
        <vt:lpwstr>_Toc271028848</vt:lpwstr>
      </vt:variant>
      <vt:variant>
        <vt:i4>1835065</vt:i4>
      </vt:variant>
      <vt:variant>
        <vt:i4>74</vt:i4>
      </vt:variant>
      <vt:variant>
        <vt:i4>0</vt:i4>
      </vt:variant>
      <vt:variant>
        <vt:i4>5</vt:i4>
      </vt:variant>
      <vt:variant>
        <vt:lpwstr/>
      </vt:variant>
      <vt:variant>
        <vt:lpwstr>_Toc271028847</vt:lpwstr>
      </vt:variant>
      <vt:variant>
        <vt:i4>1835065</vt:i4>
      </vt:variant>
      <vt:variant>
        <vt:i4>68</vt:i4>
      </vt:variant>
      <vt:variant>
        <vt:i4>0</vt:i4>
      </vt:variant>
      <vt:variant>
        <vt:i4>5</vt:i4>
      </vt:variant>
      <vt:variant>
        <vt:lpwstr/>
      </vt:variant>
      <vt:variant>
        <vt:lpwstr>_Toc271028846</vt:lpwstr>
      </vt:variant>
      <vt:variant>
        <vt:i4>1835065</vt:i4>
      </vt:variant>
      <vt:variant>
        <vt:i4>62</vt:i4>
      </vt:variant>
      <vt:variant>
        <vt:i4>0</vt:i4>
      </vt:variant>
      <vt:variant>
        <vt:i4>5</vt:i4>
      </vt:variant>
      <vt:variant>
        <vt:lpwstr/>
      </vt:variant>
      <vt:variant>
        <vt:lpwstr>_Toc271028845</vt:lpwstr>
      </vt:variant>
      <vt:variant>
        <vt:i4>1835065</vt:i4>
      </vt:variant>
      <vt:variant>
        <vt:i4>56</vt:i4>
      </vt:variant>
      <vt:variant>
        <vt:i4>0</vt:i4>
      </vt:variant>
      <vt:variant>
        <vt:i4>5</vt:i4>
      </vt:variant>
      <vt:variant>
        <vt:lpwstr/>
      </vt:variant>
      <vt:variant>
        <vt:lpwstr>_Toc271028844</vt:lpwstr>
      </vt:variant>
      <vt:variant>
        <vt:i4>1835065</vt:i4>
      </vt:variant>
      <vt:variant>
        <vt:i4>50</vt:i4>
      </vt:variant>
      <vt:variant>
        <vt:i4>0</vt:i4>
      </vt:variant>
      <vt:variant>
        <vt:i4>5</vt:i4>
      </vt:variant>
      <vt:variant>
        <vt:lpwstr/>
      </vt:variant>
      <vt:variant>
        <vt:lpwstr>_Toc271028843</vt:lpwstr>
      </vt:variant>
      <vt:variant>
        <vt:i4>1835065</vt:i4>
      </vt:variant>
      <vt:variant>
        <vt:i4>44</vt:i4>
      </vt:variant>
      <vt:variant>
        <vt:i4>0</vt:i4>
      </vt:variant>
      <vt:variant>
        <vt:i4>5</vt:i4>
      </vt:variant>
      <vt:variant>
        <vt:lpwstr/>
      </vt:variant>
      <vt:variant>
        <vt:lpwstr>_Toc271028842</vt:lpwstr>
      </vt:variant>
      <vt:variant>
        <vt:i4>1835065</vt:i4>
      </vt:variant>
      <vt:variant>
        <vt:i4>38</vt:i4>
      </vt:variant>
      <vt:variant>
        <vt:i4>0</vt:i4>
      </vt:variant>
      <vt:variant>
        <vt:i4>5</vt:i4>
      </vt:variant>
      <vt:variant>
        <vt:lpwstr/>
      </vt:variant>
      <vt:variant>
        <vt:lpwstr>_Toc271028841</vt:lpwstr>
      </vt:variant>
      <vt:variant>
        <vt:i4>1835065</vt:i4>
      </vt:variant>
      <vt:variant>
        <vt:i4>32</vt:i4>
      </vt:variant>
      <vt:variant>
        <vt:i4>0</vt:i4>
      </vt:variant>
      <vt:variant>
        <vt:i4>5</vt:i4>
      </vt:variant>
      <vt:variant>
        <vt:lpwstr/>
      </vt:variant>
      <vt:variant>
        <vt:lpwstr>_Toc271028840</vt:lpwstr>
      </vt:variant>
      <vt:variant>
        <vt:i4>1769529</vt:i4>
      </vt:variant>
      <vt:variant>
        <vt:i4>26</vt:i4>
      </vt:variant>
      <vt:variant>
        <vt:i4>0</vt:i4>
      </vt:variant>
      <vt:variant>
        <vt:i4>5</vt:i4>
      </vt:variant>
      <vt:variant>
        <vt:lpwstr/>
      </vt:variant>
      <vt:variant>
        <vt:lpwstr>_Toc271028839</vt:lpwstr>
      </vt:variant>
      <vt:variant>
        <vt:i4>1769529</vt:i4>
      </vt:variant>
      <vt:variant>
        <vt:i4>20</vt:i4>
      </vt:variant>
      <vt:variant>
        <vt:i4>0</vt:i4>
      </vt:variant>
      <vt:variant>
        <vt:i4>5</vt:i4>
      </vt:variant>
      <vt:variant>
        <vt:lpwstr/>
      </vt:variant>
      <vt:variant>
        <vt:lpwstr>_Toc271028838</vt:lpwstr>
      </vt:variant>
      <vt:variant>
        <vt:i4>1769529</vt:i4>
      </vt:variant>
      <vt:variant>
        <vt:i4>14</vt:i4>
      </vt:variant>
      <vt:variant>
        <vt:i4>0</vt:i4>
      </vt:variant>
      <vt:variant>
        <vt:i4>5</vt:i4>
      </vt:variant>
      <vt:variant>
        <vt:lpwstr/>
      </vt:variant>
      <vt:variant>
        <vt:lpwstr>_Toc271028837</vt:lpwstr>
      </vt:variant>
      <vt:variant>
        <vt:i4>1769529</vt:i4>
      </vt:variant>
      <vt:variant>
        <vt:i4>8</vt:i4>
      </vt:variant>
      <vt:variant>
        <vt:i4>0</vt:i4>
      </vt:variant>
      <vt:variant>
        <vt:i4>5</vt:i4>
      </vt:variant>
      <vt:variant>
        <vt:lpwstr/>
      </vt:variant>
      <vt:variant>
        <vt:lpwstr>_Toc271028836</vt:lpwstr>
      </vt:variant>
      <vt:variant>
        <vt:i4>1769529</vt:i4>
      </vt:variant>
      <vt:variant>
        <vt:i4>2</vt:i4>
      </vt:variant>
      <vt:variant>
        <vt:i4>0</vt:i4>
      </vt:variant>
      <vt:variant>
        <vt:i4>5</vt:i4>
      </vt:variant>
      <vt:variant>
        <vt:lpwstr/>
      </vt:variant>
      <vt:variant>
        <vt:lpwstr>_Toc271028835</vt:lpwstr>
      </vt:variant>
      <vt:variant>
        <vt:i4>2555907</vt:i4>
      </vt:variant>
      <vt:variant>
        <vt:i4>0</vt:i4>
      </vt:variant>
      <vt:variant>
        <vt:i4>0</vt:i4>
      </vt:variant>
      <vt:variant>
        <vt:i4>5</vt:i4>
      </vt:variant>
      <vt:variant>
        <vt:lpwstr>http://publicfiles.dep.state.fl.us/FGS/FGS_Publications/FGS Library Documents/FLCoastSedContamAtlas.pdf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Annotated Outline, 2006 Integrated Report</dc:title>
  <dc:subject/>
  <dc:creator>Linda Lord</dc:creator>
  <cp:keywords/>
  <dc:description/>
  <cp:lastModifiedBy>mcguire_s</cp:lastModifiedBy>
  <cp:revision>10</cp:revision>
  <cp:lastPrinted>2010-09-08T19:26:00Z</cp:lastPrinted>
  <dcterms:created xsi:type="dcterms:W3CDTF">2010-09-03T20:57:00Z</dcterms:created>
  <dcterms:modified xsi:type="dcterms:W3CDTF">2010-09-08T21:17:00Z</dcterms:modified>
</cp:coreProperties>
</file>