
<file path=[Content_Types].xml><?xml version="1.0" encoding="utf-8"?>
<Types xmlns="http://schemas.openxmlformats.org/package/2006/content-types">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3323" w:rsidRPr="003A4461" w:rsidRDefault="004B3323" w:rsidP="004B3323">
      <w:pPr>
        <w:pStyle w:val="Heading1"/>
      </w:pPr>
      <w:bookmarkStart w:id="0" w:name="_Toc190052686"/>
      <w:bookmarkStart w:id="1" w:name="_Toc209241271"/>
      <w:r>
        <w:t xml:space="preserve">Chapter 4:  </w:t>
      </w:r>
      <w:r w:rsidRPr="003A4461">
        <w:t xml:space="preserve">Ground Water Monitoring </w:t>
      </w:r>
      <w:r>
        <w:t>and</w:t>
      </w:r>
      <w:r w:rsidRPr="003A4461">
        <w:t xml:space="preserve"> Assessment</w:t>
      </w:r>
      <w:bookmarkEnd w:id="0"/>
      <w:bookmarkEnd w:id="1"/>
      <w:r w:rsidRPr="003A4461">
        <w:t xml:space="preserve"> </w:t>
      </w:r>
    </w:p>
    <w:p w:rsidR="004B3323" w:rsidRPr="00BE569D" w:rsidRDefault="004B3323" w:rsidP="004B3323">
      <w:pPr>
        <w:pStyle w:val="Heading2"/>
      </w:pPr>
      <w:bookmarkStart w:id="2" w:name="_Toc190052687"/>
      <w:bookmarkStart w:id="3" w:name="_Toc209241272"/>
      <w:r w:rsidRPr="00BE569D">
        <w:t>Summary of Ground Water Monitoring Programs</w:t>
      </w:r>
      <w:bookmarkEnd w:id="2"/>
      <w:bookmarkEnd w:id="3"/>
      <w:r w:rsidRPr="00BE569D">
        <w:t xml:space="preserve"> </w:t>
      </w:r>
    </w:p>
    <w:p w:rsidR="004B3323" w:rsidRDefault="004B3323" w:rsidP="004B3323">
      <w:pPr>
        <w:pStyle w:val="Bodytext"/>
      </w:pPr>
      <w:r>
        <w:t xml:space="preserve">The quality of ground water is of foremost concern in </w:t>
      </w:r>
      <w:smartTag w:uri="urn:schemas-microsoft-com:office:smarttags" w:element="place">
        <w:smartTag w:uri="urn:schemas-microsoft-com:office:smarttags" w:element="State">
          <w:r>
            <w:t>Florida</w:t>
          </w:r>
        </w:smartTag>
      </w:smartTag>
      <w:r>
        <w:t xml:space="preserve">, because ground water is so heavily used as a potable water source and because ground water inputs into surface water systems are so important.  Over the years, ground water quality monitoring has been incorporated into several programs.  The programs pertinent to this report are discussed below and summarized in </w:t>
      </w:r>
      <w:r w:rsidRPr="002B1769">
        <w:rPr>
          <w:b/>
          <w:i/>
        </w:rPr>
        <w:t>Table 2</w:t>
      </w:r>
      <w:r>
        <w:rPr>
          <w:b/>
          <w:i/>
        </w:rPr>
        <w:t>77</w:t>
      </w:r>
      <w:r w:rsidRPr="002B1769">
        <w:rPr>
          <w:b/>
          <w:i/>
        </w:rPr>
        <w:t>.</w:t>
      </w:r>
    </w:p>
    <w:p w:rsidR="004B3323" w:rsidRDefault="004B3323" w:rsidP="004B3323">
      <w:pPr>
        <w:pStyle w:val="Bodytext"/>
      </w:pPr>
    </w:p>
    <w:p w:rsidR="004B3323" w:rsidRDefault="004B3323" w:rsidP="004B3323">
      <w:pPr>
        <w:pStyle w:val="Caption"/>
        <w:rPr>
          <w:snapToGrid w:val="0"/>
          <w:sz w:val="18"/>
        </w:rPr>
      </w:pPr>
    </w:p>
    <w:p w:rsidR="004B3323" w:rsidRDefault="004B3323" w:rsidP="004B3323">
      <w:pPr>
        <w:pStyle w:val="Tableheading"/>
        <w:rPr>
          <w:snapToGrid w:val="0"/>
        </w:rPr>
      </w:pPr>
      <w:bookmarkStart w:id="4" w:name="_Toc190005281"/>
      <w:bookmarkStart w:id="5" w:name="_Toc209240668"/>
      <w:r>
        <w:rPr>
          <w:snapToGrid w:val="0"/>
        </w:rPr>
        <w:t>Table 27.  Summary of Ground Water Monitoring Programs and Data Sources</w:t>
      </w:r>
      <w:bookmarkEnd w:id="4"/>
      <w:bookmarkEnd w:id="5"/>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030"/>
        <w:gridCol w:w="5354"/>
      </w:tblGrid>
      <w:tr w:rsidR="004B3323" w:rsidRPr="00847549" w:rsidTr="00067543">
        <w:trPr>
          <w:trHeight w:val="377"/>
        </w:trPr>
        <w:tc>
          <w:tcPr>
            <w:tcW w:w="3192" w:type="dxa"/>
            <w:tcBorders>
              <w:bottom w:val="single" w:sz="4" w:space="0" w:color="auto"/>
            </w:tcBorders>
            <w:shd w:val="clear" w:color="auto" w:fill="CCCCCC"/>
            <w:vAlign w:val="center"/>
          </w:tcPr>
          <w:p w:rsidR="004B3323" w:rsidRPr="00847549" w:rsidRDefault="004B3323" w:rsidP="00067543">
            <w:pPr>
              <w:pStyle w:val="TableText"/>
              <w:jc w:val="center"/>
              <w:rPr>
                <w:b/>
                <w:i/>
                <w:szCs w:val="18"/>
              </w:rPr>
            </w:pPr>
            <w:r w:rsidRPr="00847549">
              <w:rPr>
                <w:b/>
                <w:i/>
                <w:szCs w:val="18"/>
              </w:rPr>
              <w:t>Monitoring Network or Program</w:t>
            </w:r>
          </w:p>
        </w:tc>
        <w:tc>
          <w:tcPr>
            <w:tcW w:w="1030" w:type="dxa"/>
            <w:shd w:val="clear" w:color="auto" w:fill="CCCCCC"/>
            <w:vAlign w:val="center"/>
          </w:tcPr>
          <w:p w:rsidR="004B3323" w:rsidRPr="00847549" w:rsidRDefault="004B3323" w:rsidP="00067543">
            <w:pPr>
              <w:pStyle w:val="TableText"/>
              <w:jc w:val="center"/>
              <w:rPr>
                <w:b/>
                <w:i/>
                <w:szCs w:val="18"/>
              </w:rPr>
            </w:pPr>
            <w:r w:rsidRPr="00847549">
              <w:rPr>
                <w:b/>
                <w:i/>
                <w:szCs w:val="18"/>
              </w:rPr>
              <w:t>Period</w:t>
            </w:r>
          </w:p>
        </w:tc>
        <w:tc>
          <w:tcPr>
            <w:tcW w:w="5354" w:type="dxa"/>
            <w:shd w:val="clear" w:color="auto" w:fill="CCCCCC"/>
            <w:vAlign w:val="center"/>
          </w:tcPr>
          <w:p w:rsidR="004B3323" w:rsidRPr="00847549" w:rsidRDefault="004B3323" w:rsidP="00067543">
            <w:pPr>
              <w:pStyle w:val="TableText"/>
              <w:jc w:val="center"/>
              <w:rPr>
                <w:b/>
                <w:i/>
                <w:szCs w:val="18"/>
              </w:rPr>
            </w:pPr>
            <w:r w:rsidRPr="00847549">
              <w:rPr>
                <w:b/>
                <w:i/>
                <w:szCs w:val="18"/>
              </w:rPr>
              <w:t>Description</w:t>
            </w:r>
          </w:p>
        </w:tc>
      </w:tr>
      <w:tr w:rsidR="004B3323" w:rsidRPr="00101C99" w:rsidTr="00067543">
        <w:trPr>
          <w:trHeight w:val="431"/>
        </w:trPr>
        <w:tc>
          <w:tcPr>
            <w:tcW w:w="9576" w:type="dxa"/>
            <w:gridSpan w:val="3"/>
            <w:shd w:val="clear" w:color="auto" w:fill="E0E0E0"/>
            <w:vAlign w:val="center"/>
          </w:tcPr>
          <w:p w:rsidR="004B3323" w:rsidRPr="00101C99" w:rsidRDefault="004B3323" w:rsidP="00067543">
            <w:pPr>
              <w:pStyle w:val="TableText"/>
              <w:rPr>
                <w:szCs w:val="18"/>
              </w:rPr>
            </w:pPr>
            <w:r w:rsidRPr="00101C99">
              <w:rPr>
                <w:b/>
                <w:szCs w:val="18"/>
              </w:rPr>
              <w:t>FDEP-maintained Monitoring Networks</w:t>
            </w:r>
          </w:p>
        </w:tc>
      </w:tr>
      <w:tr w:rsidR="004B3323" w:rsidRPr="00101C99" w:rsidTr="00067543">
        <w:tc>
          <w:tcPr>
            <w:tcW w:w="3192" w:type="dxa"/>
            <w:shd w:val="clear" w:color="auto" w:fill="F3F3F3"/>
            <w:vAlign w:val="center"/>
          </w:tcPr>
          <w:p w:rsidR="004B3323" w:rsidRPr="00101C99" w:rsidRDefault="004B3323" w:rsidP="00067543">
            <w:pPr>
              <w:pStyle w:val="TableText"/>
              <w:rPr>
                <w:szCs w:val="18"/>
              </w:rPr>
            </w:pPr>
            <w:r w:rsidRPr="00101C99">
              <w:rPr>
                <w:szCs w:val="18"/>
              </w:rPr>
              <w:t>Status Network</w:t>
            </w:r>
          </w:p>
        </w:tc>
        <w:tc>
          <w:tcPr>
            <w:tcW w:w="1030" w:type="dxa"/>
            <w:vAlign w:val="center"/>
          </w:tcPr>
          <w:p w:rsidR="004B3323" w:rsidRPr="00101C99" w:rsidRDefault="004B3323" w:rsidP="00067543">
            <w:pPr>
              <w:pStyle w:val="TableText"/>
              <w:jc w:val="center"/>
              <w:rPr>
                <w:szCs w:val="18"/>
              </w:rPr>
            </w:pPr>
            <w:r w:rsidRPr="00101C99">
              <w:rPr>
                <w:szCs w:val="18"/>
              </w:rPr>
              <w:t>1999–ongoing</w:t>
            </w:r>
          </w:p>
        </w:tc>
        <w:tc>
          <w:tcPr>
            <w:tcW w:w="5354" w:type="dxa"/>
          </w:tcPr>
          <w:p w:rsidR="004B3323" w:rsidRPr="00101C99" w:rsidRDefault="004B3323" w:rsidP="00067543">
            <w:pPr>
              <w:pStyle w:val="TableText"/>
              <w:rPr>
                <w:szCs w:val="18"/>
              </w:rPr>
            </w:pPr>
            <w:smartTag w:uri="urn:schemas-microsoft-com:office:smarttags" w:element="PersonName">
              <w:r w:rsidRPr="00101C99">
                <w:rPr>
                  <w:szCs w:val="18"/>
                </w:rPr>
                <w:t>Statewide</w:t>
              </w:r>
            </w:smartTag>
            <w:r w:rsidRPr="00101C99">
              <w:rPr>
                <w:szCs w:val="18"/>
              </w:rPr>
              <w:t xml:space="preserve"> probabilistic sampling network of over 1,100 water wells per cycle.  Probabilistic sampling occurs over the 5-year basin rotation schedule.  Sample locations are randomly selected from a list frame of wells with samples collected from 30 wells from unconfined and 30 confined aquifers in a given basin.  Data to characterize water quality on a basinwide scale, and parameters monitored correspond with those targeted in surface water evaluations.</w:t>
            </w:r>
          </w:p>
        </w:tc>
      </w:tr>
      <w:tr w:rsidR="004B3323" w:rsidRPr="00101C99" w:rsidTr="00067543">
        <w:tc>
          <w:tcPr>
            <w:tcW w:w="3192" w:type="dxa"/>
            <w:shd w:val="clear" w:color="auto" w:fill="F3F3F3"/>
            <w:vAlign w:val="center"/>
          </w:tcPr>
          <w:p w:rsidR="004B3323" w:rsidRPr="00101C99" w:rsidRDefault="004B3323" w:rsidP="00067543">
            <w:pPr>
              <w:pStyle w:val="TableText"/>
              <w:rPr>
                <w:szCs w:val="18"/>
              </w:rPr>
            </w:pPr>
            <w:r w:rsidRPr="00101C99">
              <w:rPr>
                <w:szCs w:val="18"/>
              </w:rPr>
              <w:t>Background Network and Temporal Variability (TV) Subnetwork</w:t>
            </w:r>
          </w:p>
        </w:tc>
        <w:tc>
          <w:tcPr>
            <w:tcW w:w="1030" w:type="dxa"/>
            <w:vAlign w:val="center"/>
          </w:tcPr>
          <w:p w:rsidR="004B3323" w:rsidRPr="00101C99" w:rsidRDefault="004B3323" w:rsidP="00067543">
            <w:pPr>
              <w:pStyle w:val="TableText"/>
              <w:jc w:val="center"/>
              <w:rPr>
                <w:szCs w:val="18"/>
              </w:rPr>
            </w:pPr>
            <w:r w:rsidRPr="00101C99">
              <w:rPr>
                <w:szCs w:val="18"/>
              </w:rPr>
              <w:t>1985–99</w:t>
            </w:r>
          </w:p>
        </w:tc>
        <w:tc>
          <w:tcPr>
            <w:tcW w:w="5354" w:type="dxa"/>
          </w:tcPr>
          <w:p w:rsidR="004B3323" w:rsidRPr="00101C99" w:rsidRDefault="004B3323" w:rsidP="00067543">
            <w:pPr>
              <w:pStyle w:val="TableText"/>
              <w:rPr>
                <w:szCs w:val="18"/>
              </w:rPr>
            </w:pPr>
            <w:smartTag w:uri="urn:schemas-microsoft-com:office:smarttags" w:element="PersonName">
              <w:r w:rsidRPr="00101C99">
                <w:rPr>
                  <w:szCs w:val="18"/>
                </w:rPr>
                <w:t>Statewide</w:t>
              </w:r>
            </w:smartTag>
            <w:r w:rsidRPr="00101C99">
              <w:rPr>
                <w:szCs w:val="18"/>
              </w:rPr>
              <w:t xml:space="preserve"> network of 1,600 water wells and monitoring wells to spatially monitor general background water quality of local aquifers (surficial, intermediate, and Floridan).  On average, each well was sampled once every 3 years for an extensive list of analytes.  TV network well</w:t>
            </w:r>
            <w:r>
              <w:rPr>
                <w:szCs w:val="18"/>
              </w:rPr>
              <w:t>s</w:t>
            </w:r>
            <w:r w:rsidRPr="00101C99">
              <w:rPr>
                <w:szCs w:val="18"/>
              </w:rPr>
              <w:t xml:space="preserve"> sampled monthly to quarterly.</w:t>
            </w:r>
          </w:p>
        </w:tc>
      </w:tr>
      <w:tr w:rsidR="004B3323" w:rsidRPr="00101C99" w:rsidTr="00067543">
        <w:tc>
          <w:tcPr>
            <w:tcW w:w="3192" w:type="dxa"/>
            <w:shd w:val="clear" w:color="auto" w:fill="F3F3F3"/>
            <w:vAlign w:val="center"/>
          </w:tcPr>
          <w:p w:rsidR="004B3323" w:rsidRPr="00101C99" w:rsidRDefault="004B3323" w:rsidP="00067543">
            <w:pPr>
              <w:pStyle w:val="TableText"/>
              <w:rPr>
                <w:szCs w:val="18"/>
              </w:rPr>
            </w:pPr>
            <w:r w:rsidRPr="00101C99">
              <w:rPr>
                <w:szCs w:val="18"/>
              </w:rPr>
              <w:t>Ground Water Temporal Variability (GWTV) Subnetwork</w:t>
            </w:r>
          </w:p>
        </w:tc>
        <w:tc>
          <w:tcPr>
            <w:tcW w:w="1030" w:type="dxa"/>
            <w:vAlign w:val="center"/>
          </w:tcPr>
          <w:p w:rsidR="004B3323" w:rsidRPr="00101C99" w:rsidRDefault="004B3323" w:rsidP="00067543">
            <w:pPr>
              <w:pStyle w:val="TableText"/>
              <w:jc w:val="center"/>
              <w:rPr>
                <w:szCs w:val="18"/>
              </w:rPr>
            </w:pPr>
            <w:r w:rsidRPr="00101C99">
              <w:rPr>
                <w:szCs w:val="18"/>
              </w:rPr>
              <w:t>1999–ongoing</w:t>
            </w:r>
          </w:p>
        </w:tc>
        <w:tc>
          <w:tcPr>
            <w:tcW w:w="5354" w:type="dxa"/>
          </w:tcPr>
          <w:p w:rsidR="004B3323" w:rsidRPr="00101C99" w:rsidRDefault="004B3323" w:rsidP="00067543">
            <w:pPr>
              <w:pStyle w:val="TableText"/>
              <w:rPr>
                <w:szCs w:val="18"/>
              </w:rPr>
            </w:pPr>
            <w:r w:rsidRPr="00101C99">
              <w:rPr>
                <w:szCs w:val="18"/>
              </w:rPr>
              <w:t>Current temporal network consists of 46 wells statewide.  Designed to help correlate Status Network results with seasonal hydrologic variations, estimate temporal variance of analytes.</w:t>
            </w:r>
          </w:p>
        </w:tc>
      </w:tr>
      <w:tr w:rsidR="004B3323" w:rsidRPr="00101C99" w:rsidTr="00067543">
        <w:tc>
          <w:tcPr>
            <w:tcW w:w="3192" w:type="dxa"/>
            <w:shd w:val="clear" w:color="auto" w:fill="F3F3F3"/>
            <w:vAlign w:val="center"/>
          </w:tcPr>
          <w:p w:rsidR="004B3323" w:rsidRPr="00101C99" w:rsidRDefault="004B3323" w:rsidP="00067543">
            <w:pPr>
              <w:pStyle w:val="TableText"/>
              <w:rPr>
                <w:szCs w:val="18"/>
              </w:rPr>
            </w:pPr>
            <w:r w:rsidRPr="00101C99">
              <w:rPr>
                <w:szCs w:val="18"/>
              </w:rPr>
              <w:t>Very Intense Study Area (VISA) Network</w:t>
            </w:r>
          </w:p>
        </w:tc>
        <w:tc>
          <w:tcPr>
            <w:tcW w:w="1030" w:type="dxa"/>
            <w:vAlign w:val="center"/>
          </w:tcPr>
          <w:p w:rsidR="004B3323" w:rsidRPr="00101C99" w:rsidRDefault="004B3323" w:rsidP="00067543">
            <w:pPr>
              <w:pStyle w:val="TableText"/>
              <w:jc w:val="center"/>
              <w:rPr>
                <w:szCs w:val="18"/>
              </w:rPr>
            </w:pPr>
            <w:r w:rsidRPr="00101C99">
              <w:rPr>
                <w:szCs w:val="18"/>
              </w:rPr>
              <w:t>1989–99</w:t>
            </w:r>
          </w:p>
        </w:tc>
        <w:tc>
          <w:tcPr>
            <w:tcW w:w="5354" w:type="dxa"/>
          </w:tcPr>
          <w:p w:rsidR="004B3323" w:rsidRPr="00101C99" w:rsidRDefault="004B3323" w:rsidP="00067543">
            <w:pPr>
              <w:pStyle w:val="TableText"/>
              <w:rPr>
                <w:szCs w:val="18"/>
              </w:rPr>
            </w:pPr>
            <w:r w:rsidRPr="00101C99">
              <w:rPr>
                <w:szCs w:val="18"/>
              </w:rPr>
              <w:t>Network monitored the effects of land uses on ground water quality in 23 selected areas of the state.  Individual VISAs consisted of approximately 20 wells sampled 3 times over an 11-year period.  Sampled for a targeted list of analytes.</w:t>
            </w:r>
          </w:p>
        </w:tc>
      </w:tr>
      <w:tr w:rsidR="004B3323" w:rsidRPr="00101C99" w:rsidTr="00067543">
        <w:tc>
          <w:tcPr>
            <w:tcW w:w="3192" w:type="dxa"/>
            <w:shd w:val="clear" w:color="auto" w:fill="F3F3F3"/>
            <w:vAlign w:val="center"/>
          </w:tcPr>
          <w:p w:rsidR="004B3323" w:rsidRPr="00101C99" w:rsidRDefault="004B3323" w:rsidP="00067543">
            <w:pPr>
              <w:pStyle w:val="TableText"/>
              <w:rPr>
                <w:szCs w:val="18"/>
              </w:rPr>
            </w:pPr>
            <w:r>
              <w:rPr>
                <w:szCs w:val="18"/>
              </w:rPr>
              <w:t>Springs Monitoring Network</w:t>
            </w:r>
          </w:p>
        </w:tc>
        <w:tc>
          <w:tcPr>
            <w:tcW w:w="1030" w:type="dxa"/>
            <w:vAlign w:val="center"/>
          </w:tcPr>
          <w:p w:rsidR="004B3323" w:rsidRPr="00101C99" w:rsidRDefault="004B3323" w:rsidP="00067543">
            <w:pPr>
              <w:pStyle w:val="TableText"/>
              <w:jc w:val="center"/>
              <w:rPr>
                <w:szCs w:val="18"/>
              </w:rPr>
            </w:pPr>
            <w:r>
              <w:rPr>
                <w:szCs w:val="18"/>
              </w:rPr>
              <w:t>2001–present</w:t>
            </w:r>
          </w:p>
        </w:tc>
        <w:tc>
          <w:tcPr>
            <w:tcW w:w="5354" w:type="dxa"/>
          </w:tcPr>
          <w:p w:rsidR="004B3323" w:rsidRPr="00303A1A" w:rsidRDefault="004B3323" w:rsidP="00067543">
            <w:pPr>
              <w:pStyle w:val="TableText"/>
              <w:rPr>
                <w:szCs w:val="18"/>
              </w:rPr>
            </w:pPr>
            <w:r w:rsidRPr="00303A1A">
              <w:rPr>
                <w:szCs w:val="18"/>
              </w:rPr>
              <w:t>58 samples collected quarterly from 23 first-magnitude and 9 second-magnitude spring clusters.  Basic analyte list identical to that used for the Status Network.</w:t>
            </w:r>
          </w:p>
        </w:tc>
      </w:tr>
      <w:tr w:rsidR="004B3323" w:rsidRPr="00101C99" w:rsidTr="00067543">
        <w:trPr>
          <w:trHeight w:val="413"/>
        </w:trPr>
        <w:tc>
          <w:tcPr>
            <w:tcW w:w="9576" w:type="dxa"/>
            <w:gridSpan w:val="3"/>
            <w:shd w:val="clear" w:color="auto" w:fill="E0E0E0"/>
            <w:vAlign w:val="center"/>
          </w:tcPr>
          <w:p w:rsidR="004B3323" w:rsidRPr="00101C99" w:rsidRDefault="004B3323" w:rsidP="00067543">
            <w:pPr>
              <w:pStyle w:val="TableText"/>
              <w:rPr>
                <w:b/>
                <w:szCs w:val="18"/>
              </w:rPr>
            </w:pPr>
            <w:r w:rsidRPr="00101C99">
              <w:rPr>
                <w:b/>
                <w:szCs w:val="18"/>
              </w:rPr>
              <w:t xml:space="preserve">Programs That Include Potable Ground Water Sampling </w:t>
            </w:r>
          </w:p>
        </w:tc>
      </w:tr>
      <w:tr w:rsidR="004B3323" w:rsidRPr="00101C99" w:rsidTr="00067543">
        <w:trPr>
          <w:trHeight w:val="656"/>
        </w:trPr>
        <w:tc>
          <w:tcPr>
            <w:tcW w:w="3192" w:type="dxa"/>
            <w:shd w:val="clear" w:color="auto" w:fill="F3F3F3"/>
            <w:vAlign w:val="center"/>
          </w:tcPr>
          <w:p w:rsidR="004B3323" w:rsidRPr="00101C99" w:rsidRDefault="004B3323" w:rsidP="00067543">
            <w:pPr>
              <w:pStyle w:val="TableText"/>
              <w:rPr>
                <w:szCs w:val="18"/>
              </w:rPr>
            </w:pPr>
            <w:r w:rsidRPr="00101C99">
              <w:rPr>
                <w:szCs w:val="18"/>
              </w:rPr>
              <w:t xml:space="preserve">Public Water System (PWS) </w:t>
            </w:r>
          </w:p>
          <w:p w:rsidR="004B3323" w:rsidRPr="00101C99" w:rsidRDefault="004B3323" w:rsidP="00067543">
            <w:pPr>
              <w:pStyle w:val="TableText"/>
              <w:rPr>
                <w:szCs w:val="18"/>
              </w:rPr>
            </w:pPr>
            <w:r w:rsidRPr="00101C99">
              <w:rPr>
                <w:szCs w:val="18"/>
              </w:rPr>
              <w:t>Monitoring</w:t>
            </w:r>
          </w:p>
        </w:tc>
        <w:tc>
          <w:tcPr>
            <w:tcW w:w="1030" w:type="dxa"/>
            <w:vAlign w:val="center"/>
          </w:tcPr>
          <w:p w:rsidR="004B3323" w:rsidRPr="00101C99" w:rsidRDefault="004B3323" w:rsidP="00067543">
            <w:pPr>
              <w:pStyle w:val="TableText"/>
              <w:jc w:val="center"/>
              <w:rPr>
                <w:szCs w:val="18"/>
              </w:rPr>
            </w:pPr>
            <w:r>
              <w:rPr>
                <w:szCs w:val="18"/>
              </w:rPr>
              <w:t>1975–</w:t>
            </w:r>
            <w:r w:rsidRPr="00101C99">
              <w:rPr>
                <w:szCs w:val="18"/>
              </w:rPr>
              <w:t>Ongoing</w:t>
            </w:r>
          </w:p>
        </w:tc>
        <w:tc>
          <w:tcPr>
            <w:tcW w:w="5354" w:type="dxa"/>
          </w:tcPr>
          <w:p w:rsidR="004B3323" w:rsidRPr="00101C99" w:rsidRDefault="004B3323" w:rsidP="00067543">
            <w:pPr>
              <w:pStyle w:val="TableText"/>
              <w:rPr>
                <w:szCs w:val="18"/>
              </w:rPr>
            </w:pPr>
            <w:r>
              <w:rPr>
                <w:szCs w:val="18"/>
              </w:rPr>
              <w:t>Under</w:t>
            </w:r>
            <w:r w:rsidRPr="00101C99">
              <w:rPr>
                <w:szCs w:val="18"/>
              </w:rPr>
              <w:t xml:space="preserve"> Rule 62-550, F.A.C., all public water systems are required to monitor and report water quality at regular intervals within their Compliance Cycle.  Ground water is the primary source of potable water in the state.  </w:t>
            </w:r>
          </w:p>
        </w:tc>
      </w:tr>
      <w:tr w:rsidR="004B3323" w:rsidRPr="00101C99" w:rsidTr="00067543">
        <w:trPr>
          <w:trHeight w:val="656"/>
        </w:trPr>
        <w:tc>
          <w:tcPr>
            <w:tcW w:w="3192" w:type="dxa"/>
            <w:shd w:val="clear" w:color="auto" w:fill="F3F3F3"/>
            <w:vAlign w:val="center"/>
          </w:tcPr>
          <w:p w:rsidR="004B3323" w:rsidRPr="00101C99" w:rsidRDefault="004B3323" w:rsidP="00067543">
            <w:pPr>
              <w:pStyle w:val="TableText"/>
              <w:rPr>
                <w:szCs w:val="18"/>
              </w:rPr>
            </w:pPr>
            <w:r w:rsidRPr="00101C99">
              <w:rPr>
                <w:szCs w:val="18"/>
              </w:rPr>
              <w:t>FDOH/FDEP Water Supply Restoration Program</w:t>
            </w:r>
            <w:r>
              <w:rPr>
                <w:szCs w:val="18"/>
              </w:rPr>
              <w:t xml:space="preserve"> (WSRP)–</w:t>
            </w:r>
            <w:r w:rsidRPr="00101C99">
              <w:rPr>
                <w:szCs w:val="18"/>
              </w:rPr>
              <w:t>Private Well Sampling Program</w:t>
            </w:r>
          </w:p>
        </w:tc>
        <w:tc>
          <w:tcPr>
            <w:tcW w:w="1030" w:type="dxa"/>
            <w:vAlign w:val="center"/>
          </w:tcPr>
          <w:p w:rsidR="004B3323" w:rsidRPr="00101C99" w:rsidRDefault="004B3323" w:rsidP="00067543">
            <w:pPr>
              <w:pStyle w:val="TableText"/>
              <w:jc w:val="center"/>
              <w:rPr>
                <w:szCs w:val="18"/>
              </w:rPr>
            </w:pPr>
            <w:r w:rsidRPr="00101C99">
              <w:rPr>
                <w:szCs w:val="18"/>
              </w:rPr>
              <w:t>Ongoing</w:t>
            </w:r>
          </w:p>
        </w:tc>
        <w:tc>
          <w:tcPr>
            <w:tcW w:w="5354" w:type="dxa"/>
          </w:tcPr>
          <w:p w:rsidR="004B3323" w:rsidRPr="00101C99" w:rsidRDefault="004B3323" w:rsidP="00067543">
            <w:pPr>
              <w:pStyle w:val="TableText"/>
              <w:rPr>
                <w:szCs w:val="18"/>
              </w:rPr>
            </w:pPr>
            <w:r w:rsidRPr="00101C99">
              <w:rPr>
                <w:szCs w:val="18"/>
              </w:rPr>
              <w:t>Private well data collected in investigations of potential ground water contamination, maintained in an FDEP WSRP database.  Parameter list is variable, depending on contaminants of concern.</w:t>
            </w:r>
          </w:p>
        </w:tc>
      </w:tr>
      <w:tr w:rsidR="004B3323" w:rsidRPr="00101C99" w:rsidTr="00067543">
        <w:trPr>
          <w:trHeight w:val="656"/>
        </w:trPr>
        <w:tc>
          <w:tcPr>
            <w:tcW w:w="3192" w:type="dxa"/>
            <w:shd w:val="clear" w:color="auto" w:fill="F3F3F3"/>
            <w:vAlign w:val="center"/>
          </w:tcPr>
          <w:p w:rsidR="004B3323" w:rsidRDefault="004B3323" w:rsidP="00067543">
            <w:pPr>
              <w:pStyle w:val="TableText"/>
              <w:rPr>
                <w:szCs w:val="18"/>
              </w:rPr>
            </w:pPr>
            <w:r w:rsidRPr="00101C99">
              <w:rPr>
                <w:szCs w:val="18"/>
              </w:rPr>
              <w:t xml:space="preserve">Monitoring </w:t>
            </w:r>
            <w:r>
              <w:rPr>
                <w:szCs w:val="18"/>
              </w:rPr>
              <w:t xml:space="preserve">of discharges </w:t>
            </w:r>
          </w:p>
          <w:p w:rsidR="004B3323" w:rsidRPr="00101C99" w:rsidRDefault="004B3323" w:rsidP="00067543">
            <w:pPr>
              <w:pStyle w:val="TableText"/>
              <w:rPr>
                <w:szCs w:val="18"/>
              </w:rPr>
            </w:pPr>
            <w:r>
              <w:rPr>
                <w:szCs w:val="18"/>
              </w:rPr>
              <w:t>to ground water</w:t>
            </w:r>
          </w:p>
        </w:tc>
        <w:tc>
          <w:tcPr>
            <w:tcW w:w="1030" w:type="dxa"/>
            <w:vAlign w:val="center"/>
          </w:tcPr>
          <w:p w:rsidR="004B3323" w:rsidRPr="00101C99" w:rsidRDefault="004B3323" w:rsidP="00067543">
            <w:pPr>
              <w:pStyle w:val="TableText"/>
              <w:jc w:val="center"/>
              <w:rPr>
                <w:szCs w:val="18"/>
              </w:rPr>
            </w:pPr>
            <w:r w:rsidRPr="00101C99">
              <w:rPr>
                <w:szCs w:val="18"/>
              </w:rPr>
              <w:t>Ongoing</w:t>
            </w:r>
          </w:p>
        </w:tc>
        <w:tc>
          <w:tcPr>
            <w:tcW w:w="5354" w:type="dxa"/>
            <w:vAlign w:val="center"/>
          </w:tcPr>
          <w:p w:rsidR="004B3323" w:rsidRPr="003B421E" w:rsidRDefault="004B3323" w:rsidP="00067543">
            <w:pPr>
              <w:pStyle w:val="TableText"/>
              <w:rPr>
                <w:szCs w:val="18"/>
              </w:rPr>
            </w:pPr>
            <w:r>
              <w:rPr>
                <w:szCs w:val="18"/>
              </w:rPr>
              <w:t>Under</w:t>
            </w:r>
            <w:r w:rsidRPr="00101C99">
              <w:rPr>
                <w:szCs w:val="18"/>
              </w:rPr>
              <w:t xml:space="preserve"> </w:t>
            </w:r>
            <w:r>
              <w:rPr>
                <w:szCs w:val="18"/>
              </w:rPr>
              <w:t>Rule</w:t>
            </w:r>
            <w:r w:rsidRPr="003B421E">
              <w:rPr>
                <w:szCs w:val="18"/>
              </w:rPr>
              <w:t xml:space="preserve"> 62-522, F</w:t>
            </w:r>
            <w:r>
              <w:rPr>
                <w:szCs w:val="18"/>
              </w:rPr>
              <w:t>.A.C.,</w:t>
            </w:r>
            <w:r w:rsidRPr="003B421E">
              <w:rPr>
                <w:szCs w:val="18"/>
              </w:rPr>
              <w:t xml:space="preserve"> facilities discharging to ground water are required to implement a ground water monitoring plan and report those results to </w:t>
            </w:r>
            <w:r>
              <w:rPr>
                <w:szCs w:val="18"/>
              </w:rPr>
              <w:t>FDEP</w:t>
            </w:r>
            <w:r w:rsidRPr="003B421E">
              <w:rPr>
                <w:szCs w:val="18"/>
              </w:rPr>
              <w:t>.</w:t>
            </w:r>
          </w:p>
        </w:tc>
      </w:tr>
    </w:tbl>
    <w:p w:rsidR="004B3323" w:rsidRDefault="004B3323" w:rsidP="004B3323">
      <w:pPr>
        <w:pStyle w:val="Bodytext"/>
      </w:pPr>
    </w:p>
    <w:p w:rsidR="004B3323" w:rsidRDefault="004B3323" w:rsidP="004B3323">
      <w:pPr>
        <w:pStyle w:val="ListBullet"/>
        <w:numPr>
          <w:ilvl w:val="0"/>
          <w:numId w:val="0"/>
        </w:numPr>
      </w:pPr>
      <w:bookmarkStart w:id="6" w:name="_Toc190052688"/>
      <w:bookmarkStart w:id="7" w:name="_Toc209241273"/>
      <w:r>
        <w:rPr>
          <w:rStyle w:val="Heading3Char"/>
        </w:rPr>
        <w:t>FDEP-maintained Ground Water and Springs M</w:t>
      </w:r>
      <w:r w:rsidRPr="005342CE">
        <w:rPr>
          <w:rStyle w:val="Heading3Char"/>
        </w:rPr>
        <w:t>onitoring</w:t>
      </w:r>
      <w:r>
        <w:rPr>
          <w:rStyle w:val="Heading3Char"/>
        </w:rPr>
        <w:t xml:space="preserve"> Programs</w:t>
      </w:r>
      <w:bookmarkEnd w:id="6"/>
      <w:bookmarkEnd w:id="7"/>
      <w:r w:rsidRPr="004511D7">
        <w:t xml:space="preserve"> </w:t>
      </w:r>
    </w:p>
    <w:p w:rsidR="004B3323" w:rsidRDefault="004B3323" w:rsidP="004B3323">
      <w:pPr>
        <w:pStyle w:val="Bodytext"/>
        <w:rPr>
          <w:rFonts w:cs="Arial"/>
          <w:snapToGrid w:val="0"/>
          <w:szCs w:val="22"/>
        </w:rPr>
      </w:pPr>
      <w:r>
        <w:t xml:space="preserve">FDEP established a ground water quality monitoring network in 1984, under the authority and direction of the 1983 Water Quality Assurance Act.  From 1984 to1999, the Background Network was maintained to establish the background and baseline ground water quality of major aquifer systems in </w:t>
      </w:r>
      <w:smartTag w:uri="urn:schemas-microsoft-com:office:smarttags" w:element="place">
        <w:smartTag w:uri="urn:schemas-microsoft-com:office:smarttags" w:element="State">
          <w:r>
            <w:t>Florida</w:t>
          </w:r>
        </w:smartTag>
      </w:smartTag>
      <w:r>
        <w:t xml:space="preserve">.  </w:t>
      </w:r>
      <w:r w:rsidRPr="009D0424">
        <w:rPr>
          <w:rFonts w:cs="Arial"/>
          <w:szCs w:val="22"/>
        </w:rPr>
        <w:t xml:space="preserve">In 1999, FDEP initiated a probabilistic sampling Status Network to assess ground water and surface water quality on a basinwide scale.  This sampling has been integrated into the agency’s watershed management </w:t>
      </w:r>
      <w:r>
        <w:rPr>
          <w:rFonts w:cs="Arial"/>
          <w:szCs w:val="22"/>
        </w:rPr>
        <w:t>approach</w:t>
      </w:r>
      <w:r w:rsidRPr="009D0424">
        <w:rPr>
          <w:rFonts w:cs="Arial"/>
          <w:szCs w:val="22"/>
        </w:rPr>
        <w:t xml:space="preserve">.  Thus the ground water assessment has been conducted using the 29 surface water basins discussed in </w:t>
      </w:r>
      <w:r w:rsidRPr="00143C1A">
        <w:rPr>
          <w:rFonts w:cs="Arial"/>
          <w:szCs w:val="22"/>
        </w:rPr>
        <w:t>Chapter 2.</w:t>
      </w:r>
      <w:r w:rsidRPr="009D0424">
        <w:rPr>
          <w:rFonts w:cs="Arial"/>
          <w:szCs w:val="22"/>
        </w:rPr>
        <w:t xml:space="preserve">  The first round of sampling was initiated in 2000, and over 1,100 wells are evaluated in each </w:t>
      </w:r>
      <w:r>
        <w:rPr>
          <w:rFonts w:cs="Arial"/>
          <w:szCs w:val="22"/>
        </w:rPr>
        <w:t>basin</w:t>
      </w:r>
      <w:r w:rsidRPr="009D0424">
        <w:rPr>
          <w:rFonts w:cs="Arial"/>
          <w:szCs w:val="22"/>
        </w:rPr>
        <w:t xml:space="preserve"> management cycle</w:t>
      </w:r>
      <w:r w:rsidRPr="009D0424">
        <w:rPr>
          <w:rFonts w:cs="Arial"/>
          <w:snapToGrid w:val="0"/>
          <w:szCs w:val="22"/>
        </w:rPr>
        <w:t>.</w:t>
      </w:r>
    </w:p>
    <w:p w:rsidR="004B3323" w:rsidRPr="009D0424" w:rsidRDefault="004B3323" w:rsidP="004B3323">
      <w:pPr>
        <w:pStyle w:val="Bodytext"/>
        <w:rPr>
          <w:rFonts w:cs="Arial"/>
          <w:snapToGrid w:val="0"/>
          <w:szCs w:val="22"/>
        </w:rPr>
      </w:pPr>
    </w:p>
    <w:p w:rsidR="004B3323" w:rsidRDefault="004B3323" w:rsidP="004B3323">
      <w:pPr>
        <w:pStyle w:val="Bodytext"/>
        <w:rPr>
          <w:rFonts w:cs="Arial"/>
          <w:snapToGrid w:val="0"/>
          <w:szCs w:val="22"/>
        </w:rPr>
      </w:pPr>
      <w:r w:rsidRPr="009D0424">
        <w:rPr>
          <w:rFonts w:cs="Arial"/>
          <w:snapToGrid w:val="0"/>
          <w:szCs w:val="22"/>
        </w:rPr>
        <w:t>Monitoring results for the Ground Water Temporal Variability Network, which also began in 1999, are used to assess seasonal and long-term variability in ground water quality.  Other, historical monitoring efforts include the Background Network, the VISA Network, and FDOH’s Private Water Well Quality Survey.</w:t>
      </w:r>
    </w:p>
    <w:p w:rsidR="004B3323" w:rsidRPr="009D0424" w:rsidRDefault="004B3323" w:rsidP="004B3323">
      <w:pPr>
        <w:pStyle w:val="Bodytext"/>
        <w:rPr>
          <w:rFonts w:cs="Arial"/>
          <w:snapToGrid w:val="0"/>
          <w:szCs w:val="22"/>
        </w:rPr>
      </w:pPr>
    </w:p>
    <w:p w:rsidR="004B3323" w:rsidRDefault="004B3323" w:rsidP="004B3323">
      <w:pPr>
        <w:pStyle w:val="Bodytext"/>
        <w:rPr>
          <w:rFonts w:cs="Arial"/>
          <w:snapToGrid w:val="0"/>
          <w:szCs w:val="22"/>
        </w:rPr>
      </w:pPr>
      <w:r w:rsidRPr="009D0424">
        <w:rPr>
          <w:rFonts w:cs="Arial"/>
          <w:snapToGrid w:val="0"/>
          <w:szCs w:val="22"/>
        </w:rPr>
        <w:t>T</w:t>
      </w:r>
      <w:r>
        <w:rPr>
          <w:rFonts w:cs="Arial"/>
          <w:snapToGrid w:val="0"/>
          <w:szCs w:val="22"/>
        </w:rPr>
        <w:t>his report used t</w:t>
      </w:r>
      <w:r w:rsidRPr="009D0424">
        <w:rPr>
          <w:rFonts w:cs="Arial"/>
          <w:snapToGrid w:val="0"/>
          <w:szCs w:val="22"/>
        </w:rPr>
        <w:t xml:space="preserve">he Status </w:t>
      </w:r>
      <w:r>
        <w:rPr>
          <w:rFonts w:cs="Arial"/>
          <w:snapToGrid w:val="0"/>
          <w:szCs w:val="22"/>
        </w:rPr>
        <w:t xml:space="preserve">Network </w:t>
      </w:r>
      <w:r w:rsidRPr="009D0424">
        <w:rPr>
          <w:rFonts w:cs="Arial"/>
          <w:snapToGrid w:val="0"/>
          <w:szCs w:val="22"/>
        </w:rPr>
        <w:t>monitoring data to evaluate overall ground water quality, potential contaminants of concern</w:t>
      </w:r>
      <w:r>
        <w:rPr>
          <w:rFonts w:cs="Arial"/>
          <w:snapToGrid w:val="0"/>
          <w:szCs w:val="22"/>
        </w:rPr>
        <w:t>,</w:t>
      </w:r>
      <w:r w:rsidRPr="009D0424">
        <w:rPr>
          <w:rFonts w:cs="Arial"/>
          <w:snapToGrid w:val="0"/>
          <w:szCs w:val="22"/>
        </w:rPr>
        <w:t xml:space="preserve"> and ground water parameters of particular concern that may influence receiving surface waters.</w:t>
      </w:r>
    </w:p>
    <w:p w:rsidR="004B3323" w:rsidRPr="009D0424" w:rsidRDefault="004B3323" w:rsidP="004B3323">
      <w:pPr>
        <w:pStyle w:val="Bodytext"/>
        <w:rPr>
          <w:rFonts w:cs="Arial"/>
          <w:snapToGrid w:val="0"/>
          <w:szCs w:val="22"/>
        </w:rPr>
      </w:pPr>
    </w:p>
    <w:p w:rsidR="004B3323" w:rsidRPr="009D0424" w:rsidRDefault="004B3323" w:rsidP="004B3323">
      <w:pPr>
        <w:pStyle w:val="Bodytext"/>
        <w:rPr>
          <w:rFonts w:cs="Arial"/>
          <w:snapToGrid w:val="0"/>
          <w:szCs w:val="22"/>
        </w:rPr>
      </w:pPr>
      <w:r>
        <w:rPr>
          <w:rFonts w:cs="Arial"/>
          <w:snapToGrid w:val="0"/>
          <w:szCs w:val="22"/>
        </w:rPr>
        <w:t>FDEP established a</w:t>
      </w:r>
      <w:r w:rsidRPr="009D0424">
        <w:rPr>
          <w:rFonts w:cs="Arial"/>
          <w:snapToGrid w:val="0"/>
          <w:szCs w:val="22"/>
        </w:rPr>
        <w:t xml:space="preserve"> springs monitoring network as part of the Florida Springs Initiative.  Beginning in 2000, </w:t>
      </w:r>
      <w:r>
        <w:rPr>
          <w:rFonts w:cs="Arial"/>
          <w:snapToGrid w:val="0"/>
          <w:szCs w:val="22"/>
        </w:rPr>
        <w:t>this</w:t>
      </w:r>
      <w:r w:rsidRPr="009D0424">
        <w:rPr>
          <w:rFonts w:cs="Arial"/>
          <w:snapToGrid w:val="0"/>
          <w:szCs w:val="22"/>
        </w:rPr>
        <w:t xml:space="preserve"> initially included quarterly monitoring at each of the state’s </w:t>
      </w:r>
      <w:r>
        <w:rPr>
          <w:rFonts w:cs="Arial"/>
          <w:snapToGrid w:val="0"/>
          <w:szCs w:val="22"/>
        </w:rPr>
        <w:t>first-magnitude</w:t>
      </w:r>
      <w:r w:rsidRPr="009D0424">
        <w:rPr>
          <w:rFonts w:cs="Arial"/>
          <w:snapToGrid w:val="0"/>
          <w:szCs w:val="22"/>
        </w:rPr>
        <w:t xml:space="preserve"> springs but has since expanded to include important second</w:t>
      </w:r>
      <w:r>
        <w:rPr>
          <w:rFonts w:cs="Arial"/>
          <w:snapToGrid w:val="0"/>
          <w:szCs w:val="22"/>
        </w:rPr>
        <w:t>-</w:t>
      </w:r>
      <w:r w:rsidRPr="009D0424">
        <w:rPr>
          <w:rFonts w:cs="Arial"/>
          <w:snapToGrid w:val="0"/>
          <w:szCs w:val="22"/>
        </w:rPr>
        <w:t>magnitude springs a</w:t>
      </w:r>
      <w:r>
        <w:rPr>
          <w:rFonts w:cs="Arial"/>
          <w:snapToGrid w:val="0"/>
          <w:szCs w:val="22"/>
        </w:rPr>
        <w:t>s</w:t>
      </w:r>
      <w:r w:rsidRPr="009D0424">
        <w:rPr>
          <w:rFonts w:cs="Arial"/>
          <w:snapToGrid w:val="0"/>
          <w:szCs w:val="22"/>
        </w:rPr>
        <w:t xml:space="preserve"> well.  In this report, Springs Initiative monitoring data are evaluated to identify spring water quality </w:t>
      </w:r>
      <w:r>
        <w:rPr>
          <w:rFonts w:cs="Arial"/>
          <w:snapToGrid w:val="0"/>
          <w:szCs w:val="22"/>
        </w:rPr>
        <w:t>trends and issues of concern.</w:t>
      </w:r>
    </w:p>
    <w:p w:rsidR="004B3323" w:rsidRPr="009D0424" w:rsidRDefault="004B3323" w:rsidP="004B3323">
      <w:pPr>
        <w:pStyle w:val="Bodytext"/>
        <w:rPr>
          <w:szCs w:val="22"/>
        </w:rPr>
      </w:pPr>
    </w:p>
    <w:p w:rsidR="004B3323" w:rsidRDefault="004B3323" w:rsidP="004B3323">
      <w:pPr>
        <w:pStyle w:val="Heading3"/>
      </w:pPr>
      <w:bookmarkStart w:id="8" w:name="_Toc190052689"/>
      <w:bookmarkStart w:id="9" w:name="_Toc209241274"/>
      <w:r w:rsidRPr="004511D7">
        <w:t xml:space="preserve">Potable Water Monitoring by </w:t>
      </w:r>
      <w:r>
        <w:t>FDOH/FDEP Water Supply Restoration Program</w:t>
      </w:r>
      <w:bookmarkEnd w:id="8"/>
      <w:bookmarkEnd w:id="9"/>
    </w:p>
    <w:p w:rsidR="004B3323" w:rsidRPr="00D17DAD" w:rsidRDefault="004B3323" w:rsidP="004B3323">
      <w:pPr>
        <w:pStyle w:val="Bodytext"/>
      </w:pPr>
      <w:r w:rsidRPr="00D17DAD">
        <w:t xml:space="preserve">Contaminated drinking water wells are identified through the sampling efforts of the local </w:t>
      </w:r>
      <w:r>
        <w:t>c</w:t>
      </w:r>
      <w:r w:rsidRPr="00D17DAD">
        <w:t xml:space="preserve">ounty </w:t>
      </w:r>
      <w:r>
        <w:t>p</w:t>
      </w:r>
      <w:r w:rsidRPr="00D17DAD">
        <w:t xml:space="preserve">ublic </w:t>
      </w:r>
      <w:r>
        <w:t>h</w:t>
      </w:r>
      <w:r w:rsidRPr="00D17DAD">
        <w:t xml:space="preserve">ealth </w:t>
      </w:r>
      <w:r>
        <w:t>u</w:t>
      </w:r>
      <w:r w:rsidRPr="00D17DAD">
        <w:t>nits</w:t>
      </w:r>
      <w:r>
        <w:t>,</w:t>
      </w:r>
      <w:r w:rsidRPr="00D17DAD">
        <w:t xml:space="preserve"> supported by </w:t>
      </w:r>
      <w:r>
        <w:t>FDEP</w:t>
      </w:r>
      <w:r w:rsidRPr="00D17DAD">
        <w:t xml:space="preserve"> funding. </w:t>
      </w:r>
      <w:r>
        <w:t xml:space="preserve"> </w:t>
      </w:r>
      <w:r w:rsidRPr="00D17DAD">
        <w:t xml:space="preserve">To optimize resources, wells are sampled in areas of known or suspected contamination, such as agricultural areas, areas of known offsite contamination near regulated facilities, landfills, or near underground storage tanks. </w:t>
      </w:r>
    </w:p>
    <w:p w:rsidR="004B3323" w:rsidRDefault="004B3323" w:rsidP="004B3323">
      <w:pPr>
        <w:pStyle w:val="Bodytext"/>
      </w:pPr>
    </w:p>
    <w:p w:rsidR="004B3323" w:rsidRPr="00D17DAD" w:rsidRDefault="004B3323" w:rsidP="004B3323">
      <w:pPr>
        <w:pStyle w:val="Bodytext"/>
      </w:pPr>
      <w:r w:rsidRPr="00D17DAD">
        <w:t xml:space="preserve">The State Underground Petroleum Environmental Response (SUPER) Act program at </w:t>
      </w:r>
      <w:r>
        <w:t>F</w:t>
      </w:r>
      <w:r w:rsidRPr="00D17DAD">
        <w:t>DOH concentrates its efforts in areas suspected to have petroleum</w:t>
      </w:r>
      <w:r>
        <w:t>-</w:t>
      </w:r>
      <w:r w:rsidRPr="00D17DAD">
        <w:t>related contamination and targets drinking water wells near known storage tanks for sampling.</w:t>
      </w:r>
    </w:p>
    <w:p w:rsidR="004B3323" w:rsidRDefault="004B3323" w:rsidP="004B3323">
      <w:pPr>
        <w:pStyle w:val="Bodytext"/>
      </w:pPr>
    </w:p>
    <w:p w:rsidR="004B3323" w:rsidRDefault="004B3323" w:rsidP="004B3323">
      <w:pPr>
        <w:pStyle w:val="Bodytext"/>
      </w:pPr>
      <w:r>
        <w:rPr>
          <w:rFonts w:cs="Arial"/>
          <w:szCs w:val="22"/>
        </w:rPr>
        <w:t>T</w:t>
      </w:r>
      <w:r w:rsidRPr="00D17DAD">
        <w:rPr>
          <w:rFonts w:cs="Arial"/>
          <w:szCs w:val="22"/>
        </w:rPr>
        <w:t xml:space="preserve">he Toxics sampling program looks for contamination related to </w:t>
      </w:r>
      <w:r>
        <w:rPr>
          <w:rFonts w:cs="Arial"/>
          <w:szCs w:val="22"/>
        </w:rPr>
        <w:t xml:space="preserve">the </w:t>
      </w:r>
      <w:r w:rsidRPr="00D17DAD">
        <w:rPr>
          <w:rFonts w:cs="Arial"/>
          <w:szCs w:val="22"/>
        </w:rPr>
        <w:t xml:space="preserve">use of pesticides and </w:t>
      </w:r>
      <w:r w:rsidRPr="00D17DAD">
        <w:t xml:space="preserve">fertilizers, and contamination from solvents and metals. </w:t>
      </w:r>
      <w:r>
        <w:t xml:space="preserve"> </w:t>
      </w:r>
      <w:r w:rsidRPr="00D17DAD">
        <w:t>Th</w:t>
      </w:r>
      <w:r>
        <w:t>e</w:t>
      </w:r>
      <w:r w:rsidRPr="00D17DAD">
        <w:t xml:space="preserve"> program is a cooperative effort between </w:t>
      </w:r>
      <w:r>
        <w:t>F</w:t>
      </w:r>
      <w:r w:rsidRPr="00D17DAD">
        <w:t xml:space="preserve">DOH, the </w:t>
      </w:r>
      <w:r>
        <w:t>c</w:t>
      </w:r>
      <w:r w:rsidRPr="00D17DAD">
        <w:t xml:space="preserve">ounty </w:t>
      </w:r>
      <w:r>
        <w:t>p</w:t>
      </w:r>
      <w:r w:rsidRPr="00D17DAD">
        <w:t xml:space="preserve">ublic </w:t>
      </w:r>
      <w:r>
        <w:t>h</w:t>
      </w:r>
      <w:r w:rsidRPr="00D17DAD">
        <w:t xml:space="preserve">ealth </w:t>
      </w:r>
      <w:r>
        <w:t>u</w:t>
      </w:r>
      <w:r w:rsidRPr="00D17DAD">
        <w:t xml:space="preserve">nits, and </w:t>
      </w:r>
      <w:r>
        <w:t>FDEP</w:t>
      </w:r>
      <w:r w:rsidRPr="00D17DAD">
        <w:t xml:space="preserve">.  </w:t>
      </w:r>
      <w:r>
        <w:t xml:space="preserve">FDEP </w:t>
      </w:r>
      <w:r w:rsidRPr="00D17DAD">
        <w:lastRenderedPageBreak/>
        <w:t xml:space="preserve">funds the program through a contract with </w:t>
      </w:r>
      <w:r>
        <w:t>F</w:t>
      </w:r>
      <w:r w:rsidRPr="00D17DAD">
        <w:t xml:space="preserve">DOH, and </w:t>
      </w:r>
      <w:r>
        <w:t>F</w:t>
      </w:r>
      <w:r w:rsidRPr="00D17DAD">
        <w:t xml:space="preserve">DOH directs the sampling effort by the local </w:t>
      </w:r>
      <w:r>
        <w:t>p</w:t>
      </w:r>
      <w:r w:rsidRPr="00D17DAD">
        <w:t xml:space="preserve">ublic </w:t>
      </w:r>
      <w:r>
        <w:t>h</w:t>
      </w:r>
      <w:r w:rsidRPr="00D17DAD">
        <w:t xml:space="preserve">ealth </w:t>
      </w:r>
      <w:r>
        <w:t>u</w:t>
      </w:r>
      <w:r w:rsidRPr="00D17DAD">
        <w:t>nits.</w:t>
      </w:r>
    </w:p>
    <w:p w:rsidR="004B3323" w:rsidRPr="00D17DAD" w:rsidRDefault="004B3323" w:rsidP="004B3323">
      <w:pPr>
        <w:pStyle w:val="Bodytext"/>
      </w:pPr>
    </w:p>
    <w:p w:rsidR="004B3323" w:rsidRDefault="004B3323" w:rsidP="004B3323">
      <w:pPr>
        <w:pStyle w:val="Bodytext"/>
        <w:rPr>
          <w:color w:val="333333"/>
        </w:rPr>
      </w:pPr>
      <w:r w:rsidRPr="00D17DAD">
        <w:rPr>
          <w:color w:val="333333"/>
        </w:rPr>
        <w:t xml:space="preserve">In this report, the WSRP database maintained by </w:t>
      </w:r>
      <w:r>
        <w:t xml:space="preserve">FDEP </w:t>
      </w:r>
      <w:r w:rsidRPr="00D17DAD">
        <w:rPr>
          <w:color w:val="333333"/>
        </w:rPr>
        <w:t>was used in the evaluation of the ground water contaminants of concern identified in private drinking water wells.  Th</w:t>
      </w:r>
      <w:r>
        <w:rPr>
          <w:color w:val="333333"/>
        </w:rPr>
        <w:t>e</w:t>
      </w:r>
      <w:r w:rsidRPr="00D17DAD">
        <w:rPr>
          <w:color w:val="333333"/>
        </w:rPr>
        <w:t xml:space="preserve"> database currently has water quality records for approximately 44,000 private wells.</w:t>
      </w:r>
      <w:r>
        <w:rPr>
          <w:color w:val="333333"/>
        </w:rPr>
        <w:t xml:space="preserve">  A caveat to their use in this evaluation is that these wells are not evenly distributed because they were sampled in areas of known or suspected contamination.  Thus, the number of detections in a particular basin can be misleading because results may depend on well density and distribution in relationship relative to a given problem area.</w:t>
      </w:r>
    </w:p>
    <w:p w:rsidR="004B3323" w:rsidRPr="00D17DAD" w:rsidRDefault="004B3323" w:rsidP="004B3323">
      <w:pPr>
        <w:pStyle w:val="Bodytext"/>
        <w:rPr>
          <w:color w:val="333333"/>
        </w:rPr>
      </w:pPr>
    </w:p>
    <w:p w:rsidR="004B3323" w:rsidRDefault="004B3323" w:rsidP="004B3323">
      <w:pPr>
        <w:pStyle w:val="Heading3"/>
      </w:pPr>
      <w:bookmarkStart w:id="10" w:name="_Toc190052690"/>
      <w:bookmarkStart w:id="11" w:name="_Toc209241275"/>
      <w:r>
        <w:t>Public Water System (PWS) Monitoring</w:t>
      </w:r>
      <w:bookmarkEnd w:id="10"/>
      <w:bookmarkEnd w:id="11"/>
    </w:p>
    <w:p w:rsidR="004B3323" w:rsidRPr="009D0424" w:rsidRDefault="004B3323" w:rsidP="004B3323">
      <w:pPr>
        <w:pStyle w:val="Bodytext"/>
      </w:pPr>
      <w:r>
        <w:t>A</w:t>
      </w:r>
      <w:r w:rsidRPr="009D0424">
        <w:t xml:space="preserve">pproximately </w:t>
      </w:r>
      <w:r w:rsidRPr="00D95715">
        <w:t xml:space="preserve">5,000 public water systems in </w:t>
      </w:r>
      <w:smartTag w:uri="urn:schemas-microsoft-com:office:smarttags" w:element="place">
        <w:smartTag w:uri="urn:schemas-microsoft-com:office:smarttags" w:element="State">
          <w:r w:rsidRPr="00D95715">
            <w:t>Florida</w:t>
          </w:r>
        </w:smartTag>
      </w:smartTag>
      <w:r w:rsidRPr="00D95715">
        <w:t xml:space="preserve"> rely on ground water.  These are served by nearly 10,000</w:t>
      </w:r>
      <w:r w:rsidRPr="009D0424">
        <w:t xml:space="preserve"> wells. </w:t>
      </w:r>
      <w:r>
        <w:t xml:space="preserve"> Rule</w:t>
      </w:r>
      <w:r w:rsidRPr="009D0424">
        <w:t xml:space="preserve"> 62-550, F</w:t>
      </w:r>
      <w:r>
        <w:t>.A.C.</w:t>
      </w:r>
      <w:r w:rsidRPr="009D0424">
        <w:t>, sets the drinking water standards, monitoring requirements</w:t>
      </w:r>
      <w:r>
        <w:t>,</w:t>
      </w:r>
      <w:r w:rsidRPr="009D0424">
        <w:t xml:space="preserve"> and treatment techniques to be met by public water systems and the testing protocol required for certified laboratories.  The ultimate concern of the public water system supervision program is the quality of water for human consumption when the water reaches consumers, </w:t>
      </w:r>
      <w:r>
        <w:t xml:space="preserve">and </w:t>
      </w:r>
      <w:r w:rsidRPr="009D0424">
        <w:t xml:space="preserve">so public water system monitoring involves </w:t>
      </w:r>
      <w:r>
        <w:t xml:space="preserve">the </w:t>
      </w:r>
      <w:r w:rsidRPr="009D0424">
        <w:t>direct sampling of wells in some instances</w:t>
      </w:r>
      <w:r>
        <w:t>.  However,</w:t>
      </w:r>
      <w:r w:rsidRPr="009D0424">
        <w:t xml:space="preserve"> </w:t>
      </w:r>
      <w:r>
        <w:t>water quality results</w:t>
      </w:r>
      <w:r w:rsidRPr="009D0424">
        <w:t xml:space="preserve"> also include </w:t>
      </w:r>
      <w:r>
        <w:t xml:space="preserve">samples from various </w:t>
      </w:r>
      <w:r w:rsidRPr="009D0424">
        <w:t>entry points into the water system, may include treated water, and for some parameters may include composite sampl</w:t>
      </w:r>
      <w:r>
        <w:t>es.</w:t>
      </w:r>
    </w:p>
    <w:p w:rsidR="004B3323" w:rsidRPr="009D0424" w:rsidRDefault="004B3323" w:rsidP="004B3323">
      <w:pPr>
        <w:pStyle w:val="Bodytext"/>
      </w:pPr>
    </w:p>
    <w:p w:rsidR="004B3323" w:rsidRPr="008B0E79" w:rsidRDefault="004B3323" w:rsidP="004B3323">
      <w:pPr>
        <w:pStyle w:val="Bodytext"/>
      </w:pPr>
      <w:r w:rsidRPr="009D0424">
        <w:t xml:space="preserve">The monitoring framework for public water systems is a </w:t>
      </w:r>
      <w:r>
        <w:t>nine</w:t>
      </w:r>
      <w:r w:rsidRPr="009D0424">
        <w:t xml:space="preserve">-year compliance cycle </w:t>
      </w:r>
      <w:r>
        <w:t>containing</w:t>
      </w:r>
      <w:r w:rsidRPr="009D0424">
        <w:t xml:space="preserve"> specific monitoring requirements for individual parameter groups and specific actions based on the detection of parameters above action limits or maximum contaminant levels (MCLs).</w:t>
      </w:r>
      <w:r>
        <w:t xml:space="preserve">  Water quality data in the PWS database are reported by system (PWS ID#).  </w:t>
      </w:r>
      <w:r w:rsidRPr="008B0E79">
        <w:t xml:space="preserve">While individual sample results collected for this report may exceed an action level or MCL, that exceedance does not necessarily translate directly into a violation of water delivered to the consumer (1) </w:t>
      </w:r>
      <w:r>
        <w:t xml:space="preserve">because of </w:t>
      </w:r>
      <w:r w:rsidRPr="008B0E79">
        <w:t>the compositing or blending of water mentioned above, or (2) because averaging with subsequent samples was below the action level or MCL.</w:t>
      </w:r>
    </w:p>
    <w:p w:rsidR="004B3323" w:rsidRPr="009D0424" w:rsidRDefault="004B3323" w:rsidP="004B3323">
      <w:pPr>
        <w:pStyle w:val="Bodytext"/>
        <w:rPr>
          <w:rFonts w:ascii="TimesNewRomanPSMT" w:hAnsi="TimesNewRomanPSMT" w:cs="TimesNewRomanPSMT"/>
        </w:rPr>
      </w:pPr>
    </w:p>
    <w:p w:rsidR="004B3323" w:rsidRDefault="004B3323" w:rsidP="004B3323">
      <w:pPr>
        <w:pStyle w:val="Bodytext"/>
      </w:pPr>
      <w:r w:rsidRPr="008D7208">
        <w:t>Water quality data in the P</w:t>
      </w:r>
      <w:r>
        <w:t>WS d</w:t>
      </w:r>
      <w:r w:rsidRPr="008D7208">
        <w:t>atabase were used in the evaluation of regional and statewide contaminants of concern.  These data can either represent one individual well or a composite sample from multiple wells that comprise a system.  Generally, the most densely populated areas of the state have public supply systems with multiple wells</w:t>
      </w:r>
      <w:r>
        <w:t>,</w:t>
      </w:r>
      <w:r w:rsidRPr="008D7208">
        <w:t xml:space="preserve"> while less populated areas may rely on only one well.  Each public supply well was assigned to a basin or, in the case of a system, the basin that represents the majority of those wells.  In the analysis of contaminants of concern, the number of MCL exceedances </w:t>
      </w:r>
      <w:r>
        <w:t>is</w:t>
      </w:r>
      <w:r w:rsidRPr="008D7208">
        <w:t xml:space="preserve"> not weighted</w:t>
      </w:r>
      <w:r w:rsidRPr="00E138B6">
        <w:t>, and thus</w:t>
      </w:r>
      <w:r w:rsidRPr="008D7208">
        <w:t xml:space="preserve"> each exceedance may represent one individual well or a composite of many wells in a system.  Drinking water standards, monitoring requirements</w:t>
      </w:r>
      <w:r>
        <w:t>,</w:t>
      </w:r>
      <w:r w:rsidRPr="008D7208">
        <w:t xml:space="preserve"> and the frequency of sampling for public water supply wells are based on </w:t>
      </w:r>
      <w:r>
        <w:t>Rule</w:t>
      </w:r>
      <w:r w:rsidRPr="008D7208">
        <w:t xml:space="preserve"> 62-550, F.A.C.</w:t>
      </w:r>
    </w:p>
    <w:p w:rsidR="004B3323" w:rsidRPr="008D7208" w:rsidRDefault="004B3323" w:rsidP="004B3323">
      <w:pPr>
        <w:pStyle w:val="Bodytext"/>
      </w:pPr>
    </w:p>
    <w:p w:rsidR="004B3323" w:rsidRPr="00C30FAC" w:rsidRDefault="004B3323" w:rsidP="004B3323">
      <w:pPr>
        <w:pStyle w:val="Heading3"/>
      </w:pPr>
      <w:bookmarkStart w:id="12" w:name="_Toc190052691"/>
      <w:bookmarkStart w:id="13" w:name="_Toc209241276"/>
      <w:r w:rsidRPr="00C30FAC">
        <w:lastRenderedPageBreak/>
        <w:t xml:space="preserve">Monitoring </w:t>
      </w:r>
      <w:r>
        <w:t>of Discharges to Ground Water</w:t>
      </w:r>
      <w:bookmarkEnd w:id="12"/>
      <w:bookmarkEnd w:id="13"/>
    </w:p>
    <w:p w:rsidR="004B3323" w:rsidRPr="00012923" w:rsidRDefault="004B3323" w:rsidP="004B3323">
      <w:pPr>
        <w:pStyle w:val="Bodytext"/>
      </w:pPr>
      <w:r w:rsidRPr="00012923">
        <w:t xml:space="preserve">FDEP implements a comprehensive ground water quality protection program that regulates discharges to ground water.  The program establishes ground water quality standards and classifications and permitting criteria.  Within several FDEP rules there are construction and operation requirements, minimum setbacks, and ground water monitoring criteria. </w:t>
      </w:r>
    </w:p>
    <w:p w:rsidR="004B3323" w:rsidRDefault="004B3323" w:rsidP="004B3323">
      <w:pPr>
        <w:pStyle w:val="Bodytext"/>
      </w:pPr>
    </w:p>
    <w:p w:rsidR="004B3323" w:rsidRPr="00012923" w:rsidRDefault="004B3323" w:rsidP="004B3323">
      <w:pPr>
        <w:pStyle w:val="Bodytext"/>
      </w:pPr>
      <w:r w:rsidRPr="00012923">
        <w:t>Most permitted discharges to ground water are required to submit and implement a ground water monitoring plan show</w:t>
      </w:r>
      <w:r>
        <w:t>ing</w:t>
      </w:r>
      <w:r w:rsidRPr="00012923">
        <w:t xml:space="preserve"> the location of the proposed upgradient and downgradient monitoring wells, construction details, and a ground water sampling and analysis protocol.  At a minimum, these plans require three monitoring wells:  a background well, an intermediate well, and a compliance well.  These wells are generally sampled quarterly, and the analysis is submitted to FDEP to ensure compliance with </w:t>
      </w:r>
      <w:smartTag w:uri="urn:schemas-microsoft-com:office:smarttags" w:element="place">
        <w:smartTag w:uri="urn:schemas-microsoft-com:office:smarttags" w:element="State">
          <w:r w:rsidRPr="00012923">
            <w:t>Florida</w:t>
          </w:r>
        </w:smartTag>
      </w:smartTag>
      <w:r w:rsidRPr="00012923">
        <w:t xml:space="preserve">’s ground water standards. </w:t>
      </w:r>
    </w:p>
    <w:p w:rsidR="004B3323" w:rsidRPr="00012923" w:rsidRDefault="004B3323" w:rsidP="004B3323">
      <w:pPr>
        <w:pStyle w:val="Bodytextreduced"/>
      </w:pPr>
    </w:p>
    <w:p w:rsidR="004B3323" w:rsidRDefault="004B3323" w:rsidP="004B3323">
      <w:pPr>
        <w:pStyle w:val="Heading2"/>
      </w:pPr>
      <w:bookmarkStart w:id="14" w:name="_Toc190052692"/>
      <w:bookmarkStart w:id="15" w:name="_Toc209241277"/>
      <w:r w:rsidRPr="00BE569D">
        <w:t>Summary of Ground Water Quality</w:t>
      </w:r>
      <w:bookmarkEnd w:id="14"/>
      <w:bookmarkEnd w:id="15"/>
      <w:r w:rsidRPr="003A4461">
        <w:t xml:space="preserve"> </w:t>
      </w:r>
    </w:p>
    <w:p w:rsidR="004B3323" w:rsidRDefault="004B3323" w:rsidP="004B3323">
      <w:pPr>
        <w:pStyle w:val="Heading3"/>
      </w:pPr>
      <w:bookmarkStart w:id="16" w:name="_Toc190052693"/>
      <w:bookmarkStart w:id="17" w:name="_Toc209241278"/>
      <w:r>
        <w:t>Overall Ground Water Quality</w:t>
      </w:r>
      <w:bookmarkEnd w:id="16"/>
      <w:bookmarkEnd w:id="17"/>
    </w:p>
    <w:p w:rsidR="004B3323" w:rsidRDefault="004B3323" w:rsidP="004B3323">
      <w:pPr>
        <w:pStyle w:val="Bodytext"/>
      </w:pPr>
      <w:r>
        <w:t xml:space="preserve">Data from the Status Network and GWTV Subnetwork (trends) were used to evaluate the overall quality of ground water based on </w:t>
      </w:r>
      <w:r w:rsidRPr="00380A2E">
        <w:t>primary ground water MCL</w:t>
      </w:r>
      <w:r>
        <w:t>s</w:t>
      </w:r>
      <w:r w:rsidRPr="00380A2E">
        <w:t>.  The data were sorted into analyte groups</w:t>
      </w:r>
      <w:r>
        <w:t>,</w:t>
      </w:r>
      <w:r w:rsidRPr="00380A2E">
        <w:t xml:space="preserve"> and an “indicator” analyte was selected to determine ground water quality for wells in each of the basins.  The groups </w:t>
      </w:r>
      <w:r>
        <w:t>used in this evaluation include metals, bacteria</w:t>
      </w:r>
      <w:r w:rsidRPr="00380A2E">
        <w:t xml:space="preserve">, nitrates, </w:t>
      </w:r>
      <w:r>
        <w:t>and saline water, which</w:t>
      </w:r>
      <w:r w:rsidRPr="00380A2E">
        <w:t xml:space="preserve"> represent </w:t>
      </w:r>
      <w:r>
        <w:t xml:space="preserve">some of the </w:t>
      </w:r>
      <w:r w:rsidRPr="00380A2E">
        <w:t xml:space="preserve">the most common threats to drinking water noted by </w:t>
      </w:r>
      <w:r>
        <w:t xml:space="preserve">the </w:t>
      </w:r>
      <w:r w:rsidRPr="00380A2E">
        <w:t xml:space="preserve">EPA in national surveys.  </w:t>
      </w:r>
      <w:r>
        <w:t>Organics and radionuclides were not included in the Status Network parameter list but are addressed in a later section of this chapter.</w:t>
      </w:r>
    </w:p>
    <w:p w:rsidR="004B3323" w:rsidRPr="00380A2E" w:rsidRDefault="004B3323" w:rsidP="004B3323">
      <w:pPr>
        <w:pStyle w:val="Bodytext"/>
      </w:pPr>
    </w:p>
    <w:p w:rsidR="004B3323" w:rsidRPr="00380A2E" w:rsidRDefault="004B3323" w:rsidP="004B3323">
      <w:pPr>
        <w:pStyle w:val="Bodytext"/>
      </w:pPr>
      <w:r>
        <w:t>Most of t</w:t>
      </w:r>
      <w:r w:rsidRPr="00380A2E">
        <w:t xml:space="preserve">he </w:t>
      </w:r>
      <w:r>
        <w:t>wells used in</w:t>
      </w:r>
      <w:r w:rsidRPr="00380A2E">
        <w:t xml:space="preserve"> </w:t>
      </w:r>
      <w:r>
        <w:t xml:space="preserve">this statewide </w:t>
      </w:r>
      <w:r w:rsidRPr="00380A2E">
        <w:t>evaluation</w:t>
      </w:r>
      <w:r>
        <w:t xml:space="preserve"> of overall ground water quality were selected randomly from a database of candidate wells.</w:t>
      </w:r>
      <w:r w:rsidRPr="00380A2E">
        <w:t xml:space="preserve"> </w:t>
      </w:r>
      <w:r>
        <w:t xml:space="preserve">  They </w:t>
      </w:r>
      <w:r w:rsidRPr="00380A2E">
        <w:t>are of all types</w:t>
      </w:r>
      <w:r>
        <w:t>—including</w:t>
      </w:r>
      <w:r w:rsidRPr="00380A2E">
        <w:t xml:space="preserve"> private, public, monitor</w:t>
      </w:r>
      <w:r>
        <w:t>ing,</w:t>
      </w:r>
      <w:r w:rsidRPr="00380A2E">
        <w:t xml:space="preserve"> and, less commonly, agricultural irrigation wells</w:t>
      </w:r>
      <w:r>
        <w:t>—that</w:t>
      </w:r>
      <w:r w:rsidRPr="00380A2E">
        <w:t xml:space="preserve"> represent the basin’s most predominant aquifers </w:t>
      </w:r>
      <w:r>
        <w:t xml:space="preserve">used </w:t>
      </w:r>
      <w:r w:rsidRPr="00380A2E">
        <w:t xml:space="preserve">for </w:t>
      </w:r>
      <w:r>
        <w:t>potable</w:t>
      </w:r>
      <w:r w:rsidRPr="00380A2E">
        <w:t xml:space="preserve"> supply.  These data indicate general </w:t>
      </w:r>
      <w:r>
        <w:t xml:space="preserve">basin-scale or </w:t>
      </w:r>
      <w:r w:rsidRPr="00380A2E">
        <w:t xml:space="preserve">statewide conditions and </w:t>
      </w:r>
      <w:r>
        <w:t>do</w:t>
      </w:r>
      <w:r w:rsidRPr="00380A2E">
        <w:t xml:space="preserve"> not represent local con</w:t>
      </w:r>
      <w:r>
        <w:t>ditions</w:t>
      </w:r>
      <w:r w:rsidRPr="00380A2E">
        <w:t>.  The</w:t>
      </w:r>
      <w:r>
        <w:t>y</w:t>
      </w:r>
      <w:r w:rsidRPr="00380A2E">
        <w:t xml:space="preserve"> generally represent ambient ground water</w:t>
      </w:r>
      <w:r>
        <w:t xml:space="preserve"> quality</w:t>
      </w:r>
      <w:r w:rsidRPr="00380A2E">
        <w:t xml:space="preserve">, although a small number of upgradient facility wells are included.  </w:t>
      </w:r>
      <w:r>
        <w:t xml:space="preserve">This is a small number of wells and there </w:t>
      </w:r>
      <w:r w:rsidRPr="00380A2E">
        <w:t xml:space="preserve">may be data sufficiency issues for some basins and analytes, </w:t>
      </w:r>
      <w:r>
        <w:t xml:space="preserve">but </w:t>
      </w:r>
      <w:r w:rsidRPr="00380A2E">
        <w:t xml:space="preserve">it is assumed for the purposes of this </w:t>
      </w:r>
      <w:r>
        <w:t>analysis</w:t>
      </w:r>
      <w:r w:rsidRPr="00380A2E">
        <w:t xml:space="preserve"> that the water quality in these wells provide</w:t>
      </w:r>
      <w:r>
        <w:t>s</w:t>
      </w:r>
      <w:r w:rsidRPr="00380A2E">
        <w:t xml:space="preserve"> a reasonable representation of overall ground water conditions</w:t>
      </w:r>
      <w:r>
        <w:t>.</w:t>
      </w:r>
    </w:p>
    <w:p w:rsidR="004B3323" w:rsidRPr="00380A2E" w:rsidRDefault="004B3323" w:rsidP="004B3323">
      <w:pPr>
        <w:pStyle w:val="Bodytext"/>
      </w:pPr>
    </w:p>
    <w:p w:rsidR="004B3323" w:rsidRDefault="004B3323" w:rsidP="004B3323">
      <w:pPr>
        <w:pStyle w:val="Bodytext"/>
      </w:pPr>
      <w:r w:rsidRPr="00380A2E">
        <w:t xml:space="preserve">The total basin area sampled for ground water conditions was estimated by assuming </w:t>
      </w:r>
      <w:r>
        <w:t xml:space="preserve">that </w:t>
      </w:r>
      <w:r w:rsidRPr="00380A2E">
        <w:t>each well represent</w:t>
      </w:r>
      <w:r>
        <w:t>ed</w:t>
      </w:r>
      <w:r w:rsidRPr="00380A2E">
        <w:t xml:space="preserve"> one square mile of the aquifer’s ground water.  These data were then added to estimate the </w:t>
      </w:r>
      <w:r w:rsidRPr="00FE03EA">
        <w:t>areal</w:t>
      </w:r>
      <w:r w:rsidRPr="00380A2E">
        <w:t xml:space="preserve"> extent (by percent) of the state’s </w:t>
      </w:r>
      <w:r>
        <w:t>ground water</w:t>
      </w:r>
      <w:r w:rsidRPr="00380A2E">
        <w:t>s that ar</w:t>
      </w:r>
      <w:r>
        <w:t xml:space="preserve">e sorted by two major categories, unconfined and confined.  </w:t>
      </w:r>
      <w:smartTag w:uri="urn:schemas-microsoft-com:office:smarttags" w:element="place">
        <w:smartTag w:uri="urn:schemas-microsoft-com:office:smarttags" w:element="State">
          <w:r>
            <w:t>Florida</w:t>
          </w:r>
        </w:smartTag>
      </w:smartTag>
      <w:r>
        <w:t xml:space="preserve">’s unconfined aquifers exist under water table conditions, are directly responsive to precipitation, and are more vulnerable to contaminant sources.  Confined aquifers are separated from the </w:t>
      </w:r>
      <w:r>
        <w:lastRenderedPageBreak/>
        <w:t xml:space="preserve">surface by geologic material (such as clay) that retards the downward and upward migration of water ,and thus are considered less vulnerable to contamination from the surface.  </w:t>
      </w:r>
      <w:r w:rsidRPr="00D76772">
        <w:rPr>
          <w:b/>
          <w:i/>
        </w:rPr>
        <w:t>Table 2</w:t>
      </w:r>
      <w:r>
        <w:rPr>
          <w:b/>
          <w:i/>
        </w:rPr>
        <w:t>8</w:t>
      </w:r>
      <w:r w:rsidRPr="00D76772">
        <w:rPr>
          <w:b/>
          <w:i/>
        </w:rPr>
        <w:t xml:space="preserve"> </w:t>
      </w:r>
      <w:r>
        <w:t>presents the results of this evaluation.</w:t>
      </w:r>
    </w:p>
    <w:p w:rsidR="004B3323" w:rsidRDefault="004B3323" w:rsidP="004B3323">
      <w:pPr>
        <w:rPr>
          <w:rFonts w:ascii="Arial" w:hAnsi="Arial" w:cs="Arial"/>
          <w:sz w:val="22"/>
          <w:szCs w:val="22"/>
        </w:rPr>
      </w:pPr>
    </w:p>
    <w:p w:rsidR="004B3323" w:rsidRDefault="004B3323" w:rsidP="004B3323">
      <w:pPr>
        <w:pStyle w:val="Bodytext"/>
      </w:pPr>
      <w:r w:rsidRPr="005B0A81">
        <w:t xml:space="preserve">In the statewide </w:t>
      </w:r>
      <w:r>
        <w:t>dataset</w:t>
      </w:r>
      <w:r w:rsidRPr="005B0A81">
        <w:t xml:space="preserve">, </w:t>
      </w:r>
      <w:r>
        <w:t xml:space="preserve">bacteria (as total coliform) and salinity (as sodium) were </w:t>
      </w:r>
      <w:r w:rsidRPr="005B0A81">
        <w:t>the analyte group</w:t>
      </w:r>
      <w:r>
        <w:t>s</w:t>
      </w:r>
      <w:r w:rsidRPr="005B0A81">
        <w:t xml:space="preserve"> with the fewest wells that </w:t>
      </w:r>
      <w:r>
        <w:t xml:space="preserve">were found to </w:t>
      </w:r>
      <w:r w:rsidRPr="005B0A81">
        <w:t>m</w:t>
      </w:r>
      <w:r>
        <w:t>e</w:t>
      </w:r>
      <w:r w:rsidRPr="005B0A81">
        <w:t>et their designated use</w:t>
      </w:r>
      <w:r>
        <w:t>s.</w:t>
      </w:r>
      <w:r w:rsidRPr="005B0A81">
        <w:t xml:space="preserve">  </w:t>
      </w:r>
      <w:r w:rsidRPr="00481345">
        <w:rPr>
          <w:b/>
          <w:i/>
        </w:rPr>
        <w:t>Table</w:t>
      </w:r>
      <w:r>
        <w:rPr>
          <w:b/>
          <w:i/>
        </w:rPr>
        <w:t xml:space="preserve"> G-1 </w:t>
      </w:r>
      <w:r>
        <w:t xml:space="preserve">in </w:t>
      </w:r>
      <w:r w:rsidRPr="004B656D">
        <w:rPr>
          <w:b/>
        </w:rPr>
        <w:t xml:space="preserve">Appendix </w:t>
      </w:r>
      <w:r>
        <w:rPr>
          <w:b/>
        </w:rPr>
        <w:t>G</w:t>
      </w:r>
      <w:r>
        <w:t xml:space="preserve"> provides the ground water MCLs.</w:t>
      </w:r>
    </w:p>
    <w:p w:rsidR="004B3323" w:rsidRPr="005B0A81" w:rsidRDefault="004B3323" w:rsidP="004B3323">
      <w:pPr>
        <w:pStyle w:val="Bodytext"/>
      </w:pPr>
    </w:p>
    <w:p w:rsidR="004B3323" w:rsidRPr="005B0A81" w:rsidRDefault="004B3323" w:rsidP="004B3323">
      <w:pPr>
        <w:pStyle w:val="Bodytext"/>
      </w:pPr>
      <w:r w:rsidRPr="005B0A81">
        <w:t>Coliform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also be scrutinized.  They are discussed in greater detail in the </w:t>
      </w:r>
      <w:r>
        <w:t xml:space="preserve">next section, </w:t>
      </w:r>
      <w:r w:rsidRPr="005B0A81">
        <w:t xml:space="preserve">on contaminants of concern.  The statewide assessment shows that wells in approximately </w:t>
      </w:r>
      <w:r>
        <w:t>approximately 20%</w:t>
      </w:r>
      <w:r w:rsidRPr="005B0A81">
        <w:t xml:space="preserve"> of the </w:t>
      </w:r>
      <w:r>
        <w:t xml:space="preserve">ground waters of the </w:t>
      </w:r>
      <w:r w:rsidRPr="005B0A81">
        <w:t>state exceed</w:t>
      </w:r>
      <w:r>
        <w:t>ed the MCL for total coliform.</w:t>
      </w:r>
    </w:p>
    <w:p w:rsidR="004B3323" w:rsidRDefault="004B3323" w:rsidP="004B3323">
      <w:pPr>
        <w:pStyle w:val="Bodytext"/>
      </w:pPr>
    </w:p>
    <w:p w:rsidR="004B3323" w:rsidRDefault="004B3323" w:rsidP="004B3323">
      <w:pPr>
        <w:rPr>
          <w:rFonts w:ascii="Arial" w:hAnsi="Arial" w:cs="Arial"/>
          <w:sz w:val="22"/>
          <w:szCs w:val="22"/>
        </w:rPr>
      </w:pPr>
      <w:r>
        <w:rPr>
          <w:rFonts w:ascii="Arial" w:hAnsi="Arial" w:cs="Arial"/>
          <w:sz w:val="22"/>
          <w:szCs w:val="22"/>
        </w:rPr>
        <w:br w:type="page"/>
      </w:r>
    </w:p>
    <w:p w:rsidR="004B3323" w:rsidRPr="00C41F03" w:rsidRDefault="004B3323" w:rsidP="004B3323">
      <w:pPr>
        <w:pStyle w:val="Tableheading"/>
      </w:pPr>
      <w:bookmarkStart w:id="18" w:name="_Toc190005282"/>
      <w:bookmarkStart w:id="19" w:name="_Toc209240669"/>
      <w:r w:rsidRPr="00C41F03">
        <w:lastRenderedPageBreak/>
        <w:t xml:space="preserve">Table </w:t>
      </w:r>
      <w:r>
        <w:t>28.</w:t>
      </w:r>
      <w:r w:rsidRPr="00C41F03">
        <w:t xml:space="preserve">  Indicator </w:t>
      </w:r>
      <w:r>
        <w:t>A</w:t>
      </w:r>
      <w:r w:rsidRPr="00C41F03">
        <w:t xml:space="preserve">nalytes and </w:t>
      </w:r>
      <w:r>
        <w:t>O</w:t>
      </w:r>
      <w:r w:rsidRPr="00C41F03">
        <w:t xml:space="preserve">verall </w:t>
      </w:r>
      <w:r>
        <w:t>G</w:t>
      </w:r>
      <w:r w:rsidRPr="00C41F03">
        <w:t xml:space="preserve">round </w:t>
      </w:r>
      <w:r>
        <w:t>W</w:t>
      </w:r>
      <w:r w:rsidRPr="00C41F03">
        <w:t xml:space="preserve">ater </w:t>
      </w:r>
      <w:r>
        <w:t>Q</w:t>
      </w:r>
      <w:r w:rsidRPr="00C41F03">
        <w:t xml:space="preserve">uality in </w:t>
      </w:r>
      <w:smartTag w:uri="urn:schemas-microsoft-com:office:smarttags" w:element="place">
        <w:smartTag w:uri="urn:schemas-microsoft-com:office:smarttags" w:element="State">
          <w:r w:rsidRPr="00C41F03">
            <w:t>Florida</w:t>
          </w:r>
        </w:smartTag>
      </w:smartTag>
      <w:r w:rsidRPr="00C41F03">
        <w:t xml:space="preserve">’s </w:t>
      </w:r>
      <w:r>
        <w:t>A</w:t>
      </w:r>
      <w:r w:rsidRPr="00C41F03">
        <w:t>quifers</w:t>
      </w:r>
      <w:bookmarkEnd w:id="18"/>
      <w:bookmarkEnd w:id="19"/>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3708"/>
        <w:gridCol w:w="5040"/>
      </w:tblGrid>
      <w:tr w:rsidR="004B3323" w:rsidRPr="00E76B4B" w:rsidTr="00067543">
        <w:trPr>
          <w:trHeight w:val="428"/>
        </w:trPr>
        <w:tc>
          <w:tcPr>
            <w:tcW w:w="3708" w:type="dxa"/>
            <w:vMerge w:val="restart"/>
            <w:shd w:val="clear" w:color="auto" w:fill="CCCCCC"/>
            <w:vAlign w:val="center"/>
          </w:tcPr>
          <w:p w:rsidR="004B3323" w:rsidRPr="00E76B4B" w:rsidRDefault="004B3323" w:rsidP="00067543">
            <w:pPr>
              <w:pStyle w:val="TableText"/>
              <w:jc w:val="center"/>
              <w:rPr>
                <w:b/>
                <w:bCs/>
                <w:i/>
                <w:szCs w:val="18"/>
              </w:rPr>
            </w:pPr>
            <w:r w:rsidRPr="00E76B4B">
              <w:rPr>
                <w:b/>
                <w:bCs/>
                <w:i/>
                <w:szCs w:val="18"/>
              </w:rPr>
              <w:t>Indicator Analyte</w:t>
            </w:r>
          </w:p>
        </w:tc>
        <w:tc>
          <w:tcPr>
            <w:tcW w:w="5040" w:type="dxa"/>
            <w:shd w:val="clear" w:color="auto" w:fill="CCCCCC"/>
            <w:vAlign w:val="center"/>
          </w:tcPr>
          <w:p w:rsidR="004B3323" w:rsidRPr="00E76B4B" w:rsidRDefault="004B3323" w:rsidP="00067543">
            <w:pPr>
              <w:pStyle w:val="TableText"/>
              <w:jc w:val="center"/>
              <w:rPr>
                <w:rFonts w:cs="Arial"/>
                <w:b/>
                <w:bCs/>
                <w:i/>
                <w:szCs w:val="18"/>
              </w:rPr>
            </w:pPr>
            <w:r w:rsidRPr="00E76B4B">
              <w:rPr>
                <w:rFonts w:cs="Arial"/>
                <w:b/>
                <w:bCs/>
                <w:i/>
                <w:iCs/>
                <w:szCs w:val="18"/>
              </w:rPr>
              <w:t>Statewide All Aquifers (sampled 2000–07)</w:t>
            </w:r>
          </w:p>
        </w:tc>
      </w:tr>
      <w:tr w:rsidR="004B3323" w:rsidRPr="00E76B4B" w:rsidTr="00067543">
        <w:trPr>
          <w:trHeight w:val="351"/>
        </w:trPr>
        <w:tc>
          <w:tcPr>
            <w:tcW w:w="3708" w:type="dxa"/>
            <w:vMerge/>
            <w:shd w:val="clear" w:color="auto" w:fill="CCCCCC"/>
            <w:vAlign w:val="center"/>
          </w:tcPr>
          <w:p w:rsidR="004B3323" w:rsidRPr="00E76B4B" w:rsidRDefault="004B3323" w:rsidP="00067543">
            <w:pPr>
              <w:pStyle w:val="TableText"/>
              <w:jc w:val="center"/>
              <w:rPr>
                <w:b/>
                <w:i/>
                <w:szCs w:val="18"/>
              </w:rPr>
            </w:pPr>
          </w:p>
        </w:tc>
        <w:tc>
          <w:tcPr>
            <w:tcW w:w="5040" w:type="dxa"/>
            <w:shd w:val="clear" w:color="auto" w:fill="F3F3F3"/>
            <w:vAlign w:val="center"/>
          </w:tcPr>
          <w:p w:rsidR="004B3323" w:rsidRPr="00E76B4B" w:rsidRDefault="004B3323" w:rsidP="00067543">
            <w:pPr>
              <w:pStyle w:val="TableText"/>
              <w:jc w:val="center"/>
              <w:rPr>
                <w:b/>
                <w:i/>
                <w:szCs w:val="18"/>
              </w:rPr>
            </w:pPr>
            <w:r w:rsidRPr="00E76B4B">
              <w:rPr>
                <w:b/>
                <w:i/>
                <w:szCs w:val="18"/>
              </w:rPr>
              <w:t>Status/Trends Networks</w:t>
            </w:r>
          </w:p>
        </w:tc>
      </w:tr>
      <w:tr w:rsidR="004B3323" w:rsidRPr="00E76B4B" w:rsidTr="00067543">
        <w:trPr>
          <w:trHeight w:val="933"/>
        </w:trPr>
        <w:tc>
          <w:tcPr>
            <w:tcW w:w="3708" w:type="dxa"/>
            <w:vMerge/>
            <w:shd w:val="clear" w:color="auto" w:fill="CCCCCC"/>
            <w:vAlign w:val="center"/>
          </w:tcPr>
          <w:p w:rsidR="004B3323" w:rsidRPr="00E76B4B" w:rsidRDefault="004B3323" w:rsidP="00067543">
            <w:pPr>
              <w:pStyle w:val="TableText"/>
              <w:jc w:val="center"/>
              <w:rPr>
                <w:b/>
                <w:i/>
                <w:szCs w:val="18"/>
              </w:rPr>
            </w:pPr>
          </w:p>
        </w:tc>
        <w:tc>
          <w:tcPr>
            <w:tcW w:w="5040" w:type="dxa"/>
            <w:shd w:val="clear" w:color="auto" w:fill="CCCCCC"/>
            <w:vAlign w:val="center"/>
          </w:tcPr>
          <w:p w:rsidR="004B3323" w:rsidRPr="00E76B4B" w:rsidRDefault="004B3323" w:rsidP="00067543">
            <w:pPr>
              <w:pStyle w:val="TableText"/>
              <w:jc w:val="center"/>
              <w:rPr>
                <w:rFonts w:cs="Arial"/>
                <w:b/>
                <w:i/>
                <w:szCs w:val="18"/>
              </w:rPr>
            </w:pPr>
            <w:r w:rsidRPr="00E76B4B">
              <w:rPr>
                <w:rFonts w:cs="Arial"/>
                <w:b/>
                <w:i/>
                <w:iCs/>
                <w:szCs w:val="18"/>
              </w:rPr>
              <w:t>Percent of Ground Water Samples in the State Meeting Designated Use in Confined (C) and Unconfined (U) Aquifers</w:t>
            </w:r>
          </w:p>
        </w:tc>
      </w:tr>
      <w:tr w:rsidR="004B3323" w:rsidRPr="00E76B4B" w:rsidTr="00067543">
        <w:trPr>
          <w:trHeight w:val="288"/>
        </w:trPr>
        <w:tc>
          <w:tcPr>
            <w:tcW w:w="3708" w:type="dxa"/>
            <w:shd w:val="clear" w:color="auto" w:fill="F3F3F3"/>
            <w:vAlign w:val="center"/>
          </w:tcPr>
          <w:p w:rsidR="004B3323" w:rsidRPr="00E76B4B" w:rsidRDefault="004B3323" w:rsidP="00067543">
            <w:pPr>
              <w:pStyle w:val="TableText"/>
              <w:jc w:val="center"/>
              <w:rPr>
                <w:rFonts w:cs="Arial"/>
                <w:szCs w:val="18"/>
              </w:rPr>
            </w:pPr>
            <w:r w:rsidRPr="00E76B4B">
              <w:rPr>
                <w:rFonts w:cs="Arial"/>
                <w:szCs w:val="18"/>
              </w:rPr>
              <w:t>Metals, Highest % MCL</w:t>
            </w:r>
          </w:p>
        </w:tc>
        <w:tc>
          <w:tcPr>
            <w:tcW w:w="5040" w:type="dxa"/>
            <w:shd w:val="clear" w:color="auto" w:fill="auto"/>
            <w:vAlign w:val="center"/>
          </w:tcPr>
          <w:p w:rsidR="004B3323" w:rsidRPr="00E76B4B" w:rsidRDefault="004B3323" w:rsidP="00067543">
            <w:pPr>
              <w:pStyle w:val="TableText"/>
              <w:jc w:val="center"/>
              <w:rPr>
                <w:rFonts w:cs="Arial"/>
                <w:szCs w:val="18"/>
              </w:rPr>
            </w:pPr>
            <w:r w:rsidRPr="00E76B4B">
              <w:rPr>
                <w:rFonts w:cs="Arial"/>
                <w:szCs w:val="18"/>
              </w:rPr>
              <w:t>97.9%(C); 96.4%(U); as lead</w:t>
            </w:r>
            <w:r w:rsidRPr="00E76B4B">
              <w:rPr>
                <w:rFonts w:cs="Arial"/>
                <w:szCs w:val="18"/>
                <w:vertAlign w:val="superscript"/>
              </w:rPr>
              <w:t>1</w:t>
            </w:r>
          </w:p>
        </w:tc>
      </w:tr>
      <w:tr w:rsidR="004B3323" w:rsidRPr="00E76B4B" w:rsidTr="00067543">
        <w:trPr>
          <w:trHeight w:val="288"/>
        </w:trPr>
        <w:tc>
          <w:tcPr>
            <w:tcW w:w="3708" w:type="dxa"/>
            <w:shd w:val="clear" w:color="auto" w:fill="F3F3F3"/>
            <w:vAlign w:val="center"/>
          </w:tcPr>
          <w:p w:rsidR="004B3323" w:rsidRPr="00E76B4B" w:rsidRDefault="004B3323" w:rsidP="00067543">
            <w:pPr>
              <w:pStyle w:val="TableText"/>
              <w:jc w:val="center"/>
              <w:rPr>
                <w:rFonts w:cs="Arial"/>
                <w:szCs w:val="18"/>
              </w:rPr>
            </w:pPr>
            <w:r w:rsidRPr="00E76B4B">
              <w:rPr>
                <w:rFonts w:cs="Arial"/>
                <w:szCs w:val="18"/>
              </w:rPr>
              <w:t>Metals, Arsenic</w:t>
            </w:r>
          </w:p>
        </w:tc>
        <w:tc>
          <w:tcPr>
            <w:tcW w:w="5040" w:type="dxa"/>
            <w:shd w:val="clear" w:color="auto" w:fill="auto"/>
            <w:vAlign w:val="center"/>
          </w:tcPr>
          <w:p w:rsidR="004B3323" w:rsidRPr="00E76B4B" w:rsidRDefault="004B3323" w:rsidP="00067543">
            <w:pPr>
              <w:pStyle w:val="TableText"/>
              <w:jc w:val="center"/>
              <w:rPr>
                <w:rFonts w:cs="Arial"/>
                <w:szCs w:val="18"/>
              </w:rPr>
            </w:pPr>
            <w:r w:rsidRPr="00E76B4B">
              <w:rPr>
                <w:rFonts w:cs="Arial"/>
                <w:szCs w:val="18"/>
              </w:rPr>
              <w:t>99.2%(C); 95.5%(U)</w:t>
            </w:r>
          </w:p>
        </w:tc>
      </w:tr>
      <w:tr w:rsidR="004B3323" w:rsidRPr="00E76B4B" w:rsidTr="00067543">
        <w:trPr>
          <w:trHeight w:val="288"/>
        </w:trPr>
        <w:tc>
          <w:tcPr>
            <w:tcW w:w="3708" w:type="dxa"/>
            <w:shd w:val="clear" w:color="auto" w:fill="F3F3F3"/>
            <w:vAlign w:val="center"/>
          </w:tcPr>
          <w:p w:rsidR="004B3323" w:rsidRPr="00E76B4B" w:rsidRDefault="004B3323" w:rsidP="00067543">
            <w:pPr>
              <w:pStyle w:val="TableText"/>
              <w:jc w:val="center"/>
              <w:rPr>
                <w:rFonts w:cs="Arial"/>
                <w:szCs w:val="18"/>
              </w:rPr>
            </w:pPr>
            <w:r w:rsidRPr="00E76B4B">
              <w:rPr>
                <w:rFonts w:cs="Arial"/>
                <w:szCs w:val="18"/>
              </w:rPr>
              <w:t>Total Coliform</w:t>
            </w:r>
          </w:p>
        </w:tc>
        <w:tc>
          <w:tcPr>
            <w:tcW w:w="5040" w:type="dxa"/>
            <w:shd w:val="clear" w:color="auto" w:fill="auto"/>
            <w:vAlign w:val="center"/>
          </w:tcPr>
          <w:p w:rsidR="004B3323" w:rsidRPr="00E76B4B" w:rsidRDefault="004B3323" w:rsidP="00067543">
            <w:pPr>
              <w:pStyle w:val="TableText"/>
              <w:jc w:val="center"/>
              <w:rPr>
                <w:rFonts w:cs="Arial"/>
                <w:szCs w:val="18"/>
              </w:rPr>
            </w:pPr>
            <w:r w:rsidRPr="00E76B4B">
              <w:rPr>
                <w:rFonts w:cs="Arial"/>
                <w:szCs w:val="18"/>
              </w:rPr>
              <w:t>84.3%(C); 76.8%(U)</w:t>
            </w:r>
          </w:p>
        </w:tc>
      </w:tr>
      <w:tr w:rsidR="004B3323" w:rsidRPr="00E76B4B" w:rsidTr="00067543">
        <w:trPr>
          <w:trHeight w:val="288"/>
        </w:trPr>
        <w:tc>
          <w:tcPr>
            <w:tcW w:w="3708" w:type="dxa"/>
            <w:shd w:val="clear" w:color="auto" w:fill="F3F3F3"/>
            <w:vAlign w:val="center"/>
          </w:tcPr>
          <w:p w:rsidR="004B3323" w:rsidRPr="00E76B4B" w:rsidRDefault="004B3323" w:rsidP="00067543">
            <w:pPr>
              <w:pStyle w:val="TableText"/>
              <w:jc w:val="center"/>
              <w:rPr>
                <w:rFonts w:cs="Arial"/>
                <w:szCs w:val="18"/>
              </w:rPr>
            </w:pPr>
            <w:r w:rsidRPr="00E76B4B">
              <w:rPr>
                <w:rFonts w:cs="Arial"/>
                <w:szCs w:val="18"/>
              </w:rPr>
              <w:t>Nitrates</w:t>
            </w:r>
          </w:p>
        </w:tc>
        <w:tc>
          <w:tcPr>
            <w:tcW w:w="5040" w:type="dxa"/>
            <w:shd w:val="clear" w:color="auto" w:fill="auto"/>
            <w:vAlign w:val="center"/>
          </w:tcPr>
          <w:p w:rsidR="004B3323" w:rsidRPr="00E76B4B" w:rsidRDefault="004B3323" w:rsidP="00067543">
            <w:pPr>
              <w:pStyle w:val="TableText"/>
              <w:jc w:val="center"/>
              <w:rPr>
                <w:rFonts w:cs="Arial"/>
                <w:szCs w:val="18"/>
              </w:rPr>
            </w:pPr>
            <w:r w:rsidRPr="00E76B4B">
              <w:rPr>
                <w:rFonts w:cs="Arial"/>
                <w:szCs w:val="18"/>
              </w:rPr>
              <w:t>100%(C); 98.20%(U)</w:t>
            </w:r>
          </w:p>
        </w:tc>
      </w:tr>
      <w:tr w:rsidR="004B3323" w:rsidRPr="00E76B4B" w:rsidTr="00067543">
        <w:trPr>
          <w:trHeight w:val="288"/>
        </w:trPr>
        <w:tc>
          <w:tcPr>
            <w:tcW w:w="3708" w:type="dxa"/>
            <w:shd w:val="clear" w:color="auto" w:fill="F3F3F3"/>
            <w:vAlign w:val="center"/>
          </w:tcPr>
          <w:p w:rsidR="004B3323" w:rsidRPr="00E76B4B" w:rsidRDefault="004B3323" w:rsidP="00067543">
            <w:pPr>
              <w:pStyle w:val="TableText"/>
              <w:jc w:val="center"/>
              <w:rPr>
                <w:rFonts w:cs="Arial"/>
                <w:szCs w:val="18"/>
              </w:rPr>
            </w:pPr>
            <w:r w:rsidRPr="00E76B4B">
              <w:rPr>
                <w:rFonts w:cs="Arial"/>
                <w:szCs w:val="18"/>
              </w:rPr>
              <w:t>Saline Water, Sodium</w:t>
            </w:r>
          </w:p>
        </w:tc>
        <w:tc>
          <w:tcPr>
            <w:tcW w:w="5040" w:type="dxa"/>
            <w:shd w:val="clear" w:color="auto" w:fill="auto"/>
            <w:vAlign w:val="center"/>
          </w:tcPr>
          <w:p w:rsidR="004B3323" w:rsidRPr="00E76B4B" w:rsidRDefault="004B3323" w:rsidP="00067543">
            <w:pPr>
              <w:pStyle w:val="TableText"/>
              <w:jc w:val="center"/>
              <w:rPr>
                <w:rFonts w:cs="Arial"/>
                <w:szCs w:val="18"/>
              </w:rPr>
            </w:pPr>
            <w:r w:rsidRPr="00E76B4B">
              <w:rPr>
                <w:rFonts w:cs="Arial"/>
                <w:szCs w:val="18"/>
              </w:rPr>
              <w:t>85%(C); 95.50%(U)</w:t>
            </w:r>
          </w:p>
        </w:tc>
      </w:tr>
    </w:tbl>
    <w:p w:rsidR="004B3323" w:rsidRPr="00D76772" w:rsidRDefault="004B3323" w:rsidP="004B3323">
      <w:pPr>
        <w:rPr>
          <w:rFonts w:ascii="Arial" w:hAnsi="Arial" w:cs="Arial"/>
          <w:b/>
          <w:sz w:val="16"/>
          <w:szCs w:val="16"/>
        </w:rPr>
      </w:pPr>
      <w:r w:rsidRPr="00D76772">
        <w:rPr>
          <w:rFonts w:ascii="Arial" w:hAnsi="Arial" w:cs="Arial"/>
          <w:b/>
          <w:sz w:val="16"/>
          <w:szCs w:val="16"/>
        </w:rPr>
        <w:t>Notes:</w:t>
      </w:r>
    </w:p>
    <w:p w:rsidR="004B3323" w:rsidRPr="00D76772" w:rsidRDefault="004B3323" w:rsidP="004B3323">
      <w:pPr>
        <w:rPr>
          <w:rFonts w:ascii="Arial" w:hAnsi="Arial" w:cs="Arial"/>
          <w:sz w:val="16"/>
          <w:szCs w:val="16"/>
        </w:rPr>
      </w:pPr>
      <w:r w:rsidRPr="00D76772">
        <w:rPr>
          <w:rFonts w:ascii="Arial" w:hAnsi="Arial" w:cs="Arial"/>
          <w:sz w:val="16"/>
          <w:szCs w:val="16"/>
        </w:rPr>
        <w:t xml:space="preserve">– The estimates in </w:t>
      </w:r>
      <w:r w:rsidRPr="00D76772">
        <w:rPr>
          <w:rFonts w:ascii="Arial" w:hAnsi="Arial" w:cs="Arial"/>
          <w:b/>
          <w:i/>
          <w:sz w:val="16"/>
          <w:szCs w:val="16"/>
        </w:rPr>
        <w:t>Table 2</w:t>
      </w:r>
      <w:r>
        <w:rPr>
          <w:rFonts w:ascii="Arial" w:hAnsi="Arial" w:cs="Arial"/>
          <w:b/>
          <w:i/>
          <w:sz w:val="16"/>
          <w:szCs w:val="16"/>
        </w:rPr>
        <w:t>8</w:t>
      </w:r>
      <w:r w:rsidRPr="00D76772">
        <w:rPr>
          <w:rFonts w:ascii="Arial" w:hAnsi="Arial" w:cs="Arial"/>
          <w:sz w:val="16"/>
          <w:szCs w:val="16"/>
        </w:rPr>
        <w:t xml:space="preserve"> may change as more ground water data become available.  </w:t>
      </w:r>
    </w:p>
    <w:p w:rsidR="004B3323" w:rsidRPr="00D76772" w:rsidRDefault="004B3323" w:rsidP="004B3323">
      <w:pPr>
        <w:rPr>
          <w:rFonts w:ascii="Arial" w:hAnsi="Arial" w:cs="Arial"/>
          <w:sz w:val="16"/>
          <w:szCs w:val="16"/>
        </w:rPr>
      </w:pPr>
      <w:r w:rsidRPr="00D76772">
        <w:rPr>
          <w:rFonts w:ascii="Arial" w:hAnsi="Arial" w:cs="Arial"/>
          <w:sz w:val="16"/>
          <w:szCs w:val="16"/>
        </w:rPr>
        <w:t xml:space="preserve">– Maximum value per well was used to produce a conservative assessment with equal representation from wells.  </w:t>
      </w:r>
    </w:p>
    <w:p w:rsidR="004B3323" w:rsidRPr="00CC326B" w:rsidRDefault="004B3323" w:rsidP="004B3323">
      <w:pPr>
        <w:rPr>
          <w:rFonts w:ascii="Arial" w:hAnsi="Arial" w:cs="Arial"/>
          <w:sz w:val="16"/>
          <w:szCs w:val="16"/>
        </w:rPr>
      </w:pPr>
      <w:r>
        <w:rPr>
          <w:rFonts w:ascii="Arial" w:hAnsi="Arial" w:cs="Arial"/>
          <w:sz w:val="16"/>
          <w:szCs w:val="16"/>
        </w:rPr>
        <w:t xml:space="preserve">– </w:t>
      </w:r>
      <w:r w:rsidRPr="00CC326B">
        <w:rPr>
          <w:rFonts w:ascii="Arial" w:hAnsi="Arial" w:cs="Arial"/>
          <w:sz w:val="16"/>
          <w:szCs w:val="16"/>
        </w:rPr>
        <w:t xml:space="preserve">Detection limits for some of the historical data may have been higher than current laboratory method detection limits.  </w:t>
      </w:r>
    </w:p>
    <w:p w:rsidR="004B3323" w:rsidRPr="00CC326B" w:rsidRDefault="004B3323" w:rsidP="004B3323">
      <w:pPr>
        <w:rPr>
          <w:rFonts w:ascii="Arial" w:hAnsi="Arial" w:cs="Arial"/>
          <w:sz w:val="16"/>
          <w:szCs w:val="16"/>
        </w:rPr>
      </w:pPr>
      <w:r>
        <w:rPr>
          <w:rFonts w:ascii="Arial" w:hAnsi="Arial" w:cs="Arial"/>
          <w:sz w:val="16"/>
          <w:szCs w:val="16"/>
        </w:rPr>
        <w:t xml:space="preserve">– </w:t>
      </w:r>
      <w:r w:rsidRPr="00CC326B">
        <w:rPr>
          <w:rFonts w:ascii="Arial" w:hAnsi="Arial" w:cs="Arial"/>
          <w:sz w:val="16"/>
          <w:szCs w:val="16"/>
        </w:rPr>
        <w:t xml:space="preserve">All values below the detection limit were consistently used at half the laboratory method detection limit.  In some cases, this may slightly affect the number of MCL </w:t>
      </w:r>
      <w:r>
        <w:rPr>
          <w:rFonts w:ascii="Arial" w:hAnsi="Arial" w:cs="Arial"/>
          <w:sz w:val="16"/>
          <w:szCs w:val="16"/>
        </w:rPr>
        <w:t>exceedance</w:t>
      </w:r>
      <w:r w:rsidRPr="00CC326B">
        <w:rPr>
          <w:rFonts w:ascii="Arial" w:hAnsi="Arial" w:cs="Arial"/>
          <w:sz w:val="16"/>
          <w:szCs w:val="16"/>
        </w:rPr>
        <w:t>s.</w:t>
      </w:r>
    </w:p>
    <w:p w:rsidR="004B3323" w:rsidRDefault="004B3323" w:rsidP="004B3323">
      <w:pPr>
        <w:rPr>
          <w:rFonts w:ascii="Arial" w:hAnsi="Arial" w:cs="Arial"/>
          <w:sz w:val="16"/>
          <w:szCs w:val="16"/>
        </w:rPr>
      </w:pPr>
      <w:r>
        <w:rPr>
          <w:rFonts w:ascii="Arial" w:hAnsi="Arial" w:cs="Arial"/>
          <w:sz w:val="16"/>
          <w:szCs w:val="16"/>
        </w:rPr>
        <w:t xml:space="preserve">– </w:t>
      </w:r>
      <w:r w:rsidRPr="00CC326B">
        <w:rPr>
          <w:rFonts w:ascii="Arial" w:hAnsi="Arial" w:cs="Arial"/>
          <w:sz w:val="16"/>
          <w:szCs w:val="16"/>
        </w:rPr>
        <w:t xml:space="preserve">There are </w:t>
      </w:r>
      <w:r>
        <w:rPr>
          <w:rFonts w:ascii="Arial" w:hAnsi="Arial" w:cs="Arial"/>
          <w:sz w:val="16"/>
          <w:szCs w:val="16"/>
        </w:rPr>
        <w:t>several</w:t>
      </w:r>
      <w:r w:rsidRPr="00CC326B">
        <w:rPr>
          <w:rFonts w:ascii="Arial" w:hAnsi="Arial" w:cs="Arial"/>
          <w:sz w:val="16"/>
          <w:szCs w:val="16"/>
        </w:rPr>
        <w:t xml:space="preserve"> metals that have </w:t>
      </w:r>
      <w:r>
        <w:rPr>
          <w:rFonts w:ascii="Arial" w:hAnsi="Arial" w:cs="Arial"/>
          <w:sz w:val="16"/>
          <w:szCs w:val="16"/>
        </w:rPr>
        <w:t xml:space="preserve">primary </w:t>
      </w:r>
      <w:r w:rsidRPr="00CC326B">
        <w:rPr>
          <w:rFonts w:ascii="Arial" w:hAnsi="Arial" w:cs="Arial"/>
          <w:sz w:val="16"/>
          <w:szCs w:val="16"/>
        </w:rPr>
        <w:t>ground water standards.  When all metals were assessed, the value used represents the metal with the highest number of samples exceeding</w:t>
      </w:r>
      <w:r>
        <w:rPr>
          <w:rFonts w:ascii="Arial" w:hAnsi="Arial" w:cs="Arial"/>
          <w:sz w:val="16"/>
          <w:szCs w:val="16"/>
        </w:rPr>
        <w:t xml:space="preserve"> its MCL</w:t>
      </w:r>
      <w:r w:rsidRPr="00CC326B">
        <w:rPr>
          <w:rFonts w:ascii="Arial" w:hAnsi="Arial" w:cs="Arial"/>
          <w:sz w:val="16"/>
          <w:szCs w:val="16"/>
        </w:rPr>
        <w:t xml:space="preserve">.  When there were no MCL </w:t>
      </w:r>
      <w:r>
        <w:rPr>
          <w:rFonts w:ascii="Arial" w:hAnsi="Arial" w:cs="Arial"/>
          <w:sz w:val="16"/>
          <w:szCs w:val="16"/>
        </w:rPr>
        <w:t>exceedance</w:t>
      </w:r>
      <w:r w:rsidRPr="00CC326B">
        <w:rPr>
          <w:rFonts w:ascii="Arial" w:hAnsi="Arial" w:cs="Arial"/>
          <w:sz w:val="16"/>
          <w:szCs w:val="16"/>
        </w:rPr>
        <w:t xml:space="preserve">s, the </w:t>
      </w:r>
      <w:r>
        <w:rPr>
          <w:rFonts w:ascii="Arial" w:hAnsi="Arial" w:cs="Arial"/>
          <w:sz w:val="16"/>
          <w:szCs w:val="16"/>
        </w:rPr>
        <w:t xml:space="preserve">primary </w:t>
      </w:r>
      <w:r w:rsidRPr="00CC326B">
        <w:rPr>
          <w:rFonts w:ascii="Arial" w:hAnsi="Arial" w:cs="Arial"/>
          <w:sz w:val="16"/>
          <w:szCs w:val="16"/>
        </w:rPr>
        <w:t>metal that was sampled most</w:t>
      </w:r>
      <w:r>
        <w:rPr>
          <w:rFonts w:ascii="Arial" w:hAnsi="Arial" w:cs="Arial"/>
          <w:sz w:val="16"/>
          <w:szCs w:val="16"/>
        </w:rPr>
        <w:t xml:space="preserve"> frequently </w:t>
      </w:r>
      <w:r w:rsidRPr="00CC326B">
        <w:rPr>
          <w:rFonts w:ascii="Arial" w:hAnsi="Arial" w:cs="Arial"/>
          <w:sz w:val="16"/>
          <w:szCs w:val="16"/>
        </w:rPr>
        <w:t>was used for calculations.</w:t>
      </w:r>
    </w:p>
    <w:p w:rsidR="004B3323" w:rsidRPr="00CC326B" w:rsidRDefault="004B3323" w:rsidP="004B3323">
      <w:pPr>
        <w:rPr>
          <w:rFonts w:ascii="Arial" w:hAnsi="Arial" w:cs="Arial"/>
          <w:sz w:val="16"/>
          <w:szCs w:val="16"/>
        </w:rPr>
      </w:pPr>
      <w:r w:rsidRPr="00CC326B">
        <w:rPr>
          <w:rFonts w:ascii="Arial" w:hAnsi="Arial" w:cs="Arial"/>
          <w:sz w:val="16"/>
          <w:szCs w:val="16"/>
        </w:rPr>
        <w:t xml:space="preserve">  </w:t>
      </w:r>
    </w:p>
    <w:p w:rsidR="004B3323" w:rsidRDefault="004B3323" w:rsidP="004B3323">
      <w:pPr>
        <w:pStyle w:val="TableText"/>
        <w:rPr>
          <w:sz w:val="16"/>
          <w:szCs w:val="16"/>
        </w:rPr>
      </w:pPr>
      <w:r w:rsidRPr="00072556">
        <w:rPr>
          <w:sz w:val="16"/>
          <w:szCs w:val="16"/>
          <w:vertAlign w:val="superscript"/>
        </w:rPr>
        <w:t>1</w:t>
      </w:r>
      <w:r>
        <w:rPr>
          <w:sz w:val="16"/>
          <w:szCs w:val="16"/>
        </w:rPr>
        <w:t xml:space="preserve"> </w:t>
      </w:r>
      <w:r w:rsidRPr="00072556">
        <w:rPr>
          <w:sz w:val="16"/>
          <w:szCs w:val="16"/>
        </w:rPr>
        <w:t xml:space="preserve">For metals, the greatest number of MCL exceedances was for lead.  However, lead </w:t>
      </w:r>
      <w:r>
        <w:rPr>
          <w:sz w:val="16"/>
          <w:szCs w:val="16"/>
        </w:rPr>
        <w:t xml:space="preserve">concentrations can be elevated due to </w:t>
      </w:r>
      <w:r w:rsidRPr="00072556">
        <w:rPr>
          <w:sz w:val="16"/>
          <w:szCs w:val="16"/>
        </w:rPr>
        <w:t>well/plumbing materials and quality assurance issues with sampling.</w:t>
      </w:r>
    </w:p>
    <w:p w:rsidR="004B3323" w:rsidRPr="00D95715" w:rsidRDefault="004B3323" w:rsidP="004B3323">
      <w:pPr>
        <w:pStyle w:val="TableText"/>
        <w:rPr>
          <w:sz w:val="16"/>
          <w:szCs w:val="16"/>
        </w:rPr>
      </w:pPr>
      <w:r w:rsidRPr="00D95715">
        <w:rPr>
          <w:sz w:val="16"/>
          <w:szCs w:val="16"/>
          <w:vertAlign w:val="superscript"/>
        </w:rPr>
        <w:t>2</w:t>
      </w:r>
      <w:r w:rsidRPr="00D95715">
        <w:rPr>
          <w:sz w:val="16"/>
          <w:szCs w:val="16"/>
        </w:rPr>
        <w:t xml:space="preserve"> For arsenic, the greatest number of MCL exceedances could be due to anthropogenic or natural abundances</w:t>
      </w:r>
      <w:r>
        <w:rPr>
          <w:sz w:val="16"/>
          <w:szCs w:val="16"/>
        </w:rPr>
        <w:t>,</w:t>
      </w:r>
      <w:r w:rsidRPr="00D95715">
        <w:rPr>
          <w:sz w:val="16"/>
          <w:szCs w:val="16"/>
        </w:rPr>
        <w:t xml:space="preserve"> or a combination of both.  </w:t>
      </w:r>
    </w:p>
    <w:p w:rsidR="004B3323" w:rsidRPr="00072556" w:rsidRDefault="004B3323" w:rsidP="004B3323">
      <w:pPr>
        <w:pStyle w:val="TableText"/>
        <w:rPr>
          <w:sz w:val="16"/>
          <w:szCs w:val="16"/>
        </w:rPr>
      </w:pPr>
      <w:r w:rsidRPr="00D95715">
        <w:rPr>
          <w:sz w:val="16"/>
          <w:szCs w:val="16"/>
          <w:vertAlign w:val="superscript"/>
        </w:rPr>
        <w:t>3</w:t>
      </w:r>
      <w:r w:rsidRPr="00072556">
        <w:rPr>
          <w:sz w:val="16"/>
          <w:szCs w:val="16"/>
        </w:rPr>
        <w:t xml:space="preserve"> </w:t>
      </w:r>
    </w:p>
    <w:p w:rsidR="004B3323" w:rsidRDefault="004B3323" w:rsidP="004B3323">
      <w:pPr>
        <w:pStyle w:val="TableText"/>
        <w:rPr>
          <w:sz w:val="16"/>
          <w:szCs w:val="16"/>
        </w:rPr>
      </w:pPr>
    </w:p>
    <w:p w:rsidR="004B3323" w:rsidRPr="00072556" w:rsidRDefault="004B3323" w:rsidP="004B3323">
      <w:pPr>
        <w:pStyle w:val="TableText"/>
        <w:rPr>
          <w:sz w:val="16"/>
          <w:szCs w:val="16"/>
        </w:rPr>
      </w:pPr>
    </w:p>
    <w:p w:rsidR="004B3323" w:rsidRDefault="004B3323" w:rsidP="004B3323">
      <w:pPr>
        <w:pStyle w:val="Bodytext"/>
        <w:rPr>
          <w:rFonts w:cs="Arial"/>
          <w:szCs w:val="22"/>
        </w:rPr>
      </w:pPr>
      <w:r w:rsidRPr="006A0BE8">
        <w:t>Sodium can be used as an indicator for saline ground water when freshwater aquifers ar</w:t>
      </w:r>
      <w:r>
        <w:t>e threatened by salt</w:t>
      </w:r>
      <w:r w:rsidRPr="006A0BE8">
        <w:t xml:space="preserve">water intrusion.  The issues with salt water can be related to increased ground water usage that creates </w:t>
      </w:r>
      <w:r>
        <w:t xml:space="preserve">the </w:t>
      </w:r>
      <w:r w:rsidRPr="006A0BE8">
        <w:t xml:space="preserve">upconing of mineralized ground water from deeper aquifers or seawater intrusion if wells are located in coastal areas.  Saline water (as sodium) may be a </w:t>
      </w:r>
      <w:r>
        <w:rPr>
          <w:rFonts w:cs="Arial"/>
          <w:szCs w:val="22"/>
        </w:rPr>
        <w:t>concern in confined-aquifer ground water in approximately 15</w:t>
      </w:r>
      <w:r w:rsidRPr="006A0BE8">
        <w:rPr>
          <w:rFonts w:cs="Arial"/>
          <w:szCs w:val="22"/>
        </w:rPr>
        <w:t>%</w:t>
      </w:r>
      <w:r>
        <w:t xml:space="preserve"> </w:t>
      </w:r>
      <w:r w:rsidRPr="006A0BE8">
        <w:rPr>
          <w:rFonts w:cs="Arial"/>
          <w:szCs w:val="22"/>
        </w:rPr>
        <w:t xml:space="preserve">of the state, based on statewide statistics.  </w:t>
      </w:r>
      <w:r>
        <w:rPr>
          <w:rFonts w:cs="Arial"/>
          <w:szCs w:val="22"/>
        </w:rPr>
        <w:t>However, the number for unconfined aquifers was much lower.</w:t>
      </w:r>
    </w:p>
    <w:p w:rsidR="004B3323" w:rsidRDefault="004B3323" w:rsidP="004B3323">
      <w:pPr>
        <w:pStyle w:val="Bodytext"/>
      </w:pPr>
    </w:p>
    <w:p w:rsidR="004B3323" w:rsidRDefault="004B3323" w:rsidP="004B3323">
      <w:pPr>
        <w:pStyle w:val="Bodytext"/>
      </w:pPr>
      <w:r>
        <w:t>One or more metals exceeding a primary ground water MCL was found to occur in 4.5% of the unconfined-aquifer wells, with the most prevalent metals exceedances for lead and arsenic.  Lead detections are sometimes related to well casing or plumbing material, but arsenic is most frequently associated with a contaminant source or natural condition in the aquifer when it is found at concentrations above its MCL.</w:t>
      </w:r>
    </w:p>
    <w:p w:rsidR="004B3323" w:rsidRPr="005B0A81" w:rsidRDefault="004B3323" w:rsidP="004B3323">
      <w:pPr>
        <w:pStyle w:val="Bodytext"/>
      </w:pPr>
    </w:p>
    <w:p w:rsidR="004B3323" w:rsidRPr="005B0A81" w:rsidRDefault="004B3323" w:rsidP="004B3323">
      <w:pPr>
        <w:pStyle w:val="Bodytext"/>
      </w:pPr>
      <w:r w:rsidRPr="005B0A81">
        <w:t xml:space="preserve">Nitrate is a conservative contaminant, and detected concentrations are not typically biased by well materials or sampling technique.  Elevated nitrate detections reflect the presence of nutrient sources such as fertilizers, animal waste, or domestic wastewater.  According to the statewide assessment, nitrates above MCLs would be a concern in </w:t>
      </w:r>
      <w:r>
        <w:t>fewer</w:t>
      </w:r>
      <w:r w:rsidRPr="005B0A81">
        <w:t xml:space="preserve"> than </w:t>
      </w:r>
      <w:r>
        <w:t>2</w:t>
      </w:r>
      <w:r w:rsidRPr="005B0A81">
        <w:t xml:space="preserve">% of the </w:t>
      </w:r>
      <w:r>
        <w:t>unconfined wells</w:t>
      </w:r>
      <w:r w:rsidRPr="005B0A81">
        <w:t>.</w:t>
      </w:r>
    </w:p>
    <w:p w:rsidR="004B3323" w:rsidRPr="006A0BE8" w:rsidRDefault="004B3323" w:rsidP="004B3323">
      <w:pPr>
        <w:pStyle w:val="Bodytext"/>
      </w:pPr>
    </w:p>
    <w:p w:rsidR="004B3323" w:rsidRDefault="004B3323" w:rsidP="004B3323">
      <w:pPr>
        <w:pStyle w:val="Bodytext"/>
      </w:pPr>
      <w:r>
        <w:t>This</w:t>
      </w:r>
      <w:r w:rsidRPr="00C328E1">
        <w:t xml:space="preserve"> </w:t>
      </w:r>
      <w:r>
        <w:t xml:space="preserve">generalized </w:t>
      </w:r>
      <w:r w:rsidRPr="00C328E1">
        <w:t xml:space="preserve">analysis shows that overall ground water quality in the state is good, when considering these parameters. </w:t>
      </w:r>
      <w:r>
        <w:t xml:space="preserve"> The statewide assessment suggests that over </w:t>
      </w:r>
      <w:r>
        <w:lastRenderedPageBreak/>
        <w:t xml:space="preserve">84% of the confined aquifers and over 76% of the unconfined aquifers meet their designated use, with coliform bacteria being the most limiting contaminant.  Excluding bacteria, 85% of the confined and 95% of the unconfined aquifers meet their designated use of providing potable water.  However, this analysis indicates that there are some ground water quality issues in the state, and, depending on the contaminant, they can occur on a localized or regional scale .  The following section describes the contaminants of concern in </w:t>
      </w:r>
      <w:smartTag w:uri="urn:schemas-microsoft-com:office:smarttags" w:element="place">
        <w:smartTag w:uri="urn:schemas-microsoft-com:office:smarttags" w:element="State">
          <w:r>
            <w:t>Florida</w:t>
          </w:r>
        </w:smartTag>
      </w:smartTag>
      <w:r>
        <w:t xml:space="preserve"> and their observed occurrence in potable ground waters.</w:t>
      </w:r>
    </w:p>
    <w:p w:rsidR="004B3323" w:rsidRPr="00C328E1" w:rsidRDefault="004B3323" w:rsidP="004B3323">
      <w:pPr>
        <w:pStyle w:val="Bodytext"/>
        <w:rPr>
          <w:i/>
          <w:szCs w:val="22"/>
        </w:rPr>
      </w:pPr>
    </w:p>
    <w:p w:rsidR="004B3323" w:rsidRDefault="004B3323" w:rsidP="004B3323">
      <w:pPr>
        <w:pStyle w:val="ListBullet"/>
        <w:numPr>
          <w:ilvl w:val="0"/>
          <w:numId w:val="0"/>
        </w:numPr>
      </w:pPr>
      <w:bookmarkStart w:id="20" w:name="_Toc190052694"/>
      <w:bookmarkStart w:id="21" w:name="_Toc209241279"/>
      <w:r w:rsidRPr="00207F00">
        <w:rPr>
          <w:rStyle w:val="Heading3Char"/>
        </w:rPr>
        <w:t xml:space="preserve">Ground </w:t>
      </w:r>
      <w:r>
        <w:rPr>
          <w:rStyle w:val="Heading3Char"/>
        </w:rPr>
        <w:t>W</w:t>
      </w:r>
      <w:r w:rsidRPr="00207F00">
        <w:rPr>
          <w:rStyle w:val="Heading3Char"/>
        </w:rPr>
        <w:t xml:space="preserve">ater </w:t>
      </w:r>
      <w:r>
        <w:rPr>
          <w:rStyle w:val="Heading3Char"/>
        </w:rPr>
        <w:t>Q</w:t>
      </w:r>
      <w:r w:rsidRPr="00207F00">
        <w:rPr>
          <w:rStyle w:val="Heading3Char"/>
        </w:rPr>
        <w:t xml:space="preserve">uality </w:t>
      </w:r>
      <w:r>
        <w:rPr>
          <w:rStyle w:val="Heading3Char"/>
        </w:rPr>
        <w:t>I</w:t>
      </w:r>
      <w:r w:rsidRPr="00207F00">
        <w:rPr>
          <w:rStyle w:val="Heading3Char"/>
        </w:rPr>
        <w:t xml:space="preserve">ssues and </w:t>
      </w:r>
      <w:r>
        <w:rPr>
          <w:rStyle w:val="Heading3Char"/>
        </w:rPr>
        <w:t>C</w:t>
      </w:r>
      <w:r w:rsidRPr="00207F00">
        <w:rPr>
          <w:rStyle w:val="Heading3Char"/>
        </w:rPr>
        <w:t xml:space="preserve">ontaminants of </w:t>
      </w:r>
      <w:r>
        <w:rPr>
          <w:rStyle w:val="Heading3Char"/>
        </w:rPr>
        <w:t>C</w:t>
      </w:r>
      <w:r w:rsidRPr="00207F00">
        <w:rPr>
          <w:rStyle w:val="Heading3Char"/>
        </w:rPr>
        <w:t xml:space="preserve">oncern, </w:t>
      </w:r>
      <w:r>
        <w:rPr>
          <w:rStyle w:val="Heading3Char"/>
        </w:rPr>
        <w:t>I</w:t>
      </w:r>
      <w:r w:rsidRPr="00207F00">
        <w:rPr>
          <w:rStyle w:val="Heading3Char"/>
        </w:rPr>
        <w:t xml:space="preserve">ncluding </w:t>
      </w:r>
      <w:r>
        <w:rPr>
          <w:rStyle w:val="Heading3Char"/>
        </w:rPr>
        <w:t>P</w:t>
      </w:r>
      <w:r w:rsidRPr="00207F00">
        <w:rPr>
          <w:rStyle w:val="Heading3Char"/>
        </w:rPr>
        <w:t xml:space="preserve">ublic </w:t>
      </w:r>
      <w:r>
        <w:rPr>
          <w:rStyle w:val="Heading3Char"/>
        </w:rPr>
        <w:t>H</w:t>
      </w:r>
      <w:r w:rsidRPr="00207F00">
        <w:rPr>
          <w:rStyle w:val="Heading3Char"/>
        </w:rPr>
        <w:t xml:space="preserve">ealth </w:t>
      </w:r>
      <w:r>
        <w:rPr>
          <w:rStyle w:val="Heading3Char"/>
        </w:rPr>
        <w:t>I</w:t>
      </w:r>
      <w:r w:rsidRPr="00207F00">
        <w:rPr>
          <w:rStyle w:val="Heading3Char"/>
        </w:rPr>
        <w:t>ssues</w:t>
      </w:r>
      <w:bookmarkEnd w:id="20"/>
      <w:bookmarkEnd w:id="21"/>
    </w:p>
    <w:p w:rsidR="004B3323" w:rsidRPr="009D0424" w:rsidRDefault="004B3323" w:rsidP="004B3323">
      <w:pPr>
        <w:pStyle w:val="Bodytext"/>
      </w:pPr>
      <w:r>
        <w:t>As discussed in the analysis of ambient data</w:t>
      </w:r>
      <w:r w:rsidRPr="009D0424">
        <w:t xml:space="preserve">, the overall quality of ground water in </w:t>
      </w:r>
      <w:smartTag w:uri="urn:schemas-microsoft-com:office:smarttags" w:element="place">
        <w:smartTag w:uri="urn:schemas-microsoft-com:office:smarttags" w:element="State">
          <w:r w:rsidRPr="009D0424">
            <w:t>Florida</w:t>
          </w:r>
        </w:smartTag>
      </w:smartTag>
      <w:r w:rsidRPr="009D0424">
        <w:t xml:space="preserve"> is good</w:t>
      </w:r>
      <w:r>
        <w:t>.  However</w:t>
      </w:r>
      <w:r w:rsidRPr="009D0424">
        <w:t>,</w:t>
      </w:r>
      <w:r>
        <w:t xml:space="preserve"> there are ground </w:t>
      </w:r>
      <w:r w:rsidRPr="009D0424">
        <w:t xml:space="preserve">water quality issues </w:t>
      </w:r>
      <w:r>
        <w:t>in</w:t>
      </w:r>
      <w:r w:rsidRPr="009D0424">
        <w:t xml:space="preserve"> specific areas.  </w:t>
      </w:r>
      <w:r>
        <w:t>M</w:t>
      </w:r>
      <w:r w:rsidRPr="009D0424">
        <w:t xml:space="preserve">onitoring networks, private well sampling data, and water quality data from public water systems that are served by ground water were used to develop a summary of the </w:t>
      </w:r>
      <w:r>
        <w:t>categories of</w:t>
      </w:r>
      <w:r w:rsidRPr="009D0424">
        <w:t xml:space="preserve"> parameters </w:t>
      </w:r>
      <w:r>
        <w:t>that were most frequently found at levels exceeding MCLs in potable water aquifers</w:t>
      </w:r>
      <w:r w:rsidRPr="009D0424">
        <w:t xml:space="preserve">.  These detections help shape </w:t>
      </w:r>
      <w:r>
        <w:t xml:space="preserve">some of </w:t>
      </w:r>
      <w:r w:rsidRPr="009D0424">
        <w:t xml:space="preserve">the issues that pose the most significant concern to potable ground water </w:t>
      </w:r>
      <w:r>
        <w:t>resources</w:t>
      </w:r>
      <w:r w:rsidRPr="009D0424">
        <w:t xml:space="preserve">.  </w:t>
      </w:r>
      <w:r w:rsidRPr="000A42AD">
        <w:rPr>
          <w:b/>
          <w:i/>
        </w:rPr>
        <w:t xml:space="preserve">Figure </w:t>
      </w:r>
      <w:r>
        <w:rPr>
          <w:b/>
          <w:i/>
        </w:rPr>
        <w:t>7</w:t>
      </w:r>
      <w:r>
        <w:t xml:space="preserve"> provides a statewide summary of findings by contaminant category.  </w:t>
      </w:r>
      <w:r w:rsidRPr="000A42AD">
        <w:rPr>
          <w:b/>
          <w:i/>
        </w:rPr>
        <w:t xml:space="preserve">Table </w:t>
      </w:r>
      <w:r>
        <w:rPr>
          <w:b/>
          <w:i/>
        </w:rPr>
        <w:t xml:space="preserve">29 </w:t>
      </w:r>
      <w:r w:rsidRPr="009D0424">
        <w:t>provides summary information on contaminant</w:t>
      </w:r>
      <w:r>
        <w:t xml:space="preserve"> categories</w:t>
      </w:r>
      <w:r w:rsidRPr="009D0424">
        <w:t xml:space="preserve"> in </w:t>
      </w:r>
      <w:r>
        <w:t xml:space="preserve">each of </w:t>
      </w:r>
      <w:r w:rsidRPr="009D0424">
        <w:t xml:space="preserve">the </w:t>
      </w:r>
      <w:r>
        <w:t xml:space="preserve">state’s </w:t>
      </w:r>
      <w:r w:rsidRPr="009D0424">
        <w:t xml:space="preserve">29 major basins.  </w:t>
      </w:r>
      <w:r>
        <w:t>These</w:t>
      </w:r>
      <w:r w:rsidRPr="009D0424">
        <w:t xml:space="preserve"> categories include volatile organic compounds (VOC</w:t>
      </w:r>
      <w:r>
        <w:t>s</w:t>
      </w:r>
      <w:r w:rsidRPr="009D0424">
        <w:t>), pesticides/synthetic organic chemicals (SOC</w:t>
      </w:r>
      <w:r>
        <w:t>s</w:t>
      </w:r>
      <w:r w:rsidRPr="009D0424">
        <w:t xml:space="preserve">), nitrates, primary metals, </w:t>
      </w:r>
      <w:r>
        <w:t>salinity (as measured by sodium concentrations), and radionuclides</w:t>
      </w:r>
      <w:r w:rsidRPr="009D0424">
        <w:t xml:space="preserve">.  </w:t>
      </w:r>
      <w:r>
        <w:t>The specific contaminants included in this evaluation have potable ground water MCLs.  Although not included in the summary table, trihalomethanes and bacteria are</w:t>
      </w:r>
      <w:r w:rsidRPr="009D0424">
        <w:t xml:space="preserve"> </w:t>
      </w:r>
      <w:r>
        <w:t>significant contaminants affecting water supplies, and they are also discussed in this section</w:t>
      </w:r>
      <w:r w:rsidRPr="009D0424">
        <w:t>.</w:t>
      </w:r>
    </w:p>
    <w:p w:rsidR="004B3323" w:rsidRDefault="004B3323" w:rsidP="004B3323">
      <w:pPr>
        <w:pStyle w:val="Bodytext"/>
      </w:pPr>
    </w:p>
    <w:p w:rsidR="004B3323" w:rsidRPr="0022785D" w:rsidRDefault="004B3323" w:rsidP="004B3323">
      <w:pPr>
        <w:pStyle w:val="Heading4"/>
      </w:pPr>
      <w:bookmarkStart w:id="22" w:name="_Toc190052695"/>
      <w:bookmarkStart w:id="23" w:name="_Toc209241280"/>
      <w:r w:rsidRPr="0022785D">
        <w:t>Volatile Organic</w:t>
      </w:r>
      <w:r>
        <w:t xml:space="preserve"> Compound</w:t>
      </w:r>
      <w:r w:rsidRPr="0022785D">
        <w:t>s</w:t>
      </w:r>
      <w:bookmarkEnd w:id="22"/>
      <w:bookmarkEnd w:id="23"/>
    </w:p>
    <w:p w:rsidR="004B3323" w:rsidRDefault="004B3323" w:rsidP="004B3323">
      <w:pPr>
        <w:pStyle w:val="Bodytext"/>
      </w:pPr>
      <w:r w:rsidRPr="009D0424">
        <w:t>Volatile organics can be highly mobile and persistent in ground water</w:t>
      </w:r>
      <w:r>
        <w:t>,</w:t>
      </w:r>
      <w:r w:rsidRPr="009D0424">
        <w:t xml:space="preserve"> and incidences of ground water contamination </w:t>
      </w:r>
      <w:r>
        <w:t xml:space="preserve">by VOCs </w:t>
      </w:r>
      <w:r w:rsidRPr="009D0424">
        <w:t xml:space="preserve">are widespread.  </w:t>
      </w:r>
      <w:r w:rsidRPr="000A42AD">
        <w:rPr>
          <w:b/>
          <w:i/>
        </w:rPr>
        <w:t xml:space="preserve">Table </w:t>
      </w:r>
      <w:r>
        <w:rPr>
          <w:b/>
          <w:i/>
        </w:rPr>
        <w:t xml:space="preserve">29 </w:t>
      </w:r>
      <w:r>
        <w:t>summarizes t</w:t>
      </w:r>
      <w:r w:rsidRPr="009D0424">
        <w:t xml:space="preserve">he </w:t>
      </w:r>
      <w:r>
        <w:t xml:space="preserve">numbers of water systems or wells with above-MCL </w:t>
      </w:r>
      <w:r w:rsidRPr="009D0424">
        <w:t>detections of VOCs that have primary drinking water MCLs in aquifers used for potable supply.</w:t>
      </w:r>
      <w:r>
        <w:t xml:space="preserve">  The greatest numbers of public water systems with above-MCL VOC detections were in the Ocklawaha (23 systems), Middle St. Johns (16 systems), and Tampa Bay Tributaries (14 systems) Basins.  The largest numbers of MCL exceedances in private wells were in the </w:t>
      </w:r>
      <w:smartTag w:uri="urn:schemas-microsoft-com:office:smarttags" w:element="place">
        <w:r>
          <w:t>Lower St. Johns</w:t>
        </w:r>
      </w:smartTag>
      <w:r>
        <w:t xml:space="preserve"> (184), Tampa Bay Tributaries (158 wells), Sarasota Bay–Peace–Myakka (158 wells), and Middle St. Johns (139 wells) Basins.  The largest number of Status Network wells with above-MCL VOC detections occurred in the Lake Worth Lagoon–Palm Beach Coast and Sarasota Bay–Peace–Myakka Basins(5 wells each).</w:t>
      </w:r>
    </w:p>
    <w:p w:rsidR="004B3323" w:rsidRDefault="004B3323" w:rsidP="004B3323">
      <w:pPr>
        <w:pStyle w:val="Bodytext"/>
      </w:pPr>
    </w:p>
    <w:p w:rsidR="004B3323" w:rsidRDefault="004B3323" w:rsidP="004B3323">
      <w:pPr>
        <w:pStyle w:val="Bodytext"/>
        <w:rPr>
          <w:rFonts w:cs="Arial"/>
          <w:b/>
          <w:sz w:val="18"/>
          <w:szCs w:val="18"/>
        </w:rPr>
      </w:pPr>
      <w:r>
        <w:t xml:space="preserve">Benzene was the compound that most frequently exceeded MCLs in each of the three sets of water quality data.  Trichloroethene (TCE) was the second most frequently detected compound above MCLs in the PWS and WSRP datasets, closely followed by tetrachloroethene (PCE, which was the second most frequently detected compound in the state monitoring networks).  Other compounds with primary MCLs that were </w:t>
      </w:r>
      <w:r>
        <w:lastRenderedPageBreak/>
        <w:t xml:space="preserve">detected included vinyl chloride, dichloromethane, 1,1-dichloroethene, 1,2-dichloroethane, and carbon tetrachloride (in PWS systems only).  The most frequently repeated detections in public water systems occurred in the basins of southeastern </w:t>
      </w:r>
      <w:smartTag w:uri="urn:schemas-microsoft-com:office:smarttags" w:element="place">
        <w:smartTag w:uri="urn:schemas-microsoft-com:office:smarttags" w:element="State">
          <w:r>
            <w:t>Florida</w:t>
          </w:r>
        </w:smartTag>
      </w:smartTag>
      <w:r>
        <w:t>, with the primary compounds being vinyl chloride and TCE.</w:t>
      </w:r>
    </w:p>
    <w:p w:rsidR="004B3323" w:rsidRDefault="004B3323" w:rsidP="004B3323">
      <w:pPr>
        <w:pStyle w:val="Bodytext"/>
      </w:pPr>
    </w:p>
    <w:p w:rsidR="004B3323" w:rsidRDefault="004B3323" w:rsidP="004B3323">
      <w:pPr>
        <w:pStyle w:val="Bodytext"/>
      </w:pPr>
      <w:r>
        <w:br w:type="page"/>
      </w:r>
    </w:p>
    <w:p w:rsidR="004B3323" w:rsidRDefault="004B3323" w:rsidP="004B3323">
      <w:pPr>
        <w:pStyle w:val="Caption"/>
      </w:pPr>
      <w:bookmarkStart w:id="24" w:name="_Toc190005300"/>
      <w:bookmarkStart w:id="25" w:name="_Toc209240682"/>
      <w:r w:rsidRPr="00C2428A">
        <w:lastRenderedPageBreak/>
        <w:t xml:space="preserve">Figure </w:t>
      </w:r>
      <w:r>
        <w:t>7.</w:t>
      </w:r>
      <w:r w:rsidRPr="00C2428A">
        <w:t xml:space="preserve">  Statewide Summary of Contaminants of Concern in Potable Ground Water Sources</w:t>
      </w:r>
      <w:bookmarkEnd w:id="24"/>
      <w:bookmarkEnd w:id="25"/>
    </w:p>
    <w:p w:rsidR="004B3323" w:rsidRPr="0022785D" w:rsidRDefault="004B3323" w:rsidP="004B3323">
      <w:pPr>
        <w:pStyle w:val="ListBullet"/>
        <w:numPr>
          <w:ilvl w:val="0"/>
          <w:numId w:val="0"/>
        </w:numPr>
        <w:tabs>
          <w:tab w:val="left" w:pos="2805"/>
        </w:tabs>
        <w:rPr>
          <w:rFonts w:cs="Arial"/>
          <w:b/>
          <w:szCs w:val="20"/>
          <w:u w:val="single"/>
        </w:rPr>
      </w:pPr>
      <w:r>
        <w:rPr>
          <w:noProof/>
        </w:rPr>
        <w:drawing>
          <wp:anchor distT="0" distB="0" distL="114300" distR="114300" simplePos="0" relativeHeight="251660288" behindDoc="0" locked="0" layoutInCell="1" allowOverlap="1">
            <wp:simplePos x="0" y="0"/>
            <wp:positionH relativeFrom="column">
              <wp:align>center</wp:align>
            </wp:positionH>
            <wp:positionV relativeFrom="paragraph">
              <wp:posOffset>0</wp:posOffset>
            </wp:positionV>
            <wp:extent cx="6172200" cy="399097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t="12711"/>
                    <a:stretch>
                      <a:fillRect/>
                    </a:stretch>
                  </pic:blipFill>
                  <pic:spPr bwMode="auto">
                    <a:xfrm>
                      <a:off x="0" y="0"/>
                      <a:ext cx="6172200" cy="3990975"/>
                    </a:xfrm>
                    <a:prstGeom prst="rect">
                      <a:avLst/>
                    </a:prstGeom>
                    <a:noFill/>
                    <a:ln w="9525">
                      <a:noFill/>
                      <a:miter lim="800000"/>
                      <a:headEnd/>
                      <a:tailEnd/>
                    </a:ln>
                  </pic:spPr>
                </pic:pic>
              </a:graphicData>
            </a:graphic>
          </wp:anchor>
        </w:drawing>
      </w:r>
    </w:p>
    <w:p w:rsidR="004B3323" w:rsidRPr="00A94430" w:rsidRDefault="004B3323" w:rsidP="004B3323">
      <w:pPr>
        <w:rPr>
          <w:rFonts w:ascii="Arial" w:hAnsi="Arial" w:cs="Arial"/>
          <w:b/>
          <w:sz w:val="16"/>
          <w:szCs w:val="16"/>
        </w:rPr>
      </w:pPr>
      <w:r>
        <w:t xml:space="preserve">  </w:t>
      </w:r>
      <w:r>
        <w:rPr>
          <w:u w:val="single"/>
        </w:rPr>
        <w:br w:type="page"/>
      </w:r>
    </w:p>
    <w:p w:rsidR="004B3323" w:rsidRDefault="004B3323" w:rsidP="004B3323">
      <w:pPr>
        <w:pStyle w:val="Tableheading"/>
      </w:pPr>
      <w:bookmarkStart w:id="26" w:name="_Toc190005283"/>
      <w:bookmarkStart w:id="27" w:name="_Toc209240670"/>
      <w:bookmarkStart w:id="28" w:name="OLE_LINK1"/>
      <w:r w:rsidRPr="00C2428A">
        <w:lastRenderedPageBreak/>
        <w:t xml:space="preserve">Table </w:t>
      </w:r>
      <w:r>
        <w:t>29.</w:t>
      </w:r>
      <w:r w:rsidRPr="00C2428A">
        <w:t xml:space="preserve">  Summary of Contaminants of Concern for Aquifers Used as Potable Water Sources</w:t>
      </w:r>
      <w:bookmarkEnd w:id="26"/>
      <w:bookmarkEnd w:id="27"/>
    </w:p>
    <w:tbl>
      <w:tblPr>
        <w:tblW w:w="100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825"/>
        <w:gridCol w:w="540"/>
        <w:gridCol w:w="697"/>
        <w:gridCol w:w="540"/>
        <w:gridCol w:w="540"/>
        <w:gridCol w:w="743"/>
        <w:gridCol w:w="450"/>
        <w:gridCol w:w="517"/>
        <w:gridCol w:w="743"/>
        <w:gridCol w:w="414"/>
      </w:tblGrid>
      <w:tr w:rsidR="004B3323" w:rsidRPr="003A02D8" w:rsidTr="00067543">
        <w:trPr>
          <w:cantSplit/>
          <w:trHeight w:val="450"/>
          <w:jc w:val="center"/>
        </w:trPr>
        <w:tc>
          <w:tcPr>
            <w:tcW w:w="4825" w:type="dxa"/>
            <w:vMerge w:val="restart"/>
            <w:shd w:val="clear" w:color="auto" w:fill="D9D9D9"/>
            <w:vAlign w:val="center"/>
          </w:tcPr>
          <w:p w:rsidR="004B3323" w:rsidRPr="003A02D8" w:rsidRDefault="004B3323" w:rsidP="00067543">
            <w:pPr>
              <w:pStyle w:val="TableText"/>
              <w:jc w:val="center"/>
              <w:rPr>
                <w:b/>
                <w:i/>
                <w:sz w:val="16"/>
                <w:szCs w:val="16"/>
              </w:rPr>
            </w:pPr>
            <w:r w:rsidRPr="003A02D8">
              <w:rPr>
                <w:b/>
                <w:i/>
                <w:sz w:val="16"/>
                <w:szCs w:val="16"/>
              </w:rPr>
              <w:t>Basin—Aquifer</w:t>
            </w:r>
          </w:p>
        </w:tc>
        <w:tc>
          <w:tcPr>
            <w:tcW w:w="5184" w:type="dxa"/>
            <w:gridSpan w:val="9"/>
            <w:shd w:val="clear" w:color="auto" w:fill="D9D9D9"/>
            <w:vAlign w:val="center"/>
          </w:tcPr>
          <w:p w:rsidR="004B3323" w:rsidRPr="003A02D8" w:rsidRDefault="004B3323" w:rsidP="00067543">
            <w:pPr>
              <w:pStyle w:val="TableText"/>
              <w:jc w:val="center"/>
              <w:rPr>
                <w:b/>
                <w:i/>
                <w:sz w:val="16"/>
                <w:szCs w:val="16"/>
              </w:rPr>
            </w:pPr>
            <w:r w:rsidRPr="003A02D8">
              <w:rPr>
                <w:b/>
                <w:i/>
                <w:sz w:val="16"/>
                <w:szCs w:val="16"/>
              </w:rPr>
              <w:t>Contaminant Categories and Number of Wells or Water Systems with Samples that Have Exceeded Primary Standards</w:t>
            </w:r>
          </w:p>
        </w:tc>
      </w:tr>
      <w:tr w:rsidR="004B3323" w:rsidRPr="003A02D8" w:rsidTr="00067543">
        <w:trPr>
          <w:cantSplit/>
          <w:trHeight w:val="321"/>
          <w:jc w:val="center"/>
        </w:trPr>
        <w:tc>
          <w:tcPr>
            <w:tcW w:w="4825" w:type="dxa"/>
            <w:vMerge/>
            <w:shd w:val="clear" w:color="auto" w:fill="D9D9D9"/>
            <w:vAlign w:val="center"/>
          </w:tcPr>
          <w:p w:rsidR="004B3323" w:rsidRPr="003A02D8" w:rsidRDefault="004B3323" w:rsidP="00067543">
            <w:pPr>
              <w:pStyle w:val="TableText"/>
              <w:rPr>
                <w:b/>
                <w:i/>
                <w:sz w:val="16"/>
                <w:szCs w:val="16"/>
              </w:rPr>
            </w:pPr>
          </w:p>
        </w:tc>
        <w:tc>
          <w:tcPr>
            <w:tcW w:w="1777" w:type="dxa"/>
            <w:gridSpan w:val="3"/>
            <w:shd w:val="clear" w:color="auto" w:fill="D9D9D9"/>
            <w:vAlign w:val="center"/>
          </w:tcPr>
          <w:p w:rsidR="004B3323" w:rsidRPr="003A02D8" w:rsidRDefault="004B3323" w:rsidP="00067543">
            <w:pPr>
              <w:pStyle w:val="TableText"/>
              <w:jc w:val="center"/>
              <w:rPr>
                <w:b/>
                <w:i/>
                <w:sz w:val="16"/>
                <w:szCs w:val="16"/>
              </w:rPr>
            </w:pPr>
            <w:r w:rsidRPr="003A02D8">
              <w:rPr>
                <w:b/>
                <w:i/>
                <w:sz w:val="16"/>
                <w:szCs w:val="16"/>
              </w:rPr>
              <w:t>VOCs</w:t>
            </w:r>
            <w:r w:rsidRPr="003A02D8">
              <w:rPr>
                <w:b/>
                <w:i/>
                <w:sz w:val="16"/>
                <w:szCs w:val="16"/>
                <w:vertAlign w:val="superscript"/>
              </w:rPr>
              <w:t>1</w:t>
            </w:r>
          </w:p>
        </w:tc>
        <w:tc>
          <w:tcPr>
            <w:tcW w:w="1733" w:type="dxa"/>
            <w:gridSpan w:val="3"/>
            <w:shd w:val="clear" w:color="auto" w:fill="D9D9D9"/>
            <w:vAlign w:val="center"/>
          </w:tcPr>
          <w:p w:rsidR="004B3323" w:rsidRPr="003A02D8" w:rsidRDefault="004B3323" w:rsidP="00067543">
            <w:pPr>
              <w:pStyle w:val="TableText"/>
              <w:jc w:val="center"/>
              <w:rPr>
                <w:b/>
                <w:i/>
                <w:sz w:val="16"/>
                <w:szCs w:val="16"/>
              </w:rPr>
            </w:pPr>
            <w:r w:rsidRPr="003A02D8">
              <w:rPr>
                <w:b/>
                <w:i/>
                <w:sz w:val="16"/>
                <w:szCs w:val="16"/>
              </w:rPr>
              <w:t>Pesticides/SOCs</w:t>
            </w:r>
            <w:r w:rsidRPr="003A02D8">
              <w:rPr>
                <w:b/>
                <w:i/>
                <w:sz w:val="16"/>
                <w:szCs w:val="16"/>
                <w:vertAlign w:val="superscript"/>
              </w:rPr>
              <w:t>2</w:t>
            </w:r>
          </w:p>
        </w:tc>
        <w:tc>
          <w:tcPr>
            <w:tcW w:w="1674" w:type="dxa"/>
            <w:gridSpan w:val="3"/>
            <w:shd w:val="clear" w:color="auto" w:fill="D9D9D9"/>
            <w:vAlign w:val="center"/>
          </w:tcPr>
          <w:p w:rsidR="004B3323" w:rsidRPr="003A02D8" w:rsidRDefault="004B3323" w:rsidP="00067543">
            <w:pPr>
              <w:pStyle w:val="TableText"/>
              <w:jc w:val="center"/>
              <w:rPr>
                <w:b/>
                <w:i/>
                <w:sz w:val="16"/>
                <w:szCs w:val="16"/>
              </w:rPr>
            </w:pPr>
            <w:r w:rsidRPr="003A02D8">
              <w:rPr>
                <w:b/>
                <w:i/>
                <w:sz w:val="16"/>
                <w:szCs w:val="16"/>
              </w:rPr>
              <w:t>Nitrates</w:t>
            </w:r>
            <w:r w:rsidRPr="003A02D8">
              <w:rPr>
                <w:b/>
                <w:i/>
                <w:sz w:val="16"/>
                <w:szCs w:val="16"/>
                <w:vertAlign w:val="superscript"/>
              </w:rPr>
              <w:t>3</w:t>
            </w:r>
          </w:p>
        </w:tc>
      </w:tr>
      <w:tr w:rsidR="004B3323" w:rsidRPr="003A02D8" w:rsidTr="00067543">
        <w:trPr>
          <w:cantSplit/>
          <w:trHeight w:val="1977"/>
          <w:jc w:val="center"/>
        </w:trPr>
        <w:tc>
          <w:tcPr>
            <w:tcW w:w="4825" w:type="dxa"/>
            <w:vMerge/>
            <w:shd w:val="clear" w:color="auto" w:fill="D9D9D9"/>
            <w:vAlign w:val="center"/>
          </w:tcPr>
          <w:p w:rsidR="004B3323" w:rsidRPr="003A02D8" w:rsidRDefault="004B3323" w:rsidP="00067543">
            <w:pPr>
              <w:pStyle w:val="TableText"/>
              <w:rPr>
                <w:b/>
                <w:i/>
                <w:sz w:val="16"/>
                <w:szCs w:val="16"/>
              </w:rPr>
            </w:pPr>
          </w:p>
        </w:tc>
        <w:tc>
          <w:tcPr>
            <w:tcW w:w="540"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697"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540"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Status/ Background/ VISA Network Wells</w:t>
            </w:r>
          </w:p>
        </w:tc>
        <w:tc>
          <w:tcPr>
            <w:tcW w:w="540"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743"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450"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Status/ Background/ VISA Network Wells</w:t>
            </w:r>
          </w:p>
        </w:tc>
        <w:tc>
          <w:tcPr>
            <w:tcW w:w="517"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Public Water Systems</w:t>
            </w:r>
            <w:r w:rsidRPr="003A02D8">
              <w:rPr>
                <w:b/>
                <w:i/>
                <w:sz w:val="16"/>
                <w:szCs w:val="16"/>
                <w:vertAlign w:val="superscript"/>
              </w:rPr>
              <w:t>7</w:t>
            </w:r>
          </w:p>
        </w:tc>
        <w:tc>
          <w:tcPr>
            <w:tcW w:w="743"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Private Wells (WSRP)</w:t>
            </w:r>
            <w:r w:rsidRPr="003A02D8">
              <w:rPr>
                <w:b/>
                <w:i/>
                <w:sz w:val="16"/>
                <w:szCs w:val="16"/>
                <w:vertAlign w:val="superscript"/>
              </w:rPr>
              <w:t xml:space="preserve"> 8</w:t>
            </w:r>
          </w:p>
        </w:tc>
        <w:tc>
          <w:tcPr>
            <w:tcW w:w="414" w:type="dxa"/>
            <w:shd w:val="clear" w:color="auto" w:fill="D9D9D9"/>
            <w:textDirection w:val="btLr"/>
            <w:vAlign w:val="center"/>
          </w:tcPr>
          <w:p w:rsidR="004B3323" w:rsidRPr="003A02D8" w:rsidRDefault="004B3323" w:rsidP="00067543">
            <w:pPr>
              <w:pStyle w:val="TableText"/>
              <w:rPr>
                <w:b/>
                <w:i/>
                <w:sz w:val="16"/>
                <w:szCs w:val="16"/>
              </w:rPr>
            </w:pPr>
            <w:r w:rsidRPr="003A02D8">
              <w:rPr>
                <w:b/>
                <w:i/>
                <w:sz w:val="16"/>
                <w:szCs w:val="16"/>
              </w:rPr>
              <w:t>Status/ Background/ VISA Network Wells</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Apalachicola–Chipola—Floridan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17</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645</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43</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 xml:space="preserve">Caloosahatchee—Surficial Aquifer </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13</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smartTag w:uri="urn:schemas-microsoft-com:office:smarttags" w:element="PlaceName">
                <w:r w:rsidRPr="00710E8C">
                  <w:rPr>
                    <w:sz w:val="16"/>
                    <w:szCs w:val="16"/>
                  </w:rPr>
                  <w:t>Charlotte</w:t>
                </w:r>
              </w:smartTag>
              <w:r w:rsidRPr="00710E8C">
                <w:rPr>
                  <w:sz w:val="16"/>
                  <w:szCs w:val="16"/>
                </w:rPr>
                <w:t xml:space="preserve"> </w:t>
              </w:r>
              <w:smartTag w:uri="urn:schemas-microsoft-com:office:smarttags" w:element="PlaceName">
                <w:r w:rsidRPr="00710E8C">
                  <w:rPr>
                    <w:sz w:val="16"/>
                    <w:szCs w:val="16"/>
                  </w:rPr>
                  <w:t>Harbor</w:t>
                </w:r>
              </w:smartTag>
            </w:smartTag>
            <w:r w:rsidRPr="00710E8C">
              <w:rPr>
                <w:sz w:val="16"/>
                <w:szCs w:val="16"/>
              </w:rPr>
              <w:t>—Floridan Aquifer (SW)</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62</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Choctawhatchee–St. Andrew—Floridan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36</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19</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Everglades</w:t>
              </w:r>
            </w:smartTag>
            <w:r w:rsidRPr="00710E8C">
              <w:rPr>
                <w:sz w:val="16"/>
                <w:szCs w:val="16"/>
              </w:rPr>
              <w:t>—Surficial Aquifer (SW)</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Everglades</w:t>
              </w:r>
            </w:smartTag>
            <w:r w:rsidRPr="00710E8C">
              <w:rPr>
                <w:sz w:val="16"/>
                <w:szCs w:val="16"/>
              </w:rPr>
              <w:t xml:space="preserve"> West Coast—Surficial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Fisheating Creek—Surficial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Florida Keys</w:t>
              </w:r>
            </w:smartTag>
            <w:r w:rsidRPr="00710E8C">
              <w:rPr>
                <w:sz w:val="16"/>
                <w:szCs w:val="16"/>
              </w:rPr>
              <w:t>—None</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697" w:type="dxa"/>
            <w:shd w:val="clear" w:color="auto" w:fill="auto"/>
            <w:vAlign w:val="center"/>
          </w:tcPr>
          <w:p w:rsidR="004B3323" w:rsidRPr="00710E8C" w:rsidRDefault="004B3323" w:rsidP="00067543">
            <w:pPr>
              <w:pStyle w:val="TableText"/>
              <w:jc w:val="center"/>
              <w:rPr>
                <w:rFonts w:cs="Arial"/>
                <w:sz w:val="16"/>
                <w:szCs w:val="16"/>
              </w:rPr>
            </w:pPr>
            <w:r w:rsidRPr="00BE34BD">
              <w:rPr>
                <w:rFonts w:cs="Arial"/>
                <w:sz w:val="16"/>
                <w:szCs w:val="16"/>
              </w:rPr>
              <w:t>2</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Indian River</w:t>
              </w:r>
            </w:smartTag>
            <w:r w:rsidRPr="00710E8C">
              <w:rPr>
                <w:sz w:val="16"/>
                <w:szCs w:val="16"/>
              </w:rPr>
              <w:t xml:space="preserve"> Lagoon—Floridan and Surficial Aquifers</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36</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D50639" w:rsidRDefault="004B3323" w:rsidP="00067543">
            <w:pPr>
              <w:pStyle w:val="TableText"/>
              <w:jc w:val="center"/>
              <w:rPr>
                <w:rFonts w:cs="Arial"/>
                <w:sz w:val="16"/>
                <w:szCs w:val="16"/>
                <w:highlight w:val="yellow"/>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Kissimmee River</w:t>
              </w:r>
            </w:smartTag>
            <w:r w:rsidRPr="00710E8C">
              <w:rPr>
                <w:sz w:val="16"/>
                <w:szCs w:val="16"/>
              </w:rPr>
              <w:t>—Floridan, Intermediate, and Surficial Aquifers</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58</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798</w:t>
            </w:r>
          </w:p>
        </w:tc>
        <w:tc>
          <w:tcPr>
            <w:tcW w:w="45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743"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1</w:t>
            </w:r>
            <w:r>
              <w:rPr>
                <w:rFonts w:cs="Arial"/>
                <w:sz w:val="16"/>
                <w:szCs w:val="16"/>
              </w:rPr>
              <w:t>,</w:t>
            </w:r>
            <w:r w:rsidRPr="00BE34BD">
              <w:rPr>
                <w:rFonts w:cs="Arial"/>
                <w:sz w:val="16"/>
                <w:szCs w:val="16"/>
              </w:rPr>
              <w:t>154</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10</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Lake Okeechobee</w:t>
              </w:r>
            </w:smartTag>
            <w:r>
              <w:rPr>
                <w:sz w:val="16"/>
                <w:szCs w:val="16"/>
              </w:rPr>
              <w:t xml:space="preserve">—Surficial Aquifer </w:t>
            </w:r>
            <w:r w:rsidRPr="00710E8C">
              <w:rPr>
                <w:sz w:val="16"/>
                <w:szCs w:val="16"/>
              </w:rPr>
              <w:t>(SW)</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smartTag w:uri="urn:schemas-microsoft-com:office:smarttags" w:element="PlaceName">
                <w:r w:rsidRPr="00710E8C">
                  <w:rPr>
                    <w:sz w:val="16"/>
                    <w:szCs w:val="16"/>
                  </w:rPr>
                  <w:t>Lake Worth</w:t>
                </w:r>
              </w:smartTag>
              <w:r w:rsidRPr="00710E8C">
                <w:rPr>
                  <w:sz w:val="16"/>
                  <w:szCs w:val="16"/>
                </w:rPr>
                <w:t xml:space="preserve"> </w:t>
              </w:r>
              <w:smartTag w:uri="urn:schemas-microsoft-com:office:smarttags" w:element="PlaceName">
                <w:r w:rsidRPr="00710E8C">
                  <w:rPr>
                    <w:sz w:val="16"/>
                    <w:szCs w:val="16"/>
                  </w:rPr>
                  <w:t>Lagoon–Palm</w:t>
                </w:r>
              </w:smartTag>
              <w:r w:rsidRPr="00710E8C">
                <w:rPr>
                  <w:sz w:val="16"/>
                  <w:szCs w:val="16"/>
                </w:rPr>
                <w:t xml:space="preserve"> </w:t>
              </w:r>
              <w:smartTag w:uri="urn:schemas-microsoft-com:office:smarttags" w:element="PlaceType">
                <w:r w:rsidRPr="00710E8C">
                  <w:rPr>
                    <w:sz w:val="16"/>
                    <w:szCs w:val="16"/>
                  </w:rPr>
                  <w:t>Beach</w:t>
                </w:r>
              </w:smartTag>
              <w:r w:rsidRPr="00710E8C">
                <w:rPr>
                  <w:sz w:val="16"/>
                  <w:szCs w:val="16"/>
                </w:rPr>
                <w:t xml:space="preserve"> </w:t>
              </w:r>
              <w:smartTag w:uri="urn:schemas-microsoft-com:office:smarttags" w:element="PlaceType">
                <w:r w:rsidRPr="00710E8C">
                  <w:rPr>
                    <w:sz w:val="16"/>
                    <w:szCs w:val="16"/>
                  </w:rPr>
                  <w:t>Coast</w:t>
                </w:r>
              </w:smartTag>
            </w:smartTag>
            <w:r w:rsidRPr="00710E8C">
              <w:rPr>
                <w:sz w:val="16"/>
                <w:szCs w:val="16"/>
              </w:rPr>
              <w:t>—Surficial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55</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Lower St. Johns</w:t>
              </w:r>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697"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184</w:t>
            </w:r>
          </w:p>
        </w:tc>
        <w:tc>
          <w:tcPr>
            <w:tcW w:w="540" w:type="dxa"/>
            <w:shd w:val="clear" w:color="auto" w:fill="auto"/>
            <w:vAlign w:val="bottom"/>
          </w:tcPr>
          <w:p w:rsidR="004B3323" w:rsidRPr="00BE34BD"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19</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35</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 xml:space="preserve">Middle </w:t>
            </w:r>
            <w:smartTag w:uri="urn:schemas-microsoft-com:office:smarttags" w:element="place">
              <w:smartTag w:uri="urn:schemas-microsoft-com:office:smarttags" w:element="City">
                <w:r w:rsidRPr="00710E8C">
                  <w:rPr>
                    <w:sz w:val="16"/>
                    <w:szCs w:val="16"/>
                  </w:rPr>
                  <w:t>St. Johns</w:t>
                </w:r>
              </w:smartTag>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16</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139</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118</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45</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Nassau–St. Marys—Floridan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15</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Ochlockonee–St. Marks—Floridan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21</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Ocklawaha—Floridan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23</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107</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54</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475</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12</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466</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lang w:val="pt-BR"/>
              </w:rPr>
            </w:pPr>
            <w:r w:rsidRPr="00710E8C">
              <w:rPr>
                <w:sz w:val="16"/>
                <w:szCs w:val="16"/>
                <w:lang w:val="pt-BR"/>
              </w:rPr>
              <w:t>Pensacola—Sand-and-Gravel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10</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45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13</w:t>
            </w: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lang w:val="pt-BR"/>
              </w:rPr>
            </w:pPr>
            <w:r w:rsidRPr="00710E8C">
              <w:rPr>
                <w:sz w:val="16"/>
                <w:szCs w:val="16"/>
                <w:lang w:val="pt-BR"/>
              </w:rPr>
              <w:t>Perdido—Sand-and-Gravel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Sarasota Bay–Peace–Myakka—Floridan and Surficial Aquifers</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697"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158</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33</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248</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8</w:t>
            </w:r>
          </w:p>
        </w:tc>
        <w:tc>
          <w:tcPr>
            <w:tcW w:w="743"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401</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smartTag w:uri="urn:schemas-microsoft-com:office:smarttags" w:element="PlaceName">
                <w:r w:rsidRPr="00710E8C">
                  <w:rPr>
                    <w:sz w:val="16"/>
                    <w:szCs w:val="16"/>
                  </w:rPr>
                  <w:t>Southeast</w:t>
                </w:r>
              </w:smartTag>
              <w:r w:rsidRPr="00710E8C">
                <w:rPr>
                  <w:sz w:val="16"/>
                  <w:szCs w:val="16"/>
                </w:rPr>
                <w:t xml:space="preserve"> </w:t>
              </w:r>
              <w:smartTag w:uri="urn:schemas-microsoft-com:office:smarttags" w:element="PlaceName">
                <w:r w:rsidRPr="00710E8C">
                  <w:rPr>
                    <w:sz w:val="16"/>
                    <w:szCs w:val="16"/>
                  </w:rPr>
                  <w:t>Coast–Biscayne</w:t>
                </w:r>
              </w:smartTag>
              <w:r w:rsidRPr="00710E8C">
                <w:rPr>
                  <w:sz w:val="16"/>
                  <w:szCs w:val="16"/>
                </w:rPr>
                <w:t xml:space="preserve"> </w:t>
              </w:r>
              <w:smartTag w:uri="urn:schemas-microsoft-com:office:smarttags" w:element="PlaceType">
                <w:r w:rsidRPr="00710E8C">
                  <w:rPr>
                    <w:sz w:val="16"/>
                    <w:szCs w:val="16"/>
                  </w:rPr>
                  <w:t>Bay</w:t>
                </w:r>
              </w:smartTag>
            </w:smartTag>
            <w:r w:rsidRPr="00710E8C">
              <w:rPr>
                <w:sz w:val="16"/>
                <w:szCs w:val="16"/>
              </w:rPr>
              <w:t>---Biscayne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8</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120</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13</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smartTag w:uri="urn:schemas-microsoft-com:office:smarttags" w:element="PlaceType">
                <w:r w:rsidRPr="00710E8C">
                  <w:rPr>
                    <w:sz w:val="16"/>
                    <w:szCs w:val="16"/>
                  </w:rPr>
                  <w:t>Springs</w:t>
                </w:r>
              </w:smartTag>
              <w:r w:rsidRPr="00710E8C">
                <w:rPr>
                  <w:sz w:val="16"/>
                  <w:szCs w:val="16"/>
                </w:rPr>
                <w:t xml:space="preserve"> </w:t>
              </w:r>
              <w:smartTag w:uri="urn:schemas-microsoft-com:office:smarttags" w:element="PlaceType">
                <w:r w:rsidRPr="00710E8C">
                  <w:rPr>
                    <w:sz w:val="16"/>
                    <w:szCs w:val="16"/>
                  </w:rPr>
                  <w:t>Coast</w:t>
                </w:r>
              </w:smartTag>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15</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22</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9</w:t>
            </w:r>
          </w:p>
        </w:tc>
        <w:tc>
          <w:tcPr>
            <w:tcW w:w="45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16</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r w:rsidRPr="00710E8C">
              <w:rPr>
                <w:sz w:val="16"/>
                <w:szCs w:val="16"/>
              </w:rPr>
              <w:t>St. Lucie–Loxahatchee—Surficial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10</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135</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15</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Suwannee</w:t>
              </w:r>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120</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60</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145</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smartTag w:uri="urn:schemas-microsoft-com:office:smarttags" w:element="PlaceName">
                <w:r w:rsidRPr="00710E8C">
                  <w:rPr>
                    <w:sz w:val="16"/>
                    <w:szCs w:val="16"/>
                  </w:rPr>
                  <w:t>Tampa</w:t>
                </w:r>
              </w:smartTag>
              <w:r w:rsidRPr="00710E8C">
                <w:rPr>
                  <w:sz w:val="16"/>
                  <w:szCs w:val="16"/>
                </w:rPr>
                <w:t xml:space="preserve"> </w:t>
              </w:r>
              <w:smartTag w:uri="urn:schemas-microsoft-com:office:smarttags" w:element="PlaceType">
                <w:r w:rsidRPr="00710E8C">
                  <w:rPr>
                    <w:sz w:val="16"/>
                    <w:szCs w:val="16"/>
                  </w:rPr>
                  <w:t>Bay</w:t>
                </w:r>
              </w:smartTag>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697"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66</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31</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16</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lang w:val="pt-BR"/>
              </w:rPr>
            </w:pPr>
            <w:r w:rsidRPr="00710E8C">
              <w:rPr>
                <w:sz w:val="16"/>
                <w:szCs w:val="16"/>
                <w:lang w:val="pt-BR"/>
              </w:rPr>
              <w:t>Tampa Bay Tributaries—Floridan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14</w:t>
            </w:r>
          </w:p>
        </w:tc>
        <w:tc>
          <w:tcPr>
            <w:tcW w:w="697" w:type="dxa"/>
            <w:shd w:val="clear" w:color="auto" w:fill="auto"/>
            <w:vAlign w:val="center"/>
          </w:tcPr>
          <w:p w:rsidR="004B3323" w:rsidRPr="00BE34BD" w:rsidRDefault="004B3323" w:rsidP="00067543">
            <w:pPr>
              <w:pStyle w:val="TableText"/>
              <w:jc w:val="center"/>
              <w:rPr>
                <w:rFonts w:cs="Arial"/>
                <w:sz w:val="16"/>
                <w:szCs w:val="16"/>
              </w:rPr>
            </w:pPr>
            <w:r w:rsidRPr="00BE34BD">
              <w:rPr>
                <w:rFonts w:cs="Arial"/>
                <w:sz w:val="16"/>
                <w:szCs w:val="16"/>
              </w:rPr>
              <w:t>158</w:t>
            </w:r>
          </w:p>
        </w:tc>
        <w:tc>
          <w:tcPr>
            <w:tcW w:w="54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16</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19</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48</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118</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Upper East Coast</w:t>
              </w:r>
            </w:smartTag>
            <w:r w:rsidRPr="00710E8C">
              <w:rPr>
                <w:sz w:val="16"/>
                <w:szCs w:val="16"/>
              </w:rPr>
              <w:t>—Floridan Aquifer and 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8</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3</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Upper St. Johns</w:t>
              </w:r>
            </w:smartTag>
            <w:r w:rsidRPr="00710E8C">
              <w:rPr>
                <w:sz w:val="16"/>
                <w:szCs w:val="16"/>
              </w:rPr>
              <w:t>—Floridan Aquifer and Surficial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8</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w:t>
            </w:r>
          </w:p>
        </w:tc>
        <w:tc>
          <w:tcPr>
            <w:tcW w:w="743" w:type="dxa"/>
            <w:shd w:val="clear" w:color="auto" w:fill="auto"/>
            <w:vAlign w:val="center"/>
          </w:tcPr>
          <w:p w:rsidR="004B3323" w:rsidRPr="00710E8C" w:rsidRDefault="004B3323" w:rsidP="00067543">
            <w:pPr>
              <w:pStyle w:val="TableText"/>
              <w:jc w:val="center"/>
              <w:rPr>
                <w:rFonts w:cs="Arial"/>
                <w:sz w:val="16"/>
                <w:szCs w:val="16"/>
              </w:rPr>
            </w:pP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0</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w:t>
            </w:r>
          </w:p>
        </w:tc>
        <w:tc>
          <w:tcPr>
            <w:tcW w:w="414" w:type="dxa"/>
            <w:shd w:val="clear" w:color="auto" w:fill="auto"/>
            <w:vAlign w:val="bottom"/>
          </w:tcPr>
          <w:p w:rsidR="004B3323" w:rsidRDefault="004B3323" w:rsidP="00067543">
            <w:pPr>
              <w:jc w:val="center"/>
              <w:rPr>
                <w:rFonts w:ascii="Arial" w:hAnsi="Arial" w:cs="Arial"/>
                <w:sz w:val="16"/>
                <w:szCs w:val="16"/>
              </w:rPr>
            </w:pP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sz w:val="16"/>
                <w:szCs w:val="16"/>
              </w:rPr>
            </w:pPr>
            <w:smartTag w:uri="urn:schemas-microsoft-com:office:smarttags" w:element="place">
              <w:r w:rsidRPr="00710E8C">
                <w:rPr>
                  <w:sz w:val="16"/>
                  <w:szCs w:val="16"/>
                </w:rPr>
                <w:t>Withlacoochee</w:t>
              </w:r>
            </w:smartTag>
            <w:r w:rsidRPr="00710E8C">
              <w:rPr>
                <w:sz w:val="16"/>
                <w:szCs w:val="16"/>
              </w:rPr>
              <w:t>—Floridan Aquifer</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11</w:t>
            </w:r>
          </w:p>
        </w:tc>
        <w:tc>
          <w:tcPr>
            <w:tcW w:w="69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27</w:t>
            </w:r>
          </w:p>
        </w:tc>
        <w:tc>
          <w:tcPr>
            <w:tcW w:w="54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29</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69</w:t>
            </w:r>
          </w:p>
        </w:tc>
        <w:tc>
          <w:tcPr>
            <w:tcW w:w="450" w:type="dxa"/>
            <w:shd w:val="clear" w:color="auto" w:fill="auto"/>
            <w:vAlign w:val="bottom"/>
          </w:tcPr>
          <w:p w:rsidR="004B3323" w:rsidRDefault="004B3323" w:rsidP="00067543">
            <w:pPr>
              <w:jc w:val="center"/>
              <w:rPr>
                <w:rFonts w:ascii="Arial" w:hAnsi="Arial" w:cs="Arial"/>
                <w:sz w:val="16"/>
                <w:szCs w:val="16"/>
              </w:rPr>
            </w:pPr>
          </w:p>
        </w:tc>
        <w:tc>
          <w:tcPr>
            <w:tcW w:w="517"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7</w:t>
            </w:r>
          </w:p>
        </w:tc>
        <w:tc>
          <w:tcPr>
            <w:tcW w:w="743" w:type="dxa"/>
            <w:shd w:val="clear" w:color="auto" w:fill="auto"/>
            <w:vAlign w:val="center"/>
          </w:tcPr>
          <w:p w:rsidR="004B3323" w:rsidRPr="00710E8C" w:rsidRDefault="004B3323" w:rsidP="00067543">
            <w:pPr>
              <w:pStyle w:val="TableText"/>
              <w:jc w:val="center"/>
              <w:rPr>
                <w:rFonts w:cs="Arial"/>
                <w:sz w:val="16"/>
                <w:szCs w:val="16"/>
              </w:rPr>
            </w:pPr>
            <w:r>
              <w:rPr>
                <w:rFonts w:cs="Arial"/>
                <w:sz w:val="16"/>
                <w:szCs w:val="16"/>
              </w:rPr>
              <w:t>59</w:t>
            </w:r>
          </w:p>
        </w:tc>
        <w:tc>
          <w:tcPr>
            <w:tcW w:w="414"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RPr="00710E8C" w:rsidTr="00067543">
        <w:trPr>
          <w:trHeight w:val="220"/>
          <w:jc w:val="center"/>
        </w:trPr>
        <w:tc>
          <w:tcPr>
            <w:tcW w:w="4825" w:type="dxa"/>
            <w:shd w:val="clear" w:color="auto" w:fill="F3F3F3"/>
            <w:vAlign w:val="center"/>
          </w:tcPr>
          <w:p w:rsidR="004B3323" w:rsidRPr="00710E8C" w:rsidRDefault="004B3323" w:rsidP="00067543">
            <w:pPr>
              <w:pStyle w:val="TableText"/>
              <w:rPr>
                <w:b/>
                <w:sz w:val="16"/>
                <w:szCs w:val="16"/>
              </w:rPr>
            </w:pPr>
            <w:r w:rsidRPr="00710E8C">
              <w:rPr>
                <w:b/>
                <w:sz w:val="16"/>
                <w:szCs w:val="16"/>
              </w:rPr>
              <w:t>STATEWIDE SUMMARY—All results</w:t>
            </w:r>
          </w:p>
        </w:tc>
        <w:tc>
          <w:tcPr>
            <w:tcW w:w="540" w:type="dxa"/>
            <w:shd w:val="clear" w:color="auto" w:fill="auto"/>
            <w:vAlign w:val="center"/>
          </w:tcPr>
          <w:p w:rsidR="004B3323" w:rsidRPr="00710E8C" w:rsidRDefault="004B3323" w:rsidP="00067543">
            <w:pPr>
              <w:pStyle w:val="TableText"/>
              <w:jc w:val="center"/>
              <w:rPr>
                <w:rFonts w:cs="Arial"/>
                <w:b/>
                <w:bCs/>
                <w:sz w:val="16"/>
                <w:szCs w:val="16"/>
              </w:rPr>
            </w:pPr>
            <w:r>
              <w:rPr>
                <w:rFonts w:cs="Arial"/>
                <w:b/>
                <w:bCs/>
                <w:sz w:val="16"/>
                <w:szCs w:val="16"/>
              </w:rPr>
              <w:t>184</w:t>
            </w:r>
          </w:p>
        </w:tc>
        <w:tc>
          <w:tcPr>
            <w:tcW w:w="697" w:type="dxa"/>
            <w:shd w:val="clear" w:color="auto" w:fill="auto"/>
            <w:vAlign w:val="center"/>
          </w:tcPr>
          <w:p w:rsidR="004B3323" w:rsidRPr="00710E8C" w:rsidRDefault="004B3323" w:rsidP="00067543">
            <w:pPr>
              <w:pStyle w:val="TableText"/>
              <w:jc w:val="center"/>
              <w:rPr>
                <w:rFonts w:cs="Arial"/>
                <w:b/>
                <w:sz w:val="16"/>
                <w:szCs w:val="16"/>
              </w:rPr>
            </w:pPr>
            <w:r>
              <w:rPr>
                <w:rFonts w:cs="Arial"/>
                <w:b/>
                <w:sz w:val="16"/>
                <w:szCs w:val="16"/>
              </w:rPr>
              <w:t>1,595</w:t>
            </w:r>
          </w:p>
        </w:tc>
        <w:tc>
          <w:tcPr>
            <w:tcW w:w="540" w:type="dxa"/>
            <w:shd w:val="clear" w:color="auto" w:fill="auto"/>
            <w:vAlign w:val="center"/>
          </w:tcPr>
          <w:p w:rsidR="004B3323" w:rsidRDefault="004B3323" w:rsidP="00067543">
            <w:pPr>
              <w:jc w:val="center"/>
              <w:rPr>
                <w:rFonts w:ascii="Arial" w:hAnsi="Arial" w:cs="Arial"/>
                <w:b/>
                <w:bCs/>
                <w:sz w:val="16"/>
                <w:szCs w:val="16"/>
              </w:rPr>
            </w:pPr>
            <w:r>
              <w:rPr>
                <w:rFonts w:ascii="Arial" w:hAnsi="Arial" w:cs="Arial"/>
                <w:b/>
                <w:bCs/>
                <w:sz w:val="16"/>
                <w:szCs w:val="16"/>
              </w:rPr>
              <w:t>34</w:t>
            </w:r>
          </w:p>
        </w:tc>
        <w:tc>
          <w:tcPr>
            <w:tcW w:w="540" w:type="dxa"/>
            <w:shd w:val="clear" w:color="auto" w:fill="auto"/>
            <w:vAlign w:val="center"/>
          </w:tcPr>
          <w:p w:rsidR="004B3323" w:rsidRPr="00710E8C" w:rsidRDefault="004B3323" w:rsidP="00067543">
            <w:pPr>
              <w:pStyle w:val="TableText"/>
              <w:jc w:val="center"/>
              <w:rPr>
                <w:rFonts w:cs="Arial"/>
                <w:b/>
                <w:bCs/>
                <w:sz w:val="16"/>
                <w:szCs w:val="16"/>
              </w:rPr>
            </w:pPr>
            <w:r>
              <w:rPr>
                <w:rFonts w:cs="Arial"/>
                <w:b/>
                <w:bCs/>
                <w:sz w:val="16"/>
                <w:szCs w:val="16"/>
              </w:rPr>
              <w:t>272</w:t>
            </w:r>
          </w:p>
        </w:tc>
        <w:tc>
          <w:tcPr>
            <w:tcW w:w="743" w:type="dxa"/>
            <w:shd w:val="clear" w:color="auto" w:fill="auto"/>
            <w:vAlign w:val="center"/>
          </w:tcPr>
          <w:p w:rsidR="004B3323" w:rsidRPr="00710E8C" w:rsidRDefault="004B3323" w:rsidP="00067543">
            <w:pPr>
              <w:pStyle w:val="TableText"/>
              <w:jc w:val="center"/>
              <w:rPr>
                <w:rFonts w:cs="Arial"/>
                <w:b/>
                <w:sz w:val="16"/>
                <w:szCs w:val="16"/>
              </w:rPr>
            </w:pPr>
            <w:r>
              <w:rPr>
                <w:rFonts w:cs="Arial"/>
                <w:b/>
                <w:sz w:val="16"/>
                <w:szCs w:val="16"/>
              </w:rPr>
              <w:t>2,529</w:t>
            </w:r>
          </w:p>
        </w:tc>
        <w:tc>
          <w:tcPr>
            <w:tcW w:w="450" w:type="dxa"/>
            <w:shd w:val="clear" w:color="auto" w:fill="auto"/>
            <w:vAlign w:val="center"/>
          </w:tcPr>
          <w:p w:rsidR="004B3323" w:rsidRDefault="004B3323" w:rsidP="00067543">
            <w:pPr>
              <w:jc w:val="center"/>
              <w:rPr>
                <w:rFonts w:ascii="Arial" w:hAnsi="Arial" w:cs="Arial"/>
                <w:b/>
                <w:bCs/>
                <w:sz w:val="16"/>
                <w:szCs w:val="16"/>
              </w:rPr>
            </w:pPr>
            <w:r>
              <w:rPr>
                <w:rFonts w:ascii="Arial" w:hAnsi="Arial" w:cs="Arial"/>
                <w:b/>
                <w:bCs/>
                <w:sz w:val="16"/>
                <w:szCs w:val="16"/>
              </w:rPr>
              <w:t>17</w:t>
            </w:r>
          </w:p>
        </w:tc>
        <w:tc>
          <w:tcPr>
            <w:tcW w:w="517" w:type="dxa"/>
            <w:shd w:val="clear" w:color="auto" w:fill="auto"/>
            <w:vAlign w:val="center"/>
          </w:tcPr>
          <w:p w:rsidR="004B3323" w:rsidRPr="00710E8C" w:rsidRDefault="004B3323" w:rsidP="00067543">
            <w:pPr>
              <w:pStyle w:val="TableText"/>
              <w:jc w:val="center"/>
              <w:rPr>
                <w:rFonts w:cs="Arial"/>
                <w:b/>
                <w:bCs/>
                <w:sz w:val="16"/>
                <w:szCs w:val="16"/>
              </w:rPr>
            </w:pPr>
            <w:r>
              <w:rPr>
                <w:rFonts w:cs="Arial"/>
                <w:b/>
                <w:bCs/>
                <w:sz w:val="16"/>
                <w:szCs w:val="16"/>
              </w:rPr>
              <w:t>148</w:t>
            </w:r>
          </w:p>
        </w:tc>
        <w:tc>
          <w:tcPr>
            <w:tcW w:w="743" w:type="dxa"/>
            <w:shd w:val="clear" w:color="auto" w:fill="auto"/>
            <w:vAlign w:val="center"/>
          </w:tcPr>
          <w:p w:rsidR="004B3323" w:rsidRPr="00710E8C" w:rsidRDefault="004B3323" w:rsidP="00067543">
            <w:pPr>
              <w:pStyle w:val="TableText"/>
              <w:jc w:val="center"/>
              <w:rPr>
                <w:rFonts w:cs="Arial"/>
                <w:b/>
                <w:sz w:val="16"/>
                <w:szCs w:val="16"/>
              </w:rPr>
            </w:pPr>
            <w:r>
              <w:rPr>
                <w:rFonts w:cs="Arial"/>
                <w:b/>
                <w:sz w:val="16"/>
                <w:szCs w:val="16"/>
              </w:rPr>
              <w:t>2,537</w:t>
            </w:r>
          </w:p>
        </w:tc>
        <w:tc>
          <w:tcPr>
            <w:tcW w:w="414" w:type="dxa"/>
            <w:shd w:val="clear" w:color="auto" w:fill="auto"/>
            <w:vAlign w:val="center"/>
          </w:tcPr>
          <w:p w:rsidR="004B3323" w:rsidRDefault="004B3323" w:rsidP="00067543">
            <w:pPr>
              <w:jc w:val="center"/>
              <w:rPr>
                <w:rFonts w:ascii="Arial" w:hAnsi="Arial" w:cs="Arial"/>
                <w:b/>
                <w:bCs/>
                <w:sz w:val="16"/>
                <w:szCs w:val="16"/>
              </w:rPr>
            </w:pPr>
            <w:r>
              <w:rPr>
                <w:rFonts w:ascii="Arial" w:hAnsi="Arial" w:cs="Arial"/>
                <w:b/>
                <w:bCs/>
                <w:sz w:val="16"/>
                <w:szCs w:val="16"/>
              </w:rPr>
              <w:t>29</w:t>
            </w:r>
          </w:p>
        </w:tc>
      </w:tr>
    </w:tbl>
    <w:p w:rsidR="004B3323" w:rsidRDefault="004B3323" w:rsidP="004B3323">
      <w:pPr>
        <w:ind w:left="-374"/>
        <w:rPr>
          <w:rFonts w:ascii="Arial" w:hAnsi="Arial" w:cs="Arial"/>
          <w:b/>
          <w:sz w:val="16"/>
          <w:szCs w:val="16"/>
        </w:rPr>
      </w:pPr>
    </w:p>
    <w:p w:rsidR="004B3323" w:rsidRPr="00A94430" w:rsidRDefault="004B3323" w:rsidP="004B3323">
      <w:pPr>
        <w:ind w:left="-374"/>
        <w:rPr>
          <w:rFonts w:ascii="Arial" w:hAnsi="Arial" w:cs="Arial"/>
          <w:b/>
          <w:sz w:val="16"/>
          <w:szCs w:val="16"/>
        </w:rPr>
      </w:pPr>
      <w:r w:rsidRPr="00A94430">
        <w:rPr>
          <w:rFonts w:ascii="Arial" w:hAnsi="Arial" w:cs="Arial"/>
          <w:b/>
          <w:sz w:val="16"/>
          <w:szCs w:val="16"/>
        </w:rPr>
        <w:t>Notes:</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1</w:t>
      </w:r>
      <w:r>
        <w:rPr>
          <w:rFonts w:ascii="Arial" w:hAnsi="Arial" w:cs="Arial"/>
          <w:sz w:val="16"/>
          <w:szCs w:val="16"/>
        </w:rPr>
        <w:t xml:space="preserve"> Systems or wells with samples that exceeded MCLs for </w:t>
      </w:r>
      <w:r w:rsidRPr="00401A04">
        <w:rPr>
          <w:rFonts w:ascii="Arial" w:hAnsi="Arial" w:cs="Arial"/>
          <w:sz w:val="16"/>
          <w:szCs w:val="16"/>
        </w:rPr>
        <w:t>volatile organic compounds</w:t>
      </w:r>
      <w:r>
        <w:rPr>
          <w:rFonts w:ascii="Arial" w:hAnsi="Arial" w:cs="Arial"/>
          <w:sz w:val="16"/>
          <w:szCs w:val="16"/>
        </w:rPr>
        <w:t>,</w:t>
      </w:r>
      <w:r w:rsidRPr="00401A04">
        <w:rPr>
          <w:rFonts w:ascii="Arial" w:hAnsi="Arial" w:cs="Arial"/>
          <w:sz w:val="16"/>
          <w:szCs w:val="16"/>
        </w:rPr>
        <w:t xml:space="preserve"> excluding trihalomethanes</w:t>
      </w:r>
      <w:r>
        <w:rPr>
          <w:rFonts w:ascii="Arial" w:hAnsi="Arial" w:cs="Arial"/>
          <w:sz w:val="16"/>
          <w:szCs w:val="16"/>
        </w:rPr>
        <w:t xml:space="preserve"> and ethylene dibromide.</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2</w:t>
      </w:r>
      <w:r>
        <w:rPr>
          <w:rFonts w:ascii="Arial" w:hAnsi="Arial" w:cs="Arial"/>
          <w:sz w:val="16"/>
          <w:szCs w:val="16"/>
        </w:rPr>
        <w:t xml:space="preserve"> Systems or wells with samples that exceeded MCLs for </w:t>
      </w:r>
      <w:r w:rsidRPr="00401A04">
        <w:rPr>
          <w:rFonts w:ascii="Arial" w:hAnsi="Arial" w:cs="Arial"/>
          <w:sz w:val="16"/>
          <w:szCs w:val="16"/>
        </w:rPr>
        <w:t xml:space="preserve">pesticides </w:t>
      </w:r>
      <w:r>
        <w:rPr>
          <w:rFonts w:ascii="Arial" w:hAnsi="Arial" w:cs="Arial"/>
          <w:sz w:val="16"/>
          <w:szCs w:val="16"/>
        </w:rPr>
        <w:t>(also known as</w:t>
      </w:r>
      <w:r w:rsidRPr="00401A04">
        <w:rPr>
          <w:rFonts w:ascii="Arial" w:hAnsi="Arial" w:cs="Arial"/>
          <w:sz w:val="16"/>
          <w:szCs w:val="16"/>
        </w:rPr>
        <w:t xml:space="preserve"> synthetic organic chemicals</w:t>
      </w:r>
      <w:r>
        <w:rPr>
          <w:rFonts w:ascii="Arial" w:hAnsi="Arial" w:cs="Arial"/>
          <w:sz w:val="16"/>
          <w:szCs w:val="16"/>
        </w:rPr>
        <w:t>, or SOCs).</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3</w:t>
      </w:r>
      <w:r>
        <w:rPr>
          <w:rFonts w:ascii="Arial" w:hAnsi="Arial" w:cs="Arial"/>
          <w:sz w:val="16"/>
          <w:szCs w:val="16"/>
        </w:rPr>
        <w:t xml:space="preserve"> Systems or wells with samples that exceeded MCLs for </w:t>
      </w:r>
      <w:r w:rsidRPr="00401A04">
        <w:rPr>
          <w:rFonts w:ascii="Arial" w:hAnsi="Arial" w:cs="Arial"/>
          <w:sz w:val="16"/>
          <w:szCs w:val="16"/>
        </w:rPr>
        <w:t xml:space="preserve">nitrate </w:t>
      </w:r>
      <w:r>
        <w:rPr>
          <w:rFonts w:ascii="Arial" w:hAnsi="Arial" w:cs="Arial"/>
          <w:sz w:val="16"/>
          <w:szCs w:val="16"/>
        </w:rPr>
        <w:t>or</w:t>
      </w:r>
      <w:r w:rsidRPr="00401A04">
        <w:rPr>
          <w:rFonts w:ascii="Arial" w:hAnsi="Arial" w:cs="Arial"/>
          <w:sz w:val="16"/>
          <w:szCs w:val="16"/>
        </w:rPr>
        <w:t xml:space="preserve"> nitrate+nitrite</w:t>
      </w:r>
      <w:r>
        <w:rPr>
          <w:rFonts w:ascii="Arial" w:hAnsi="Arial" w:cs="Arial"/>
          <w:sz w:val="16"/>
          <w:szCs w:val="16"/>
        </w:rPr>
        <w:t>.</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4</w:t>
      </w:r>
      <w:r>
        <w:rPr>
          <w:rFonts w:ascii="Arial" w:hAnsi="Arial" w:cs="Arial"/>
          <w:sz w:val="16"/>
          <w:szCs w:val="16"/>
        </w:rPr>
        <w:t xml:space="preserve"> Systems or wells with samples that exceeded MCLs for primary metals.</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5</w:t>
      </w:r>
      <w:r>
        <w:rPr>
          <w:rFonts w:ascii="Arial" w:hAnsi="Arial" w:cs="Arial"/>
          <w:sz w:val="16"/>
          <w:szCs w:val="16"/>
        </w:rPr>
        <w:t xml:space="preserve"> Systems or wells with samples that exceeded MCL for sodium, an indicator of salinity.</w:t>
      </w:r>
    </w:p>
    <w:p w:rsidR="004B3323" w:rsidRDefault="004B3323" w:rsidP="004B3323">
      <w:pPr>
        <w:ind w:left="-374" w:right="-364"/>
        <w:rPr>
          <w:rFonts w:ascii="Arial" w:hAnsi="Arial" w:cs="Arial"/>
          <w:sz w:val="16"/>
          <w:szCs w:val="16"/>
        </w:rPr>
      </w:pPr>
      <w:r w:rsidRPr="00A9776D">
        <w:rPr>
          <w:rFonts w:ascii="Arial" w:hAnsi="Arial" w:cs="Arial"/>
          <w:sz w:val="16"/>
          <w:szCs w:val="16"/>
          <w:vertAlign w:val="superscript"/>
        </w:rPr>
        <w:t>6</w:t>
      </w:r>
      <w:r>
        <w:rPr>
          <w:rFonts w:ascii="Arial" w:hAnsi="Arial" w:cs="Arial"/>
          <w:sz w:val="16"/>
          <w:szCs w:val="16"/>
        </w:rPr>
        <w:t xml:space="preserve"> Systems or wells with samples that exceeded MCL for radionuclides, measured as radon 226, radon 228, gross Alpha, and/or gross Beta.</w:t>
      </w:r>
    </w:p>
    <w:p w:rsidR="004B3323" w:rsidRPr="00323E7D" w:rsidRDefault="004B3323" w:rsidP="004B3323">
      <w:pPr>
        <w:pStyle w:val="TableText"/>
        <w:ind w:left="-374" w:right="-364"/>
        <w:rPr>
          <w:rFonts w:cs="Arial"/>
          <w:sz w:val="16"/>
          <w:szCs w:val="16"/>
        </w:rPr>
      </w:pPr>
      <w:r w:rsidRPr="00A9776D">
        <w:rPr>
          <w:rFonts w:cs="Arial"/>
          <w:vertAlign w:val="superscript"/>
        </w:rPr>
        <w:t>7</w:t>
      </w:r>
      <w:r>
        <w:rPr>
          <w:rFonts w:cs="Arial"/>
        </w:rPr>
        <w:t xml:space="preserve"> </w:t>
      </w:r>
      <w:r w:rsidRPr="00323E7D">
        <w:rPr>
          <w:rFonts w:cs="Arial"/>
          <w:sz w:val="16"/>
          <w:szCs w:val="16"/>
        </w:rPr>
        <w:t xml:space="preserve">PWS data not restricted to wells only.  Some parameter results may be for other entry points into a system, composite samples, or treated water.  Data are from systems that that operate their own wells.  </w:t>
      </w:r>
      <w:r w:rsidRPr="00323E7D">
        <w:rPr>
          <w:sz w:val="16"/>
          <w:szCs w:val="16"/>
        </w:rPr>
        <w:t>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B3323" w:rsidRPr="00323E7D" w:rsidRDefault="004B3323" w:rsidP="004B3323">
      <w:pPr>
        <w:pStyle w:val="TableText"/>
        <w:ind w:left="-374" w:right="-364"/>
        <w:rPr>
          <w:rFonts w:cs="Arial"/>
          <w:sz w:val="16"/>
          <w:szCs w:val="16"/>
        </w:rPr>
      </w:pPr>
      <w:r w:rsidRPr="00323E7D">
        <w:rPr>
          <w:rFonts w:cs="Arial"/>
          <w:sz w:val="16"/>
          <w:szCs w:val="16"/>
          <w:vertAlign w:val="superscript"/>
        </w:rPr>
        <w:t>8</w:t>
      </w:r>
      <w:r w:rsidRPr="00323E7D">
        <w:rPr>
          <w:rFonts w:cs="Arial"/>
          <w:sz w:val="16"/>
          <w:szCs w:val="16"/>
        </w:rPr>
        <w:t xml:space="preserve"> Private well sampling under the WSRP is targeted sampling conducted in areas of suspected contamination</w:t>
      </w:r>
      <w:r>
        <w:rPr>
          <w:rFonts w:cs="Arial"/>
          <w:sz w:val="16"/>
          <w:szCs w:val="16"/>
        </w:rPr>
        <w:t>,</w:t>
      </w:r>
      <w:r w:rsidRPr="00323E7D">
        <w:rPr>
          <w:rFonts w:cs="Arial"/>
          <w:sz w:val="16"/>
          <w:szCs w:val="16"/>
        </w:rPr>
        <w:t xml:space="preserve"> and </w:t>
      </w:r>
      <w:r>
        <w:rPr>
          <w:rFonts w:cs="Arial"/>
          <w:sz w:val="16"/>
          <w:szCs w:val="16"/>
        </w:rPr>
        <w:t xml:space="preserve">the </w:t>
      </w:r>
      <w:r w:rsidRPr="00323E7D">
        <w:rPr>
          <w:rFonts w:cs="Arial"/>
          <w:sz w:val="16"/>
          <w:szCs w:val="16"/>
        </w:rPr>
        <w:t>parameters analyzed are specific to contaminants of concern.</w:t>
      </w:r>
    </w:p>
    <w:p w:rsidR="004B3323" w:rsidRPr="00A94430" w:rsidRDefault="004B3323" w:rsidP="004B3323">
      <w:pPr>
        <w:rPr>
          <w:rFonts w:ascii="Arial" w:hAnsi="Arial" w:cs="Arial"/>
          <w:b/>
          <w:sz w:val="16"/>
          <w:szCs w:val="16"/>
        </w:rPr>
      </w:pPr>
      <w:r>
        <w:rPr>
          <w:rFonts w:ascii="Arial" w:hAnsi="Arial" w:cs="Arial"/>
          <w:b/>
          <w:sz w:val="16"/>
          <w:szCs w:val="16"/>
        </w:rPr>
        <w:br w:type="page"/>
      </w:r>
    </w:p>
    <w:p w:rsidR="004B3323" w:rsidRDefault="004B3323" w:rsidP="004B3323">
      <w:pPr>
        <w:rPr>
          <w:rFonts w:ascii="Arial" w:hAnsi="Arial" w:cs="Arial"/>
          <w:b/>
          <w:i/>
          <w:sz w:val="20"/>
          <w:szCs w:val="20"/>
        </w:rPr>
      </w:pPr>
      <w:r w:rsidRPr="00521A40">
        <w:rPr>
          <w:rFonts w:ascii="Arial" w:hAnsi="Arial" w:cs="Arial"/>
          <w:b/>
          <w:i/>
          <w:sz w:val="20"/>
          <w:szCs w:val="20"/>
        </w:rPr>
        <w:lastRenderedPageBreak/>
        <w:t xml:space="preserve">Table </w:t>
      </w:r>
      <w:r>
        <w:rPr>
          <w:rFonts w:ascii="Arial" w:hAnsi="Arial" w:cs="Arial"/>
          <w:b/>
          <w:i/>
          <w:sz w:val="20"/>
          <w:szCs w:val="20"/>
        </w:rPr>
        <w:t>29 (continued)</w:t>
      </w:r>
      <w:r w:rsidRPr="00521A40">
        <w:rPr>
          <w:rFonts w:ascii="Arial" w:hAnsi="Arial" w:cs="Arial"/>
          <w:b/>
          <w:i/>
          <w:sz w:val="20"/>
          <w:szCs w:val="20"/>
        </w:rPr>
        <w:t>.  Ground Water Contaminants of Concern in Aquifers Used as Potable Water Sources</w:t>
      </w:r>
    </w:p>
    <w:tbl>
      <w:tblPr>
        <w:tblW w:w="101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59"/>
        <w:gridCol w:w="630"/>
        <w:gridCol w:w="540"/>
        <w:gridCol w:w="630"/>
        <w:gridCol w:w="540"/>
        <w:gridCol w:w="540"/>
        <w:gridCol w:w="630"/>
        <w:gridCol w:w="540"/>
        <w:gridCol w:w="540"/>
        <w:gridCol w:w="617"/>
      </w:tblGrid>
      <w:tr w:rsidR="004B3323" w:rsidTr="00067543">
        <w:trPr>
          <w:cantSplit/>
          <w:trHeight w:val="450"/>
          <w:jc w:val="center"/>
        </w:trPr>
        <w:tc>
          <w:tcPr>
            <w:tcW w:w="4959" w:type="dxa"/>
            <w:vMerge w:val="restart"/>
            <w:shd w:val="clear" w:color="auto" w:fill="D9D9D9"/>
            <w:vAlign w:val="center"/>
          </w:tcPr>
          <w:p w:rsidR="004B3323" w:rsidRPr="00AD1916" w:rsidRDefault="004B3323" w:rsidP="00067543">
            <w:pPr>
              <w:autoSpaceDE w:val="0"/>
              <w:autoSpaceDN w:val="0"/>
              <w:adjustRightInd w:val="0"/>
              <w:jc w:val="center"/>
              <w:rPr>
                <w:rFonts w:ascii="Arial" w:hAnsi="Arial"/>
                <w:i/>
                <w:color w:val="000000"/>
                <w:sz w:val="16"/>
              </w:rPr>
            </w:pPr>
            <w:r w:rsidRPr="00AD1916">
              <w:rPr>
                <w:rFonts w:ascii="Arial" w:hAnsi="Arial"/>
                <w:b/>
                <w:i/>
                <w:color w:val="000000"/>
                <w:sz w:val="16"/>
              </w:rPr>
              <w:t>Basin—Aquifer</w:t>
            </w:r>
          </w:p>
        </w:tc>
        <w:tc>
          <w:tcPr>
            <w:tcW w:w="5207" w:type="dxa"/>
            <w:gridSpan w:val="9"/>
            <w:shd w:val="clear" w:color="auto" w:fill="D9D9D9"/>
            <w:vAlign w:val="center"/>
          </w:tcPr>
          <w:p w:rsidR="004B3323" w:rsidRPr="00AD1916" w:rsidRDefault="004B3323" w:rsidP="00067543">
            <w:pPr>
              <w:autoSpaceDE w:val="0"/>
              <w:autoSpaceDN w:val="0"/>
              <w:adjustRightInd w:val="0"/>
              <w:jc w:val="center"/>
              <w:rPr>
                <w:rFonts w:ascii="Arial" w:hAnsi="Arial"/>
                <w:i/>
                <w:color w:val="000000"/>
                <w:sz w:val="16"/>
              </w:rPr>
            </w:pPr>
            <w:r w:rsidRPr="00AD1916">
              <w:rPr>
                <w:rFonts w:ascii="Arial" w:hAnsi="Arial"/>
                <w:b/>
                <w:i/>
                <w:color w:val="000000"/>
                <w:sz w:val="16"/>
              </w:rPr>
              <w:t xml:space="preserve">Contaminant </w:t>
            </w:r>
            <w:r>
              <w:rPr>
                <w:rFonts w:ascii="Arial" w:hAnsi="Arial"/>
                <w:b/>
                <w:i/>
                <w:color w:val="000000"/>
                <w:sz w:val="16"/>
              </w:rPr>
              <w:t>C</w:t>
            </w:r>
            <w:r w:rsidRPr="00AD1916">
              <w:rPr>
                <w:rFonts w:ascii="Arial" w:hAnsi="Arial"/>
                <w:b/>
                <w:i/>
                <w:color w:val="000000"/>
                <w:sz w:val="16"/>
              </w:rPr>
              <w:t xml:space="preserve">ategories and </w:t>
            </w:r>
            <w:r>
              <w:rPr>
                <w:rFonts w:ascii="Arial" w:hAnsi="Arial"/>
                <w:b/>
                <w:i/>
                <w:color w:val="000000"/>
                <w:sz w:val="16"/>
              </w:rPr>
              <w:t>N</w:t>
            </w:r>
            <w:r w:rsidRPr="00AD1916">
              <w:rPr>
                <w:rFonts w:ascii="Arial" w:hAnsi="Arial"/>
                <w:b/>
                <w:i/>
                <w:color w:val="000000"/>
                <w:sz w:val="16"/>
              </w:rPr>
              <w:t xml:space="preserve">umber of </w:t>
            </w:r>
            <w:r>
              <w:rPr>
                <w:rFonts w:ascii="Arial" w:hAnsi="Arial"/>
                <w:b/>
                <w:i/>
                <w:color w:val="000000"/>
                <w:sz w:val="16"/>
              </w:rPr>
              <w:t>W</w:t>
            </w:r>
            <w:r w:rsidRPr="00AD1916">
              <w:rPr>
                <w:rFonts w:ascii="Arial" w:hAnsi="Arial"/>
                <w:b/>
                <w:i/>
                <w:color w:val="000000"/>
                <w:sz w:val="16"/>
              </w:rPr>
              <w:t xml:space="preserve">ells or </w:t>
            </w:r>
            <w:r>
              <w:rPr>
                <w:rFonts w:ascii="Arial" w:hAnsi="Arial"/>
                <w:b/>
                <w:i/>
                <w:color w:val="000000"/>
                <w:sz w:val="16"/>
              </w:rPr>
              <w:t>W</w:t>
            </w:r>
            <w:r w:rsidRPr="00AD1916">
              <w:rPr>
                <w:rFonts w:ascii="Arial" w:hAnsi="Arial"/>
                <w:b/>
                <w:i/>
                <w:color w:val="000000"/>
                <w:sz w:val="16"/>
              </w:rPr>
              <w:t xml:space="preserve">ater </w:t>
            </w:r>
            <w:r>
              <w:rPr>
                <w:rFonts w:ascii="Arial" w:hAnsi="Arial"/>
                <w:b/>
                <w:i/>
                <w:color w:val="000000"/>
                <w:sz w:val="16"/>
              </w:rPr>
              <w:t>S</w:t>
            </w:r>
            <w:r w:rsidRPr="00AD1916">
              <w:rPr>
                <w:rFonts w:ascii="Arial" w:hAnsi="Arial"/>
                <w:b/>
                <w:i/>
                <w:color w:val="000000"/>
                <w:sz w:val="16"/>
              </w:rPr>
              <w:t xml:space="preserve">ystems with </w:t>
            </w:r>
            <w:r>
              <w:rPr>
                <w:rFonts w:ascii="Arial" w:hAnsi="Arial"/>
                <w:b/>
                <w:i/>
                <w:color w:val="000000"/>
                <w:sz w:val="16"/>
              </w:rPr>
              <w:t>S</w:t>
            </w:r>
            <w:r w:rsidRPr="00AD1916">
              <w:rPr>
                <w:rFonts w:ascii="Arial" w:hAnsi="Arial"/>
                <w:b/>
                <w:i/>
                <w:color w:val="000000"/>
                <w:sz w:val="16"/>
              </w:rPr>
              <w:t xml:space="preserve">amples that </w:t>
            </w:r>
            <w:r>
              <w:rPr>
                <w:rFonts w:ascii="Arial" w:hAnsi="Arial"/>
                <w:b/>
                <w:i/>
                <w:color w:val="000000"/>
                <w:sz w:val="16"/>
              </w:rPr>
              <w:t>H</w:t>
            </w:r>
            <w:r w:rsidRPr="00AD1916">
              <w:rPr>
                <w:rFonts w:ascii="Arial" w:hAnsi="Arial"/>
                <w:b/>
                <w:i/>
                <w:color w:val="000000"/>
                <w:sz w:val="16"/>
              </w:rPr>
              <w:t xml:space="preserve">ave </w:t>
            </w:r>
            <w:r>
              <w:rPr>
                <w:rFonts w:ascii="Arial" w:hAnsi="Arial"/>
                <w:b/>
                <w:i/>
                <w:color w:val="000000"/>
                <w:sz w:val="16"/>
              </w:rPr>
              <w:t>E</w:t>
            </w:r>
            <w:r w:rsidRPr="00AD1916">
              <w:rPr>
                <w:rFonts w:ascii="Arial" w:hAnsi="Arial"/>
                <w:b/>
                <w:i/>
                <w:color w:val="000000"/>
                <w:sz w:val="16"/>
              </w:rPr>
              <w:t xml:space="preserve">xceeded </w:t>
            </w:r>
            <w:r>
              <w:rPr>
                <w:rFonts w:ascii="Arial" w:hAnsi="Arial"/>
                <w:b/>
                <w:i/>
                <w:color w:val="000000"/>
                <w:sz w:val="16"/>
              </w:rPr>
              <w:t>P</w:t>
            </w:r>
            <w:r w:rsidRPr="00AD1916">
              <w:rPr>
                <w:rFonts w:ascii="Arial" w:hAnsi="Arial"/>
                <w:b/>
                <w:i/>
                <w:color w:val="000000"/>
                <w:sz w:val="16"/>
              </w:rPr>
              <w:t xml:space="preserve">rimary </w:t>
            </w:r>
            <w:r>
              <w:rPr>
                <w:rFonts w:ascii="Arial" w:hAnsi="Arial"/>
                <w:b/>
                <w:i/>
                <w:color w:val="000000"/>
                <w:sz w:val="16"/>
              </w:rPr>
              <w:t>S</w:t>
            </w:r>
            <w:r w:rsidRPr="00AD1916">
              <w:rPr>
                <w:rFonts w:ascii="Arial" w:hAnsi="Arial"/>
                <w:b/>
                <w:i/>
                <w:color w:val="000000"/>
                <w:sz w:val="16"/>
              </w:rPr>
              <w:t>tandards</w:t>
            </w:r>
          </w:p>
        </w:tc>
      </w:tr>
      <w:tr w:rsidR="004B3323" w:rsidTr="00067543">
        <w:trPr>
          <w:cantSplit/>
          <w:trHeight w:val="348"/>
          <w:jc w:val="center"/>
        </w:trPr>
        <w:tc>
          <w:tcPr>
            <w:tcW w:w="4959" w:type="dxa"/>
            <w:vMerge/>
            <w:vAlign w:val="center"/>
          </w:tcPr>
          <w:p w:rsidR="004B3323" w:rsidRPr="00AD1916" w:rsidRDefault="004B3323" w:rsidP="00067543">
            <w:pPr>
              <w:autoSpaceDE w:val="0"/>
              <w:autoSpaceDN w:val="0"/>
              <w:adjustRightInd w:val="0"/>
              <w:rPr>
                <w:rFonts w:ascii="Arial" w:hAnsi="Arial"/>
                <w:i/>
                <w:color w:val="000000"/>
                <w:sz w:val="16"/>
              </w:rPr>
            </w:pPr>
          </w:p>
        </w:tc>
        <w:tc>
          <w:tcPr>
            <w:tcW w:w="1800" w:type="dxa"/>
            <w:gridSpan w:val="3"/>
            <w:shd w:val="clear" w:color="auto" w:fill="F3F3F3"/>
            <w:vAlign w:val="center"/>
          </w:tcPr>
          <w:p w:rsidR="004B3323" w:rsidRPr="00AD1916" w:rsidRDefault="004B3323" w:rsidP="00067543">
            <w:pPr>
              <w:autoSpaceDE w:val="0"/>
              <w:autoSpaceDN w:val="0"/>
              <w:adjustRightInd w:val="0"/>
              <w:jc w:val="center"/>
              <w:rPr>
                <w:rFonts w:ascii="Arial" w:hAnsi="Arial"/>
                <w:b/>
                <w:i/>
                <w:color w:val="000000"/>
                <w:sz w:val="16"/>
              </w:rPr>
            </w:pPr>
            <w:r w:rsidRPr="00AD1916">
              <w:rPr>
                <w:rFonts w:ascii="Arial" w:hAnsi="Arial"/>
                <w:b/>
                <w:i/>
                <w:color w:val="000000"/>
                <w:sz w:val="16"/>
              </w:rPr>
              <w:t>Primary Metals</w:t>
            </w:r>
            <w:r w:rsidRPr="00AD1916">
              <w:rPr>
                <w:rFonts w:ascii="Arial" w:hAnsi="Arial"/>
                <w:b/>
                <w:i/>
                <w:color w:val="000000"/>
                <w:sz w:val="16"/>
                <w:szCs w:val="16"/>
                <w:vertAlign w:val="superscript"/>
              </w:rPr>
              <w:t>4</w:t>
            </w:r>
          </w:p>
        </w:tc>
        <w:tc>
          <w:tcPr>
            <w:tcW w:w="1710" w:type="dxa"/>
            <w:gridSpan w:val="3"/>
            <w:shd w:val="clear" w:color="auto" w:fill="F3F3F3"/>
            <w:vAlign w:val="center"/>
          </w:tcPr>
          <w:p w:rsidR="004B3323" w:rsidRPr="00AD1916" w:rsidRDefault="004B3323" w:rsidP="00067543">
            <w:pPr>
              <w:autoSpaceDE w:val="0"/>
              <w:autoSpaceDN w:val="0"/>
              <w:adjustRightInd w:val="0"/>
              <w:jc w:val="center"/>
              <w:rPr>
                <w:rFonts w:ascii="Arial" w:hAnsi="Arial"/>
                <w:i/>
                <w:color w:val="000000"/>
                <w:sz w:val="16"/>
              </w:rPr>
            </w:pPr>
            <w:r w:rsidRPr="00AD1916">
              <w:rPr>
                <w:rFonts w:ascii="Arial" w:hAnsi="Arial"/>
                <w:b/>
                <w:i/>
                <w:color w:val="000000"/>
                <w:sz w:val="16"/>
              </w:rPr>
              <w:t>Saline Water</w:t>
            </w:r>
            <w:r w:rsidRPr="00AD1916">
              <w:rPr>
                <w:rFonts w:ascii="Arial" w:hAnsi="Arial"/>
                <w:b/>
                <w:i/>
                <w:color w:val="000000"/>
                <w:sz w:val="16"/>
                <w:szCs w:val="16"/>
                <w:vertAlign w:val="superscript"/>
              </w:rPr>
              <w:t>5</w:t>
            </w:r>
          </w:p>
        </w:tc>
        <w:tc>
          <w:tcPr>
            <w:tcW w:w="1697" w:type="dxa"/>
            <w:gridSpan w:val="3"/>
            <w:shd w:val="clear" w:color="auto" w:fill="F3F3F3"/>
            <w:vAlign w:val="center"/>
          </w:tcPr>
          <w:p w:rsidR="004B3323" w:rsidRPr="00AD1916" w:rsidRDefault="004B3323" w:rsidP="00067543">
            <w:pPr>
              <w:autoSpaceDE w:val="0"/>
              <w:autoSpaceDN w:val="0"/>
              <w:adjustRightInd w:val="0"/>
              <w:jc w:val="center"/>
              <w:rPr>
                <w:rFonts w:ascii="Arial" w:hAnsi="Arial"/>
                <w:b/>
                <w:i/>
                <w:color w:val="000000"/>
                <w:sz w:val="16"/>
              </w:rPr>
            </w:pPr>
            <w:r w:rsidRPr="00AD1916">
              <w:rPr>
                <w:rFonts w:ascii="Arial" w:hAnsi="Arial"/>
                <w:b/>
                <w:i/>
                <w:color w:val="000000"/>
                <w:sz w:val="16"/>
              </w:rPr>
              <w:t>Radionuclides</w:t>
            </w:r>
            <w:r w:rsidRPr="00AD1916">
              <w:rPr>
                <w:rFonts w:ascii="Arial" w:hAnsi="Arial"/>
                <w:b/>
                <w:i/>
                <w:color w:val="000000"/>
                <w:sz w:val="16"/>
                <w:szCs w:val="16"/>
                <w:vertAlign w:val="superscript"/>
              </w:rPr>
              <w:t>6</w:t>
            </w:r>
          </w:p>
        </w:tc>
      </w:tr>
      <w:tr w:rsidR="004B3323" w:rsidTr="00067543">
        <w:trPr>
          <w:cantSplit/>
          <w:trHeight w:val="2042"/>
          <w:jc w:val="center"/>
        </w:trPr>
        <w:tc>
          <w:tcPr>
            <w:tcW w:w="4959" w:type="dxa"/>
            <w:vMerge/>
            <w:shd w:val="clear" w:color="auto" w:fill="D9D9D9"/>
            <w:vAlign w:val="center"/>
          </w:tcPr>
          <w:p w:rsidR="004B3323" w:rsidRPr="00AD1916" w:rsidRDefault="004B3323" w:rsidP="00067543">
            <w:pPr>
              <w:autoSpaceDE w:val="0"/>
              <w:autoSpaceDN w:val="0"/>
              <w:adjustRightInd w:val="0"/>
              <w:rPr>
                <w:rFonts w:ascii="Arial" w:hAnsi="Arial"/>
                <w:i/>
                <w:color w:val="000000"/>
                <w:sz w:val="16"/>
              </w:rPr>
            </w:pPr>
          </w:p>
        </w:tc>
        <w:tc>
          <w:tcPr>
            <w:tcW w:w="63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3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c>
          <w:tcPr>
            <w:tcW w:w="54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3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c>
          <w:tcPr>
            <w:tcW w:w="54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Public Water Systems</w:t>
            </w:r>
            <w:r w:rsidRPr="00AD1916">
              <w:rPr>
                <w:rFonts w:ascii="Arial" w:hAnsi="Arial"/>
                <w:b/>
                <w:i/>
                <w:color w:val="000000"/>
                <w:sz w:val="16"/>
                <w:szCs w:val="16"/>
                <w:vertAlign w:val="superscript"/>
              </w:rPr>
              <w:t>7</w:t>
            </w:r>
          </w:p>
        </w:tc>
        <w:tc>
          <w:tcPr>
            <w:tcW w:w="540"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Private Wells (WSRP)</w:t>
            </w:r>
            <w:r w:rsidRPr="00AD1916">
              <w:rPr>
                <w:rFonts w:ascii="Arial" w:hAnsi="Arial"/>
                <w:b/>
                <w:i/>
                <w:color w:val="000000"/>
                <w:sz w:val="16"/>
                <w:szCs w:val="16"/>
                <w:vertAlign w:val="superscript"/>
              </w:rPr>
              <w:t xml:space="preserve"> 8</w:t>
            </w:r>
          </w:p>
        </w:tc>
        <w:tc>
          <w:tcPr>
            <w:tcW w:w="617" w:type="dxa"/>
            <w:shd w:val="clear" w:color="auto" w:fill="D9D9D9"/>
            <w:textDirection w:val="btLr"/>
            <w:vAlign w:val="center"/>
          </w:tcPr>
          <w:p w:rsidR="004B3323" w:rsidRPr="00AD1916" w:rsidRDefault="004B3323" w:rsidP="00067543">
            <w:pPr>
              <w:autoSpaceDE w:val="0"/>
              <w:autoSpaceDN w:val="0"/>
              <w:adjustRightInd w:val="0"/>
              <w:ind w:left="113" w:right="113"/>
              <w:rPr>
                <w:rFonts w:ascii="Arial" w:hAnsi="Arial"/>
                <w:b/>
                <w:i/>
                <w:color w:val="000000"/>
                <w:sz w:val="16"/>
              </w:rPr>
            </w:pPr>
            <w:r w:rsidRPr="00AD1916">
              <w:rPr>
                <w:rFonts w:ascii="Arial" w:hAnsi="Arial"/>
                <w:b/>
                <w:i/>
                <w:color w:val="000000"/>
                <w:sz w:val="16"/>
              </w:rPr>
              <w:t>Status/ Background/ VISA Network Wells</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Apalachicola–Chipola—Floridan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55</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Pr="00A258A3" w:rsidRDefault="004B3323" w:rsidP="00067543">
            <w:pPr>
              <w:autoSpaceDE w:val="0"/>
              <w:autoSpaceDN w:val="0"/>
              <w:adjustRightInd w:val="0"/>
              <w:rPr>
                <w:rFonts w:ascii="Arial" w:hAnsi="Arial"/>
                <w:color w:val="000000"/>
                <w:sz w:val="16"/>
              </w:rPr>
            </w:pPr>
            <w:r>
              <w:rPr>
                <w:rFonts w:ascii="Arial" w:hAnsi="Arial"/>
                <w:color w:val="000000"/>
                <w:sz w:val="16"/>
              </w:rPr>
              <w:t xml:space="preserve">Caloosahatchee—Surficial Aquifer </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Charlotte</w:t>
                </w:r>
              </w:smartTag>
              <w:r>
                <w:rPr>
                  <w:rFonts w:ascii="Arial" w:hAnsi="Arial"/>
                  <w:color w:val="000000"/>
                  <w:sz w:val="16"/>
                </w:rPr>
                <w:t xml:space="preserve"> </w:t>
              </w:r>
              <w:smartTag w:uri="urn:schemas-microsoft-com:office:smarttags" w:element="PlaceName">
                <w:r>
                  <w:rPr>
                    <w:rFonts w:ascii="Arial" w:hAnsi="Arial"/>
                    <w:color w:val="000000"/>
                    <w:sz w:val="16"/>
                  </w:rPr>
                  <w:t>Harbor</w:t>
                </w:r>
              </w:smartTag>
            </w:smartTag>
            <w:r>
              <w:rPr>
                <w:rFonts w:ascii="Arial" w:hAnsi="Arial"/>
                <w:color w:val="000000"/>
                <w:sz w:val="16"/>
              </w:rPr>
              <w:t xml:space="preserve">—Floridan Aquifer </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14</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Choctawhatchee–St. Andrew—Floridan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Everglades</w:t>
              </w:r>
            </w:smartTag>
            <w:r>
              <w:rPr>
                <w:rFonts w:ascii="Arial" w:hAnsi="Arial"/>
                <w:color w:val="000000"/>
                <w:sz w:val="16"/>
              </w:rPr>
              <w:t xml:space="preserve">—Surficial Aquifer  </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Everglades</w:t>
              </w:r>
            </w:smartTag>
            <w:r>
              <w:rPr>
                <w:rFonts w:ascii="Arial" w:hAnsi="Arial"/>
                <w:color w:val="000000"/>
                <w:sz w:val="16"/>
              </w:rPr>
              <w:t xml:space="preserve"> West Coast—Surficial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5705ED" w:rsidRDefault="004B3323" w:rsidP="00067543">
            <w:pPr>
              <w:jc w:val="center"/>
              <w:rPr>
                <w:rFonts w:ascii="Arial" w:hAnsi="Arial" w:cs="Arial"/>
                <w:sz w:val="16"/>
                <w:szCs w:val="16"/>
                <w:highlight w:val="yellow"/>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Fisheating Creek—Surficial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Florida Keys</w:t>
              </w:r>
            </w:smartTag>
            <w:r>
              <w:rPr>
                <w:rFonts w:ascii="Arial" w:hAnsi="Arial"/>
                <w:color w:val="000000"/>
                <w:sz w:val="16"/>
              </w:rPr>
              <w:t>—None</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Indian River</w:t>
              </w:r>
            </w:smartTag>
            <w:r>
              <w:rPr>
                <w:rFonts w:ascii="Arial" w:hAnsi="Arial"/>
                <w:color w:val="000000"/>
                <w:sz w:val="16"/>
              </w:rPr>
              <w:t xml:space="preserve"> Lagoon—Floridan and Surficial Aquifers</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20</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9</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Kissimmee River</w:t>
              </w:r>
            </w:smartTag>
            <w:r>
              <w:rPr>
                <w:rFonts w:ascii="Arial" w:hAnsi="Arial"/>
                <w:color w:val="000000"/>
                <w:sz w:val="16"/>
              </w:rPr>
              <w:t>—Floridan, Intermediate, and Surficial Aquifers</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30</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Lake Okeechobee</w:t>
              </w:r>
            </w:smartTag>
            <w:r>
              <w:rPr>
                <w:rFonts w:ascii="Arial" w:hAnsi="Arial"/>
                <w:color w:val="000000"/>
                <w:sz w:val="16"/>
              </w:rPr>
              <w:t xml:space="preserve">—Surficial Aquifer  </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Lake Worth</w:t>
                </w:r>
              </w:smartTag>
              <w:r>
                <w:rPr>
                  <w:rFonts w:ascii="Arial" w:hAnsi="Arial"/>
                  <w:color w:val="000000"/>
                  <w:sz w:val="16"/>
                </w:rPr>
                <w:t xml:space="preserve"> </w:t>
              </w:r>
              <w:smartTag w:uri="urn:schemas-microsoft-com:office:smarttags" w:element="PlaceName">
                <w:r>
                  <w:rPr>
                    <w:rFonts w:ascii="Arial" w:hAnsi="Arial"/>
                    <w:color w:val="000000"/>
                    <w:sz w:val="16"/>
                  </w:rPr>
                  <w:t>Lagoon–Palm</w:t>
                </w:r>
              </w:smartTag>
              <w:r>
                <w:rPr>
                  <w:rFonts w:ascii="Arial" w:hAnsi="Arial"/>
                  <w:color w:val="000000"/>
                  <w:sz w:val="16"/>
                </w:rPr>
                <w:t xml:space="preserve"> </w:t>
              </w:r>
              <w:smartTag w:uri="urn:schemas-microsoft-com:office:smarttags" w:element="PlaceType">
                <w:r>
                  <w:rPr>
                    <w:rFonts w:ascii="Arial" w:hAnsi="Arial"/>
                    <w:color w:val="000000"/>
                    <w:sz w:val="16"/>
                  </w:rPr>
                  <w:t>Beach</w:t>
                </w:r>
              </w:smartTag>
              <w:r>
                <w:rPr>
                  <w:rFonts w:ascii="Arial" w:hAnsi="Arial"/>
                  <w:color w:val="000000"/>
                  <w:sz w:val="16"/>
                </w:rPr>
                <w:t xml:space="preserve"> </w:t>
              </w:r>
              <w:smartTag w:uri="urn:schemas-microsoft-com:office:smarttags" w:element="PlaceType">
                <w:r>
                  <w:rPr>
                    <w:rFonts w:ascii="Arial" w:hAnsi="Arial"/>
                    <w:color w:val="000000"/>
                    <w:sz w:val="16"/>
                  </w:rPr>
                  <w:t>Coast</w:t>
                </w:r>
              </w:smartTag>
            </w:smartTag>
            <w:r>
              <w:rPr>
                <w:rFonts w:ascii="Arial" w:hAnsi="Arial"/>
                <w:color w:val="000000"/>
                <w:sz w:val="16"/>
              </w:rPr>
              <w:t>—Surficial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4B3323"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Lower St. Johns</w:t>
              </w:r>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sidRPr="00BE34BD">
              <w:rPr>
                <w:rFonts w:ascii="Arial" w:hAnsi="Arial" w:cs="Arial"/>
                <w:sz w:val="16"/>
                <w:szCs w:val="16"/>
              </w:rPr>
              <w:t>121</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15</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 xml:space="preserve">Middle </w:t>
            </w:r>
            <w:smartTag w:uri="urn:schemas-microsoft-com:office:smarttags" w:element="place">
              <w:smartTag w:uri="urn:schemas-microsoft-com:office:smarttags" w:element="City">
                <w:r>
                  <w:rPr>
                    <w:rFonts w:ascii="Arial" w:hAnsi="Arial"/>
                    <w:color w:val="000000"/>
                    <w:sz w:val="16"/>
                  </w:rPr>
                  <w:t>St. Johns</w:t>
                </w:r>
              </w:smartTag>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8</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15</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13</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Nassau–St. Marys—Floridan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17</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0</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Ochlockonee–St. Marks—Floridan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Ocklawaha—Floridan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116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71</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r>
      <w:tr w:rsidR="004B3323" w:rsidRPr="00A258A3" w:rsidTr="00067543">
        <w:trPr>
          <w:trHeight w:val="220"/>
          <w:jc w:val="center"/>
        </w:trPr>
        <w:tc>
          <w:tcPr>
            <w:tcW w:w="4959" w:type="dxa"/>
            <w:shd w:val="clear" w:color="auto" w:fill="F3F3F3"/>
            <w:vAlign w:val="center"/>
          </w:tcPr>
          <w:p w:rsidR="004B3323" w:rsidRPr="00A258A3" w:rsidRDefault="004B3323" w:rsidP="00067543">
            <w:pPr>
              <w:autoSpaceDE w:val="0"/>
              <w:autoSpaceDN w:val="0"/>
              <w:adjustRightInd w:val="0"/>
              <w:rPr>
                <w:rFonts w:ascii="Arial" w:hAnsi="Arial"/>
                <w:color w:val="000000"/>
                <w:sz w:val="16"/>
                <w:lang w:val="pt-BR"/>
              </w:rPr>
            </w:pPr>
            <w:r w:rsidRPr="00A258A3">
              <w:rPr>
                <w:rFonts w:ascii="Arial" w:hAnsi="Arial"/>
                <w:color w:val="000000"/>
                <w:sz w:val="16"/>
                <w:lang w:val="pt-BR"/>
              </w:rPr>
              <w:t>Pensacola</w:t>
            </w:r>
            <w:r w:rsidRPr="00A94430">
              <w:rPr>
                <w:rFonts w:ascii="Arial" w:hAnsi="Arial"/>
                <w:color w:val="000000"/>
                <w:sz w:val="16"/>
                <w:lang w:val="pt-BR"/>
              </w:rPr>
              <w:t>—</w:t>
            </w:r>
            <w:r w:rsidRPr="00A258A3">
              <w:rPr>
                <w:rFonts w:ascii="Arial" w:hAnsi="Arial"/>
                <w:color w:val="000000"/>
                <w:sz w:val="16"/>
                <w:lang w:val="pt-BR"/>
              </w:rPr>
              <w:t>Sand-and-Gravel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18</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20</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18</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17</w:t>
            </w:r>
          </w:p>
        </w:tc>
      </w:tr>
      <w:tr w:rsidR="004B3323" w:rsidRPr="00A258A3" w:rsidTr="00067543">
        <w:trPr>
          <w:trHeight w:val="220"/>
          <w:jc w:val="center"/>
        </w:trPr>
        <w:tc>
          <w:tcPr>
            <w:tcW w:w="4959" w:type="dxa"/>
            <w:shd w:val="clear" w:color="auto" w:fill="F3F3F3"/>
            <w:vAlign w:val="center"/>
          </w:tcPr>
          <w:p w:rsidR="004B3323" w:rsidRPr="00A258A3" w:rsidRDefault="004B3323" w:rsidP="00067543">
            <w:pPr>
              <w:autoSpaceDE w:val="0"/>
              <w:autoSpaceDN w:val="0"/>
              <w:adjustRightInd w:val="0"/>
              <w:rPr>
                <w:rFonts w:ascii="Arial" w:hAnsi="Arial"/>
                <w:color w:val="000000"/>
                <w:sz w:val="16"/>
                <w:lang w:val="pt-BR"/>
              </w:rPr>
            </w:pPr>
            <w:r w:rsidRPr="00A258A3">
              <w:rPr>
                <w:rFonts w:ascii="Arial" w:hAnsi="Arial"/>
                <w:color w:val="000000"/>
                <w:sz w:val="16"/>
                <w:lang w:val="pt-BR"/>
              </w:rPr>
              <w:t>Perdido</w:t>
            </w:r>
            <w:r w:rsidRPr="00A94430">
              <w:rPr>
                <w:rFonts w:ascii="Arial" w:hAnsi="Arial"/>
                <w:color w:val="000000"/>
                <w:sz w:val="16"/>
                <w:lang w:val="pt-BR"/>
              </w:rPr>
              <w:t>—</w:t>
            </w:r>
            <w:r w:rsidRPr="00A258A3">
              <w:rPr>
                <w:rFonts w:ascii="Arial" w:hAnsi="Arial"/>
                <w:color w:val="000000"/>
                <w:sz w:val="16"/>
                <w:lang w:val="pt-BR"/>
              </w:rPr>
              <w:t>Sand-and-Gravel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6</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Sarasota Bay–Peace–Myakka—Floridan and Surficial Aquifers</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70</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17</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10</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97</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Southeast Coast–Biscayne Bay–Biscayne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54</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83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7</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smartTag w:uri="urn:schemas-microsoft-com:office:smarttags" w:element="PlaceType">
                <w:r>
                  <w:rPr>
                    <w:rFonts w:ascii="Arial" w:hAnsi="Arial"/>
                    <w:color w:val="000000"/>
                    <w:sz w:val="16"/>
                  </w:rPr>
                  <w:t>Springs</w:t>
                </w:r>
              </w:smartTag>
              <w:r>
                <w:rPr>
                  <w:rFonts w:ascii="Arial" w:hAnsi="Arial"/>
                  <w:color w:val="000000"/>
                  <w:sz w:val="16"/>
                </w:rPr>
                <w:t xml:space="preserve"> </w:t>
              </w:r>
              <w:smartTag w:uri="urn:schemas-microsoft-com:office:smarttags" w:element="PlaceType">
                <w:r>
                  <w:rPr>
                    <w:rFonts w:ascii="Arial" w:hAnsi="Arial"/>
                    <w:color w:val="000000"/>
                    <w:sz w:val="16"/>
                  </w:rPr>
                  <w:t>Coast</w:t>
                </w:r>
              </w:smartTag>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54</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8</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r>
      <w:tr w:rsidR="004B3323" w:rsidTr="00067543">
        <w:trPr>
          <w:trHeight w:val="220"/>
          <w:jc w:val="center"/>
        </w:trPr>
        <w:tc>
          <w:tcPr>
            <w:tcW w:w="4959" w:type="dxa"/>
            <w:tcBorders>
              <w:bottom w:val="single" w:sz="4" w:space="0" w:color="auto"/>
            </w:tcBorders>
            <w:shd w:val="clear" w:color="auto" w:fill="F3F3F3"/>
            <w:vAlign w:val="center"/>
          </w:tcPr>
          <w:p w:rsidR="004B3323" w:rsidRDefault="004B3323" w:rsidP="00067543">
            <w:pPr>
              <w:autoSpaceDE w:val="0"/>
              <w:autoSpaceDN w:val="0"/>
              <w:adjustRightInd w:val="0"/>
              <w:rPr>
                <w:rFonts w:ascii="Arial" w:hAnsi="Arial"/>
                <w:color w:val="000000"/>
                <w:sz w:val="16"/>
              </w:rPr>
            </w:pPr>
            <w:r>
              <w:rPr>
                <w:rFonts w:ascii="Arial" w:hAnsi="Arial"/>
                <w:color w:val="000000"/>
                <w:sz w:val="16"/>
              </w:rPr>
              <w:t>St. Lucie–Loxahatchee—Surficial Aquifer</w:t>
            </w:r>
          </w:p>
        </w:tc>
        <w:tc>
          <w:tcPr>
            <w:tcW w:w="63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32</w:t>
            </w:r>
          </w:p>
        </w:tc>
        <w:tc>
          <w:tcPr>
            <w:tcW w:w="54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18</w:t>
            </w:r>
          </w:p>
        </w:tc>
        <w:tc>
          <w:tcPr>
            <w:tcW w:w="630" w:type="dxa"/>
            <w:tcBorders>
              <w:bottom w:val="single" w:sz="4" w:space="0" w:color="auto"/>
            </w:tcBorders>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13</w:t>
            </w:r>
          </w:p>
        </w:tc>
        <w:tc>
          <w:tcPr>
            <w:tcW w:w="54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w:t>
            </w:r>
          </w:p>
        </w:tc>
        <w:tc>
          <w:tcPr>
            <w:tcW w:w="630" w:type="dxa"/>
            <w:tcBorders>
              <w:bottom w:val="single" w:sz="4" w:space="0" w:color="auto"/>
            </w:tcBorders>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4</w:t>
            </w:r>
          </w:p>
        </w:tc>
        <w:tc>
          <w:tcPr>
            <w:tcW w:w="54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540" w:type="dxa"/>
            <w:tcBorders>
              <w:bottom w:val="single" w:sz="4" w:space="0" w:color="auto"/>
            </w:tcBorders>
            <w:shd w:val="clear" w:color="auto" w:fill="auto"/>
            <w:vAlign w:val="center"/>
          </w:tcPr>
          <w:p w:rsidR="004B3323" w:rsidRPr="002E0378" w:rsidRDefault="004B3323" w:rsidP="00067543">
            <w:pPr>
              <w:jc w:val="center"/>
              <w:rPr>
                <w:rFonts w:ascii="Arial" w:hAnsi="Arial" w:cs="Arial"/>
                <w:sz w:val="16"/>
                <w:szCs w:val="16"/>
              </w:rPr>
            </w:pPr>
          </w:p>
        </w:tc>
        <w:tc>
          <w:tcPr>
            <w:tcW w:w="617" w:type="dxa"/>
            <w:tcBorders>
              <w:bottom w:val="single" w:sz="4" w:space="0" w:color="auto"/>
            </w:tcBorders>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Suwannee</w:t>
              </w:r>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76</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35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8</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19</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smartTag w:uri="urn:schemas-microsoft-com:office:smarttags" w:element="PlaceName">
                <w:r>
                  <w:rPr>
                    <w:rFonts w:ascii="Arial" w:hAnsi="Arial"/>
                    <w:color w:val="000000"/>
                    <w:sz w:val="16"/>
                  </w:rPr>
                  <w:t>Tampa</w:t>
                </w:r>
              </w:smartTag>
              <w:r>
                <w:rPr>
                  <w:rFonts w:ascii="Arial" w:hAnsi="Arial"/>
                  <w:color w:val="000000"/>
                  <w:sz w:val="16"/>
                </w:rPr>
                <w:t xml:space="preserve"> </w:t>
              </w:r>
              <w:smartTag w:uri="urn:schemas-microsoft-com:office:smarttags" w:element="PlaceType">
                <w:r>
                  <w:rPr>
                    <w:rFonts w:ascii="Arial" w:hAnsi="Arial"/>
                    <w:color w:val="000000"/>
                    <w:sz w:val="16"/>
                  </w:rPr>
                  <w:t>Bay</w:t>
                </w:r>
              </w:smartTag>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33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17</w:t>
            </w:r>
          </w:p>
        </w:tc>
        <w:tc>
          <w:tcPr>
            <w:tcW w:w="630" w:type="dxa"/>
            <w:shd w:val="clear" w:color="auto" w:fill="auto"/>
            <w:vAlign w:val="center"/>
          </w:tcPr>
          <w:p w:rsidR="004B3323" w:rsidRDefault="004B3323" w:rsidP="00067543">
            <w:pP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BE34BD" w:rsidRDefault="004B3323" w:rsidP="00067543">
            <w:pPr>
              <w:jc w:val="center"/>
              <w:rPr>
                <w:rFonts w:ascii="Arial" w:hAnsi="Arial" w:cs="Arial"/>
                <w:sz w:val="16"/>
                <w:szCs w:val="16"/>
              </w:rPr>
            </w:pPr>
            <w:r w:rsidRPr="00BE34BD">
              <w:rPr>
                <w:rFonts w:ascii="Arial" w:hAnsi="Arial" w:cs="Arial"/>
                <w:sz w:val="16"/>
                <w:szCs w:val="16"/>
              </w:rPr>
              <w:t>3</w:t>
            </w:r>
          </w:p>
        </w:tc>
        <w:tc>
          <w:tcPr>
            <w:tcW w:w="630" w:type="dxa"/>
            <w:shd w:val="clear" w:color="auto" w:fill="auto"/>
            <w:vAlign w:val="center"/>
          </w:tcPr>
          <w:p w:rsidR="004B3323" w:rsidRDefault="004B3323" w:rsidP="00067543">
            <w:pP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17</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center"/>
          </w:tcPr>
          <w:p w:rsidR="004B3323" w:rsidRDefault="004B3323" w:rsidP="00067543">
            <w:pPr>
              <w:rPr>
                <w:rFonts w:ascii="Arial" w:hAnsi="Arial" w:cs="Arial"/>
                <w:sz w:val="16"/>
                <w:szCs w:val="16"/>
              </w:rPr>
            </w:pPr>
          </w:p>
        </w:tc>
      </w:tr>
      <w:tr w:rsidR="004B3323" w:rsidRPr="005F7AFB" w:rsidTr="00067543">
        <w:trPr>
          <w:trHeight w:val="220"/>
          <w:jc w:val="center"/>
        </w:trPr>
        <w:tc>
          <w:tcPr>
            <w:tcW w:w="4959" w:type="dxa"/>
            <w:shd w:val="clear" w:color="auto" w:fill="F3F3F3"/>
            <w:vAlign w:val="center"/>
          </w:tcPr>
          <w:p w:rsidR="004B3323" w:rsidRPr="005F7AFB" w:rsidRDefault="004B3323" w:rsidP="00067543">
            <w:pPr>
              <w:autoSpaceDE w:val="0"/>
              <w:autoSpaceDN w:val="0"/>
              <w:adjustRightInd w:val="0"/>
              <w:rPr>
                <w:rFonts w:ascii="Arial" w:hAnsi="Arial"/>
                <w:color w:val="000000"/>
                <w:sz w:val="16"/>
                <w:lang w:val="pt-BR"/>
              </w:rPr>
            </w:pPr>
            <w:r w:rsidRPr="005F7AFB">
              <w:rPr>
                <w:rFonts w:ascii="Arial" w:hAnsi="Arial"/>
                <w:color w:val="000000"/>
                <w:sz w:val="16"/>
                <w:lang w:val="pt-BR"/>
              </w:rPr>
              <w:t>Tampa Bay Tributaries—Floridan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121</w:t>
            </w:r>
          </w:p>
        </w:tc>
        <w:tc>
          <w:tcPr>
            <w:tcW w:w="540" w:type="dxa"/>
            <w:shd w:val="clear" w:color="auto" w:fill="auto"/>
            <w:vAlign w:val="center"/>
          </w:tcPr>
          <w:p w:rsidR="004B3323" w:rsidRPr="00BE34BD" w:rsidRDefault="004B3323" w:rsidP="00067543">
            <w:pPr>
              <w:jc w:val="center"/>
              <w:rPr>
                <w:rFonts w:ascii="Arial" w:hAnsi="Arial" w:cs="Arial"/>
                <w:sz w:val="16"/>
                <w:szCs w:val="16"/>
              </w:rPr>
            </w:pPr>
            <w:r w:rsidRPr="00BE34BD">
              <w:rPr>
                <w:rFonts w:ascii="Arial" w:hAnsi="Arial" w:cs="Arial"/>
                <w:sz w:val="16"/>
                <w:szCs w:val="16"/>
              </w:rPr>
              <w:t>102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11</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48</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10</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53</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27</w:t>
            </w: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Upper East Coast</w:t>
              </w:r>
            </w:smartTag>
            <w:r>
              <w:rPr>
                <w:rFonts w:ascii="Arial" w:hAnsi="Arial"/>
                <w:color w:val="000000"/>
                <w:sz w:val="16"/>
              </w:rPr>
              <w:t>—Floridan Aquifer and Surficial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5</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 </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4</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Upper St. Johns</w:t>
              </w:r>
            </w:smartTag>
            <w:r>
              <w:rPr>
                <w:rFonts w:ascii="Arial" w:hAnsi="Arial"/>
                <w:color w:val="000000"/>
                <w:sz w:val="16"/>
              </w:rPr>
              <w:t>—Floridan Aquifer and Surficial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6</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16</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w:t>
            </w:r>
          </w:p>
        </w:tc>
      </w:tr>
      <w:tr w:rsidR="004B3323" w:rsidTr="00067543">
        <w:trPr>
          <w:trHeight w:val="220"/>
          <w:jc w:val="center"/>
        </w:trPr>
        <w:tc>
          <w:tcPr>
            <w:tcW w:w="4959" w:type="dxa"/>
            <w:shd w:val="clear" w:color="auto" w:fill="F3F3F3"/>
            <w:vAlign w:val="center"/>
          </w:tcPr>
          <w:p w:rsidR="004B3323" w:rsidRDefault="004B3323" w:rsidP="00067543">
            <w:pPr>
              <w:autoSpaceDE w:val="0"/>
              <w:autoSpaceDN w:val="0"/>
              <w:adjustRightInd w:val="0"/>
              <w:rPr>
                <w:rFonts w:ascii="Arial" w:hAnsi="Arial"/>
                <w:color w:val="000000"/>
                <w:sz w:val="16"/>
              </w:rPr>
            </w:pPr>
            <w:smartTag w:uri="urn:schemas-microsoft-com:office:smarttags" w:element="place">
              <w:r>
                <w:rPr>
                  <w:rFonts w:ascii="Arial" w:hAnsi="Arial"/>
                  <w:color w:val="000000"/>
                  <w:sz w:val="16"/>
                </w:rPr>
                <w:t>Withlacoochee</w:t>
              </w:r>
            </w:smartTag>
            <w:r>
              <w:rPr>
                <w:rFonts w:ascii="Arial" w:hAnsi="Arial"/>
                <w:color w:val="000000"/>
                <w:sz w:val="16"/>
              </w:rPr>
              <w:t>—Floridan Aquifer</w:t>
            </w:r>
          </w:p>
        </w:tc>
        <w:tc>
          <w:tcPr>
            <w:tcW w:w="63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78</w:t>
            </w:r>
          </w:p>
        </w:tc>
        <w:tc>
          <w:tcPr>
            <w:tcW w:w="540" w:type="dxa"/>
            <w:shd w:val="clear" w:color="auto" w:fill="auto"/>
            <w:vAlign w:val="center"/>
          </w:tcPr>
          <w:p w:rsidR="004B3323" w:rsidRPr="00BE34BD" w:rsidRDefault="004B3323" w:rsidP="00067543">
            <w:pPr>
              <w:jc w:val="center"/>
              <w:rPr>
                <w:rFonts w:ascii="Arial" w:hAnsi="Arial" w:cs="Arial"/>
                <w:sz w:val="16"/>
                <w:szCs w:val="16"/>
              </w:rPr>
            </w:pPr>
            <w:r w:rsidRPr="00BE34BD">
              <w:rPr>
                <w:rFonts w:ascii="Arial" w:hAnsi="Arial" w:cs="Arial"/>
                <w:sz w:val="16"/>
                <w:szCs w:val="16"/>
              </w:rPr>
              <w:t>132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12</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7</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2</w:t>
            </w:r>
          </w:p>
        </w:tc>
        <w:tc>
          <w:tcPr>
            <w:tcW w:w="630" w:type="dxa"/>
            <w:shd w:val="clear" w:color="auto" w:fill="auto"/>
            <w:vAlign w:val="bottom"/>
          </w:tcPr>
          <w:p w:rsidR="004B3323" w:rsidRDefault="004B3323" w:rsidP="00067543">
            <w:pPr>
              <w:jc w:val="center"/>
              <w:rPr>
                <w:rFonts w:ascii="Arial" w:hAnsi="Arial" w:cs="Arial"/>
                <w:sz w:val="16"/>
                <w:szCs w:val="16"/>
              </w:rPr>
            </w:pPr>
            <w:r>
              <w:rPr>
                <w:rFonts w:ascii="Arial" w:hAnsi="Arial" w:cs="Arial"/>
                <w:sz w:val="16"/>
                <w:szCs w:val="16"/>
              </w:rPr>
              <w:t>9</w:t>
            </w:r>
          </w:p>
        </w:tc>
        <w:tc>
          <w:tcPr>
            <w:tcW w:w="540" w:type="dxa"/>
            <w:shd w:val="clear" w:color="auto" w:fill="auto"/>
            <w:vAlign w:val="center"/>
          </w:tcPr>
          <w:p w:rsidR="004B3323" w:rsidRPr="002E0378" w:rsidRDefault="004B3323" w:rsidP="00067543">
            <w:pPr>
              <w:jc w:val="center"/>
              <w:rPr>
                <w:rFonts w:ascii="Arial" w:hAnsi="Arial" w:cs="Arial"/>
                <w:sz w:val="16"/>
                <w:szCs w:val="16"/>
              </w:rPr>
            </w:pPr>
            <w:r>
              <w:rPr>
                <w:rFonts w:ascii="Arial" w:hAnsi="Arial" w:cs="Arial"/>
                <w:sz w:val="16"/>
                <w:szCs w:val="16"/>
              </w:rPr>
              <w:t>13</w:t>
            </w:r>
          </w:p>
        </w:tc>
        <w:tc>
          <w:tcPr>
            <w:tcW w:w="540" w:type="dxa"/>
            <w:shd w:val="clear" w:color="auto" w:fill="auto"/>
            <w:vAlign w:val="center"/>
          </w:tcPr>
          <w:p w:rsidR="004B3323" w:rsidRPr="002E0378" w:rsidRDefault="004B3323" w:rsidP="00067543">
            <w:pPr>
              <w:jc w:val="center"/>
              <w:rPr>
                <w:rFonts w:ascii="Arial" w:hAnsi="Arial" w:cs="Arial"/>
                <w:sz w:val="16"/>
                <w:szCs w:val="16"/>
              </w:rPr>
            </w:pPr>
          </w:p>
        </w:tc>
        <w:tc>
          <w:tcPr>
            <w:tcW w:w="617" w:type="dxa"/>
            <w:shd w:val="clear" w:color="auto" w:fill="auto"/>
            <w:vAlign w:val="bottom"/>
          </w:tcPr>
          <w:p w:rsidR="004B3323" w:rsidRDefault="004B3323" w:rsidP="00067543">
            <w:pPr>
              <w:jc w:val="center"/>
              <w:rPr>
                <w:rFonts w:ascii="Arial" w:hAnsi="Arial" w:cs="Arial"/>
                <w:sz w:val="16"/>
                <w:szCs w:val="16"/>
              </w:rPr>
            </w:pPr>
          </w:p>
        </w:tc>
      </w:tr>
      <w:tr w:rsidR="004B3323" w:rsidTr="00067543">
        <w:trPr>
          <w:trHeight w:val="220"/>
          <w:jc w:val="center"/>
        </w:trPr>
        <w:tc>
          <w:tcPr>
            <w:tcW w:w="4959" w:type="dxa"/>
            <w:shd w:val="clear" w:color="auto" w:fill="F3F3F3"/>
            <w:vAlign w:val="center"/>
          </w:tcPr>
          <w:p w:rsidR="004B3323" w:rsidRPr="00A94430" w:rsidRDefault="004B3323" w:rsidP="00067543">
            <w:pPr>
              <w:autoSpaceDE w:val="0"/>
              <w:autoSpaceDN w:val="0"/>
              <w:adjustRightInd w:val="0"/>
              <w:rPr>
                <w:rFonts w:ascii="Arial" w:hAnsi="Arial"/>
                <w:b/>
                <w:color w:val="000000"/>
                <w:sz w:val="16"/>
              </w:rPr>
            </w:pPr>
            <w:r w:rsidRPr="00A94430">
              <w:rPr>
                <w:rFonts w:ascii="Arial" w:hAnsi="Arial"/>
                <w:b/>
                <w:color w:val="000000"/>
                <w:sz w:val="16"/>
              </w:rPr>
              <w:t>STATEWIDE SUMMARY—All results</w:t>
            </w:r>
          </w:p>
        </w:tc>
        <w:tc>
          <w:tcPr>
            <w:tcW w:w="630" w:type="dxa"/>
            <w:shd w:val="clear" w:color="auto" w:fill="auto"/>
            <w:vAlign w:val="center"/>
          </w:tcPr>
          <w:p w:rsidR="004B3323" w:rsidRPr="00CE080A" w:rsidRDefault="004B3323" w:rsidP="00067543">
            <w:pPr>
              <w:jc w:val="center"/>
              <w:rPr>
                <w:rFonts w:ascii="Arial" w:hAnsi="Arial" w:cs="Arial"/>
                <w:b/>
                <w:bCs/>
                <w:sz w:val="16"/>
                <w:szCs w:val="16"/>
              </w:rPr>
            </w:pPr>
            <w:r w:rsidRPr="00CE080A">
              <w:rPr>
                <w:rFonts w:ascii="Arial" w:hAnsi="Arial" w:cs="Arial"/>
                <w:b/>
                <w:bCs/>
                <w:sz w:val="16"/>
                <w:szCs w:val="16"/>
              </w:rPr>
              <w:t>950</w:t>
            </w:r>
          </w:p>
        </w:tc>
        <w:tc>
          <w:tcPr>
            <w:tcW w:w="540" w:type="dxa"/>
            <w:shd w:val="clear" w:color="auto" w:fill="auto"/>
            <w:vAlign w:val="center"/>
          </w:tcPr>
          <w:p w:rsidR="004B3323" w:rsidRPr="00CE080A" w:rsidRDefault="004B3323" w:rsidP="00067543">
            <w:pPr>
              <w:jc w:val="center"/>
              <w:rPr>
                <w:rFonts w:ascii="Arial" w:hAnsi="Arial" w:cs="Arial"/>
                <w:b/>
                <w:sz w:val="16"/>
                <w:szCs w:val="16"/>
              </w:rPr>
            </w:pPr>
            <w:r w:rsidRPr="00CE080A">
              <w:rPr>
                <w:rFonts w:ascii="Arial" w:hAnsi="Arial" w:cs="Arial"/>
                <w:b/>
                <w:sz w:val="16"/>
                <w:szCs w:val="16"/>
              </w:rPr>
              <w:t>792</w:t>
            </w:r>
          </w:p>
        </w:tc>
        <w:tc>
          <w:tcPr>
            <w:tcW w:w="630" w:type="dxa"/>
            <w:shd w:val="clear" w:color="auto" w:fill="auto"/>
            <w:vAlign w:val="center"/>
          </w:tcPr>
          <w:p w:rsidR="004B3323" w:rsidRPr="00CE080A" w:rsidRDefault="004B3323" w:rsidP="00067543">
            <w:pPr>
              <w:jc w:val="center"/>
              <w:rPr>
                <w:rFonts w:ascii="Arial" w:hAnsi="Arial" w:cs="Arial"/>
                <w:b/>
                <w:sz w:val="16"/>
                <w:szCs w:val="16"/>
              </w:rPr>
            </w:pPr>
            <w:r w:rsidRPr="00CE080A">
              <w:rPr>
                <w:rFonts w:ascii="Arial" w:hAnsi="Arial" w:cs="Arial"/>
                <w:b/>
                <w:sz w:val="16"/>
                <w:szCs w:val="16"/>
              </w:rPr>
              <w:t>452</w:t>
            </w:r>
          </w:p>
        </w:tc>
        <w:tc>
          <w:tcPr>
            <w:tcW w:w="540" w:type="dxa"/>
            <w:shd w:val="clear" w:color="auto" w:fill="auto"/>
            <w:vAlign w:val="center"/>
          </w:tcPr>
          <w:p w:rsidR="004B3323" w:rsidRPr="00CE080A" w:rsidRDefault="004B3323" w:rsidP="00067543">
            <w:pPr>
              <w:jc w:val="center"/>
              <w:rPr>
                <w:rFonts w:ascii="Arial" w:hAnsi="Arial" w:cs="Arial"/>
                <w:b/>
                <w:bCs/>
                <w:sz w:val="16"/>
                <w:szCs w:val="16"/>
              </w:rPr>
            </w:pPr>
            <w:r w:rsidRPr="00CE080A">
              <w:rPr>
                <w:rFonts w:ascii="Arial" w:hAnsi="Arial" w:cs="Arial"/>
                <w:b/>
                <w:bCs/>
                <w:sz w:val="16"/>
                <w:szCs w:val="16"/>
              </w:rPr>
              <w:t>148</w:t>
            </w:r>
          </w:p>
        </w:tc>
        <w:tc>
          <w:tcPr>
            <w:tcW w:w="540" w:type="dxa"/>
            <w:shd w:val="clear" w:color="auto" w:fill="auto"/>
            <w:vAlign w:val="center"/>
          </w:tcPr>
          <w:p w:rsidR="004B3323" w:rsidRPr="00CE080A" w:rsidRDefault="004B3323" w:rsidP="00067543">
            <w:pPr>
              <w:jc w:val="center"/>
              <w:rPr>
                <w:rFonts w:ascii="Arial" w:hAnsi="Arial" w:cs="Arial"/>
                <w:b/>
                <w:sz w:val="16"/>
                <w:szCs w:val="16"/>
              </w:rPr>
            </w:pPr>
            <w:r>
              <w:rPr>
                <w:rFonts w:ascii="Arial" w:hAnsi="Arial" w:cs="Arial"/>
                <w:b/>
                <w:sz w:val="16"/>
                <w:szCs w:val="16"/>
              </w:rPr>
              <w:t>82</w:t>
            </w:r>
          </w:p>
        </w:tc>
        <w:tc>
          <w:tcPr>
            <w:tcW w:w="630" w:type="dxa"/>
            <w:shd w:val="clear" w:color="auto" w:fill="auto"/>
            <w:vAlign w:val="center"/>
          </w:tcPr>
          <w:p w:rsidR="004B3323" w:rsidRPr="00CE080A" w:rsidRDefault="004B3323" w:rsidP="00067543">
            <w:pPr>
              <w:jc w:val="center"/>
              <w:rPr>
                <w:rFonts w:ascii="Arial" w:hAnsi="Arial" w:cs="Arial"/>
                <w:b/>
                <w:sz w:val="16"/>
                <w:szCs w:val="16"/>
              </w:rPr>
            </w:pPr>
            <w:r w:rsidRPr="00CE080A">
              <w:rPr>
                <w:rFonts w:ascii="Arial" w:hAnsi="Arial" w:cs="Arial"/>
                <w:b/>
                <w:sz w:val="16"/>
                <w:szCs w:val="16"/>
              </w:rPr>
              <w:t>93</w:t>
            </w:r>
          </w:p>
        </w:tc>
        <w:tc>
          <w:tcPr>
            <w:tcW w:w="540" w:type="dxa"/>
            <w:shd w:val="clear" w:color="auto" w:fill="auto"/>
            <w:vAlign w:val="center"/>
          </w:tcPr>
          <w:p w:rsidR="004B3323" w:rsidRPr="00CE080A" w:rsidRDefault="004B3323" w:rsidP="00067543">
            <w:pPr>
              <w:jc w:val="center"/>
              <w:rPr>
                <w:rFonts w:ascii="Arial" w:hAnsi="Arial" w:cs="Arial"/>
                <w:b/>
                <w:bCs/>
                <w:sz w:val="16"/>
                <w:szCs w:val="16"/>
              </w:rPr>
            </w:pPr>
            <w:r w:rsidRPr="00CE080A">
              <w:rPr>
                <w:rFonts w:ascii="Arial" w:hAnsi="Arial" w:cs="Arial"/>
                <w:b/>
                <w:bCs/>
                <w:sz w:val="16"/>
                <w:szCs w:val="16"/>
              </w:rPr>
              <w:t>376</w:t>
            </w:r>
          </w:p>
        </w:tc>
        <w:tc>
          <w:tcPr>
            <w:tcW w:w="540" w:type="dxa"/>
            <w:shd w:val="clear" w:color="auto" w:fill="auto"/>
            <w:vAlign w:val="center"/>
          </w:tcPr>
          <w:p w:rsidR="004B3323" w:rsidRPr="00CE080A" w:rsidRDefault="004B3323" w:rsidP="00067543">
            <w:pPr>
              <w:jc w:val="center"/>
              <w:rPr>
                <w:rFonts w:ascii="Arial" w:hAnsi="Arial" w:cs="Arial"/>
                <w:b/>
                <w:sz w:val="16"/>
                <w:szCs w:val="16"/>
              </w:rPr>
            </w:pPr>
            <w:r w:rsidRPr="00CE080A">
              <w:rPr>
                <w:rFonts w:ascii="Arial" w:hAnsi="Arial" w:cs="Arial"/>
                <w:b/>
                <w:sz w:val="16"/>
                <w:szCs w:val="16"/>
              </w:rPr>
              <w:t>28</w:t>
            </w:r>
          </w:p>
        </w:tc>
        <w:tc>
          <w:tcPr>
            <w:tcW w:w="617" w:type="dxa"/>
            <w:shd w:val="clear" w:color="auto" w:fill="auto"/>
            <w:vAlign w:val="center"/>
          </w:tcPr>
          <w:p w:rsidR="004B3323" w:rsidRPr="00CE080A" w:rsidRDefault="004B3323" w:rsidP="00067543">
            <w:pPr>
              <w:jc w:val="center"/>
              <w:rPr>
                <w:rFonts w:ascii="Arial" w:hAnsi="Arial" w:cs="Arial"/>
                <w:b/>
                <w:sz w:val="16"/>
                <w:szCs w:val="16"/>
              </w:rPr>
            </w:pPr>
            <w:r w:rsidRPr="00CE080A">
              <w:rPr>
                <w:rFonts w:ascii="Arial" w:hAnsi="Arial" w:cs="Arial"/>
                <w:b/>
                <w:sz w:val="16"/>
                <w:szCs w:val="16"/>
              </w:rPr>
              <w:t>79</w:t>
            </w:r>
          </w:p>
        </w:tc>
      </w:tr>
    </w:tbl>
    <w:bookmarkEnd w:id="28"/>
    <w:p w:rsidR="004B3323" w:rsidRPr="00A94430" w:rsidRDefault="004B3323" w:rsidP="004B3323">
      <w:pPr>
        <w:ind w:left="-374"/>
        <w:rPr>
          <w:rFonts w:ascii="Arial" w:hAnsi="Arial" w:cs="Arial"/>
          <w:b/>
          <w:sz w:val="16"/>
          <w:szCs w:val="16"/>
        </w:rPr>
      </w:pPr>
      <w:r w:rsidRPr="00A94430">
        <w:rPr>
          <w:rFonts w:ascii="Arial" w:hAnsi="Arial" w:cs="Arial"/>
          <w:b/>
          <w:sz w:val="16"/>
          <w:szCs w:val="16"/>
        </w:rPr>
        <w:t>Notes:</w:t>
      </w:r>
    </w:p>
    <w:p w:rsidR="004B3323" w:rsidRPr="00401A04" w:rsidRDefault="004B3323" w:rsidP="004B3323">
      <w:pPr>
        <w:ind w:left="-374" w:right="-364"/>
        <w:rPr>
          <w:rFonts w:ascii="Arial" w:hAnsi="Arial" w:cs="Arial"/>
          <w:sz w:val="16"/>
          <w:szCs w:val="16"/>
        </w:rPr>
      </w:pPr>
      <w:r w:rsidRPr="005B32EE">
        <w:rPr>
          <w:rFonts w:ascii="Arial" w:hAnsi="Arial" w:cs="Arial"/>
          <w:sz w:val="16"/>
          <w:szCs w:val="16"/>
          <w:vertAlign w:val="superscript"/>
        </w:rPr>
        <w:t>1</w:t>
      </w:r>
      <w:r>
        <w:rPr>
          <w:rFonts w:ascii="Arial" w:hAnsi="Arial" w:cs="Arial"/>
          <w:sz w:val="16"/>
          <w:szCs w:val="16"/>
          <w:vertAlign w:val="superscript"/>
        </w:rPr>
        <w:t xml:space="preserve"> </w:t>
      </w:r>
      <w:r w:rsidRPr="00A9776D">
        <w:rPr>
          <w:rFonts w:ascii="Arial" w:hAnsi="Arial" w:cs="Arial"/>
          <w:sz w:val="16"/>
          <w:szCs w:val="16"/>
        </w:rPr>
        <w:t>S</w:t>
      </w:r>
      <w:r>
        <w:rPr>
          <w:rFonts w:ascii="Arial" w:hAnsi="Arial" w:cs="Arial"/>
          <w:sz w:val="16"/>
          <w:szCs w:val="16"/>
        </w:rPr>
        <w:t xml:space="preserve">ystems or wells with samples that exceeded MCLs for </w:t>
      </w:r>
      <w:r w:rsidRPr="00401A04">
        <w:rPr>
          <w:rFonts w:ascii="Arial" w:hAnsi="Arial" w:cs="Arial"/>
          <w:sz w:val="16"/>
          <w:szCs w:val="16"/>
        </w:rPr>
        <w:t>volatile organic compounds</w:t>
      </w:r>
      <w:r>
        <w:rPr>
          <w:rFonts w:ascii="Arial" w:hAnsi="Arial" w:cs="Arial"/>
          <w:sz w:val="16"/>
          <w:szCs w:val="16"/>
        </w:rPr>
        <w:t>,</w:t>
      </w:r>
      <w:r w:rsidRPr="00401A04">
        <w:rPr>
          <w:rFonts w:ascii="Arial" w:hAnsi="Arial" w:cs="Arial"/>
          <w:sz w:val="16"/>
          <w:szCs w:val="16"/>
        </w:rPr>
        <w:t xml:space="preserve"> excluding trihalomethanes</w:t>
      </w:r>
      <w:r>
        <w:rPr>
          <w:rFonts w:ascii="Arial" w:hAnsi="Arial" w:cs="Arial"/>
          <w:sz w:val="16"/>
          <w:szCs w:val="16"/>
        </w:rPr>
        <w:t xml:space="preserve"> and ethylene dibromide.</w:t>
      </w:r>
    </w:p>
    <w:p w:rsidR="004B3323" w:rsidRPr="00401A04" w:rsidRDefault="004B3323" w:rsidP="004B3323">
      <w:pPr>
        <w:ind w:left="-374" w:right="-364"/>
        <w:rPr>
          <w:rFonts w:ascii="Arial" w:hAnsi="Arial" w:cs="Arial"/>
          <w:sz w:val="16"/>
          <w:szCs w:val="16"/>
        </w:rPr>
      </w:pPr>
      <w:r w:rsidRPr="005B32EE">
        <w:rPr>
          <w:rFonts w:ascii="Arial" w:hAnsi="Arial" w:cs="Arial"/>
          <w:sz w:val="16"/>
          <w:szCs w:val="16"/>
          <w:vertAlign w:val="superscript"/>
        </w:rPr>
        <w:t>2</w:t>
      </w:r>
      <w:r>
        <w:rPr>
          <w:rFonts w:ascii="Arial" w:hAnsi="Arial" w:cs="Arial"/>
          <w:sz w:val="16"/>
          <w:szCs w:val="16"/>
          <w:vertAlign w:val="superscript"/>
        </w:rPr>
        <w:t xml:space="preserve"> </w:t>
      </w:r>
      <w:r>
        <w:rPr>
          <w:rFonts w:ascii="Arial" w:hAnsi="Arial" w:cs="Arial"/>
          <w:sz w:val="16"/>
          <w:szCs w:val="16"/>
        </w:rPr>
        <w:t xml:space="preserve">Systems or wells with samples that exceeded MCLs for </w:t>
      </w:r>
      <w:r w:rsidRPr="00401A04">
        <w:rPr>
          <w:rFonts w:ascii="Arial" w:hAnsi="Arial" w:cs="Arial"/>
          <w:sz w:val="16"/>
          <w:szCs w:val="16"/>
        </w:rPr>
        <w:t xml:space="preserve">pesticides </w:t>
      </w:r>
      <w:r>
        <w:rPr>
          <w:rFonts w:ascii="Arial" w:hAnsi="Arial" w:cs="Arial"/>
          <w:sz w:val="16"/>
          <w:szCs w:val="16"/>
        </w:rPr>
        <w:t>(also known as</w:t>
      </w:r>
      <w:r w:rsidRPr="00401A04">
        <w:rPr>
          <w:rFonts w:ascii="Arial" w:hAnsi="Arial" w:cs="Arial"/>
          <w:sz w:val="16"/>
          <w:szCs w:val="16"/>
        </w:rPr>
        <w:t xml:space="preserve"> synthetic organic chemicals</w:t>
      </w:r>
      <w:r>
        <w:rPr>
          <w:rFonts w:ascii="Arial" w:hAnsi="Arial" w:cs="Arial"/>
          <w:sz w:val="16"/>
          <w:szCs w:val="16"/>
        </w:rPr>
        <w:t>).</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3</w:t>
      </w:r>
      <w:r>
        <w:rPr>
          <w:rFonts w:ascii="Arial" w:hAnsi="Arial" w:cs="Arial"/>
          <w:sz w:val="16"/>
          <w:szCs w:val="16"/>
        </w:rPr>
        <w:t xml:space="preserve"> Systems or wells with samples that exceeded MCLs for </w:t>
      </w:r>
      <w:r w:rsidRPr="00401A04">
        <w:rPr>
          <w:rFonts w:ascii="Arial" w:hAnsi="Arial" w:cs="Arial"/>
          <w:sz w:val="16"/>
          <w:szCs w:val="16"/>
        </w:rPr>
        <w:t xml:space="preserve">nitrate </w:t>
      </w:r>
      <w:r>
        <w:rPr>
          <w:rFonts w:ascii="Arial" w:hAnsi="Arial" w:cs="Arial"/>
          <w:sz w:val="16"/>
          <w:szCs w:val="16"/>
        </w:rPr>
        <w:t>or</w:t>
      </w:r>
      <w:r w:rsidRPr="00401A04">
        <w:rPr>
          <w:rFonts w:ascii="Arial" w:hAnsi="Arial" w:cs="Arial"/>
          <w:sz w:val="16"/>
          <w:szCs w:val="16"/>
        </w:rPr>
        <w:t xml:space="preserve"> nitrate+nitrite</w:t>
      </w:r>
      <w:r>
        <w:rPr>
          <w:rFonts w:ascii="Arial" w:hAnsi="Arial" w:cs="Arial"/>
          <w:sz w:val="16"/>
          <w:szCs w:val="16"/>
        </w:rPr>
        <w:t>.</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4</w:t>
      </w:r>
      <w:r>
        <w:rPr>
          <w:rFonts w:ascii="Arial" w:hAnsi="Arial" w:cs="Arial"/>
          <w:sz w:val="16"/>
          <w:szCs w:val="16"/>
        </w:rPr>
        <w:t xml:space="preserve"> Systems or wells with samples that exceeded MCLs for primary metals.</w:t>
      </w:r>
    </w:p>
    <w:p w:rsidR="004B3323" w:rsidRPr="00401A04" w:rsidRDefault="004B3323" w:rsidP="004B3323">
      <w:pPr>
        <w:ind w:left="-374" w:right="-364"/>
        <w:rPr>
          <w:rFonts w:ascii="Arial" w:hAnsi="Arial" w:cs="Arial"/>
          <w:sz w:val="16"/>
          <w:szCs w:val="16"/>
        </w:rPr>
      </w:pPr>
      <w:r w:rsidRPr="00A9776D">
        <w:rPr>
          <w:rFonts w:ascii="Arial" w:hAnsi="Arial" w:cs="Arial"/>
          <w:sz w:val="16"/>
          <w:szCs w:val="16"/>
          <w:vertAlign w:val="superscript"/>
        </w:rPr>
        <w:t>5</w:t>
      </w:r>
      <w:r>
        <w:rPr>
          <w:rFonts w:ascii="Arial" w:hAnsi="Arial" w:cs="Arial"/>
          <w:sz w:val="16"/>
          <w:szCs w:val="16"/>
        </w:rPr>
        <w:t xml:space="preserve"> Systems or wells with samples that exceeded MCL for sodium, an indicator of salinity.</w:t>
      </w:r>
    </w:p>
    <w:p w:rsidR="004B3323" w:rsidRDefault="004B3323" w:rsidP="004B3323">
      <w:pPr>
        <w:ind w:left="-374" w:right="-364"/>
        <w:rPr>
          <w:rFonts w:ascii="Arial" w:hAnsi="Arial" w:cs="Arial"/>
          <w:sz w:val="16"/>
          <w:szCs w:val="16"/>
        </w:rPr>
      </w:pPr>
      <w:r w:rsidRPr="00A9776D">
        <w:rPr>
          <w:rFonts w:ascii="Arial" w:hAnsi="Arial" w:cs="Arial"/>
          <w:sz w:val="16"/>
          <w:szCs w:val="16"/>
          <w:vertAlign w:val="superscript"/>
        </w:rPr>
        <w:t>6</w:t>
      </w:r>
      <w:r>
        <w:rPr>
          <w:rFonts w:ascii="Arial" w:hAnsi="Arial" w:cs="Arial"/>
          <w:sz w:val="16"/>
          <w:szCs w:val="16"/>
        </w:rPr>
        <w:t xml:space="preserve"> Systems or wells with samples that exceeded MCL for radionuclides, measured as radon 226, radon 228, gross Alpha, and/or gross Beta.</w:t>
      </w:r>
    </w:p>
    <w:p w:rsidR="004B3323" w:rsidRPr="00834F8A" w:rsidRDefault="004B3323" w:rsidP="004B3323">
      <w:pPr>
        <w:ind w:left="-374" w:right="-364"/>
        <w:rPr>
          <w:rFonts w:ascii="Arial" w:hAnsi="Arial" w:cs="Arial"/>
          <w:sz w:val="16"/>
          <w:szCs w:val="16"/>
        </w:rPr>
      </w:pPr>
      <w:r w:rsidRPr="00A9776D">
        <w:rPr>
          <w:rFonts w:ascii="Arial" w:hAnsi="Arial" w:cs="Arial"/>
          <w:sz w:val="16"/>
          <w:szCs w:val="16"/>
          <w:vertAlign w:val="superscript"/>
        </w:rPr>
        <w:t>7</w:t>
      </w:r>
      <w:r>
        <w:rPr>
          <w:rFonts w:ascii="Arial" w:hAnsi="Arial" w:cs="Arial"/>
          <w:sz w:val="16"/>
          <w:szCs w:val="16"/>
        </w:rPr>
        <w:t xml:space="preserve"> PWS </w:t>
      </w:r>
      <w:r w:rsidRPr="00401A04">
        <w:rPr>
          <w:rFonts w:ascii="Arial" w:hAnsi="Arial" w:cs="Arial"/>
          <w:sz w:val="16"/>
          <w:szCs w:val="16"/>
        </w:rPr>
        <w:t>data not restricted to wells only.  Some parameter results may be for other entry points into a system, composite samples, or treated water.</w:t>
      </w:r>
      <w:r>
        <w:rPr>
          <w:rFonts w:ascii="Arial" w:hAnsi="Arial" w:cs="Arial"/>
          <w:sz w:val="16"/>
          <w:szCs w:val="16"/>
        </w:rPr>
        <w:t xml:space="preserve">  Data are from systems that that operate their own wells.  </w:t>
      </w:r>
      <w:r w:rsidRPr="00834F8A">
        <w:rPr>
          <w:rFonts w:ascii="Arial" w:hAnsi="Arial" w:cs="Arial"/>
          <w:sz w:val="16"/>
          <w:szCs w:val="16"/>
        </w:rPr>
        <w:t>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B3323" w:rsidRDefault="004B3323" w:rsidP="004B3323">
      <w:pPr>
        <w:ind w:left="-374" w:right="-364"/>
        <w:rPr>
          <w:rFonts w:ascii="Arial" w:hAnsi="Arial" w:cs="Arial"/>
          <w:sz w:val="16"/>
          <w:szCs w:val="16"/>
        </w:rPr>
      </w:pPr>
      <w:r w:rsidRPr="00A9776D">
        <w:rPr>
          <w:rFonts w:ascii="Arial" w:hAnsi="Arial" w:cs="Arial"/>
          <w:sz w:val="16"/>
          <w:szCs w:val="16"/>
          <w:vertAlign w:val="superscript"/>
        </w:rPr>
        <w:t>8</w:t>
      </w:r>
      <w:r>
        <w:rPr>
          <w:rFonts w:ascii="Arial" w:hAnsi="Arial" w:cs="Arial"/>
          <w:sz w:val="16"/>
          <w:szCs w:val="16"/>
        </w:rPr>
        <w:t xml:space="preserve"> Private well sampling under the WSRP is targeted sampling conducted in areas of suspected contamination, and the parameters analyzed are specific to contaminants of concern.</w:t>
      </w:r>
    </w:p>
    <w:p w:rsidR="004B3323" w:rsidRPr="007B6A0A" w:rsidRDefault="004B3323" w:rsidP="004B3323">
      <w:pPr>
        <w:pStyle w:val="Bodytextreduced"/>
      </w:pPr>
      <w:r>
        <w:br w:type="page"/>
      </w:r>
    </w:p>
    <w:p w:rsidR="004B3323" w:rsidRPr="009D0424" w:rsidRDefault="004B3323" w:rsidP="004B3323">
      <w:pPr>
        <w:pStyle w:val="Heading4"/>
      </w:pPr>
      <w:bookmarkStart w:id="29" w:name="_Toc190052696"/>
      <w:bookmarkStart w:id="30" w:name="_Toc209241281"/>
      <w:r w:rsidRPr="009D0424">
        <w:lastRenderedPageBreak/>
        <w:t>Synthetic Organic Chemicals/Pesticides</w:t>
      </w:r>
      <w:bookmarkEnd w:id="29"/>
      <w:bookmarkEnd w:id="30"/>
    </w:p>
    <w:p w:rsidR="004B3323" w:rsidRPr="00F1284D" w:rsidRDefault="004B3323" w:rsidP="004B3323">
      <w:pPr>
        <w:pStyle w:val="Bodytext"/>
      </w:pPr>
      <w:r>
        <w:t xml:space="preserve">For SOCs used as pesticides, the largest number of MCL exceedances in public water systems occurred in the Oklawaha (54 systems).Sarasota Bay–Peace–Myakka (33 systems) and </w:t>
      </w:r>
      <w:smartTag w:uri="urn:schemas-microsoft-com:office:smarttags" w:element="place">
        <w:r>
          <w:t>Withlacoochee</w:t>
        </w:r>
      </w:smartTag>
      <w:r>
        <w:t xml:space="preserve"> (29 systems) Basins.  In private wells, the largest number occurred in the </w:t>
      </w:r>
      <w:smartTag w:uri="urn:schemas-microsoft-com:office:smarttags" w:element="City">
        <w:r>
          <w:t>Kissimmee</w:t>
        </w:r>
      </w:smartTag>
      <w:r>
        <w:t xml:space="preserve"> (798 wells), </w:t>
      </w:r>
      <w:smartTag w:uri="urn:schemas-microsoft-com:office:smarttags" w:element="place">
        <w:r>
          <w:t>Apalachicola</w:t>
        </w:r>
      </w:smartTag>
      <w:r>
        <w:t xml:space="preserve"> (645 wells), and Ocklawaha (475 wells) Basins.  The d</w:t>
      </w:r>
      <w:r w:rsidRPr="00F1284D">
        <w:t xml:space="preserve">etections of agrichemicals in private wells can provide meaningful </w:t>
      </w:r>
      <w:r>
        <w:t xml:space="preserve">information on the </w:t>
      </w:r>
      <w:r w:rsidRPr="00F1284D">
        <w:t xml:space="preserve">presence/absence </w:t>
      </w:r>
      <w:r>
        <w:t xml:space="preserve">of these substances </w:t>
      </w:r>
      <w:r w:rsidRPr="00F1284D">
        <w:t xml:space="preserve">and give an indication of the aquifer’s vulnerability to pesticide use.  The </w:t>
      </w:r>
      <w:r>
        <w:t>number</w:t>
      </w:r>
      <w:r w:rsidRPr="00F1284D">
        <w:t xml:space="preserve"> of private well </w:t>
      </w:r>
      <w:r>
        <w:t>exceedance</w:t>
      </w:r>
      <w:r w:rsidRPr="00F1284D">
        <w:t>s can sometimes be related to the density of homesteads (unregulated rural growth v</w:t>
      </w:r>
      <w:r>
        <w:t>ersus</w:t>
      </w:r>
      <w:r w:rsidRPr="00F1284D">
        <w:t xml:space="preserve"> dense rural residential developments) and their proximity to agricultural land uses or lawn</w:t>
      </w:r>
      <w:r>
        <w:t>/turf</w:t>
      </w:r>
      <w:r w:rsidRPr="00F1284D">
        <w:t xml:space="preserve"> care practices.  </w:t>
      </w:r>
      <w:r w:rsidRPr="00340CC7">
        <w:rPr>
          <w:b/>
          <w:i/>
        </w:rPr>
        <w:t xml:space="preserve">Table </w:t>
      </w:r>
      <w:r>
        <w:rPr>
          <w:b/>
          <w:i/>
        </w:rPr>
        <w:t>29</w:t>
      </w:r>
      <w:r>
        <w:t xml:space="preserve"> shows t</w:t>
      </w:r>
      <w:r w:rsidRPr="00F1284D">
        <w:t xml:space="preserve">he distribution of MCL </w:t>
      </w:r>
      <w:r>
        <w:t>exceedance</w:t>
      </w:r>
      <w:r w:rsidRPr="00F1284D">
        <w:t>s</w:t>
      </w:r>
      <w:r>
        <w:t>.</w:t>
      </w:r>
    </w:p>
    <w:p w:rsidR="004B3323" w:rsidRDefault="004B3323" w:rsidP="004B3323">
      <w:pPr>
        <w:pStyle w:val="Bodytext"/>
      </w:pPr>
    </w:p>
    <w:p w:rsidR="004B3323" w:rsidRPr="009D0424" w:rsidRDefault="004B3323" w:rsidP="004B3323">
      <w:pPr>
        <w:pStyle w:val="Bodytext"/>
      </w:pPr>
      <w:r>
        <w:t xml:space="preserve">The pesticides that occurred in public water systems at above-MCL concentrations were mainly detected in the mid- to late-1980s and have since been banned from use.  </w:t>
      </w:r>
      <w:r w:rsidRPr="009D0424">
        <w:t>Lindane, toxaphene</w:t>
      </w:r>
      <w:r>
        <w:t>,</w:t>
      </w:r>
      <w:r w:rsidRPr="009D0424">
        <w:t xml:space="preserve"> and methoxychlor were the pesticides most commonly detected at above-MCL concentrations in the 1980s, but </w:t>
      </w:r>
      <w:r>
        <w:t>have</w:t>
      </w:r>
      <w:r w:rsidRPr="009D0424">
        <w:t xml:space="preserve"> not appear</w:t>
      </w:r>
      <w:r>
        <w:t>ed</w:t>
      </w:r>
      <w:r w:rsidRPr="009D0424">
        <w:t xml:space="preserve"> in the PWS database at above-MCL levels since the early 1990s.</w:t>
      </w:r>
      <w:r>
        <w:t xml:space="preserve">  </w:t>
      </w:r>
      <w:r w:rsidRPr="009D0424">
        <w:t>These</w:t>
      </w:r>
      <w:r>
        <w:t xml:space="preserve"> compounds</w:t>
      </w:r>
      <w:r w:rsidRPr="009D0424">
        <w:t>, plus heptachlor, endothal</w:t>
      </w:r>
      <w:r>
        <w:t>,</w:t>
      </w:r>
      <w:r w:rsidRPr="009D0424">
        <w:t xml:space="preserve"> and mal</w:t>
      </w:r>
      <w:r>
        <w:t>a</w:t>
      </w:r>
      <w:r w:rsidRPr="009D0424">
        <w:t xml:space="preserve">thion, were mainly detected in the basins </w:t>
      </w:r>
      <w:r>
        <w:t>where agricultural land uses are or were prevalent</w:t>
      </w:r>
      <w:r w:rsidRPr="009D0424">
        <w:t xml:space="preserve">. </w:t>
      </w:r>
      <w:r>
        <w:t xml:space="preserve"> Dieldrin, another older compound, was also detected in private drinking water wells.</w:t>
      </w:r>
    </w:p>
    <w:p w:rsidR="004B3323" w:rsidRDefault="004B3323" w:rsidP="004B3323">
      <w:pPr>
        <w:pStyle w:val="Bodytext"/>
      </w:pPr>
    </w:p>
    <w:p w:rsidR="004B3323" w:rsidRDefault="004B3323" w:rsidP="004B3323">
      <w:pPr>
        <w:pStyle w:val="Bodytext"/>
      </w:pPr>
      <w:r w:rsidRPr="009D0424">
        <w:t>EDB</w:t>
      </w:r>
      <w:r>
        <w:t>, a nematocide used heavily in the 1980s on citrus and other croplands,</w:t>
      </w:r>
      <w:r w:rsidRPr="009D0424">
        <w:t xml:space="preserve"> was</w:t>
      </w:r>
      <w:r>
        <w:t xml:space="preserve"> found to be highly mobile and a threat to potable ground water supplies.  In response to FDEP’s identification of this as an issue, FDOH conducted a comprehensive EDB sampling program in areas where it was suspected to have been applied.  In 16 basins, this revealed numerous private drinking water wells that were contaminated by the compound, prompting the formal delineation of ground water contamination areas.  EDB was also detected in public water systems throughout the state.  In the late 1980s, the use of EDB was banned.  </w:t>
      </w:r>
      <w:r w:rsidRPr="00F1284D">
        <w:t>New detections of EDB seldom occur</w:t>
      </w:r>
      <w:r>
        <w:t>; however,</w:t>
      </w:r>
      <w:r w:rsidRPr="00F1284D">
        <w:t xml:space="preserve"> some private drinking water wells continue to yield samples with d</w:t>
      </w:r>
      <w:r>
        <w:t>etectable concentrations of EDB</w:t>
      </w:r>
      <w:r w:rsidRPr="00F1284D">
        <w:t xml:space="preserve"> decades after </w:t>
      </w:r>
      <w:r>
        <w:t xml:space="preserve">its </w:t>
      </w:r>
      <w:r w:rsidRPr="00F1284D">
        <w:t>use was discontinued.</w:t>
      </w:r>
      <w:r>
        <w:t xml:space="preserve">  </w:t>
      </w:r>
      <w:r w:rsidRPr="009D0424">
        <w:t xml:space="preserve">The most recent PWS system detections of EDB above its MCL (in the late 1990s) were reported in </w:t>
      </w:r>
      <w:r>
        <w:t xml:space="preserve">the </w:t>
      </w:r>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r>
        <w:t xml:space="preserve"> of </w:t>
      </w:r>
      <w:r w:rsidRPr="009D0424">
        <w:t xml:space="preserve">southwest </w:t>
      </w:r>
      <w:smartTag w:uri="urn:schemas-microsoft-com:office:smarttags" w:element="place">
        <w:smartTag w:uri="urn:schemas-microsoft-com:office:smarttags" w:element="State">
          <w:r w:rsidRPr="009D0424">
            <w:t>Florida</w:t>
          </w:r>
        </w:smartTag>
      </w:smartTag>
      <w:r w:rsidRPr="009D0424">
        <w:t xml:space="preserve">, </w:t>
      </w:r>
      <w:r>
        <w:t>which includes a significant</w:t>
      </w:r>
      <w:r w:rsidRPr="009D0424">
        <w:t xml:space="preserve"> </w:t>
      </w:r>
      <w:r>
        <w:t>agricultural area</w:t>
      </w:r>
      <w:r w:rsidRPr="009D0424">
        <w:t>.</w:t>
      </w:r>
    </w:p>
    <w:p w:rsidR="004B3323" w:rsidRDefault="004B3323" w:rsidP="004B3323">
      <w:pPr>
        <w:pStyle w:val="Bodytext"/>
      </w:pPr>
    </w:p>
    <w:p w:rsidR="004B3323" w:rsidRDefault="004B3323" w:rsidP="004B3323">
      <w:pPr>
        <w:pStyle w:val="Bodytext"/>
      </w:pPr>
      <w:r>
        <w:t xml:space="preserve">More recently, applied pesticides such as bromacil and alachlor were detected at levels exceeding their health advisory limits in private drinking water wells.  Bromacil has a ground water guidance concentration, and alachlor has a primary MCL.  Elevated detections of bromacil were found (mainly in the 1990s) in the citrus-growing area of central </w:t>
      </w:r>
      <w:smartTag w:uri="urn:schemas-microsoft-com:office:smarttags" w:element="State">
        <w:r>
          <w:t>Florida</w:t>
        </w:r>
      </w:smartTag>
      <w:r>
        <w:t xml:space="preserve">, which includes parts of the </w:t>
      </w:r>
      <w:smartTag w:uri="urn:schemas-microsoft-com:office:smarttags" w:element="City">
        <w:r>
          <w:t>Kissimmee</w:t>
        </w:r>
      </w:smartTag>
      <w:r>
        <w:t xml:space="preserve">, Tampa Bay Tributaries, Middle St. Johns, and </w:t>
      </w:r>
      <w:smartTag w:uri="urn:schemas-microsoft-com:office:smarttags" w:element="place">
        <w:smartTag w:uri="urn:schemas-microsoft-com:office:smarttags" w:element="PlaceName">
          <w:r>
            <w:t>Ocklawaha</w:t>
          </w:r>
        </w:smartTag>
        <w:r>
          <w:t xml:space="preserve"> </w:t>
        </w:r>
        <w:smartTag w:uri="urn:schemas-microsoft-com:office:smarttags" w:element="PlaceType">
          <w:r>
            <w:t>Basins</w:t>
          </w:r>
        </w:smartTag>
      </w:smartTag>
      <w:r>
        <w:t xml:space="preserve">.  In the 1990s, both compounds were found (along with dieldrin) at elevated levels at numerous wells in an agricultural area of </w:t>
      </w:r>
      <w:smartTag w:uri="urn:schemas-microsoft-com:office:smarttags" w:element="PlaceName">
        <w:r>
          <w:t>Jackson</w:t>
        </w:r>
      </w:smartTag>
      <w:r>
        <w:t xml:space="preserve"> </w:t>
      </w:r>
      <w:smartTag w:uri="urn:schemas-microsoft-com:office:smarttags" w:element="PlaceName">
        <w:r>
          <w:t>County</w:t>
        </w:r>
      </w:smartTag>
      <w:r>
        <w:t xml:space="preserve"> in the </w:t>
      </w:r>
      <w:smartTag w:uri="urn:schemas-microsoft-com:office:smarttags" w:element="place">
        <w:smartTag w:uri="urn:schemas-microsoft-com:office:smarttags" w:element="PlaceName">
          <w:r>
            <w:t>Apalachicola–Chipola</w:t>
          </w:r>
        </w:smartTag>
        <w:r>
          <w:t xml:space="preserve"> </w:t>
        </w:r>
        <w:smartTag w:uri="urn:schemas-microsoft-com:office:smarttags" w:element="PlaceType">
          <w:r>
            <w:t>Basin</w:t>
          </w:r>
        </w:smartTag>
      </w:smartTag>
      <w:r>
        <w:t>.  FDACS has since required modifications to the application of bromacil to prohibit its application from citrus areas with vulnerable soils and high leaching potential.  Alachlor is now listed as a restricted use pesticide.</w:t>
      </w:r>
    </w:p>
    <w:p w:rsidR="004B3323" w:rsidRDefault="004B3323" w:rsidP="004B3323">
      <w:pPr>
        <w:pStyle w:val="Bodytext"/>
      </w:pPr>
      <w:bookmarkStart w:id="31" w:name="_Toc190052697"/>
    </w:p>
    <w:p w:rsidR="004B3323" w:rsidRPr="001302A3" w:rsidRDefault="004B3323" w:rsidP="004B3323">
      <w:pPr>
        <w:pStyle w:val="Heading4"/>
      </w:pPr>
      <w:bookmarkStart w:id="32" w:name="_Toc209241282"/>
      <w:r w:rsidRPr="001302A3">
        <w:lastRenderedPageBreak/>
        <w:t>Nitrates</w:t>
      </w:r>
      <w:bookmarkEnd w:id="31"/>
      <w:bookmarkEnd w:id="32"/>
    </w:p>
    <w:p w:rsidR="004B3323" w:rsidRDefault="004B3323" w:rsidP="004B3323">
      <w:pPr>
        <w:pStyle w:val="Bodytext"/>
      </w:pPr>
      <w:r>
        <w:t xml:space="preserve">Nitrates above the MCL of 10 mg/L were detected in 156 public water systems, with the </w:t>
      </w: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smartTag>
      <w:r>
        <w:t xml:space="preserve"> having by far the greatest number (45 systems).  The largest number of private wells with nitrates above the MCL were found in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(1,154 wells), followed by the Ocklawaha (466 wells) and Sarasota Bay–Peace–Myakka (401 wells) Basins.  Several status wells also had nitrate above MCLs, with the largest number in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(10 wells).  These are all summarized in </w:t>
      </w:r>
      <w:r w:rsidRPr="00252669">
        <w:rPr>
          <w:b/>
          <w:i/>
        </w:rPr>
        <w:t xml:space="preserve">Table </w:t>
      </w:r>
      <w:r>
        <w:rPr>
          <w:b/>
          <w:i/>
        </w:rPr>
        <w:t>29</w:t>
      </w:r>
      <w:r w:rsidRPr="00252669">
        <w:rPr>
          <w:i/>
        </w:rPr>
        <w:t>.</w:t>
      </w:r>
    </w:p>
    <w:p w:rsidR="004B3323" w:rsidRDefault="004B3323" w:rsidP="004B3323">
      <w:pPr>
        <w:pStyle w:val="Bodytext"/>
      </w:pPr>
    </w:p>
    <w:p w:rsidR="004B3323" w:rsidRPr="001302A3" w:rsidRDefault="004B3323" w:rsidP="004B3323">
      <w:pPr>
        <w:pStyle w:val="Bodytext"/>
      </w:pPr>
      <w:r>
        <w:t xml:space="preserve">The basins with the highest number of above-MCL detections in water systems and wells include large citrus-growing areas or areas where citrus was previously grown on top of vulnerable aquifers.  The area of the </w:t>
      </w:r>
      <w:smartTag w:uri="urn:schemas-microsoft-com:office:smarttags" w:element="place">
        <w:smartTag w:uri="urn:schemas-microsoft-com:office:smarttags" w:element="PlaceName">
          <w:r>
            <w:t>Kissimmee</w:t>
          </w:r>
        </w:smartTag>
        <w:r>
          <w:t xml:space="preserve"> </w:t>
        </w:r>
        <w:smartTag w:uri="urn:schemas-microsoft-com:office:smarttags" w:element="PlaceType">
          <w:r>
            <w:t>Basin</w:t>
          </w:r>
        </w:smartTag>
      </w:smartTag>
      <w:r>
        <w:t xml:space="preserve"> that has the highest number of above-MCL concentrations of nitrate in private wells is the ridge citrus area along the basin’s western edge.  In the early 1990s, FDACS began implementation of a BMP program for growers in the ridge citrus area to use fertilizers more efficiently and reduce nitrate concentrations in ground water.  It is hoped that this program will eventually reduce the number of nitrate exceedances in wells.</w:t>
      </w:r>
    </w:p>
    <w:p w:rsidR="004B3323" w:rsidRDefault="004B3323" w:rsidP="004B3323">
      <w:pPr>
        <w:pStyle w:val="Bodytext"/>
      </w:pPr>
      <w:bookmarkStart w:id="33" w:name="_Toc190052698"/>
    </w:p>
    <w:p w:rsidR="004B3323" w:rsidRPr="001302A3" w:rsidRDefault="004B3323" w:rsidP="004B3323">
      <w:pPr>
        <w:pStyle w:val="Heading4"/>
      </w:pPr>
      <w:bookmarkStart w:id="34" w:name="_Toc209241283"/>
      <w:r w:rsidRPr="001302A3">
        <w:t>Primary Metals</w:t>
      </w:r>
      <w:bookmarkEnd w:id="33"/>
      <w:bookmarkEnd w:id="34"/>
    </w:p>
    <w:p w:rsidR="004B3323" w:rsidRDefault="004B3323" w:rsidP="004B3323">
      <w:pPr>
        <w:pStyle w:val="Bodytext"/>
      </w:pPr>
      <w:r>
        <w:t xml:space="preserve">Metals with primary drinking water MCLs include arsenic, barium, beryllium, cadmium, chromium, lead, mercury, nickel, and selenium.  </w:t>
      </w:r>
      <w:r w:rsidRPr="001568C8">
        <w:rPr>
          <w:b/>
          <w:i/>
        </w:rPr>
        <w:t xml:space="preserve">Table </w:t>
      </w:r>
      <w:r>
        <w:rPr>
          <w:b/>
          <w:i/>
        </w:rPr>
        <w:t>29</w:t>
      </w:r>
      <w:r>
        <w:t xml:space="preserve"> summarizes the detections of primary metals above their MCLs.</w:t>
      </w:r>
    </w:p>
    <w:p w:rsidR="004B3323" w:rsidRDefault="004B3323" w:rsidP="004B3323">
      <w:pPr>
        <w:pStyle w:val="Bodytext"/>
      </w:pPr>
    </w:p>
    <w:p w:rsidR="004B3323" w:rsidRDefault="004B3323" w:rsidP="004B3323">
      <w:pPr>
        <w:pStyle w:val="Bodytext"/>
      </w:pPr>
      <w:r>
        <w:t>Approximately 1,000 public water systems reported one or more primary metals exceeding an MCL, which may be misleading since elevated metals in public water systems are often due to the materials containing and conveying the water rather than actual concentrations in the ground water.  Metal well casings, piping, storage tanks, and plumbing fixtures, in addition to sampling techniques, often cause bias in the analysis of ground water samples for metals.  Lead and cadmium are the most frequently detected metals at above-MCL concentrations in public water systems, and both metals are very frequently associated with impurities in water distribution and storage systems.  Galvanized coatings on metal surfaces, paint, and lead solder are documented sources of metals contamination in water systems.  The Tampa Bay Tributaries (121 systems) and Ocklawaha (116 systems) Basins have the greatest number of water systems with above-MCL detections, primarily for lead and cadmium.  Results from resampling frequently show that the ground water is actually not affected by these metals.</w:t>
      </w:r>
    </w:p>
    <w:p w:rsidR="004B3323" w:rsidRDefault="004B3323" w:rsidP="004B3323">
      <w:pPr>
        <w:pStyle w:val="Bodytext"/>
      </w:pPr>
    </w:p>
    <w:p w:rsidR="004B3323" w:rsidRDefault="004B3323" w:rsidP="004B3323">
      <w:pPr>
        <w:pStyle w:val="Bodytext"/>
      </w:pPr>
      <w:r>
        <w:t xml:space="preserve">In private drinking water wells, the metals most frequently exceeding MCLs are arsenic and lead.  The basins with the greatest number of exceedances are the Withlacoochee (132 wells), </w:t>
      </w:r>
      <w:smartTag w:uri="urn:schemas-microsoft-com:office:smarttags" w:element="place">
        <w:r>
          <w:t>Lower St. Johns</w:t>
        </w:r>
      </w:smartTag>
      <w:r>
        <w:t xml:space="preserve"> (121 wells), and Tampa Bay Tributaries (102 wells) Basins.  Lead, again, may be an artifact of well materials, piping, or plumbing fixtures, but arsenic is not typically associated with any of these.  The resampling of private water wells usually reveals that there is no actual ground water problem with lead.  The majority of the wells in FDEP’s Status/Background/VISA Networks that exceed MCLs </w:t>
      </w:r>
      <w:r>
        <w:lastRenderedPageBreak/>
        <w:t>for metals exceed the MCL for lead, followed by arsenic, with a smaller number exceeding the MCL for cadmium.  Many of the reported concentrations for metals in FDEP’s Status Network are qualified due to the potential influence of well materials, lead water level recorder weights, and/or sampling problems.</w:t>
      </w:r>
    </w:p>
    <w:p w:rsidR="004B3323" w:rsidRPr="006142CD" w:rsidRDefault="004B3323" w:rsidP="004B3323">
      <w:pPr>
        <w:pStyle w:val="Bodytext"/>
      </w:pPr>
    </w:p>
    <w:p w:rsidR="004B3323" w:rsidRPr="006142CD" w:rsidRDefault="004B3323" w:rsidP="004B3323">
      <w:pPr>
        <w:pStyle w:val="Bodytext"/>
        <w:rPr>
          <w:rFonts w:cs="Arial"/>
          <w:szCs w:val="22"/>
        </w:rPr>
      </w:pPr>
      <w:r w:rsidRPr="006142CD">
        <w:rPr>
          <w:rFonts w:cs="Arial"/>
          <w:szCs w:val="22"/>
        </w:rPr>
        <w:t xml:space="preserve">Future monitoring will help FDEP determine the extent </w:t>
      </w:r>
      <w:r>
        <w:rPr>
          <w:rFonts w:cs="Arial"/>
          <w:szCs w:val="22"/>
        </w:rPr>
        <w:t>to which</w:t>
      </w:r>
      <w:r w:rsidRPr="006142CD">
        <w:rPr>
          <w:rFonts w:cs="Arial"/>
          <w:szCs w:val="22"/>
        </w:rPr>
        <w:t xml:space="preserve"> elevated metals detections actually represent ground water quality.  However, </w:t>
      </w:r>
      <w:r>
        <w:rPr>
          <w:rFonts w:cs="Arial"/>
          <w:szCs w:val="22"/>
        </w:rPr>
        <w:t xml:space="preserve">for public water systems and private wells, </w:t>
      </w:r>
      <w:r w:rsidRPr="006142CD">
        <w:rPr>
          <w:rFonts w:cs="Arial"/>
          <w:szCs w:val="22"/>
        </w:rPr>
        <w:t>the materials composing the water storage and distribution systems, piping</w:t>
      </w:r>
      <w:r>
        <w:rPr>
          <w:rFonts w:cs="Arial"/>
          <w:szCs w:val="22"/>
        </w:rPr>
        <w:t>,</w:t>
      </w:r>
      <w:r w:rsidRPr="006142CD">
        <w:rPr>
          <w:rFonts w:cs="Arial"/>
          <w:szCs w:val="22"/>
        </w:rPr>
        <w:t xml:space="preserve"> and fixtures will continue to pose a challenge to the interpretation of data for metals.  Differentiating natural sources from contaminating influences is another issue.  Arsenic, in particular, can on occasion exceed its MCL of 10 </w:t>
      </w:r>
      <w:r w:rsidRPr="006142CD">
        <w:rPr>
          <w:rFonts w:ascii="Symbol" w:hAnsi="Symbol" w:cs="Arial"/>
          <w:szCs w:val="22"/>
        </w:rPr>
        <w:t></w:t>
      </w:r>
      <w:r w:rsidRPr="0053735A">
        <w:rPr>
          <w:rFonts w:cs="Arial"/>
          <w:szCs w:val="22"/>
        </w:rPr>
        <w:t>g</w:t>
      </w:r>
      <w:r w:rsidRPr="006142CD">
        <w:rPr>
          <w:rFonts w:cs="Arial"/>
          <w:szCs w:val="22"/>
        </w:rPr>
        <w:t xml:space="preserve">/L due to natural conditions.  </w:t>
      </w:r>
    </w:p>
    <w:p w:rsidR="004B3323" w:rsidRPr="006142CD" w:rsidRDefault="004B3323" w:rsidP="004B3323">
      <w:pPr>
        <w:pStyle w:val="Bodytext"/>
        <w:rPr>
          <w:rFonts w:cs="Arial"/>
          <w:szCs w:val="22"/>
        </w:rPr>
      </w:pPr>
    </w:p>
    <w:p w:rsidR="004B3323" w:rsidRDefault="004B3323" w:rsidP="004B3323">
      <w:pPr>
        <w:pStyle w:val="Heading4"/>
      </w:pPr>
      <w:bookmarkStart w:id="35" w:name="_Toc190052699"/>
      <w:bookmarkStart w:id="36" w:name="_Toc209241284"/>
      <w:r>
        <w:t>Radionuclides</w:t>
      </w:r>
      <w:bookmarkEnd w:id="35"/>
      <w:bookmarkEnd w:id="36"/>
    </w:p>
    <w:p w:rsidR="004B3323" w:rsidRPr="00E635DD" w:rsidRDefault="004B3323" w:rsidP="004B3323">
      <w:pPr>
        <w:pStyle w:val="Bodytext"/>
      </w:pPr>
      <w:r w:rsidRPr="00E635DD">
        <w:t xml:space="preserve">In </w:t>
      </w:r>
      <w:smartTag w:uri="urn:schemas-microsoft-com:office:smarttags" w:element="place">
        <w:smartTag w:uri="urn:schemas-microsoft-com:office:smarttags" w:element="State">
          <w:r w:rsidRPr="00E635DD">
            <w:t>Florida</w:t>
          </w:r>
        </w:smartTag>
      </w:smartTag>
      <w:r w:rsidRPr="00E635DD">
        <w:t xml:space="preserve">, </w:t>
      </w:r>
      <w:r>
        <w:t xml:space="preserve">most </w:t>
      </w:r>
      <w:r w:rsidRPr="00E635DD">
        <w:t xml:space="preserve">elevated radionuclide levels are </w:t>
      </w:r>
      <w:r>
        <w:t>due to natural conditions, but these conditions may</w:t>
      </w:r>
      <w:r w:rsidRPr="00E635DD">
        <w:t xml:space="preserve"> still pose a significant health concern.  Radionuclides occur naturally as trace elements in rocks and soils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that </w:t>
      </w:r>
      <w:r>
        <w:t>is</w:t>
      </w:r>
      <w:r w:rsidRPr="00E635DD">
        <w:t xml:space="preserve"> prevalent in Miocene-age clay deposits </w:t>
      </w:r>
      <w:r>
        <w:t xml:space="preserve">present </w:t>
      </w:r>
      <w:r w:rsidRPr="00E635DD">
        <w:t>throughout much of the state.  Radionuclides measured in ground water include gross Alpha, gross Beta, radium 226, and radium 228.  Gross Alpha is the most commonly measured parameter.</w:t>
      </w:r>
      <w:r>
        <w:t xml:space="preserve">  </w:t>
      </w:r>
      <w:r w:rsidRPr="005B73FB">
        <w:rPr>
          <w:b/>
          <w:i/>
        </w:rPr>
        <w:t xml:space="preserve">Table </w:t>
      </w:r>
      <w:r>
        <w:rPr>
          <w:b/>
          <w:i/>
        </w:rPr>
        <w:t>29</w:t>
      </w:r>
      <w:r>
        <w:t xml:space="preserve"> summarizes radionuclide detections in public water systems and wells.</w:t>
      </w:r>
    </w:p>
    <w:p w:rsidR="004B3323" w:rsidRDefault="004B3323" w:rsidP="004B3323">
      <w:pPr>
        <w:pStyle w:val="Bodytext"/>
      </w:pPr>
    </w:p>
    <w:p w:rsidR="004B3323" w:rsidRDefault="004B3323" w:rsidP="004B3323">
      <w:pPr>
        <w:pStyle w:val="Bodytext"/>
      </w:pPr>
      <w:r>
        <w:t xml:space="preserve">Public water systems in the west-central area of the state have the greatest incidence of MCL exceedances for radionuclides.  The Sarasota Bay–Peace–Myakka (97 systems) Basin, followed by the Tampa Bay Tributaries (53 systems), and the Kissimmee River (30 systems) Basins lie within one of the 3 largest phosphate-mining areas in the world; this area includes large areas of Manatee, </w:t>
      </w:r>
      <w:smartTag w:uri="urn:schemas-microsoft-com:office:smarttags" w:element="City">
        <w:r>
          <w:t>Sarasota</w:t>
        </w:r>
      </w:smartTag>
      <w:r>
        <w:t xml:space="preserve">, Polk, and </w:t>
      </w:r>
      <w:smartTag w:uri="urn:schemas-microsoft-com:office:smarttags" w:element="place">
        <w:smartTag w:uri="urn:schemas-microsoft-com:office:smarttags" w:element="PlaceName">
          <w:r>
            <w:t>Hillsborough</w:t>
          </w:r>
        </w:smartTag>
        <w:r>
          <w:t xml:space="preserve"> </w:t>
        </w:r>
        <w:smartTag w:uri="urn:schemas-microsoft-com:office:smarttags" w:element="PlaceType">
          <w:r>
            <w:t>Counties</w:t>
          </w:r>
        </w:smartTag>
      </w:smartTag>
      <w:r>
        <w:t xml:space="preserve">.  The health department infrequently samples private wells for radionuclides.  The highest number of detections above MCLs was found in the </w:t>
      </w:r>
      <w:smartTag w:uri="urn:schemas-microsoft-com:office:smarttags" w:element="place">
        <w:smartTag w:uri="urn:schemas-microsoft-com:office:smarttags" w:element="PlaceNam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w:t>
          </w:r>
        </w:smartTag>
      </w:smartTag>
      <w:r>
        <w:t xml:space="preserve"> (27 wells).</w:t>
      </w:r>
    </w:p>
    <w:p w:rsidR="004B3323" w:rsidRDefault="004B3323" w:rsidP="004B3323">
      <w:pPr>
        <w:pStyle w:val="Bodytext"/>
      </w:pPr>
    </w:p>
    <w:p w:rsidR="004B3323" w:rsidRDefault="004B3323" w:rsidP="004B3323">
      <w:pPr>
        <w:pStyle w:val="Bodytext"/>
      </w:pPr>
      <w:r>
        <w:t xml:space="preserve">The Suwannee (19 wells) and </w:t>
      </w:r>
      <w:smartTag w:uri="urn:schemas-microsoft-com:office:smarttags" w:element="place">
        <w:smartTag w:uri="urn:schemas-microsoft-com:office:smarttags" w:element="City">
          <w:r>
            <w:t>Pensacola</w:t>
          </w:r>
        </w:smartTag>
      </w:smartTag>
      <w:r>
        <w:t xml:space="preserve"> (17 wells) Basins had the greatest number of radionuclide exceedances, although few private wells have been sampled for this parameter category.</w:t>
      </w:r>
    </w:p>
    <w:p w:rsidR="004B3323" w:rsidRDefault="004B3323" w:rsidP="004B3323">
      <w:pPr>
        <w:pStyle w:val="Bodytext"/>
      </w:pPr>
      <w:bookmarkStart w:id="37" w:name="_Toc190052700"/>
    </w:p>
    <w:p w:rsidR="004B3323" w:rsidRDefault="004B3323" w:rsidP="004B3323">
      <w:pPr>
        <w:pStyle w:val="Heading4"/>
      </w:pPr>
      <w:bookmarkStart w:id="38" w:name="_Toc209241285"/>
      <w:r>
        <w:t>Saline Water</w:t>
      </w:r>
      <w:bookmarkEnd w:id="37"/>
      <w:bookmarkEnd w:id="38"/>
      <w:r>
        <w:t xml:space="preserve"> </w:t>
      </w:r>
    </w:p>
    <w:p w:rsidR="004B3323" w:rsidRDefault="004B3323" w:rsidP="004B3323">
      <w:pPr>
        <w:pStyle w:val="Bodytext"/>
      </w:pPr>
      <w:r>
        <w:t xml:space="preserve">The intrusion of saline water is a well-documented concern in coastal areas of the state where a wedge of salt water migrates laterally inshore as discharge from supply wells increases.  However, recent data indicate that these are not currently the areas with the greatest number of issues.  In other areas that lie more inland, the upconing of brackish water from deeper zones seems to be more of an issue.  In this assessment, an exceedance of the MCL for sodium was used as an indicator of possible saline water intrusion or upwelling.  </w:t>
      </w:r>
      <w:r w:rsidRPr="005B73FB">
        <w:rPr>
          <w:b/>
          <w:i/>
        </w:rPr>
        <w:t xml:space="preserve">Table </w:t>
      </w:r>
      <w:r>
        <w:rPr>
          <w:b/>
          <w:i/>
        </w:rPr>
        <w:t>29</w:t>
      </w:r>
      <w:r>
        <w:t xml:space="preserve"> summarizes these results.</w:t>
      </w:r>
    </w:p>
    <w:p w:rsidR="004B3323" w:rsidRDefault="004B3323" w:rsidP="004B3323">
      <w:pPr>
        <w:pStyle w:val="Bodytext"/>
      </w:pPr>
    </w:p>
    <w:p w:rsidR="004B3323" w:rsidRDefault="004B3323" w:rsidP="004B3323">
      <w:pPr>
        <w:pStyle w:val="Bodytext"/>
      </w:pPr>
      <w:r>
        <w:t xml:space="preserve">Elevated sodium concentrations were noted in samples from public water systems in the Tampa Bay Tributaries (48 systems), Middle St. Johns (16 systems), and Ocklawaha (12 systems) Basins.  Public drinking water supplies in the 3 basins with highest number of sodium exceedances are in high-growth areas of the state where consumptive use is beginning to exceed aquifer capacity.  In these basins, overpumpage has resulted in upconing from deeper zones in the Floridan aquifer that are saline.  The increase in population in many of these areas is creating stress on potable ground water supplies, and water resource managers and public water utilities have begun to look for alternative supplies to continue providing potable water to their customers.  Private wells in the </w:t>
      </w:r>
      <w:smartTag w:uri="urn:schemas-microsoft-com:office:smarttags" w:element="place">
        <w:r>
          <w:t>Lower St. Johns</w:t>
        </w:r>
      </w:smartTag>
      <w:r>
        <w:t xml:space="preserve"> (15 wells), Middle St. Johns (15 wells), and Sarasota Bay–Peace–Myakka (10 wells) Basins have also been affected by increases in aquifer salinity.</w:t>
      </w:r>
    </w:p>
    <w:p w:rsidR="004B3323" w:rsidRDefault="004B3323" w:rsidP="004B3323">
      <w:pPr>
        <w:pStyle w:val="Bodytext"/>
      </w:pPr>
    </w:p>
    <w:p w:rsidR="004B3323" w:rsidRDefault="004B3323" w:rsidP="004B3323">
      <w:pPr>
        <w:pStyle w:val="Heading4"/>
      </w:pPr>
      <w:bookmarkStart w:id="39" w:name="_Toc190052701"/>
      <w:bookmarkStart w:id="40" w:name="_Toc209241286"/>
      <w:r>
        <w:t>Trihalomethanes</w:t>
      </w:r>
      <w:bookmarkEnd w:id="39"/>
      <w:bookmarkEnd w:id="40"/>
    </w:p>
    <w:p w:rsidR="004B3323" w:rsidRPr="00644870" w:rsidRDefault="004B3323" w:rsidP="004B3323">
      <w:pPr>
        <w:pStyle w:val="Bodytext"/>
      </w:pPr>
      <w:r>
        <w:t xml:space="preserve">Chlorination is a disinfection treatment practiced by many public water systems to remove potentially harmful bacteria.  Unlike a number of states, </w:t>
      </w:r>
      <w:smartTag w:uri="urn:schemas-microsoft-com:office:smarttags" w:element="place">
        <w:smartTag w:uri="urn:schemas-microsoft-com:office:smarttags" w:element="State">
          <w:r>
            <w:t>Florida</w:t>
          </w:r>
        </w:smartTag>
      </w:smartTag>
      <w:r>
        <w:t xml:space="preserve"> requires disinfection.  Trihalomethanes (THMs) are an unfortunate byproduct of chlorinating source water that contains organic matter.  </w:t>
      </w:r>
      <w:r w:rsidRPr="00644870">
        <w:t>Chloroform, dibromochloromethane, bromodichloromethane, and bromoform</w:t>
      </w:r>
      <w:r>
        <w:t xml:space="preserve"> are the most common THMs found in treated water.  Basins with the most apparent influence by THMs (based on primary MCL exceedances) include Middle St. Johns (20 systems), </w:t>
      </w:r>
      <w:smartTag w:uri="urn:schemas-microsoft-com:office:smarttags" w:element="place">
        <w:smartTag w:uri="urn:schemas-microsoft-com:office:smarttags" w:element="PlaceName">
          <w:r>
            <w:t>Lake Worth</w:t>
          </w:r>
        </w:smartTag>
        <w:r>
          <w:t xml:space="preserve"> </w:t>
        </w:r>
        <w:smartTag w:uri="urn:schemas-microsoft-com:office:smarttags" w:element="PlaceName">
          <w:r>
            <w:t>Lagoon–Palm</w:t>
          </w:r>
        </w:smartTag>
        <w:r>
          <w:t xml:space="preserve"> </w:t>
        </w:r>
        <w:smartTag w:uri="urn:schemas-microsoft-com:office:smarttags" w:element="PlaceType">
          <w:r>
            <w:t>Beach</w:t>
          </w:r>
        </w:smartTag>
        <w:r>
          <w:t xml:space="preserve"> </w:t>
        </w:r>
        <w:smartTag w:uri="urn:schemas-microsoft-com:office:smarttags" w:element="PlaceType">
          <w:r>
            <w:t>Coast</w:t>
          </w:r>
        </w:smartTag>
      </w:smartTag>
      <w:r>
        <w:t xml:space="preserve"> (19 systems), Everglades West Coast (11 systems), and Upper East Coast (11 systems).  Many public water systems are using alternative disinfection methods (such as the use of chloramine) to reduce or eliminate the creation of THMs.</w:t>
      </w:r>
    </w:p>
    <w:p w:rsidR="004B3323" w:rsidRPr="008A3478" w:rsidRDefault="004B3323" w:rsidP="004B3323">
      <w:pPr>
        <w:pStyle w:val="Bodytext"/>
        <w:rPr>
          <w:rFonts w:cs="Arial"/>
          <w:szCs w:val="22"/>
        </w:rPr>
      </w:pPr>
    </w:p>
    <w:p w:rsidR="004B3323" w:rsidRDefault="004B3323" w:rsidP="004B3323">
      <w:pPr>
        <w:pStyle w:val="Heading4"/>
      </w:pPr>
      <w:bookmarkStart w:id="41" w:name="_Toc190052702"/>
      <w:bookmarkStart w:id="42" w:name="_Toc209241287"/>
      <w:r>
        <w:t>Bacteria (Coliform)</w:t>
      </w:r>
      <w:bookmarkEnd w:id="41"/>
      <w:bookmarkEnd w:id="42"/>
    </w:p>
    <w:p w:rsidR="004B3323" w:rsidRDefault="004B3323" w:rsidP="004B3323">
      <w:pPr>
        <w:pStyle w:val="Bodytext"/>
      </w:pPr>
      <w:r>
        <w:t xml:space="preserve">Bacteria are not typically a concern to public water systems, because the water is disinfected before distribution.  However, the bacterial contamination of private wells is an ongoing issue that is being addressed by FDOH.  Unfortunately, the number of bacterial exceedances in private drinking water wells is poorly documented and not maintained in a central database.  Of all water quality issues evaluated, bacterial contamination, as indicated by elevated total and/or fecal coliform counts, is the most prevalent issue in ground water samples collected from the Status Network monitoring wells.  Over one-third of the basins had significant exceedances of MCLs or health advisory levels for total and/or fecal coliform, indicating potential public health issues in some of these cases.  </w:t>
      </w:r>
    </w:p>
    <w:p w:rsidR="004B3323" w:rsidRDefault="004B3323" w:rsidP="004B3323">
      <w:pPr>
        <w:pStyle w:val="Bodytext"/>
      </w:pPr>
    </w:p>
    <w:p w:rsidR="004B3323" w:rsidRDefault="004B3323" w:rsidP="004B3323">
      <w:pPr>
        <w:pStyle w:val="Bodytext"/>
      </w:pPr>
      <w:r>
        <w:t>However, the significance of these findings must still be determined.  High bacterial counts may be caused by improper well construction, poor hygiene at the wellhead, animal waste or septic tank issues and/or flooding, and the surface water infiltration of a water system.  These considerations highlight the fact that individual well assessments are necessary, and that in many cases, bacterial contamination is localized and may not be an issue outside of the individual wells themselves.</w:t>
      </w:r>
    </w:p>
    <w:p w:rsidR="004B3323" w:rsidRDefault="004B3323" w:rsidP="004B3323">
      <w:pPr>
        <w:pStyle w:val="Bodytext"/>
        <w:rPr>
          <w:rFonts w:cs="Arial"/>
          <w:bCs/>
          <w:szCs w:val="22"/>
        </w:rPr>
      </w:pPr>
    </w:p>
    <w:p w:rsidR="004B3323" w:rsidRPr="00635B59" w:rsidRDefault="004B3323" w:rsidP="004B3323">
      <w:pPr>
        <w:pStyle w:val="Heading2"/>
      </w:pPr>
      <w:bookmarkStart w:id="43" w:name="_Toc190052703"/>
      <w:bookmarkStart w:id="44" w:name="_Toc209241288"/>
      <w:r w:rsidRPr="00635B59">
        <w:lastRenderedPageBreak/>
        <w:t>Summary of Ground Water Contaminant Sources</w:t>
      </w:r>
      <w:bookmarkEnd w:id="43"/>
      <w:bookmarkEnd w:id="44"/>
      <w:r w:rsidRPr="00635B59">
        <w:t xml:space="preserve"> </w:t>
      </w:r>
    </w:p>
    <w:p w:rsidR="004B3323" w:rsidRDefault="004B3323" w:rsidP="004B3323">
      <w:pPr>
        <w:pStyle w:val="Bodytext"/>
      </w:pPr>
      <w:r w:rsidRPr="00D11D8A">
        <w:t>The</w:t>
      </w:r>
      <w:r>
        <w:t xml:space="preserve"> EPA’s </w:t>
      </w:r>
      <w:r w:rsidRPr="009240A1">
        <w:rPr>
          <w:i/>
        </w:rPr>
        <w:t>2004</w:t>
      </w:r>
      <w:r>
        <w:t xml:space="preserve"> </w:t>
      </w:r>
      <w:smartTag w:uri="urn:schemas-microsoft-com:office:smarttags" w:element="State">
        <w:r w:rsidRPr="009240A1">
          <w:rPr>
            <w:i/>
          </w:rPr>
          <w:t>Florida</w:t>
        </w:r>
      </w:smartTag>
      <w:r w:rsidRPr="009240A1">
        <w:rPr>
          <w:i/>
        </w:rPr>
        <w:t xml:space="preserve"> Source Water Assessment</w:t>
      </w:r>
      <w:r w:rsidRPr="00D11D8A">
        <w:t xml:space="preserve"> identified the top five potential sources of contami</w:t>
      </w:r>
      <w:r>
        <w:t xml:space="preserve">nation in </w:t>
      </w:r>
      <w:smartTag w:uri="urn:schemas-microsoft-com:office:smarttags" w:element="place">
        <w:smartTag w:uri="urn:schemas-microsoft-com:office:smarttags" w:element="State">
          <w:r>
            <w:t>Florida</w:t>
          </w:r>
        </w:smartTag>
      </w:smartTag>
      <w:r w:rsidRPr="00D11D8A">
        <w:t>.</w:t>
      </w:r>
      <w:r>
        <w:t xml:space="preserve"> </w:t>
      </w:r>
      <w:r w:rsidRPr="00D11D8A">
        <w:t xml:space="preserve"> These </w:t>
      </w:r>
      <w:r>
        <w:t>are</w:t>
      </w:r>
      <w:r w:rsidRPr="00D11D8A">
        <w:t xml:space="preserve"> </w:t>
      </w:r>
      <w:r>
        <w:t>(</w:t>
      </w:r>
      <w:r w:rsidRPr="00D11D8A">
        <w:t xml:space="preserve">1) underground storage tanks (not leaking); </w:t>
      </w:r>
      <w:r>
        <w:t>(</w:t>
      </w:r>
      <w:r w:rsidRPr="00D11D8A">
        <w:t>2) gasoline service stations (includ</w:t>
      </w:r>
      <w:r>
        <w:t>ing</w:t>
      </w:r>
      <w:r w:rsidRPr="00D11D8A">
        <w:t xml:space="preserve"> historic</w:t>
      </w:r>
      <w:r>
        <w:t>al</w:t>
      </w:r>
      <w:r w:rsidRPr="00D11D8A">
        <w:t xml:space="preserve"> gas stations); </w:t>
      </w:r>
      <w:r>
        <w:t>(</w:t>
      </w:r>
      <w:r w:rsidRPr="00D11D8A">
        <w:t>3) municipal sanitary waste treatment and disposal (commercial, domestic</w:t>
      </w:r>
      <w:r>
        <w:t>,</w:t>
      </w:r>
      <w:r w:rsidRPr="00D11D8A">
        <w:t xml:space="preserve"> and industrial waste); </w:t>
      </w:r>
      <w:r>
        <w:t>(</w:t>
      </w:r>
      <w:r w:rsidRPr="00D11D8A">
        <w:t xml:space="preserve">4) known contamination sites/plumes (equivalent to </w:t>
      </w:r>
      <w:r>
        <w:t>FDEP’s</w:t>
      </w:r>
      <w:r w:rsidRPr="00D11D8A">
        <w:t xml:space="preserve"> delineated areas); and </w:t>
      </w:r>
      <w:r>
        <w:t>(</w:t>
      </w:r>
      <w:r w:rsidRPr="00D11D8A">
        <w:t xml:space="preserve">5) drycleaning facilities.  Several of these have commonly been the focus of waste cleanup and monitoring activities in </w:t>
      </w:r>
      <w:smartTag w:uri="urn:schemas-microsoft-com:office:smarttags" w:element="place">
        <w:smartTag w:uri="urn:schemas-microsoft-com:office:smarttags" w:element="State">
          <w:r w:rsidRPr="00D11D8A">
            <w:t>Florida</w:t>
          </w:r>
        </w:smartTag>
      </w:smartTag>
      <w:r w:rsidRPr="00D11D8A">
        <w:t xml:space="preserve">.  However, there are also instances where ground water has </w:t>
      </w:r>
      <w:r>
        <w:t>been degraded</w:t>
      </w:r>
      <w:r w:rsidRPr="00D11D8A">
        <w:t xml:space="preserve"> as the result of nonpoint activities.  </w:t>
      </w:r>
      <w:r>
        <w:t>This section discusses</w:t>
      </w:r>
      <w:r w:rsidRPr="00D11D8A">
        <w:t xml:space="preserve"> the most significant ground water degradation sources</w:t>
      </w:r>
      <w:r>
        <w:t>,</w:t>
      </w:r>
      <w:r w:rsidRPr="00D11D8A">
        <w:t xml:space="preserve"> based on waste cleanup, monitoring, and restoration actions taken by </w:t>
      </w:r>
      <w:r>
        <w:rPr>
          <w:color w:val="333333"/>
        </w:rPr>
        <w:t>FDEP</w:t>
      </w:r>
      <w:r w:rsidRPr="00D11D8A">
        <w:t xml:space="preserve"> and other agencies conce</w:t>
      </w:r>
      <w:r>
        <w:t>rned with ground water quality.</w:t>
      </w:r>
    </w:p>
    <w:p w:rsidR="004B3323" w:rsidRPr="003A4461" w:rsidRDefault="004B3323" w:rsidP="004B3323">
      <w:pPr>
        <w:pStyle w:val="Bodytext"/>
        <w:rPr>
          <w:bCs/>
        </w:rPr>
      </w:pPr>
    </w:p>
    <w:p w:rsidR="004B3323" w:rsidRDefault="004B3323" w:rsidP="004B3323">
      <w:pPr>
        <w:pStyle w:val="Heading3"/>
      </w:pPr>
      <w:bookmarkStart w:id="45" w:name="_Toc190052704"/>
      <w:bookmarkStart w:id="46" w:name="_Toc209241289"/>
      <w:r>
        <w:t>Petroleum Facilities</w:t>
      </w:r>
      <w:bookmarkEnd w:id="45"/>
      <w:bookmarkEnd w:id="46"/>
    </w:p>
    <w:p w:rsidR="004B3323" w:rsidRDefault="004B3323" w:rsidP="004B3323">
      <w:pPr>
        <w:pStyle w:val="Bodytext"/>
      </w:pPr>
      <w:r>
        <w:t>FDEP</w:t>
      </w:r>
      <w:r w:rsidRPr="00EF31B5">
        <w:t xml:space="preserve">’s Storage Tank Contamination Monitoring (STCM) database contains information on all storage tank facilities registered with </w:t>
      </w:r>
      <w:r>
        <w:t xml:space="preserve">FDEP </w:t>
      </w:r>
      <w:r w:rsidRPr="00EF31B5">
        <w:t xml:space="preserve">and tracked for active storage tanks, storage tank history, or petroleum cleanup activity.  </w:t>
      </w:r>
      <w:r>
        <w:t xml:space="preserve">Currently, the STCM database lists </w:t>
      </w:r>
      <w:r w:rsidRPr="00EF31B5">
        <w:t>approximately 6</w:t>
      </w:r>
      <w:r>
        <w:t>1</w:t>
      </w:r>
      <w:r w:rsidRPr="00EF31B5">
        <w:t xml:space="preserve">,000 </w:t>
      </w:r>
      <w:r>
        <w:t xml:space="preserve">registered </w:t>
      </w:r>
      <w:r w:rsidRPr="00EF31B5">
        <w:t xml:space="preserve">petroleum storage </w:t>
      </w:r>
      <w:r>
        <w:t>tanks, and it shows that approximately</w:t>
      </w:r>
      <w:r w:rsidRPr="00EF31B5">
        <w:t xml:space="preserve"> 14,000 </w:t>
      </w:r>
      <w:r>
        <w:t xml:space="preserve">storage tank facilities </w:t>
      </w:r>
      <w:r w:rsidRPr="00EF31B5">
        <w:t>have documented ground water contamination</w:t>
      </w:r>
      <w:r>
        <w:t xml:space="preserve"> by petroleum constituents.  Petroleum sites and petroleum problems are concentrated in the most populated areas of the state, as well as along major transportation corridors.  The main petroleum constituents found in ground water are benzene, toluene, ethylbenzene, xylenes, and methyl tert-butyl ether.  Contaminants at older petroleum sites may also contain lead and EDB.</w:t>
      </w:r>
    </w:p>
    <w:p w:rsidR="004B3323" w:rsidRDefault="004B3323" w:rsidP="004B3323">
      <w:pPr>
        <w:pStyle w:val="Bodytext"/>
      </w:pPr>
    </w:p>
    <w:p w:rsidR="004B3323" w:rsidRDefault="004B3323" w:rsidP="004B3323">
      <w:pPr>
        <w:pStyle w:val="Bodytext"/>
      </w:pPr>
      <w:smartTag w:uri="urn:schemas-microsoft-com:office:smarttags" w:element="place">
        <w:smartTag w:uri="urn:schemas-microsoft-com:office:smarttags" w:element="State">
          <w:r w:rsidRPr="00E56C5D">
            <w:t>Florida</w:t>
          </w:r>
        </w:smartTag>
      </w:smartTag>
      <w:r>
        <w:t>’s</w:t>
      </w:r>
      <w:r w:rsidRPr="00E56C5D">
        <w:t xml:space="preserve"> Petroleum Cleanup Program encompasses the technical oversight, management, and administrative activities necessary to prioritize, assess, and clean</w:t>
      </w:r>
      <w:r>
        <w:t xml:space="preserve"> </w:t>
      </w:r>
      <w:r w:rsidRPr="00E56C5D">
        <w:t xml:space="preserve">up sites contaminated by </w:t>
      </w:r>
      <w:r>
        <w:t xml:space="preserve">the </w:t>
      </w:r>
      <w:r w:rsidRPr="00E56C5D">
        <w:t xml:space="preserve">discharges of petroleum and petroleum products from stationary petroleum storage systems. </w:t>
      </w:r>
      <w:r>
        <w:t xml:space="preserve"> </w:t>
      </w:r>
      <w:r w:rsidRPr="00E56C5D">
        <w:t xml:space="preserve">These sites include those determined </w:t>
      </w:r>
      <w:r>
        <w:t xml:space="preserve">to be </w:t>
      </w:r>
      <w:r w:rsidRPr="00E56C5D">
        <w:t>eligible for state</w:t>
      </w:r>
      <w:r>
        <w:t>-</w:t>
      </w:r>
      <w:r w:rsidRPr="00E56C5D">
        <w:t xml:space="preserve">funded cleanup using preapproval contractors designated by the property owner or responsible party and state lead contractors under direct contract with </w:t>
      </w:r>
      <w:r>
        <w:t>FDEP</w:t>
      </w:r>
      <w:r w:rsidRPr="00E56C5D">
        <w:t>, as well as nonprogram or voluntary cleanup sites funded by responsible parties.</w:t>
      </w:r>
    </w:p>
    <w:p w:rsidR="004B3323" w:rsidRPr="00E56C5D" w:rsidRDefault="004B3323" w:rsidP="004B3323">
      <w:pPr>
        <w:pStyle w:val="Bodytext"/>
      </w:pPr>
    </w:p>
    <w:p w:rsidR="004B3323" w:rsidRDefault="004B3323" w:rsidP="004B3323">
      <w:pPr>
        <w:pStyle w:val="Heading3"/>
      </w:pPr>
      <w:bookmarkStart w:id="47" w:name="_Toc190052705"/>
      <w:bookmarkStart w:id="48" w:name="_Toc209241290"/>
      <w:r>
        <w:t>Drycleaning Solvent Facilities</w:t>
      </w:r>
      <w:bookmarkEnd w:id="47"/>
      <w:bookmarkEnd w:id="48"/>
    </w:p>
    <w:p w:rsidR="004B3323" w:rsidRPr="00C76C94" w:rsidRDefault="004B3323" w:rsidP="004B3323">
      <w:pPr>
        <w:pStyle w:val="Bodytext"/>
      </w:pPr>
      <w:r w:rsidRPr="00C76C94">
        <w:t>Approximately 1,400 drycleanin</w:t>
      </w:r>
      <w:r>
        <w:t>g facilities (mainly retail) have</w:t>
      </w:r>
      <w:r w:rsidRPr="00C76C94">
        <w:t xml:space="preserve"> signed up for eligibility for contaminant cleanup under </w:t>
      </w:r>
      <w:r>
        <w:t>FDEP</w:t>
      </w:r>
      <w:r w:rsidRPr="00C76C94">
        <w:t xml:space="preserve">’s Drycleaning Solvent Cleanup Program (DSCP) due to evidence of contamination.  Of those, </w:t>
      </w:r>
      <w:r>
        <w:t xml:space="preserve">approximately </w:t>
      </w:r>
      <w:r w:rsidRPr="00C76C94">
        <w:t>200 are actively being assessed and may be under remedial action.  Drycleaning solvent constituents (PCE, TCE, dichloroethenes, and vinyl chloride) are among the most mobile and persistent contaminants in the environment.</w:t>
      </w:r>
    </w:p>
    <w:p w:rsidR="004B3323" w:rsidRDefault="004B3323" w:rsidP="004B3323">
      <w:pPr>
        <w:pStyle w:val="Bodytext"/>
      </w:pPr>
    </w:p>
    <w:p w:rsidR="004B3323" w:rsidRDefault="004B3323" w:rsidP="004B3323">
      <w:pPr>
        <w:pStyle w:val="Bodytext"/>
      </w:pPr>
      <w:r w:rsidRPr="00D01748">
        <w:lastRenderedPageBreak/>
        <w:t xml:space="preserve">The </w:t>
      </w:r>
      <w:smartTag w:uri="urn:schemas-microsoft-com:office:smarttags" w:element="place">
        <w:smartTag w:uri="urn:schemas-microsoft-com:office:smarttags" w:element="State">
          <w:r w:rsidRPr="00D01748">
            <w:t>Florida</w:t>
          </w:r>
        </w:smartTag>
      </w:smartTag>
      <w:r w:rsidRPr="00D01748">
        <w:t xml:space="preserve"> </w:t>
      </w:r>
      <w:r>
        <w:t>l</w:t>
      </w:r>
      <w:r w:rsidRPr="00D01748">
        <w:t>egislature has established a state-funded program</w:t>
      </w:r>
      <w:r>
        <w:t>, administered by FDEP,</w:t>
      </w:r>
      <w:r w:rsidRPr="00D01748">
        <w:t xml:space="preserve"> to clean</w:t>
      </w:r>
      <w:r>
        <w:t xml:space="preserve"> </w:t>
      </w:r>
      <w:r w:rsidRPr="00D01748">
        <w:t>up properties that are contaminated as a result of the operations of a drycleaning facility or wholesale supply facility (</w:t>
      </w:r>
      <w:r w:rsidRPr="00C76C94">
        <w:t>Chapter 376, F</w:t>
      </w:r>
      <w:r>
        <w:t>.S.</w:t>
      </w:r>
      <w:r w:rsidRPr="00D01748">
        <w:t xml:space="preserve">). </w:t>
      </w:r>
      <w:r>
        <w:t xml:space="preserve"> </w:t>
      </w:r>
      <w:r w:rsidRPr="00D01748">
        <w:t xml:space="preserve">The </w:t>
      </w:r>
      <w:r>
        <w:t xml:space="preserve">drycleaning industry sponsored the </w:t>
      </w:r>
      <w:r w:rsidRPr="00D01748">
        <w:t xml:space="preserve">statute to address environmental, economic, and liability issues resulting from drycleaning solvent contamination. </w:t>
      </w:r>
      <w:r>
        <w:t xml:space="preserve"> </w:t>
      </w:r>
      <w:r w:rsidRPr="00D01748">
        <w:t xml:space="preserve">The program </w:t>
      </w:r>
      <w:r>
        <w:t>limits the</w:t>
      </w:r>
      <w:r w:rsidRPr="00D01748">
        <w:t xml:space="preserve"> liability of the owner, operator</w:t>
      </w:r>
      <w:r>
        <w:t>,</w:t>
      </w:r>
      <w:r w:rsidRPr="00D01748">
        <w:t xml:space="preserve"> and real property owner of drycleaning or wholesale supply facilities for </w:t>
      </w:r>
      <w:r>
        <w:t>cleaning up</w:t>
      </w:r>
      <w:r w:rsidRPr="00D01748">
        <w:t xml:space="preserve"> drycleaning solvent contamination</w:t>
      </w:r>
      <w:r>
        <w:t>,</w:t>
      </w:r>
      <w:r w:rsidRPr="00D01748">
        <w:t xml:space="preserve"> if the parties meet the eligibility conditions stated in the law.</w:t>
      </w:r>
    </w:p>
    <w:p w:rsidR="004B3323" w:rsidRPr="00D01748" w:rsidRDefault="004B3323" w:rsidP="004B3323">
      <w:pPr>
        <w:pStyle w:val="first"/>
        <w:ind w:left="80" w:right="80" w:firstLine="0"/>
        <w:rPr>
          <w:rFonts w:ascii="Arial" w:hAnsi="Arial" w:cs="Arial"/>
          <w:color w:val="333333"/>
          <w:sz w:val="22"/>
          <w:szCs w:val="22"/>
        </w:rPr>
      </w:pPr>
    </w:p>
    <w:p w:rsidR="004B3323" w:rsidRPr="00691ECF" w:rsidRDefault="004B3323" w:rsidP="004B3323">
      <w:pPr>
        <w:pStyle w:val="Heading3"/>
      </w:pPr>
      <w:bookmarkStart w:id="49" w:name="_Toc190052706"/>
      <w:bookmarkStart w:id="50" w:name="_Toc209241291"/>
      <w:r>
        <w:t>Federal and State Waste Cleanup and Monitoring Sites</w:t>
      </w:r>
      <w:bookmarkEnd w:id="49"/>
      <w:bookmarkEnd w:id="50"/>
    </w:p>
    <w:p w:rsidR="004B3323" w:rsidRDefault="004B3323" w:rsidP="004B3323">
      <w:pPr>
        <w:pStyle w:val="Bodytext"/>
      </w:pPr>
      <w:r w:rsidRPr="001F11CC">
        <w:t xml:space="preserve">The Federal Superfund </w:t>
      </w:r>
      <w:r>
        <w:t>P</w:t>
      </w:r>
      <w:r w:rsidRPr="001F11CC">
        <w:t>rogram (authorized under the Comprehensive Environmental Response Compensation and Liability Act</w:t>
      </w:r>
      <w:r>
        <w:t xml:space="preserve"> [CERCLA]</w:t>
      </w:r>
      <w:r w:rsidRPr="001F11CC">
        <w:t xml:space="preserve">) and </w:t>
      </w:r>
      <w:smartTag w:uri="urn:schemas-microsoft-com:office:smarttags" w:element="place">
        <w:smartTag w:uri="urn:schemas-microsoft-com:office:smarttags" w:element="State">
          <w:r w:rsidRPr="001F11CC">
            <w:t>Florida</w:t>
          </w:r>
        </w:smartTag>
      </w:smartTag>
      <w:r w:rsidRPr="001F11CC">
        <w:t xml:space="preserve">’s Hazardous Waste Site Cleanup </w:t>
      </w:r>
      <w:r>
        <w:t>P</w:t>
      </w:r>
      <w:r w:rsidRPr="001F11CC">
        <w:t xml:space="preserve">rogram were developed to provide mechanisms for addressing contamination on uncontrolled or abandoned hazardous waste sites.  In the state, there are </w:t>
      </w:r>
      <w:r>
        <w:t>currently</w:t>
      </w:r>
      <w:r w:rsidRPr="001F11CC">
        <w:t xml:space="preserve"> </w:t>
      </w:r>
      <w:r>
        <w:t>50</w:t>
      </w:r>
      <w:r w:rsidRPr="001F11CC">
        <w:t xml:space="preserve"> Superfund sites on the National Priorities List (NPL) and </w:t>
      </w:r>
      <w:r>
        <w:t>72</w:t>
      </w:r>
      <w:r w:rsidRPr="001F11CC">
        <w:t xml:space="preserve"> sites on </w:t>
      </w:r>
      <w:smartTag w:uri="urn:schemas-microsoft-com:office:smarttags" w:element="place">
        <w:smartTag w:uri="urn:schemas-microsoft-com:office:smarttags" w:element="State">
          <w:r w:rsidRPr="001F11CC">
            <w:t>Florida</w:t>
          </w:r>
        </w:smartTag>
      </w:smartTag>
      <w:r w:rsidRPr="001F11CC">
        <w:t xml:space="preserve">’s </w:t>
      </w:r>
      <w:r>
        <w:t>Hazardous W</w:t>
      </w:r>
      <w:r w:rsidRPr="001F11CC">
        <w:t xml:space="preserve">aste </w:t>
      </w:r>
      <w:r>
        <w:t>C</w:t>
      </w:r>
      <w:r w:rsidRPr="001F11CC">
        <w:t xml:space="preserve">leanup </w:t>
      </w:r>
      <w:r>
        <w:t>P</w:t>
      </w:r>
      <w:r w:rsidRPr="001F11CC">
        <w:t xml:space="preserve">rogram list. </w:t>
      </w:r>
      <w:r>
        <w:t xml:space="preserve"> Many of these sites have documented ground water contamination.</w:t>
      </w:r>
    </w:p>
    <w:p w:rsidR="004B3323" w:rsidRPr="001F11CC" w:rsidRDefault="004B3323" w:rsidP="004B3323">
      <w:pPr>
        <w:pStyle w:val="Bodytext"/>
      </w:pPr>
    </w:p>
    <w:p w:rsidR="004B3323" w:rsidRDefault="004B3323" w:rsidP="004B3323">
      <w:pPr>
        <w:pStyle w:val="Heading3"/>
      </w:pPr>
      <w:bookmarkStart w:id="51" w:name="_Toc190052707"/>
      <w:bookmarkStart w:id="52" w:name="_Toc209241292"/>
      <w:smartTag w:uri="urn:schemas-microsoft-com:office:smarttags" w:element="place">
        <w:smartTag w:uri="urn:schemas-microsoft-com:office:smarttags" w:element="PlaceType">
          <w:r>
            <w:t>Nonpoint</w:t>
          </w:r>
        </w:smartTag>
        <w:r>
          <w:t xml:space="preserve"> </w:t>
        </w:r>
        <w:smartTag w:uri="urn:schemas-microsoft-com:office:smarttags" w:element="PlaceName">
          <w:r>
            <w:t>Sources</w:t>
          </w:r>
        </w:smartTag>
      </w:smartTag>
      <w:bookmarkEnd w:id="51"/>
      <w:bookmarkEnd w:id="52"/>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t xml:space="preserve">Degraded ground water quality is sometimes not associated with a single contaminant source but instead may be related to multiple sources or land use practices in an area.  In many cases, the cumulative effect of human activities through leaching from nonpoint sources of pollution, such as septic tanks or fertilizer applications, creates ground water quality problems.  In many urban areas of the state, ground water (including sinkholes and permitted injection wells) receives untreated stormwater runoff from urban areas and roadways.  Ground water is particularly vulnerable in areas of karst, where these discharges have a direct, unfiltered pathway to the drinking water resource.  In other areas, wastewater applications, septic tank leachate, right-of-way maintenance, and residential landscaping fertilization activities can degrade ground water quality and cause potential problems in karst areas where springs discharge.  Additionally, the leaching of fertilizers and pesticides from agricultural lands has had a significant impact on ground water quality.  </w:t>
      </w:r>
    </w:p>
    <w:p w:rsidR="004B3323" w:rsidRDefault="004B3323" w:rsidP="004B3323">
      <w:pPr>
        <w:autoSpaceDE w:val="0"/>
        <w:autoSpaceDN w:val="0"/>
        <w:adjustRightInd w:val="0"/>
        <w:rPr>
          <w:rFonts w:ascii="Arial" w:hAnsi="Arial" w:cs="Arial"/>
          <w:bCs/>
          <w:sz w:val="22"/>
          <w:szCs w:val="22"/>
        </w:rPr>
      </w:pPr>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t>Unfortunately, the potable ground water resource in some areas dominated by agricultural activities is often susceptible to direct impacts by fertilizer and agrichemical use.  The r</w:t>
      </w:r>
      <w:r w:rsidRPr="007C7AB7">
        <w:rPr>
          <w:rFonts w:ascii="Arial" w:hAnsi="Arial" w:cs="Arial"/>
          <w:bCs/>
          <w:sz w:val="22"/>
          <w:szCs w:val="22"/>
        </w:rPr>
        <w:t>idge citrus area</w:t>
      </w:r>
      <w:r>
        <w:rPr>
          <w:rFonts w:ascii="Arial" w:hAnsi="Arial" w:cs="Arial"/>
          <w:bCs/>
          <w:sz w:val="22"/>
          <w:szCs w:val="22"/>
        </w:rPr>
        <w:t xml:space="preserve"> in central </w:t>
      </w:r>
      <w:smartTag w:uri="urn:schemas-microsoft-com:office:smarttags" w:element="place">
        <w:smartTag w:uri="urn:schemas-microsoft-com:office:smarttags" w:element="State">
          <w:r>
            <w:rPr>
              <w:rFonts w:ascii="Arial" w:hAnsi="Arial" w:cs="Arial"/>
              <w:bCs/>
              <w:sz w:val="22"/>
              <w:szCs w:val="22"/>
            </w:rPr>
            <w:t>Florida</w:t>
          </w:r>
        </w:smartTag>
      </w:smartTag>
      <w:r>
        <w:rPr>
          <w:rFonts w:ascii="Arial" w:hAnsi="Arial" w:cs="Arial"/>
          <w:bCs/>
          <w:sz w:val="22"/>
          <w:szCs w:val="22"/>
        </w:rPr>
        <w:t xml:space="preserve"> provides an example of an area with known nitrate impacts to ground water.  The citrus growers in this area are now addressing nonpoint impacts through the Agricultural Nonpoint Source Program, using voluntary fertilizer management practices as a primary BMP.  This work is serving as a model for the implementation of BMPs to protect ground water from contamination caused by the use of fertilizers and pesticides on urban lands.  These more-refined BMP programs should reduce the nutrient contamination of ground water.</w:t>
      </w:r>
    </w:p>
    <w:p w:rsidR="004B3323" w:rsidRDefault="004B3323" w:rsidP="004B3323">
      <w:pPr>
        <w:autoSpaceDE w:val="0"/>
        <w:autoSpaceDN w:val="0"/>
        <w:adjustRightInd w:val="0"/>
        <w:rPr>
          <w:rFonts w:ascii="Arial" w:hAnsi="Arial" w:cs="Arial"/>
          <w:bCs/>
          <w:sz w:val="22"/>
          <w:szCs w:val="22"/>
        </w:rPr>
      </w:pPr>
    </w:p>
    <w:p w:rsidR="004B3323" w:rsidRPr="00635B59" w:rsidRDefault="004B3323" w:rsidP="004B3323">
      <w:pPr>
        <w:pStyle w:val="Heading2"/>
      </w:pPr>
      <w:bookmarkStart w:id="53" w:name="_Toc190052708"/>
      <w:bookmarkStart w:id="54" w:name="_Toc209241293"/>
      <w:r w:rsidRPr="00635B59">
        <w:lastRenderedPageBreak/>
        <w:t>Ground Water–Surface Water Interaction</w:t>
      </w:r>
      <w:bookmarkEnd w:id="53"/>
      <w:bookmarkEnd w:id="54"/>
    </w:p>
    <w:p w:rsidR="004B3323" w:rsidRDefault="004B3323" w:rsidP="004B3323">
      <w:pPr>
        <w:pStyle w:val="Heading3"/>
      </w:pPr>
      <w:bookmarkStart w:id="55" w:name="_Toc190052709"/>
      <w:bookmarkStart w:id="56" w:name="_Toc209241294"/>
      <w:r w:rsidRPr="00635B59">
        <w:t>Setting and Pathways</w:t>
      </w:r>
      <w:bookmarkEnd w:id="55"/>
      <w:bookmarkEnd w:id="56"/>
      <w:r w:rsidRPr="003A4461">
        <w:t xml:space="preserve"> </w:t>
      </w:r>
    </w:p>
    <w:p w:rsidR="004B3323" w:rsidRDefault="004B3323" w:rsidP="004B3323">
      <w:pPr>
        <w:pStyle w:val="Bodytext"/>
      </w:pPr>
      <w:r>
        <w:t xml:space="preserve">The free exchange between ground water and surface water in </w:t>
      </w:r>
      <w:smartTag w:uri="urn:schemas-microsoft-com:office:smarttags" w:element="place">
        <w:smartTag w:uri="urn:schemas-microsoft-com:office:smarttags" w:element="State">
          <w:r>
            <w:t>Florida</w:t>
          </w:r>
        </w:smartTag>
      </w:smartTag>
      <w:r>
        <w:t xml:space="preserve"> cannot be overemphasized.  As mentioned previously, spring-fed stream systems can depend almost entirely on ground water discharge.  Canals can also contain mostly ground water.  Other streams and lakes may receive over half of their total inflows via ground water seepage, and natural estuaries rely on ground water seepage as a significant source of fresh water.  In areas where the Floridan aquifer system is near the surface, and in southern parts of the state where porous limestone exists near the surface, conduit systems in the limestone material efficiently deliver ground water to streams and canals at high rates.  In other areas of the state, ground water discharge occurs as seepage from the surficial aquifer system.</w:t>
      </w:r>
    </w:p>
    <w:p w:rsidR="004B3323" w:rsidRPr="003A4461" w:rsidRDefault="004B3323" w:rsidP="004B3323">
      <w:pPr>
        <w:pStyle w:val="Bodytext"/>
      </w:pPr>
    </w:p>
    <w:p w:rsidR="004B3323" w:rsidRDefault="004B3323" w:rsidP="004B3323">
      <w:pPr>
        <w:pStyle w:val="Heading3"/>
      </w:pPr>
      <w:bookmarkStart w:id="57" w:name="_Toc190052710"/>
      <w:bookmarkStart w:id="58" w:name="_Toc209241295"/>
      <w:r w:rsidRPr="002B4820">
        <w:t>Ground Water Parameters of Concern for Impaired Surface Waters</w:t>
      </w:r>
      <w:bookmarkEnd w:id="57"/>
      <w:bookmarkEnd w:id="58"/>
      <w:r w:rsidRPr="003A4461">
        <w:t xml:space="preserve"> </w:t>
      </w:r>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t>Nutrients, DO, and iron are t</w:t>
      </w:r>
      <w:r w:rsidRPr="00861849">
        <w:rPr>
          <w:rFonts w:ascii="Arial" w:hAnsi="Arial" w:cs="Arial"/>
          <w:bCs/>
          <w:sz w:val="22"/>
          <w:szCs w:val="22"/>
        </w:rPr>
        <w:t xml:space="preserve">he parameters of greatest concern </w:t>
      </w:r>
      <w:r>
        <w:rPr>
          <w:rFonts w:ascii="Arial" w:hAnsi="Arial" w:cs="Arial"/>
          <w:bCs/>
          <w:sz w:val="22"/>
          <w:szCs w:val="22"/>
        </w:rPr>
        <w:t>identified in</w:t>
      </w:r>
      <w:r w:rsidRPr="00861849">
        <w:rPr>
          <w:rFonts w:ascii="Arial" w:hAnsi="Arial" w:cs="Arial"/>
          <w:bCs/>
          <w:sz w:val="22"/>
          <w:szCs w:val="22"/>
        </w:rPr>
        <w:t xml:space="preserve"> basin-scale eval</w:t>
      </w:r>
      <w:r>
        <w:rPr>
          <w:rFonts w:ascii="Arial" w:hAnsi="Arial" w:cs="Arial"/>
          <w:bCs/>
          <w:sz w:val="22"/>
          <w:szCs w:val="22"/>
        </w:rPr>
        <w:t xml:space="preserve">uations of ground water influence on impaired or potentially impaired surface waters.  </w:t>
      </w:r>
      <w:r w:rsidRPr="002D2B32">
        <w:rPr>
          <w:rFonts w:ascii="Arial" w:hAnsi="Arial" w:cs="Arial"/>
          <w:b/>
          <w:bCs/>
          <w:i/>
          <w:sz w:val="22"/>
          <w:szCs w:val="22"/>
        </w:rPr>
        <w:t xml:space="preserve">Table </w:t>
      </w:r>
      <w:r>
        <w:rPr>
          <w:rFonts w:ascii="Arial" w:hAnsi="Arial" w:cs="Arial"/>
          <w:b/>
          <w:bCs/>
          <w:i/>
          <w:sz w:val="22"/>
          <w:szCs w:val="22"/>
        </w:rPr>
        <w:t>30</w:t>
      </w:r>
      <w:r>
        <w:rPr>
          <w:rFonts w:ascii="Arial" w:hAnsi="Arial" w:cs="Arial"/>
          <w:bCs/>
          <w:sz w:val="22"/>
          <w:szCs w:val="22"/>
        </w:rPr>
        <w:t xml:space="preserve"> summarizes the median concentrations of these parameters in unconfined aquifers of the state’s 29 major basins.  The table also compares these ground water medians with the statewide medians for surface water types.</w:t>
      </w:r>
    </w:p>
    <w:p w:rsidR="004B3323" w:rsidRDefault="004B3323" w:rsidP="004B3323">
      <w:pPr>
        <w:autoSpaceDE w:val="0"/>
        <w:autoSpaceDN w:val="0"/>
        <w:adjustRightInd w:val="0"/>
        <w:rPr>
          <w:rFonts w:ascii="Arial" w:hAnsi="Arial" w:cs="Arial"/>
          <w:bCs/>
          <w:sz w:val="22"/>
          <w:szCs w:val="22"/>
        </w:rPr>
      </w:pPr>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t>Relatively low concentrations of nitrate and phosphorus can create nutrient imbalances in surface water and contribute to impairments.  Nitrate in ground water is associated with anthropogenic sources such as atmospheric deposition, fertilizers, animal waste, and human wastewater.  Elevated nitrogen concentrations are of particular concern to fragile surface water systems such as spring runs.  As discussed previously, phosphorus occurs naturally throughout the state, and its natural occurrence in ground water is attributed to ground water contact with mineral phosphate in the aquifer material.  It can also be derived from organic material such as peat or from phosphatic shell beds.  The more common anthropogenic sources of phosphorus include fertilizers, animal waste, and domestic wastewater/residuals.</w:t>
      </w:r>
    </w:p>
    <w:p w:rsidR="004B3323" w:rsidRDefault="004B3323" w:rsidP="004B3323">
      <w:pPr>
        <w:autoSpaceDE w:val="0"/>
        <w:autoSpaceDN w:val="0"/>
        <w:adjustRightInd w:val="0"/>
        <w:rPr>
          <w:rFonts w:ascii="Arial" w:hAnsi="Arial" w:cs="Arial"/>
          <w:bCs/>
          <w:sz w:val="22"/>
          <w:szCs w:val="22"/>
        </w:rPr>
      </w:pPr>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br w:type="page"/>
      </w:r>
    </w:p>
    <w:p w:rsidR="004B3323" w:rsidRDefault="004B3323" w:rsidP="004B3323">
      <w:pPr>
        <w:pStyle w:val="Tableheading"/>
      </w:pPr>
      <w:bookmarkStart w:id="59" w:name="_Toc190005284"/>
      <w:bookmarkStart w:id="60" w:name="_Toc209240671"/>
      <w:r w:rsidRPr="00C01CA3">
        <w:lastRenderedPageBreak/>
        <w:t xml:space="preserve">Table </w:t>
      </w:r>
      <w:r>
        <w:t xml:space="preserve">30. </w:t>
      </w:r>
      <w:r w:rsidRPr="00C01CA3">
        <w:t xml:space="preserve"> Media</w:t>
      </w:r>
      <w:r>
        <w:t>n Concentrations of Ground Water–Surface Water Constituents</w:t>
      </w:r>
      <w:r>
        <w:br/>
        <w:t>in Unconfined A</w:t>
      </w:r>
      <w:r w:rsidRPr="00C01CA3">
        <w:t>quifers</w:t>
      </w:r>
      <w:bookmarkEnd w:id="59"/>
      <w:r>
        <w:t xml:space="preserve"> (2000–07)</w:t>
      </w:r>
      <w:bookmarkEnd w:id="60"/>
    </w:p>
    <w:tbl>
      <w:tblPr>
        <w:tblW w:w="0" w:type="auto"/>
        <w:jc w:val="center"/>
        <w:tblInd w:w="-5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63"/>
        <w:gridCol w:w="1237"/>
        <w:gridCol w:w="1208"/>
        <w:gridCol w:w="1237"/>
        <w:gridCol w:w="1208"/>
        <w:gridCol w:w="1201"/>
        <w:gridCol w:w="1208"/>
      </w:tblGrid>
      <w:tr w:rsidR="004B3323" w:rsidRPr="00E76B4B" w:rsidTr="00067543">
        <w:trPr>
          <w:trHeight w:val="392"/>
          <w:jc w:val="center"/>
        </w:trPr>
        <w:tc>
          <w:tcPr>
            <w:tcW w:w="2863" w:type="dxa"/>
            <w:vMerge w:val="restart"/>
            <w:shd w:val="clear" w:color="auto" w:fill="CCCCCC"/>
            <w:vAlign w:val="center"/>
          </w:tcPr>
          <w:p w:rsidR="004B3323" w:rsidRPr="00E76B4B" w:rsidRDefault="004B3323" w:rsidP="00067543">
            <w:pPr>
              <w:pStyle w:val="TableText"/>
              <w:jc w:val="center"/>
              <w:rPr>
                <w:b/>
                <w:i/>
              </w:rPr>
            </w:pPr>
            <w:r w:rsidRPr="00E76B4B">
              <w:rPr>
                <w:b/>
                <w:i/>
              </w:rPr>
              <w:t>Basin</w:t>
            </w:r>
          </w:p>
        </w:tc>
        <w:tc>
          <w:tcPr>
            <w:tcW w:w="7299" w:type="dxa"/>
            <w:gridSpan w:val="6"/>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Median Concentrations in Unconfined Aquifers</w:t>
            </w:r>
            <w:r w:rsidRPr="00E76B4B">
              <w:rPr>
                <w:b/>
                <w:bCs/>
                <w:i/>
                <w:iCs/>
                <w:color w:val="000000"/>
                <w:vertAlign w:val="superscript"/>
              </w:rPr>
              <w:t xml:space="preserve"> 1, 3</w:t>
            </w:r>
          </w:p>
        </w:tc>
      </w:tr>
      <w:tr w:rsidR="004B3323" w:rsidRPr="00E76B4B" w:rsidTr="00067543">
        <w:trPr>
          <w:jc w:val="center"/>
        </w:trPr>
        <w:tc>
          <w:tcPr>
            <w:tcW w:w="2863" w:type="dxa"/>
            <w:vMerge/>
            <w:vAlign w:val="center"/>
          </w:tcPr>
          <w:p w:rsidR="004B3323" w:rsidRPr="00E76B4B" w:rsidRDefault="004B3323" w:rsidP="00067543">
            <w:pPr>
              <w:pStyle w:val="TableText"/>
              <w:jc w:val="center"/>
              <w:rPr>
                <w:b/>
                <w:i/>
              </w:rPr>
            </w:pPr>
          </w:p>
        </w:tc>
        <w:tc>
          <w:tcPr>
            <w:tcW w:w="2445" w:type="dxa"/>
            <w:gridSpan w:val="2"/>
            <w:shd w:val="clear" w:color="auto" w:fill="F3F3F3"/>
            <w:vAlign w:val="center"/>
          </w:tcPr>
          <w:p w:rsidR="004B3323" w:rsidRPr="00E76B4B" w:rsidRDefault="004B3323" w:rsidP="00067543">
            <w:pPr>
              <w:pStyle w:val="TableText"/>
              <w:jc w:val="center"/>
              <w:rPr>
                <w:b/>
                <w:bCs/>
                <w:i/>
                <w:iCs/>
                <w:color w:val="000000"/>
              </w:rPr>
            </w:pPr>
            <w:r w:rsidRPr="00E76B4B">
              <w:rPr>
                <w:b/>
                <w:bCs/>
                <w:i/>
                <w:iCs/>
                <w:color w:val="000000"/>
              </w:rPr>
              <w:t xml:space="preserve">Nitrite+Nitrate </w:t>
            </w:r>
          </w:p>
          <w:p w:rsidR="004B3323" w:rsidRPr="00E76B4B" w:rsidRDefault="004B3323" w:rsidP="00067543">
            <w:pPr>
              <w:pStyle w:val="TableText"/>
              <w:jc w:val="center"/>
              <w:rPr>
                <w:b/>
                <w:bCs/>
                <w:i/>
                <w:iCs/>
                <w:color w:val="000000"/>
              </w:rPr>
            </w:pPr>
            <w:r w:rsidRPr="00E76B4B">
              <w:rPr>
                <w:b/>
                <w:bCs/>
                <w:i/>
                <w:iCs/>
                <w:color w:val="000000"/>
              </w:rPr>
              <w:t>(mg/L)</w:t>
            </w:r>
          </w:p>
        </w:tc>
        <w:tc>
          <w:tcPr>
            <w:tcW w:w="2445" w:type="dxa"/>
            <w:gridSpan w:val="2"/>
            <w:shd w:val="clear" w:color="auto" w:fill="F3F3F3"/>
            <w:vAlign w:val="center"/>
          </w:tcPr>
          <w:p w:rsidR="004B3323" w:rsidRPr="00E76B4B" w:rsidRDefault="004B3323" w:rsidP="00067543">
            <w:pPr>
              <w:pStyle w:val="TableText"/>
              <w:jc w:val="center"/>
              <w:rPr>
                <w:b/>
                <w:bCs/>
                <w:i/>
                <w:iCs/>
                <w:color w:val="000000"/>
              </w:rPr>
            </w:pPr>
            <w:r w:rsidRPr="00E76B4B">
              <w:rPr>
                <w:b/>
                <w:bCs/>
                <w:i/>
                <w:iCs/>
                <w:color w:val="000000"/>
              </w:rPr>
              <w:t xml:space="preserve">Phosphorus </w:t>
            </w:r>
          </w:p>
          <w:p w:rsidR="004B3323" w:rsidRPr="00E76B4B" w:rsidRDefault="004B3323" w:rsidP="00067543">
            <w:pPr>
              <w:pStyle w:val="TableText"/>
              <w:jc w:val="center"/>
              <w:rPr>
                <w:b/>
                <w:bCs/>
                <w:i/>
                <w:iCs/>
                <w:color w:val="000000"/>
              </w:rPr>
            </w:pPr>
            <w:r w:rsidRPr="00E76B4B">
              <w:rPr>
                <w:b/>
                <w:bCs/>
                <w:i/>
                <w:iCs/>
                <w:color w:val="000000"/>
              </w:rPr>
              <w:t>(mg/L)</w:t>
            </w:r>
          </w:p>
        </w:tc>
        <w:tc>
          <w:tcPr>
            <w:tcW w:w="1201" w:type="dxa"/>
            <w:shd w:val="clear" w:color="auto" w:fill="F3F3F3"/>
            <w:vAlign w:val="center"/>
          </w:tcPr>
          <w:p w:rsidR="004B3323" w:rsidRPr="00E76B4B" w:rsidRDefault="004B3323" w:rsidP="00067543">
            <w:pPr>
              <w:pStyle w:val="TableText"/>
              <w:jc w:val="center"/>
              <w:rPr>
                <w:b/>
                <w:bCs/>
                <w:i/>
                <w:iCs/>
                <w:color w:val="000000"/>
              </w:rPr>
            </w:pPr>
            <w:r w:rsidRPr="00E76B4B">
              <w:rPr>
                <w:b/>
                <w:bCs/>
                <w:i/>
                <w:iCs/>
                <w:color w:val="000000"/>
              </w:rPr>
              <w:t xml:space="preserve">DO </w:t>
            </w:r>
          </w:p>
          <w:p w:rsidR="004B3323" w:rsidRPr="00E76B4B" w:rsidRDefault="004B3323" w:rsidP="00067543">
            <w:pPr>
              <w:pStyle w:val="TableText"/>
              <w:jc w:val="center"/>
              <w:rPr>
                <w:b/>
                <w:bCs/>
                <w:i/>
                <w:iCs/>
                <w:color w:val="000000"/>
              </w:rPr>
            </w:pPr>
            <w:r w:rsidRPr="00E76B4B">
              <w:rPr>
                <w:b/>
                <w:bCs/>
                <w:i/>
                <w:iCs/>
                <w:color w:val="000000"/>
              </w:rPr>
              <w:t>(mg/L)</w:t>
            </w:r>
          </w:p>
        </w:tc>
        <w:tc>
          <w:tcPr>
            <w:tcW w:w="1208" w:type="dxa"/>
            <w:shd w:val="clear" w:color="auto" w:fill="F3F3F3"/>
            <w:vAlign w:val="center"/>
          </w:tcPr>
          <w:p w:rsidR="004B3323" w:rsidRPr="00E76B4B" w:rsidRDefault="004B3323" w:rsidP="00067543">
            <w:pPr>
              <w:pStyle w:val="TableText"/>
              <w:jc w:val="center"/>
              <w:rPr>
                <w:b/>
                <w:bCs/>
                <w:i/>
                <w:iCs/>
                <w:color w:val="000000"/>
              </w:rPr>
            </w:pPr>
            <w:r w:rsidRPr="00E76B4B">
              <w:rPr>
                <w:b/>
                <w:bCs/>
                <w:i/>
                <w:iCs/>
                <w:color w:val="000000"/>
              </w:rPr>
              <w:t>Total Iron (</w:t>
            </w:r>
            <w:r w:rsidRPr="00E76B4B">
              <w:rPr>
                <w:rFonts w:ascii="Symbol" w:hAnsi="Symbol"/>
                <w:b/>
                <w:bCs/>
                <w:i/>
                <w:iCs/>
                <w:color w:val="000000"/>
              </w:rPr>
              <w:t></w:t>
            </w:r>
            <w:r w:rsidRPr="00E76B4B">
              <w:rPr>
                <w:b/>
                <w:bCs/>
                <w:i/>
                <w:iCs/>
                <w:color w:val="000000"/>
              </w:rPr>
              <w:t>g/L )</w:t>
            </w:r>
          </w:p>
        </w:tc>
      </w:tr>
      <w:tr w:rsidR="004B3323" w:rsidRPr="00E76B4B" w:rsidTr="00067543">
        <w:trPr>
          <w:trHeight w:val="499"/>
          <w:jc w:val="center"/>
        </w:trPr>
        <w:tc>
          <w:tcPr>
            <w:tcW w:w="2863" w:type="dxa"/>
            <w:vMerge/>
            <w:vAlign w:val="center"/>
          </w:tcPr>
          <w:p w:rsidR="004B3323" w:rsidRPr="00E76B4B" w:rsidRDefault="004B3323" w:rsidP="00067543">
            <w:pPr>
              <w:pStyle w:val="TableText"/>
              <w:jc w:val="center"/>
              <w:rPr>
                <w:b/>
                <w:bCs/>
                <w:i/>
                <w:iCs/>
                <w:color w:val="000000"/>
              </w:rPr>
            </w:pPr>
          </w:p>
        </w:tc>
        <w:tc>
          <w:tcPr>
            <w:tcW w:w="1237"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Cycle 1</w:t>
            </w:r>
          </w:p>
          <w:p w:rsidR="004B3323" w:rsidRPr="00E76B4B" w:rsidRDefault="004B3323" w:rsidP="00067543">
            <w:pPr>
              <w:pStyle w:val="TableText"/>
              <w:jc w:val="center"/>
              <w:rPr>
                <w:b/>
                <w:bCs/>
                <w:i/>
                <w:iCs/>
                <w:color w:val="000000"/>
              </w:rPr>
            </w:pPr>
            <w:r w:rsidRPr="00E76B4B">
              <w:rPr>
                <w:b/>
                <w:bCs/>
                <w:i/>
                <w:iCs/>
                <w:color w:val="000000"/>
              </w:rPr>
              <w:t>Dissolved</w:t>
            </w:r>
          </w:p>
        </w:tc>
        <w:tc>
          <w:tcPr>
            <w:tcW w:w="1208"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Cycle 2</w:t>
            </w:r>
          </w:p>
          <w:p w:rsidR="004B3323" w:rsidRPr="00E76B4B" w:rsidRDefault="004B3323" w:rsidP="00067543">
            <w:pPr>
              <w:pStyle w:val="TableText"/>
              <w:jc w:val="center"/>
              <w:rPr>
                <w:b/>
                <w:bCs/>
                <w:i/>
                <w:iCs/>
                <w:color w:val="000000"/>
              </w:rPr>
            </w:pPr>
            <w:r w:rsidRPr="00E76B4B">
              <w:rPr>
                <w:b/>
                <w:bCs/>
                <w:i/>
                <w:iCs/>
                <w:color w:val="000000"/>
              </w:rPr>
              <w:t>Total</w:t>
            </w:r>
          </w:p>
        </w:tc>
        <w:tc>
          <w:tcPr>
            <w:tcW w:w="1237"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Cycle 1</w:t>
            </w:r>
          </w:p>
          <w:p w:rsidR="004B3323" w:rsidRPr="00E76B4B" w:rsidRDefault="004B3323" w:rsidP="00067543">
            <w:pPr>
              <w:pStyle w:val="TableText"/>
              <w:jc w:val="center"/>
              <w:rPr>
                <w:b/>
                <w:bCs/>
                <w:i/>
                <w:iCs/>
                <w:color w:val="000000"/>
              </w:rPr>
            </w:pPr>
            <w:r w:rsidRPr="00E76B4B">
              <w:rPr>
                <w:b/>
                <w:bCs/>
                <w:i/>
                <w:iCs/>
                <w:color w:val="000000"/>
              </w:rPr>
              <w:t>Dissolved</w:t>
            </w:r>
          </w:p>
        </w:tc>
        <w:tc>
          <w:tcPr>
            <w:tcW w:w="1208"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Cycle 2</w:t>
            </w:r>
          </w:p>
          <w:p w:rsidR="004B3323" w:rsidRPr="00E76B4B" w:rsidRDefault="004B3323" w:rsidP="00067543">
            <w:pPr>
              <w:pStyle w:val="TableText"/>
              <w:jc w:val="center"/>
              <w:rPr>
                <w:b/>
                <w:bCs/>
                <w:i/>
                <w:iCs/>
                <w:color w:val="000000"/>
              </w:rPr>
            </w:pPr>
            <w:r w:rsidRPr="00E76B4B">
              <w:rPr>
                <w:b/>
                <w:bCs/>
                <w:i/>
                <w:iCs/>
                <w:color w:val="000000"/>
              </w:rPr>
              <w:t>Total</w:t>
            </w:r>
          </w:p>
        </w:tc>
        <w:tc>
          <w:tcPr>
            <w:tcW w:w="1201"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2000–07</w:t>
            </w:r>
          </w:p>
        </w:tc>
        <w:tc>
          <w:tcPr>
            <w:tcW w:w="1208" w:type="dxa"/>
            <w:shd w:val="clear" w:color="auto" w:fill="CCCCCC"/>
            <w:vAlign w:val="center"/>
          </w:tcPr>
          <w:p w:rsidR="004B3323" w:rsidRPr="00E76B4B" w:rsidRDefault="004B3323" w:rsidP="00067543">
            <w:pPr>
              <w:pStyle w:val="TableText"/>
              <w:jc w:val="center"/>
              <w:rPr>
                <w:b/>
                <w:bCs/>
                <w:i/>
                <w:iCs/>
                <w:color w:val="000000"/>
              </w:rPr>
            </w:pPr>
            <w:r w:rsidRPr="00E76B4B">
              <w:rPr>
                <w:b/>
                <w:bCs/>
                <w:i/>
                <w:iCs/>
                <w:color w:val="000000"/>
              </w:rPr>
              <w:t>2003–07</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Apalachicola–Chipola</w:t>
            </w:r>
          </w:p>
        </w:tc>
        <w:tc>
          <w:tcPr>
            <w:tcW w:w="1237" w:type="dxa"/>
            <w:vAlign w:val="center"/>
          </w:tcPr>
          <w:p w:rsidR="004B3323" w:rsidRDefault="004B3323" w:rsidP="00067543">
            <w:pPr>
              <w:pStyle w:val="TableText"/>
              <w:jc w:val="center"/>
            </w:pPr>
            <w:r w:rsidRPr="00E76B4B">
              <w:rPr>
                <w:highlight w:val="lightGray"/>
              </w:rPr>
              <w:t>0.23</w:t>
            </w:r>
          </w:p>
        </w:tc>
        <w:tc>
          <w:tcPr>
            <w:tcW w:w="1208" w:type="dxa"/>
            <w:vAlign w:val="center"/>
          </w:tcPr>
          <w:p w:rsidR="004B3323" w:rsidRPr="00E76B4B" w:rsidRDefault="004B3323" w:rsidP="00067543">
            <w:pPr>
              <w:pStyle w:val="TableText"/>
              <w:jc w:val="center"/>
              <w:rPr>
                <w:highlight w:val="yellow"/>
              </w:rPr>
            </w:pPr>
            <w:r w:rsidRPr="00E76B4B">
              <w:rPr>
                <w:highlight w:val="yellow"/>
              </w:rPr>
              <w:t>2.35</w:t>
            </w:r>
          </w:p>
        </w:tc>
        <w:tc>
          <w:tcPr>
            <w:tcW w:w="1237" w:type="dxa"/>
            <w:vAlign w:val="center"/>
          </w:tcPr>
          <w:p w:rsidR="004B3323" w:rsidRDefault="004B3323" w:rsidP="00067543">
            <w:pPr>
              <w:pStyle w:val="TableText"/>
              <w:jc w:val="center"/>
            </w:pPr>
            <w:r>
              <w:t>0.005</w:t>
            </w:r>
          </w:p>
        </w:tc>
        <w:tc>
          <w:tcPr>
            <w:tcW w:w="1208" w:type="dxa"/>
            <w:vAlign w:val="center"/>
          </w:tcPr>
          <w:p w:rsidR="004B3323" w:rsidRDefault="004B3323" w:rsidP="00067543">
            <w:pPr>
              <w:pStyle w:val="TableText"/>
              <w:jc w:val="center"/>
            </w:pPr>
            <w:r>
              <w:t>0.0135</w:t>
            </w:r>
          </w:p>
        </w:tc>
        <w:tc>
          <w:tcPr>
            <w:tcW w:w="1201" w:type="dxa"/>
            <w:vAlign w:val="center"/>
          </w:tcPr>
          <w:p w:rsidR="004B3323" w:rsidRDefault="004B3323" w:rsidP="00067543">
            <w:pPr>
              <w:pStyle w:val="TableText"/>
              <w:jc w:val="center"/>
            </w:pPr>
            <w:r w:rsidRPr="00E76B4B">
              <w:rPr>
                <w:highlight w:val="lightGray"/>
              </w:rPr>
              <w:t>5.725</w:t>
            </w:r>
          </w:p>
        </w:tc>
        <w:tc>
          <w:tcPr>
            <w:tcW w:w="1208" w:type="dxa"/>
            <w:vAlign w:val="center"/>
          </w:tcPr>
          <w:p w:rsidR="004B3323" w:rsidRDefault="004B3323" w:rsidP="00067543">
            <w:pPr>
              <w:pStyle w:val="TableText"/>
              <w:jc w:val="center"/>
            </w:pPr>
            <w:r>
              <w:t>20.5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Caloosahatchee</w:t>
            </w:r>
          </w:p>
        </w:tc>
        <w:tc>
          <w:tcPr>
            <w:tcW w:w="1237" w:type="dxa"/>
            <w:vAlign w:val="center"/>
          </w:tcPr>
          <w:p w:rsidR="004B3323" w:rsidRDefault="004B3323" w:rsidP="00067543">
            <w:pPr>
              <w:pStyle w:val="TableText"/>
              <w:jc w:val="center"/>
            </w:pPr>
            <w:r>
              <w:t>0.002</w:t>
            </w:r>
          </w:p>
        </w:tc>
        <w:tc>
          <w:tcPr>
            <w:tcW w:w="1208" w:type="dxa"/>
            <w:vAlign w:val="center"/>
          </w:tcPr>
          <w:p w:rsidR="004B3323" w:rsidRDefault="004B3323" w:rsidP="00067543">
            <w:pPr>
              <w:pStyle w:val="TableText"/>
              <w:jc w:val="center"/>
            </w:pPr>
            <w:r>
              <w:t>0.0055</w:t>
            </w:r>
          </w:p>
        </w:tc>
        <w:tc>
          <w:tcPr>
            <w:tcW w:w="1237" w:type="dxa"/>
            <w:vAlign w:val="center"/>
          </w:tcPr>
          <w:p w:rsidR="004B3323" w:rsidRDefault="004B3323" w:rsidP="00067543">
            <w:pPr>
              <w:pStyle w:val="TableText"/>
              <w:jc w:val="center"/>
            </w:pPr>
            <w:r>
              <w:t>0.0495</w:t>
            </w:r>
          </w:p>
        </w:tc>
        <w:tc>
          <w:tcPr>
            <w:tcW w:w="1208" w:type="dxa"/>
            <w:vAlign w:val="center"/>
          </w:tcPr>
          <w:p w:rsidR="004B3323" w:rsidRDefault="004B3323" w:rsidP="00067543">
            <w:pPr>
              <w:pStyle w:val="TableText"/>
              <w:jc w:val="center"/>
            </w:pPr>
            <w:r>
              <w:t>0.0425</w:t>
            </w:r>
          </w:p>
        </w:tc>
        <w:tc>
          <w:tcPr>
            <w:tcW w:w="1201" w:type="dxa"/>
            <w:vAlign w:val="center"/>
          </w:tcPr>
          <w:p w:rsidR="004B3323" w:rsidRDefault="004B3323" w:rsidP="00067543">
            <w:pPr>
              <w:pStyle w:val="TableText"/>
              <w:jc w:val="center"/>
            </w:pPr>
            <w:r>
              <w:t>0.535</w:t>
            </w:r>
          </w:p>
        </w:tc>
        <w:tc>
          <w:tcPr>
            <w:tcW w:w="1208" w:type="dxa"/>
            <w:vAlign w:val="center"/>
          </w:tcPr>
          <w:p w:rsidR="004B3323" w:rsidRPr="00E76B4B" w:rsidRDefault="004B3323" w:rsidP="00067543">
            <w:pPr>
              <w:pStyle w:val="TableText"/>
              <w:jc w:val="center"/>
              <w:rPr>
                <w:highlight w:val="yellow"/>
              </w:rPr>
            </w:pPr>
            <w:r w:rsidRPr="00E76B4B">
              <w:rPr>
                <w:highlight w:val="yellow"/>
              </w:rPr>
              <w:t>1,140</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Charlotte</w:t>
                </w:r>
              </w:smartTag>
              <w:r w:rsidRPr="00E76B4B">
                <w:rPr>
                  <w:color w:val="000000"/>
                </w:rPr>
                <w:t xml:space="preserve"> </w:t>
              </w:r>
              <w:smartTag w:uri="urn:schemas-microsoft-com:office:smarttags" w:element="PlaceName">
                <w:r w:rsidRPr="00E76B4B">
                  <w:rPr>
                    <w:color w:val="000000"/>
                  </w:rPr>
                  <w:t>Harbor</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0.01</w:t>
            </w:r>
          </w:p>
        </w:tc>
        <w:tc>
          <w:tcPr>
            <w:tcW w:w="1237" w:type="dxa"/>
            <w:vAlign w:val="center"/>
          </w:tcPr>
          <w:p w:rsidR="004B3323" w:rsidRDefault="004B3323" w:rsidP="00067543">
            <w:pPr>
              <w:pStyle w:val="TableText"/>
              <w:jc w:val="center"/>
            </w:pPr>
            <w:r w:rsidRPr="00E76B4B">
              <w:rPr>
                <w:highlight w:val="lightGray"/>
              </w:rPr>
              <w:t>0.031</w:t>
            </w:r>
          </w:p>
        </w:tc>
        <w:tc>
          <w:tcPr>
            <w:tcW w:w="1208" w:type="dxa"/>
            <w:vAlign w:val="center"/>
          </w:tcPr>
          <w:p w:rsidR="004B3323" w:rsidRDefault="004B3323" w:rsidP="00067543">
            <w:pPr>
              <w:pStyle w:val="TableText"/>
              <w:jc w:val="center"/>
            </w:pPr>
            <w:r w:rsidRPr="00E76B4B">
              <w:rPr>
                <w:highlight w:val="lightGray"/>
              </w:rPr>
              <w:t>0.0485</w:t>
            </w:r>
          </w:p>
        </w:tc>
        <w:tc>
          <w:tcPr>
            <w:tcW w:w="1201" w:type="dxa"/>
            <w:vAlign w:val="center"/>
          </w:tcPr>
          <w:p w:rsidR="004B3323" w:rsidRDefault="004B3323" w:rsidP="00067543">
            <w:pPr>
              <w:pStyle w:val="TableText"/>
              <w:jc w:val="center"/>
            </w:pPr>
            <w:r>
              <w:t>0.58</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900.5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Choctawhatchee–St.</w:t>
                </w:r>
              </w:smartTag>
              <w:r w:rsidRPr="00E76B4B">
                <w:rPr>
                  <w:color w:val="000000"/>
                </w:rPr>
                <w:t xml:space="preserve"> </w:t>
              </w:r>
              <w:smartTag w:uri="urn:schemas-microsoft-com:office:smarttags" w:element="PlaceName">
                <w:r w:rsidRPr="00E76B4B">
                  <w:rPr>
                    <w:color w:val="000000"/>
                  </w:rPr>
                  <w:t>Andrew</w:t>
                </w:r>
              </w:smartTag>
              <w:r w:rsidRPr="00E76B4B">
                <w:rPr>
                  <w:color w:val="000000"/>
                </w:rPr>
                <w:t xml:space="preserve"> </w:t>
              </w:r>
              <w:smartTag w:uri="urn:schemas-microsoft-com:office:smarttags" w:element="PlaceName">
                <w:r w:rsidRPr="00E76B4B">
                  <w:rPr>
                    <w:color w:val="000000"/>
                  </w:rPr>
                  <w:t>Bay</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0.645</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0.16</w:t>
            </w:r>
          </w:p>
        </w:tc>
        <w:tc>
          <w:tcPr>
            <w:tcW w:w="1237" w:type="dxa"/>
            <w:vAlign w:val="center"/>
          </w:tcPr>
          <w:p w:rsidR="004B3323" w:rsidRDefault="004B3323" w:rsidP="00067543">
            <w:pPr>
              <w:pStyle w:val="TableText"/>
              <w:jc w:val="center"/>
            </w:pPr>
            <w:r>
              <w:t>0.0065</w:t>
            </w:r>
          </w:p>
        </w:tc>
        <w:tc>
          <w:tcPr>
            <w:tcW w:w="1208" w:type="dxa"/>
            <w:vAlign w:val="center"/>
          </w:tcPr>
          <w:p w:rsidR="004B3323" w:rsidRDefault="004B3323" w:rsidP="00067543">
            <w:pPr>
              <w:pStyle w:val="TableText"/>
              <w:jc w:val="center"/>
            </w:pPr>
            <w:r>
              <w:t>0.008</w:t>
            </w:r>
          </w:p>
        </w:tc>
        <w:tc>
          <w:tcPr>
            <w:tcW w:w="1201" w:type="dxa"/>
            <w:vAlign w:val="center"/>
          </w:tcPr>
          <w:p w:rsidR="004B3323" w:rsidRDefault="004B3323" w:rsidP="00067543">
            <w:pPr>
              <w:pStyle w:val="TableText"/>
              <w:jc w:val="center"/>
            </w:pPr>
            <w:r>
              <w:t>4.065</w:t>
            </w:r>
          </w:p>
        </w:tc>
        <w:tc>
          <w:tcPr>
            <w:tcW w:w="1208" w:type="dxa"/>
            <w:vAlign w:val="center"/>
          </w:tcPr>
          <w:p w:rsidR="004B3323" w:rsidRPr="00E76B4B" w:rsidRDefault="004B3323" w:rsidP="00067543">
            <w:pPr>
              <w:pStyle w:val="TableText"/>
              <w:jc w:val="center"/>
              <w:rPr>
                <w:color w:val="000000"/>
              </w:rPr>
            </w:pPr>
            <w:r w:rsidRPr="00E76B4B">
              <w:rPr>
                <w:color w:val="000000"/>
              </w:rPr>
              <w:t>67.5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Everglades</w:t>
              </w:r>
            </w:smartTag>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c>
          <w:tcPr>
            <w:tcW w:w="1237" w:type="dxa"/>
            <w:vAlign w:val="center"/>
          </w:tcPr>
          <w:p w:rsidR="004B3323" w:rsidRDefault="004B3323" w:rsidP="00067543">
            <w:pPr>
              <w:pStyle w:val="TableText"/>
              <w:jc w:val="center"/>
            </w:pPr>
            <w:r w:rsidRPr="00E76B4B">
              <w:rPr>
                <w:highlight w:val="lightGray"/>
              </w:rPr>
              <w:t>0.021</w:t>
            </w:r>
          </w:p>
        </w:tc>
        <w:tc>
          <w:tcPr>
            <w:tcW w:w="1208" w:type="dxa"/>
            <w:vAlign w:val="center"/>
          </w:tcPr>
          <w:p w:rsidR="004B3323" w:rsidRDefault="004B3323" w:rsidP="00067543">
            <w:pPr>
              <w:pStyle w:val="TableText"/>
              <w:jc w:val="center"/>
            </w:pPr>
            <w:r>
              <w:t>N/A</w:t>
            </w:r>
          </w:p>
        </w:tc>
        <w:tc>
          <w:tcPr>
            <w:tcW w:w="1201" w:type="dxa"/>
            <w:vAlign w:val="center"/>
          </w:tcPr>
          <w:p w:rsidR="004B3323" w:rsidRDefault="004B3323" w:rsidP="00067543">
            <w:pPr>
              <w:pStyle w:val="TableText"/>
              <w:jc w:val="center"/>
            </w:pPr>
            <w:r>
              <w:t>0.235</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Everglades</w:t>
              </w:r>
            </w:smartTag>
            <w:r w:rsidRPr="00E76B4B">
              <w:rPr>
                <w:color w:val="000000"/>
              </w:rPr>
              <w:t xml:space="preserve"> West Coast</w:t>
            </w:r>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0.0065</w:t>
            </w:r>
          </w:p>
        </w:tc>
        <w:tc>
          <w:tcPr>
            <w:tcW w:w="1237" w:type="dxa"/>
            <w:vAlign w:val="center"/>
          </w:tcPr>
          <w:p w:rsidR="004B3323" w:rsidRDefault="004B3323" w:rsidP="00067543">
            <w:pPr>
              <w:pStyle w:val="TableText"/>
              <w:jc w:val="center"/>
            </w:pPr>
            <w:r>
              <w:t>0.018</w:t>
            </w:r>
          </w:p>
        </w:tc>
        <w:tc>
          <w:tcPr>
            <w:tcW w:w="1208" w:type="dxa"/>
            <w:vAlign w:val="center"/>
          </w:tcPr>
          <w:p w:rsidR="004B3323" w:rsidRDefault="004B3323" w:rsidP="00067543">
            <w:pPr>
              <w:pStyle w:val="TableText"/>
              <w:jc w:val="center"/>
            </w:pPr>
            <w:r w:rsidRPr="00E76B4B">
              <w:rPr>
                <w:highlight w:val="lightGray"/>
              </w:rPr>
              <w:t>0.047</w:t>
            </w:r>
          </w:p>
        </w:tc>
        <w:tc>
          <w:tcPr>
            <w:tcW w:w="1201" w:type="dxa"/>
            <w:vAlign w:val="center"/>
          </w:tcPr>
          <w:p w:rsidR="004B3323" w:rsidRDefault="004B3323" w:rsidP="00067543">
            <w:pPr>
              <w:pStyle w:val="TableText"/>
              <w:jc w:val="center"/>
            </w:pPr>
            <w:r>
              <w:t>0.32</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819</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Fisheating Creek</w:t>
            </w:r>
          </w:p>
        </w:tc>
        <w:tc>
          <w:tcPr>
            <w:tcW w:w="1237" w:type="dxa"/>
            <w:vAlign w:val="center"/>
          </w:tcPr>
          <w:p w:rsidR="004B3323" w:rsidRPr="00E76B4B" w:rsidRDefault="004B3323" w:rsidP="00067543">
            <w:pPr>
              <w:pStyle w:val="TableText"/>
              <w:jc w:val="center"/>
              <w:rPr>
                <w:color w:val="000000"/>
              </w:rPr>
            </w:pPr>
            <w:r w:rsidRPr="00E76B4B">
              <w:rPr>
                <w:color w:val="000000"/>
              </w:rPr>
              <w:t>0.005</w:t>
            </w:r>
          </w:p>
        </w:tc>
        <w:tc>
          <w:tcPr>
            <w:tcW w:w="1208" w:type="dxa"/>
            <w:vAlign w:val="center"/>
          </w:tcPr>
          <w:p w:rsidR="004B3323" w:rsidRPr="00E76B4B" w:rsidRDefault="004B3323" w:rsidP="00067543">
            <w:pPr>
              <w:pStyle w:val="TableText"/>
              <w:jc w:val="center"/>
              <w:rPr>
                <w:color w:val="000000"/>
              </w:rPr>
            </w:pPr>
            <w:r w:rsidRPr="00E76B4B">
              <w:rPr>
                <w:color w:val="000000"/>
              </w:rPr>
              <w:t>0.007</w:t>
            </w:r>
          </w:p>
        </w:tc>
        <w:tc>
          <w:tcPr>
            <w:tcW w:w="1237" w:type="dxa"/>
            <w:vAlign w:val="center"/>
          </w:tcPr>
          <w:p w:rsidR="004B3323" w:rsidRDefault="004B3323" w:rsidP="00067543">
            <w:pPr>
              <w:pStyle w:val="TableText"/>
              <w:jc w:val="center"/>
            </w:pPr>
            <w:r w:rsidRPr="00E76B4B">
              <w:rPr>
                <w:highlight w:val="lightGray"/>
              </w:rPr>
              <w:t>0.035</w:t>
            </w:r>
          </w:p>
        </w:tc>
        <w:tc>
          <w:tcPr>
            <w:tcW w:w="1208" w:type="dxa"/>
            <w:vAlign w:val="center"/>
          </w:tcPr>
          <w:p w:rsidR="004B3323" w:rsidRDefault="004B3323" w:rsidP="00067543">
            <w:pPr>
              <w:pStyle w:val="TableText"/>
              <w:jc w:val="center"/>
            </w:pPr>
            <w:r w:rsidRPr="00E76B4B">
              <w:rPr>
                <w:highlight w:val="lightGray"/>
              </w:rPr>
              <w:t>0.0275</w:t>
            </w:r>
          </w:p>
        </w:tc>
        <w:tc>
          <w:tcPr>
            <w:tcW w:w="1201" w:type="dxa"/>
            <w:vAlign w:val="center"/>
          </w:tcPr>
          <w:p w:rsidR="004B3323" w:rsidRDefault="004B3323" w:rsidP="00067543">
            <w:pPr>
              <w:pStyle w:val="TableText"/>
              <w:jc w:val="center"/>
            </w:pPr>
            <w:r>
              <w:t>0.51</w:t>
            </w:r>
          </w:p>
        </w:tc>
        <w:tc>
          <w:tcPr>
            <w:tcW w:w="1208" w:type="dxa"/>
            <w:vAlign w:val="center"/>
          </w:tcPr>
          <w:p w:rsidR="004B3323" w:rsidRPr="00E76B4B" w:rsidRDefault="004B3323" w:rsidP="00067543">
            <w:pPr>
              <w:pStyle w:val="TableText"/>
              <w:jc w:val="center"/>
              <w:rPr>
                <w:color w:val="000000"/>
              </w:rPr>
            </w:pPr>
            <w:r w:rsidRPr="00E76B4B">
              <w:rPr>
                <w:color w:val="000000"/>
              </w:rPr>
              <w:t>158</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Florida Keys</w:t>
              </w:r>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0.017</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c>
          <w:tcPr>
            <w:tcW w:w="1237" w:type="dxa"/>
            <w:vAlign w:val="center"/>
          </w:tcPr>
          <w:p w:rsidR="004B3323" w:rsidRDefault="004B3323" w:rsidP="00067543">
            <w:pPr>
              <w:pStyle w:val="TableText"/>
              <w:jc w:val="center"/>
            </w:pPr>
            <w:r w:rsidRPr="00E76B4B">
              <w:rPr>
                <w:highlight w:val="lightGray"/>
              </w:rPr>
              <w:t>0.037</w:t>
            </w:r>
          </w:p>
        </w:tc>
        <w:tc>
          <w:tcPr>
            <w:tcW w:w="1208" w:type="dxa"/>
            <w:vAlign w:val="center"/>
          </w:tcPr>
          <w:p w:rsidR="004B3323" w:rsidRDefault="004B3323" w:rsidP="00067543">
            <w:pPr>
              <w:pStyle w:val="TableText"/>
              <w:jc w:val="center"/>
            </w:pPr>
            <w:r>
              <w:t>N/A</w:t>
            </w:r>
          </w:p>
        </w:tc>
        <w:tc>
          <w:tcPr>
            <w:tcW w:w="1201" w:type="dxa"/>
            <w:vAlign w:val="center"/>
          </w:tcPr>
          <w:p w:rsidR="004B3323" w:rsidRDefault="004B3323" w:rsidP="00067543">
            <w:pPr>
              <w:pStyle w:val="TableText"/>
              <w:jc w:val="center"/>
            </w:pPr>
            <w:r>
              <w:t>0.19</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Indian River</w:t>
              </w:r>
            </w:smartTag>
            <w:r w:rsidRPr="00E76B4B">
              <w:rPr>
                <w:color w:val="000000"/>
              </w:rPr>
              <w:t xml:space="preserve"> Lagoon</w:t>
            </w:r>
          </w:p>
        </w:tc>
        <w:tc>
          <w:tcPr>
            <w:tcW w:w="1237" w:type="dxa"/>
            <w:vAlign w:val="center"/>
          </w:tcPr>
          <w:p w:rsidR="004B3323" w:rsidRPr="00E76B4B" w:rsidRDefault="004B3323" w:rsidP="00067543">
            <w:pPr>
              <w:pStyle w:val="TableText"/>
              <w:jc w:val="center"/>
              <w:rPr>
                <w:color w:val="000000"/>
              </w:rPr>
            </w:pPr>
            <w:r w:rsidRPr="00E76B4B">
              <w:rPr>
                <w:color w:val="000000"/>
              </w:rPr>
              <w:t>0.009</w:t>
            </w:r>
          </w:p>
        </w:tc>
        <w:tc>
          <w:tcPr>
            <w:tcW w:w="1208" w:type="dxa"/>
            <w:vAlign w:val="center"/>
          </w:tcPr>
          <w:p w:rsidR="004B3323" w:rsidRPr="00E76B4B" w:rsidRDefault="004B3323" w:rsidP="00067543">
            <w:pPr>
              <w:pStyle w:val="TableText"/>
              <w:jc w:val="center"/>
              <w:rPr>
                <w:color w:val="000000"/>
              </w:rPr>
            </w:pPr>
            <w:r w:rsidRPr="00E76B4B">
              <w:rPr>
                <w:color w:val="000000"/>
              </w:rPr>
              <w:t>0.007</w:t>
            </w:r>
          </w:p>
        </w:tc>
        <w:tc>
          <w:tcPr>
            <w:tcW w:w="1237" w:type="dxa"/>
            <w:vAlign w:val="center"/>
          </w:tcPr>
          <w:p w:rsidR="004B3323" w:rsidRDefault="004B3323" w:rsidP="00067543">
            <w:pPr>
              <w:pStyle w:val="TableText"/>
              <w:jc w:val="center"/>
            </w:pPr>
            <w:r w:rsidRPr="00E76B4B">
              <w:rPr>
                <w:highlight w:val="lightGray"/>
              </w:rPr>
              <w:t>0.35</w:t>
            </w:r>
          </w:p>
        </w:tc>
        <w:tc>
          <w:tcPr>
            <w:tcW w:w="1208" w:type="dxa"/>
            <w:vAlign w:val="center"/>
          </w:tcPr>
          <w:p w:rsidR="004B3323" w:rsidRPr="00E76B4B" w:rsidRDefault="004B3323" w:rsidP="00067543">
            <w:pPr>
              <w:pStyle w:val="TableText"/>
              <w:jc w:val="center"/>
              <w:rPr>
                <w:highlight w:val="yellow"/>
              </w:rPr>
            </w:pPr>
            <w:r w:rsidRPr="00E76B4B">
              <w:rPr>
                <w:highlight w:val="yellow"/>
              </w:rPr>
              <w:t>0.86</w:t>
            </w:r>
          </w:p>
        </w:tc>
        <w:tc>
          <w:tcPr>
            <w:tcW w:w="1201" w:type="dxa"/>
            <w:vAlign w:val="center"/>
          </w:tcPr>
          <w:p w:rsidR="004B3323" w:rsidRDefault="004B3323" w:rsidP="00067543">
            <w:pPr>
              <w:pStyle w:val="TableText"/>
              <w:jc w:val="center"/>
            </w:pPr>
            <w:r>
              <w:t>0.755</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1100</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Kissimmee River</w:t>
              </w:r>
            </w:smartTag>
          </w:p>
        </w:tc>
        <w:tc>
          <w:tcPr>
            <w:tcW w:w="1237" w:type="dxa"/>
            <w:vAlign w:val="center"/>
          </w:tcPr>
          <w:p w:rsidR="004B3323" w:rsidRPr="00E76B4B" w:rsidRDefault="004B3323" w:rsidP="00067543">
            <w:pPr>
              <w:pStyle w:val="TableText"/>
              <w:jc w:val="center"/>
              <w:rPr>
                <w:color w:val="000000"/>
              </w:rPr>
            </w:pPr>
            <w:r w:rsidRPr="00E76B4B">
              <w:rPr>
                <w:color w:val="000000"/>
              </w:rPr>
              <w:t>0.01</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0.0375</w:t>
            </w:r>
          </w:p>
        </w:tc>
        <w:tc>
          <w:tcPr>
            <w:tcW w:w="1237" w:type="dxa"/>
            <w:vAlign w:val="center"/>
          </w:tcPr>
          <w:p w:rsidR="004B3323" w:rsidRPr="00E76B4B" w:rsidRDefault="004B3323" w:rsidP="00067543">
            <w:pPr>
              <w:pStyle w:val="TableText"/>
              <w:jc w:val="center"/>
              <w:rPr>
                <w:highlight w:val="yellow"/>
              </w:rPr>
            </w:pPr>
            <w:r w:rsidRPr="00E76B4B">
              <w:rPr>
                <w:highlight w:val="yellow"/>
              </w:rPr>
              <w:t>0.86</w:t>
            </w:r>
          </w:p>
        </w:tc>
        <w:tc>
          <w:tcPr>
            <w:tcW w:w="1208" w:type="dxa"/>
            <w:vAlign w:val="center"/>
          </w:tcPr>
          <w:p w:rsidR="004B3323" w:rsidRDefault="004B3323" w:rsidP="00067543">
            <w:pPr>
              <w:pStyle w:val="TableText"/>
              <w:jc w:val="center"/>
            </w:pPr>
            <w:r w:rsidRPr="00E76B4B">
              <w:rPr>
                <w:highlight w:val="lightGray"/>
              </w:rPr>
              <w:t>0.0435</w:t>
            </w:r>
          </w:p>
        </w:tc>
        <w:tc>
          <w:tcPr>
            <w:tcW w:w="1201" w:type="dxa"/>
            <w:vAlign w:val="center"/>
          </w:tcPr>
          <w:p w:rsidR="004B3323" w:rsidRDefault="004B3323" w:rsidP="00067543">
            <w:pPr>
              <w:pStyle w:val="TableText"/>
              <w:jc w:val="center"/>
            </w:pPr>
            <w:r>
              <w:t>0.87</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372</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Lake Okeechobee</w:t>
              </w:r>
            </w:smartTag>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0.002</w:t>
            </w:r>
          </w:p>
        </w:tc>
        <w:tc>
          <w:tcPr>
            <w:tcW w:w="1237" w:type="dxa"/>
            <w:vAlign w:val="center"/>
          </w:tcPr>
          <w:p w:rsidR="004B3323" w:rsidRDefault="004B3323" w:rsidP="00067543">
            <w:pPr>
              <w:pStyle w:val="TableText"/>
              <w:jc w:val="center"/>
            </w:pPr>
            <w:r w:rsidRPr="00E76B4B">
              <w:rPr>
                <w:highlight w:val="lightGray"/>
              </w:rPr>
              <w:t>0.4525</w:t>
            </w:r>
          </w:p>
        </w:tc>
        <w:tc>
          <w:tcPr>
            <w:tcW w:w="1208" w:type="dxa"/>
            <w:vAlign w:val="center"/>
          </w:tcPr>
          <w:p w:rsidR="004B3323" w:rsidRDefault="004B3323" w:rsidP="00067543">
            <w:pPr>
              <w:pStyle w:val="TableText"/>
              <w:jc w:val="center"/>
            </w:pPr>
            <w:r w:rsidRPr="00E76B4B">
              <w:rPr>
                <w:highlight w:val="lightGray"/>
              </w:rPr>
              <w:t>0.26</w:t>
            </w:r>
          </w:p>
        </w:tc>
        <w:tc>
          <w:tcPr>
            <w:tcW w:w="1201" w:type="dxa"/>
            <w:vAlign w:val="center"/>
          </w:tcPr>
          <w:p w:rsidR="004B3323" w:rsidRDefault="004B3323" w:rsidP="00067543">
            <w:pPr>
              <w:pStyle w:val="TableText"/>
              <w:jc w:val="center"/>
            </w:pPr>
            <w:r>
              <w:t>0.295</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569</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Lake</w:t>
              </w:r>
            </w:smartTag>
            <w:r w:rsidRPr="00E76B4B">
              <w:rPr>
                <w:color w:val="000000"/>
              </w:rPr>
              <w:t xml:space="preserve"> Worth Lagoon–</w:t>
            </w:r>
          </w:p>
        </w:tc>
        <w:tc>
          <w:tcPr>
            <w:tcW w:w="1237" w:type="dxa"/>
            <w:vAlign w:val="center"/>
          </w:tcPr>
          <w:p w:rsidR="004B3323" w:rsidRPr="00E76B4B" w:rsidRDefault="004B3323" w:rsidP="00067543">
            <w:pPr>
              <w:pStyle w:val="TableText"/>
              <w:jc w:val="center"/>
              <w:rPr>
                <w:color w:val="000000"/>
              </w:rPr>
            </w:pPr>
            <w:r w:rsidRPr="00E76B4B">
              <w:rPr>
                <w:color w:val="000000"/>
              </w:rPr>
              <w:t>0.007</w:t>
            </w:r>
          </w:p>
        </w:tc>
        <w:tc>
          <w:tcPr>
            <w:tcW w:w="1208" w:type="dxa"/>
            <w:vAlign w:val="center"/>
          </w:tcPr>
          <w:p w:rsidR="004B3323" w:rsidRPr="00E76B4B" w:rsidRDefault="004B3323" w:rsidP="00067543">
            <w:pPr>
              <w:pStyle w:val="TableText"/>
              <w:jc w:val="center"/>
              <w:rPr>
                <w:color w:val="000000"/>
              </w:rPr>
            </w:pPr>
          </w:p>
        </w:tc>
        <w:tc>
          <w:tcPr>
            <w:tcW w:w="1237" w:type="dxa"/>
            <w:vAlign w:val="center"/>
          </w:tcPr>
          <w:p w:rsidR="004B3323" w:rsidRDefault="004B3323" w:rsidP="00067543">
            <w:pPr>
              <w:pStyle w:val="TableText"/>
              <w:jc w:val="center"/>
            </w:pPr>
            <w:r w:rsidRPr="00E76B4B">
              <w:rPr>
                <w:highlight w:val="lightGray"/>
              </w:rPr>
              <w:t>0.057</w:t>
            </w:r>
          </w:p>
        </w:tc>
        <w:tc>
          <w:tcPr>
            <w:tcW w:w="1208" w:type="dxa"/>
            <w:vAlign w:val="center"/>
          </w:tcPr>
          <w:p w:rsidR="004B3323" w:rsidRDefault="004B3323" w:rsidP="00067543">
            <w:pPr>
              <w:pStyle w:val="TableText"/>
              <w:jc w:val="center"/>
            </w:pPr>
          </w:p>
        </w:tc>
        <w:tc>
          <w:tcPr>
            <w:tcW w:w="1201" w:type="dxa"/>
            <w:vAlign w:val="center"/>
          </w:tcPr>
          <w:p w:rsidR="004B3323" w:rsidRDefault="004B3323" w:rsidP="00067543">
            <w:pPr>
              <w:pStyle w:val="TableText"/>
              <w:jc w:val="center"/>
            </w:pPr>
            <w:r>
              <w:t>0.23</w:t>
            </w:r>
          </w:p>
        </w:tc>
        <w:tc>
          <w:tcPr>
            <w:tcW w:w="1208" w:type="dxa"/>
            <w:vAlign w:val="center"/>
          </w:tcPr>
          <w:p w:rsidR="004B3323" w:rsidRPr="00E76B4B" w:rsidRDefault="004B3323" w:rsidP="00067543">
            <w:pPr>
              <w:pStyle w:val="TableText"/>
              <w:jc w:val="center"/>
              <w:rPr>
                <w:color w:val="000000"/>
              </w:rPr>
            </w:pPr>
            <w:r w:rsidRPr="00E76B4B">
              <w:rPr>
                <w:color w:val="000000"/>
              </w:rPr>
              <w:t>207</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Palm Beach</w:t>
                </w:r>
              </w:smartTag>
              <w:r w:rsidRPr="00E76B4B">
                <w:rPr>
                  <w:color w:val="000000"/>
                </w:rPr>
                <w:t xml:space="preserve"> </w:t>
              </w:r>
              <w:smartTag w:uri="urn:schemas-microsoft-com:office:smarttags" w:element="PlaceType">
                <w:r w:rsidRPr="00E76B4B">
                  <w:rPr>
                    <w:color w:val="000000"/>
                  </w:rPr>
                  <w:t>Coast</w:t>
                </w:r>
              </w:smartTag>
            </w:smartTag>
          </w:p>
        </w:tc>
        <w:tc>
          <w:tcPr>
            <w:tcW w:w="1237" w:type="dxa"/>
            <w:vAlign w:val="center"/>
          </w:tcPr>
          <w:p w:rsidR="004B3323" w:rsidRPr="00E76B4B" w:rsidRDefault="004B3323" w:rsidP="00067543">
            <w:pPr>
              <w:pStyle w:val="TableText"/>
              <w:jc w:val="center"/>
              <w:rPr>
                <w:color w:val="000000"/>
              </w:rPr>
            </w:pPr>
          </w:p>
        </w:tc>
        <w:tc>
          <w:tcPr>
            <w:tcW w:w="1208" w:type="dxa"/>
            <w:vAlign w:val="center"/>
          </w:tcPr>
          <w:p w:rsidR="004B3323" w:rsidRPr="00E76B4B" w:rsidRDefault="004B3323" w:rsidP="00067543">
            <w:pPr>
              <w:pStyle w:val="TableText"/>
              <w:jc w:val="center"/>
              <w:rPr>
                <w:color w:val="000000"/>
              </w:rPr>
            </w:pPr>
            <w:r w:rsidRPr="00E76B4B">
              <w:rPr>
                <w:color w:val="000000"/>
              </w:rPr>
              <w:t>0.002</w:t>
            </w:r>
          </w:p>
        </w:tc>
        <w:tc>
          <w:tcPr>
            <w:tcW w:w="1237" w:type="dxa"/>
            <w:vAlign w:val="center"/>
          </w:tcPr>
          <w:p w:rsidR="004B3323" w:rsidRDefault="004B3323" w:rsidP="00067543">
            <w:pPr>
              <w:pStyle w:val="TableText"/>
              <w:jc w:val="center"/>
            </w:pPr>
          </w:p>
        </w:tc>
        <w:tc>
          <w:tcPr>
            <w:tcW w:w="1208" w:type="dxa"/>
            <w:vAlign w:val="center"/>
          </w:tcPr>
          <w:p w:rsidR="004B3323" w:rsidRDefault="004B3323" w:rsidP="00067543">
            <w:pPr>
              <w:pStyle w:val="TableText"/>
              <w:jc w:val="center"/>
            </w:pPr>
            <w:r w:rsidRPr="00E76B4B">
              <w:rPr>
                <w:highlight w:val="lightGray"/>
              </w:rPr>
              <w:t>0.0515</w:t>
            </w:r>
          </w:p>
        </w:tc>
        <w:tc>
          <w:tcPr>
            <w:tcW w:w="1201" w:type="dxa"/>
            <w:vAlign w:val="center"/>
          </w:tcPr>
          <w:p w:rsidR="004B3323" w:rsidRDefault="004B3323" w:rsidP="00067543">
            <w:pPr>
              <w:pStyle w:val="TableText"/>
              <w:jc w:val="center"/>
            </w:pPr>
          </w:p>
        </w:tc>
        <w:tc>
          <w:tcPr>
            <w:tcW w:w="1208" w:type="dxa"/>
            <w:vAlign w:val="center"/>
          </w:tcPr>
          <w:p w:rsidR="004B3323" w:rsidRPr="00E76B4B" w:rsidRDefault="004B3323" w:rsidP="00067543">
            <w:pPr>
              <w:pStyle w:val="TableText"/>
              <w:jc w:val="center"/>
              <w:rPr>
                <w:color w:val="000000"/>
              </w:rPr>
            </w:pP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Lower St. Johns</w:t>
              </w:r>
            </w:smartTag>
            <w:r w:rsidRPr="00E76B4B">
              <w:rPr>
                <w:color w:val="000000"/>
              </w:rPr>
              <w:t xml:space="preserve"> </w:t>
            </w:r>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0.009</w:t>
            </w:r>
          </w:p>
        </w:tc>
        <w:tc>
          <w:tcPr>
            <w:tcW w:w="1237" w:type="dxa"/>
            <w:vAlign w:val="center"/>
          </w:tcPr>
          <w:p w:rsidR="004B3323" w:rsidRDefault="004B3323" w:rsidP="00067543">
            <w:pPr>
              <w:pStyle w:val="TableText"/>
              <w:jc w:val="center"/>
            </w:pPr>
            <w:r w:rsidRPr="00E76B4B">
              <w:rPr>
                <w:highlight w:val="lightGray"/>
              </w:rPr>
              <w:t>0.044</w:t>
            </w:r>
          </w:p>
        </w:tc>
        <w:tc>
          <w:tcPr>
            <w:tcW w:w="1208" w:type="dxa"/>
            <w:vAlign w:val="center"/>
          </w:tcPr>
          <w:p w:rsidR="004B3323" w:rsidRDefault="004B3323" w:rsidP="00067543">
            <w:pPr>
              <w:pStyle w:val="TableText"/>
              <w:jc w:val="center"/>
            </w:pPr>
            <w:r w:rsidRPr="00E76B4B">
              <w:rPr>
                <w:highlight w:val="lightGray"/>
              </w:rPr>
              <w:t>0.047</w:t>
            </w:r>
          </w:p>
        </w:tc>
        <w:tc>
          <w:tcPr>
            <w:tcW w:w="1201" w:type="dxa"/>
            <w:vAlign w:val="center"/>
          </w:tcPr>
          <w:p w:rsidR="004B3323" w:rsidRDefault="004B3323" w:rsidP="00067543">
            <w:pPr>
              <w:pStyle w:val="TableText"/>
              <w:jc w:val="center"/>
            </w:pPr>
            <w:r>
              <w:t>0.59</w:t>
            </w:r>
          </w:p>
        </w:tc>
        <w:tc>
          <w:tcPr>
            <w:tcW w:w="1208" w:type="dxa"/>
            <w:vAlign w:val="center"/>
          </w:tcPr>
          <w:p w:rsidR="004B3323" w:rsidRPr="00E76B4B" w:rsidRDefault="004B3323" w:rsidP="00067543">
            <w:pPr>
              <w:pStyle w:val="TableText"/>
              <w:jc w:val="center"/>
              <w:rPr>
                <w:color w:val="000000"/>
              </w:rPr>
            </w:pPr>
            <w:r w:rsidRPr="00E76B4B">
              <w:rPr>
                <w:color w:val="000000"/>
              </w:rPr>
              <w:t>317</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 xml:space="preserve">Middle </w:t>
            </w:r>
            <w:smartTag w:uri="urn:schemas-microsoft-com:office:smarttags" w:element="place">
              <w:smartTag w:uri="urn:schemas-microsoft-com:office:smarttags" w:element="City">
                <w:r w:rsidRPr="00E76B4B">
                  <w:rPr>
                    <w:color w:val="000000"/>
                  </w:rPr>
                  <w:t>St. Johns</w:t>
                </w:r>
              </w:smartTag>
            </w:smartTag>
            <w:r w:rsidRPr="00E76B4B">
              <w:rPr>
                <w:color w:val="000000"/>
              </w:rPr>
              <w:t xml:space="preserve"> </w:t>
            </w:r>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0.013</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0.02</w:t>
            </w:r>
          </w:p>
        </w:tc>
        <w:tc>
          <w:tcPr>
            <w:tcW w:w="1237" w:type="dxa"/>
            <w:vAlign w:val="center"/>
          </w:tcPr>
          <w:p w:rsidR="004B3323" w:rsidRDefault="004B3323" w:rsidP="00067543">
            <w:pPr>
              <w:pStyle w:val="TableText"/>
              <w:jc w:val="center"/>
            </w:pPr>
            <w:r w:rsidRPr="00E76B4B">
              <w:rPr>
                <w:highlight w:val="lightGray"/>
              </w:rPr>
              <w:t>0.045</w:t>
            </w:r>
          </w:p>
        </w:tc>
        <w:tc>
          <w:tcPr>
            <w:tcW w:w="1208" w:type="dxa"/>
            <w:vAlign w:val="center"/>
          </w:tcPr>
          <w:p w:rsidR="004B3323" w:rsidRDefault="004B3323" w:rsidP="00067543">
            <w:pPr>
              <w:pStyle w:val="TableText"/>
              <w:jc w:val="center"/>
            </w:pPr>
            <w:r w:rsidRPr="00E76B4B">
              <w:rPr>
                <w:highlight w:val="lightGray"/>
              </w:rPr>
              <w:t>0.04</w:t>
            </w:r>
          </w:p>
        </w:tc>
        <w:tc>
          <w:tcPr>
            <w:tcW w:w="1201" w:type="dxa"/>
            <w:vAlign w:val="center"/>
          </w:tcPr>
          <w:p w:rsidR="004B3323" w:rsidRDefault="004B3323" w:rsidP="00067543">
            <w:pPr>
              <w:pStyle w:val="TableText"/>
              <w:jc w:val="center"/>
            </w:pPr>
            <w:r>
              <w:t>1.24</w:t>
            </w:r>
          </w:p>
        </w:tc>
        <w:tc>
          <w:tcPr>
            <w:tcW w:w="1208" w:type="dxa"/>
            <w:vAlign w:val="center"/>
          </w:tcPr>
          <w:p w:rsidR="004B3323" w:rsidRPr="00E76B4B" w:rsidRDefault="004B3323" w:rsidP="00067543">
            <w:pPr>
              <w:pStyle w:val="TableText"/>
              <w:jc w:val="center"/>
              <w:rPr>
                <w:color w:val="000000"/>
              </w:rPr>
            </w:pPr>
            <w:r w:rsidRPr="00E76B4B">
              <w:rPr>
                <w:color w:val="000000"/>
              </w:rPr>
              <w:t>793</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Nassau–St. Marys</w:t>
            </w:r>
          </w:p>
        </w:tc>
        <w:tc>
          <w:tcPr>
            <w:tcW w:w="1237" w:type="dxa"/>
            <w:vAlign w:val="center"/>
          </w:tcPr>
          <w:p w:rsidR="004B3323" w:rsidRPr="00E76B4B" w:rsidRDefault="004B3323" w:rsidP="00067543">
            <w:pPr>
              <w:pStyle w:val="TableText"/>
              <w:jc w:val="center"/>
              <w:rPr>
                <w:color w:val="000000"/>
              </w:rPr>
            </w:pPr>
            <w:r w:rsidRPr="00E76B4B">
              <w:rPr>
                <w:color w:val="000000"/>
              </w:rPr>
              <w:t>0.006</w:t>
            </w:r>
          </w:p>
        </w:tc>
        <w:tc>
          <w:tcPr>
            <w:tcW w:w="1208" w:type="dxa"/>
            <w:vAlign w:val="center"/>
          </w:tcPr>
          <w:p w:rsidR="004B3323" w:rsidRPr="00E76B4B" w:rsidRDefault="004B3323" w:rsidP="00067543">
            <w:pPr>
              <w:pStyle w:val="TableText"/>
              <w:jc w:val="center"/>
              <w:rPr>
                <w:color w:val="000000"/>
              </w:rPr>
            </w:pPr>
            <w:r w:rsidRPr="00E76B4B">
              <w:rPr>
                <w:color w:val="000000"/>
              </w:rPr>
              <w:t>0.007</w:t>
            </w:r>
          </w:p>
        </w:tc>
        <w:tc>
          <w:tcPr>
            <w:tcW w:w="1237" w:type="dxa"/>
            <w:vAlign w:val="center"/>
          </w:tcPr>
          <w:p w:rsidR="004B3323" w:rsidRPr="00E76B4B" w:rsidRDefault="004B3323" w:rsidP="00067543">
            <w:pPr>
              <w:pStyle w:val="TableText"/>
              <w:jc w:val="center"/>
              <w:rPr>
                <w:highlight w:val="lightGray"/>
              </w:rPr>
            </w:pPr>
            <w:r w:rsidRPr="00E76B4B">
              <w:rPr>
                <w:highlight w:val="lightGray"/>
              </w:rPr>
              <w:t>0.027</w:t>
            </w:r>
          </w:p>
        </w:tc>
        <w:tc>
          <w:tcPr>
            <w:tcW w:w="1208" w:type="dxa"/>
            <w:vAlign w:val="center"/>
          </w:tcPr>
          <w:p w:rsidR="004B3323" w:rsidRDefault="004B3323" w:rsidP="00067543">
            <w:pPr>
              <w:pStyle w:val="TableText"/>
              <w:jc w:val="center"/>
            </w:pPr>
            <w:r w:rsidRPr="00E76B4B">
              <w:rPr>
                <w:highlight w:val="lightGray"/>
              </w:rPr>
              <w:t>0.065</w:t>
            </w:r>
          </w:p>
        </w:tc>
        <w:tc>
          <w:tcPr>
            <w:tcW w:w="1201" w:type="dxa"/>
            <w:vAlign w:val="center"/>
          </w:tcPr>
          <w:p w:rsidR="004B3323" w:rsidRDefault="004B3323" w:rsidP="00067543">
            <w:pPr>
              <w:pStyle w:val="TableText"/>
              <w:jc w:val="center"/>
            </w:pPr>
            <w:r>
              <w:t>0.82</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396</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 xml:space="preserve">Ochlockonee–St. Marks </w:t>
            </w:r>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0.0305</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0.086</w:t>
            </w:r>
          </w:p>
        </w:tc>
        <w:tc>
          <w:tcPr>
            <w:tcW w:w="1237" w:type="dxa"/>
            <w:vAlign w:val="center"/>
          </w:tcPr>
          <w:p w:rsidR="004B3323" w:rsidRDefault="004B3323" w:rsidP="00067543">
            <w:pPr>
              <w:pStyle w:val="TableText"/>
              <w:jc w:val="center"/>
            </w:pPr>
            <w:r>
              <w:t>0.017</w:t>
            </w:r>
          </w:p>
        </w:tc>
        <w:tc>
          <w:tcPr>
            <w:tcW w:w="1208" w:type="dxa"/>
            <w:vAlign w:val="center"/>
          </w:tcPr>
          <w:p w:rsidR="004B3323" w:rsidRDefault="004B3323" w:rsidP="00067543">
            <w:pPr>
              <w:pStyle w:val="TableText"/>
              <w:jc w:val="center"/>
            </w:pPr>
            <w:r w:rsidRPr="00E76B4B">
              <w:rPr>
                <w:highlight w:val="lightGray"/>
              </w:rPr>
              <w:t>0.024</w:t>
            </w:r>
          </w:p>
        </w:tc>
        <w:tc>
          <w:tcPr>
            <w:tcW w:w="1201" w:type="dxa"/>
            <w:vAlign w:val="center"/>
          </w:tcPr>
          <w:p w:rsidR="004B3323" w:rsidRDefault="004B3323" w:rsidP="00067543">
            <w:pPr>
              <w:pStyle w:val="TableText"/>
              <w:jc w:val="center"/>
            </w:pPr>
            <w:r>
              <w:t>2.81</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197.5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Ocklawaha</w:t>
            </w:r>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0.66</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0.27</w:t>
            </w:r>
          </w:p>
        </w:tc>
        <w:tc>
          <w:tcPr>
            <w:tcW w:w="1237" w:type="dxa"/>
            <w:vAlign w:val="center"/>
          </w:tcPr>
          <w:p w:rsidR="004B3323" w:rsidRDefault="004B3323" w:rsidP="00067543">
            <w:pPr>
              <w:pStyle w:val="TableText"/>
              <w:jc w:val="center"/>
            </w:pPr>
            <w:r w:rsidRPr="00E76B4B">
              <w:rPr>
                <w:highlight w:val="lightGray"/>
              </w:rPr>
              <w:t>0.051</w:t>
            </w:r>
          </w:p>
        </w:tc>
        <w:tc>
          <w:tcPr>
            <w:tcW w:w="1208" w:type="dxa"/>
            <w:vAlign w:val="center"/>
          </w:tcPr>
          <w:p w:rsidR="004B3323" w:rsidRDefault="004B3323" w:rsidP="00067543">
            <w:pPr>
              <w:pStyle w:val="TableText"/>
              <w:jc w:val="center"/>
            </w:pPr>
            <w:r>
              <w:t>0.1</w:t>
            </w:r>
          </w:p>
        </w:tc>
        <w:tc>
          <w:tcPr>
            <w:tcW w:w="1201" w:type="dxa"/>
            <w:vAlign w:val="center"/>
          </w:tcPr>
          <w:p w:rsidR="004B3323" w:rsidRDefault="004B3323" w:rsidP="00067543">
            <w:pPr>
              <w:pStyle w:val="TableText"/>
              <w:jc w:val="center"/>
            </w:pPr>
            <w:r>
              <w:t>3.6</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382</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City">
                <w:r w:rsidRPr="00E76B4B">
                  <w:rPr>
                    <w:color w:val="000000"/>
                  </w:rPr>
                  <w:t>Pensacola</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0.28</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0.445</w:t>
            </w:r>
          </w:p>
        </w:tc>
        <w:tc>
          <w:tcPr>
            <w:tcW w:w="1237" w:type="dxa"/>
            <w:vAlign w:val="center"/>
          </w:tcPr>
          <w:p w:rsidR="004B3323" w:rsidRDefault="004B3323" w:rsidP="00067543">
            <w:pPr>
              <w:pStyle w:val="TableText"/>
              <w:jc w:val="center"/>
            </w:pPr>
            <w:r>
              <w:t>0.002</w:t>
            </w:r>
          </w:p>
        </w:tc>
        <w:tc>
          <w:tcPr>
            <w:tcW w:w="1208" w:type="dxa"/>
            <w:vAlign w:val="center"/>
          </w:tcPr>
          <w:p w:rsidR="004B3323" w:rsidRDefault="004B3323" w:rsidP="00067543">
            <w:pPr>
              <w:pStyle w:val="TableText"/>
              <w:jc w:val="center"/>
            </w:pPr>
            <w:r>
              <w:t>0.002</w:t>
            </w:r>
          </w:p>
        </w:tc>
        <w:tc>
          <w:tcPr>
            <w:tcW w:w="1201" w:type="dxa"/>
            <w:vAlign w:val="center"/>
          </w:tcPr>
          <w:p w:rsidR="004B3323" w:rsidRDefault="004B3323" w:rsidP="00067543">
            <w:pPr>
              <w:pStyle w:val="TableText"/>
              <w:jc w:val="center"/>
            </w:pPr>
            <w:r w:rsidRPr="00E76B4B">
              <w:rPr>
                <w:highlight w:val="lightGray"/>
              </w:rPr>
              <w:t>7.46</w:t>
            </w:r>
          </w:p>
        </w:tc>
        <w:tc>
          <w:tcPr>
            <w:tcW w:w="1208" w:type="dxa"/>
            <w:vAlign w:val="center"/>
          </w:tcPr>
          <w:p w:rsidR="004B3323" w:rsidRPr="00E76B4B" w:rsidRDefault="004B3323" w:rsidP="00067543">
            <w:pPr>
              <w:pStyle w:val="TableText"/>
              <w:jc w:val="center"/>
              <w:rPr>
                <w:color w:val="000000"/>
              </w:rPr>
            </w:pPr>
            <w:r w:rsidRPr="00E76B4B">
              <w:rPr>
                <w:color w:val="000000"/>
              </w:rPr>
              <w:t>54</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Perdido</w:t>
            </w:r>
          </w:p>
        </w:tc>
        <w:tc>
          <w:tcPr>
            <w:tcW w:w="1237" w:type="dxa"/>
            <w:vAlign w:val="center"/>
          </w:tcPr>
          <w:p w:rsidR="004B3323" w:rsidRPr="00E76B4B" w:rsidRDefault="004B3323" w:rsidP="00067543">
            <w:pPr>
              <w:pStyle w:val="TableText"/>
              <w:jc w:val="center"/>
              <w:rPr>
                <w:color w:val="000000"/>
                <w:highlight w:val="yellow"/>
              </w:rPr>
            </w:pPr>
            <w:r w:rsidRPr="00E76B4B">
              <w:rPr>
                <w:color w:val="000000"/>
                <w:highlight w:val="yellow"/>
              </w:rPr>
              <w:t>0.825</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c>
          <w:tcPr>
            <w:tcW w:w="1237" w:type="dxa"/>
            <w:vAlign w:val="center"/>
          </w:tcPr>
          <w:p w:rsidR="004B3323" w:rsidRDefault="004B3323" w:rsidP="00067543">
            <w:pPr>
              <w:pStyle w:val="TableText"/>
              <w:jc w:val="center"/>
            </w:pPr>
            <w:r>
              <w:t>0.0035</w:t>
            </w:r>
          </w:p>
        </w:tc>
        <w:tc>
          <w:tcPr>
            <w:tcW w:w="1208" w:type="dxa"/>
            <w:vAlign w:val="center"/>
          </w:tcPr>
          <w:p w:rsidR="004B3323" w:rsidRDefault="004B3323" w:rsidP="00067543">
            <w:pPr>
              <w:pStyle w:val="TableText"/>
              <w:jc w:val="center"/>
            </w:pPr>
            <w:r>
              <w:t>N/A</w:t>
            </w:r>
          </w:p>
        </w:tc>
        <w:tc>
          <w:tcPr>
            <w:tcW w:w="1201" w:type="dxa"/>
            <w:vAlign w:val="center"/>
          </w:tcPr>
          <w:p w:rsidR="004B3323" w:rsidRDefault="004B3323" w:rsidP="00067543">
            <w:pPr>
              <w:pStyle w:val="TableText"/>
              <w:jc w:val="center"/>
            </w:pPr>
            <w:r>
              <w:t>5.15</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Sarasota Bay–Peace–Myakka</w:t>
            </w:r>
          </w:p>
        </w:tc>
        <w:tc>
          <w:tcPr>
            <w:tcW w:w="1237" w:type="dxa"/>
            <w:vAlign w:val="center"/>
          </w:tcPr>
          <w:p w:rsidR="004B3323" w:rsidRPr="00E76B4B" w:rsidRDefault="004B3323" w:rsidP="00067543">
            <w:pPr>
              <w:pStyle w:val="TableText"/>
              <w:jc w:val="center"/>
              <w:rPr>
                <w:color w:val="000000"/>
              </w:rPr>
            </w:pPr>
            <w:r w:rsidRPr="00E76B4B">
              <w:rPr>
                <w:color w:val="000000"/>
              </w:rPr>
              <w:t>0.01</w:t>
            </w:r>
          </w:p>
        </w:tc>
        <w:tc>
          <w:tcPr>
            <w:tcW w:w="1208" w:type="dxa"/>
            <w:vAlign w:val="center"/>
          </w:tcPr>
          <w:p w:rsidR="004B3323" w:rsidRPr="00E76B4B" w:rsidRDefault="004B3323" w:rsidP="00067543">
            <w:pPr>
              <w:pStyle w:val="TableText"/>
              <w:jc w:val="center"/>
              <w:rPr>
                <w:color w:val="000000"/>
              </w:rPr>
            </w:pPr>
            <w:r w:rsidRPr="00E76B4B">
              <w:rPr>
                <w:color w:val="000000"/>
              </w:rPr>
              <w:t>0.009</w:t>
            </w:r>
          </w:p>
        </w:tc>
        <w:tc>
          <w:tcPr>
            <w:tcW w:w="1237" w:type="dxa"/>
            <w:vAlign w:val="center"/>
          </w:tcPr>
          <w:p w:rsidR="004B3323" w:rsidRDefault="004B3323" w:rsidP="00067543">
            <w:pPr>
              <w:pStyle w:val="TableText"/>
              <w:jc w:val="center"/>
            </w:pPr>
            <w:r>
              <w:t>0.12</w:t>
            </w:r>
          </w:p>
        </w:tc>
        <w:tc>
          <w:tcPr>
            <w:tcW w:w="1208" w:type="dxa"/>
            <w:vAlign w:val="center"/>
          </w:tcPr>
          <w:p w:rsidR="004B3323" w:rsidRDefault="004B3323" w:rsidP="00067543">
            <w:pPr>
              <w:pStyle w:val="TableText"/>
              <w:jc w:val="center"/>
            </w:pPr>
            <w:r>
              <w:t>0.26</w:t>
            </w:r>
          </w:p>
        </w:tc>
        <w:tc>
          <w:tcPr>
            <w:tcW w:w="1201" w:type="dxa"/>
            <w:vAlign w:val="center"/>
          </w:tcPr>
          <w:p w:rsidR="004B3323" w:rsidRDefault="004B3323" w:rsidP="00067543">
            <w:pPr>
              <w:pStyle w:val="TableText"/>
              <w:jc w:val="center"/>
            </w:pPr>
            <w:r>
              <w:t>1.14</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1,510</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Southeast</w:t>
                </w:r>
              </w:smartTag>
              <w:r w:rsidRPr="00E76B4B">
                <w:rPr>
                  <w:color w:val="000000"/>
                </w:rPr>
                <w:t xml:space="preserve"> </w:t>
              </w:r>
              <w:smartTag w:uri="urn:schemas-microsoft-com:office:smarttags" w:element="PlaceName">
                <w:r w:rsidRPr="00E76B4B">
                  <w:rPr>
                    <w:color w:val="000000"/>
                  </w:rPr>
                  <w:t>Coast–Biscayne</w:t>
                </w:r>
              </w:smartTag>
              <w:r w:rsidRPr="00E76B4B">
                <w:rPr>
                  <w:color w:val="000000"/>
                </w:rPr>
                <w:t xml:space="preserve"> </w:t>
              </w:r>
              <w:smartTag w:uri="urn:schemas-microsoft-com:office:smarttags" w:element="PlaceType">
                <w:r w:rsidRPr="00E76B4B">
                  <w:rPr>
                    <w:color w:val="000000"/>
                  </w:rPr>
                  <w:t>Bay</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0.0205</w:t>
            </w:r>
          </w:p>
        </w:tc>
        <w:tc>
          <w:tcPr>
            <w:tcW w:w="1208" w:type="dxa"/>
            <w:vAlign w:val="center"/>
          </w:tcPr>
          <w:p w:rsidR="004B3323" w:rsidRPr="00E76B4B" w:rsidRDefault="004B3323" w:rsidP="00067543">
            <w:pPr>
              <w:pStyle w:val="TableText"/>
              <w:jc w:val="center"/>
              <w:rPr>
                <w:color w:val="000000"/>
              </w:rPr>
            </w:pPr>
            <w:r w:rsidRPr="00E76B4B">
              <w:rPr>
                <w:color w:val="000000"/>
              </w:rPr>
              <w:t>0.0085</w:t>
            </w:r>
          </w:p>
        </w:tc>
        <w:tc>
          <w:tcPr>
            <w:tcW w:w="1237" w:type="dxa"/>
            <w:vAlign w:val="center"/>
          </w:tcPr>
          <w:p w:rsidR="004B3323" w:rsidRDefault="004B3323" w:rsidP="00067543">
            <w:pPr>
              <w:pStyle w:val="TableText"/>
              <w:jc w:val="center"/>
            </w:pPr>
            <w:r w:rsidRPr="00E76B4B">
              <w:rPr>
                <w:highlight w:val="lightGray"/>
              </w:rPr>
              <w:t>0.025</w:t>
            </w:r>
          </w:p>
        </w:tc>
        <w:tc>
          <w:tcPr>
            <w:tcW w:w="1208" w:type="dxa"/>
            <w:vAlign w:val="center"/>
          </w:tcPr>
          <w:p w:rsidR="004B3323" w:rsidRDefault="004B3323" w:rsidP="00067543">
            <w:pPr>
              <w:pStyle w:val="TableText"/>
              <w:jc w:val="center"/>
            </w:pPr>
            <w:r>
              <w:t>0.008</w:t>
            </w:r>
          </w:p>
        </w:tc>
        <w:tc>
          <w:tcPr>
            <w:tcW w:w="1201" w:type="dxa"/>
            <w:vAlign w:val="center"/>
          </w:tcPr>
          <w:p w:rsidR="004B3323" w:rsidRDefault="004B3323" w:rsidP="00067543">
            <w:pPr>
              <w:pStyle w:val="TableText"/>
              <w:jc w:val="center"/>
            </w:pPr>
            <w:r>
              <w:t>2.92</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528</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Type">
                <w:r w:rsidRPr="00E76B4B">
                  <w:rPr>
                    <w:color w:val="000000"/>
                  </w:rPr>
                  <w:t>Springs</w:t>
                </w:r>
              </w:smartTag>
              <w:r w:rsidRPr="00E76B4B">
                <w:rPr>
                  <w:color w:val="000000"/>
                </w:rPr>
                <w:t xml:space="preserve"> </w:t>
              </w:r>
              <w:smartTag w:uri="urn:schemas-microsoft-com:office:smarttags" w:element="PlaceType">
                <w:r w:rsidRPr="00E76B4B">
                  <w:rPr>
                    <w:color w:val="000000"/>
                  </w:rPr>
                  <w:t>Coast</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0.0125</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c>
          <w:tcPr>
            <w:tcW w:w="1237" w:type="dxa"/>
            <w:vAlign w:val="center"/>
          </w:tcPr>
          <w:p w:rsidR="004B3323" w:rsidRDefault="004B3323" w:rsidP="00067543">
            <w:pPr>
              <w:pStyle w:val="TableText"/>
              <w:jc w:val="center"/>
            </w:pPr>
            <w:r w:rsidRPr="00E76B4B">
              <w:rPr>
                <w:highlight w:val="lightGray"/>
              </w:rPr>
              <w:t>0.0285</w:t>
            </w:r>
          </w:p>
        </w:tc>
        <w:tc>
          <w:tcPr>
            <w:tcW w:w="1208" w:type="dxa"/>
            <w:vAlign w:val="center"/>
          </w:tcPr>
          <w:p w:rsidR="004B3323" w:rsidRDefault="004B3323" w:rsidP="00067543">
            <w:pPr>
              <w:pStyle w:val="TableText"/>
              <w:jc w:val="center"/>
            </w:pPr>
            <w:r>
              <w:t>N/A</w:t>
            </w:r>
          </w:p>
        </w:tc>
        <w:tc>
          <w:tcPr>
            <w:tcW w:w="1201" w:type="dxa"/>
            <w:vAlign w:val="center"/>
          </w:tcPr>
          <w:p w:rsidR="004B3323" w:rsidRDefault="004B3323" w:rsidP="00067543">
            <w:pPr>
              <w:pStyle w:val="TableText"/>
              <w:jc w:val="center"/>
            </w:pPr>
            <w:r>
              <w:t>0.4</w:t>
            </w:r>
          </w:p>
        </w:tc>
        <w:tc>
          <w:tcPr>
            <w:tcW w:w="1208" w:type="dxa"/>
            <w:vAlign w:val="center"/>
          </w:tcPr>
          <w:p w:rsidR="004B3323" w:rsidRPr="00E76B4B" w:rsidRDefault="004B3323" w:rsidP="00067543">
            <w:pPr>
              <w:pStyle w:val="TableText"/>
              <w:jc w:val="center"/>
              <w:rPr>
                <w:color w:val="000000"/>
              </w:rPr>
            </w:pPr>
            <w:r w:rsidRPr="00E76B4B">
              <w:rPr>
                <w:color w:val="000000"/>
              </w:rPr>
              <w:t>N/A</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r w:rsidRPr="00E76B4B">
              <w:rPr>
                <w:color w:val="000000"/>
              </w:rPr>
              <w:t>St. Lucie–Loxahatchee</w:t>
            </w:r>
          </w:p>
        </w:tc>
        <w:tc>
          <w:tcPr>
            <w:tcW w:w="1237" w:type="dxa"/>
            <w:vAlign w:val="center"/>
          </w:tcPr>
          <w:p w:rsidR="004B3323" w:rsidRPr="00E76B4B" w:rsidRDefault="004B3323" w:rsidP="00067543">
            <w:pPr>
              <w:pStyle w:val="TableText"/>
              <w:jc w:val="center"/>
              <w:rPr>
                <w:color w:val="000000"/>
              </w:rPr>
            </w:pPr>
            <w:r w:rsidRPr="00E76B4B">
              <w:rPr>
                <w:color w:val="000000"/>
              </w:rPr>
              <w:t>0.0095</w:t>
            </w:r>
          </w:p>
        </w:tc>
        <w:tc>
          <w:tcPr>
            <w:tcW w:w="1208" w:type="dxa"/>
            <w:vAlign w:val="center"/>
          </w:tcPr>
          <w:p w:rsidR="004B3323" w:rsidRPr="00E76B4B" w:rsidRDefault="004B3323" w:rsidP="00067543">
            <w:pPr>
              <w:pStyle w:val="TableText"/>
              <w:jc w:val="center"/>
              <w:rPr>
                <w:color w:val="000000"/>
              </w:rPr>
            </w:pPr>
            <w:r w:rsidRPr="00E76B4B">
              <w:rPr>
                <w:color w:val="000000"/>
              </w:rPr>
              <w:t>0.01</w:t>
            </w:r>
          </w:p>
        </w:tc>
        <w:tc>
          <w:tcPr>
            <w:tcW w:w="1237" w:type="dxa"/>
            <w:vAlign w:val="center"/>
          </w:tcPr>
          <w:p w:rsidR="004B3323" w:rsidRDefault="004B3323" w:rsidP="00067543">
            <w:pPr>
              <w:pStyle w:val="TableText"/>
              <w:jc w:val="center"/>
            </w:pPr>
            <w:r w:rsidRPr="00E76B4B">
              <w:rPr>
                <w:highlight w:val="lightGray"/>
              </w:rPr>
              <w:t>0.0385</w:t>
            </w:r>
          </w:p>
        </w:tc>
        <w:tc>
          <w:tcPr>
            <w:tcW w:w="1208" w:type="dxa"/>
            <w:vAlign w:val="center"/>
          </w:tcPr>
          <w:p w:rsidR="004B3323" w:rsidRPr="00E76B4B" w:rsidRDefault="004B3323" w:rsidP="00067543">
            <w:pPr>
              <w:pStyle w:val="TableText"/>
              <w:jc w:val="center"/>
              <w:rPr>
                <w:highlight w:val="yellow"/>
              </w:rPr>
            </w:pPr>
            <w:r w:rsidRPr="00E76B4B">
              <w:rPr>
                <w:highlight w:val="yellow"/>
              </w:rPr>
              <w:t>0.096</w:t>
            </w:r>
          </w:p>
        </w:tc>
        <w:tc>
          <w:tcPr>
            <w:tcW w:w="1201" w:type="dxa"/>
            <w:vAlign w:val="center"/>
          </w:tcPr>
          <w:p w:rsidR="004B3323" w:rsidRDefault="004B3323" w:rsidP="00067543">
            <w:pPr>
              <w:pStyle w:val="TableText"/>
              <w:jc w:val="center"/>
            </w:pPr>
            <w:r>
              <w:t>0.17</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934</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Suwannee</w:t>
              </w:r>
            </w:smartTag>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0.03</w:t>
            </w:r>
          </w:p>
        </w:tc>
        <w:tc>
          <w:tcPr>
            <w:tcW w:w="1208" w:type="dxa"/>
            <w:vAlign w:val="center"/>
          </w:tcPr>
          <w:p w:rsidR="004B3323" w:rsidRPr="00E76B4B" w:rsidRDefault="004B3323" w:rsidP="00067543">
            <w:pPr>
              <w:pStyle w:val="TableText"/>
              <w:jc w:val="center"/>
              <w:rPr>
                <w:color w:val="000000"/>
              </w:rPr>
            </w:pPr>
            <w:r w:rsidRPr="00E76B4B">
              <w:rPr>
                <w:color w:val="000000"/>
              </w:rPr>
              <w:t>0.015</w:t>
            </w:r>
          </w:p>
        </w:tc>
        <w:tc>
          <w:tcPr>
            <w:tcW w:w="1237" w:type="dxa"/>
            <w:vAlign w:val="center"/>
          </w:tcPr>
          <w:p w:rsidR="004B3323" w:rsidRDefault="004B3323" w:rsidP="00067543">
            <w:pPr>
              <w:pStyle w:val="TableText"/>
              <w:jc w:val="center"/>
            </w:pPr>
            <w:r w:rsidRPr="00E76B4B">
              <w:rPr>
                <w:highlight w:val="lightGray"/>
              </w:rPr>
              <w:t>0.045</w:t>
            </w:r>
          </w:p>
        </w:tc>
        <w:tc>
          <w:tcPr>
            <w:tcW w:w="1208" w:type="dxa"/>
            <w:vAlign w:val="center"/>
          </w:tcPr>
          <w:p w:rsidR="004B3323" w:rsidRDefault="004B3323" w:rsidP="00067543">
            <w:pPr>
              <w:pStyle w:val="TableText"/>
              <w:jc w:val="center"/>
            </w:pPr>
            <w:r w:rsidRPr="00E76B4B">
              <w:rPr>
                <w:highlight w:val="lightGray"/>
              </w:rPr>
              <w:t>0.058</w:t>
            </w:r>
          </w:p>
        </w:tc>
        <w:tc>
          <w:tcPr>
            <w:tcW w:w="1201" w:type="dxa"/>
            <w:vAlign w:val="center"/>
          </w:tcPr>
          <w:p w:rsidR="004B3323" w:rsidRDefault="004B3323" w:rsidP="00067543">
            <w:pPr>
              <w:pStyle w:val="TableText"/>
              <w:jc w:val="center"/>
            </w:pPr>
            <w:r>
              <w:t>1.18</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429</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Tampa</w:t>
                </w:r>
              </w:smartTag>
              <w:r w:rsidRPr="00E76B4B">
                <w:rPr>
                  <w:color w:val="000000"/>
                </w:rPr>
                <w:t xml:space="preserve"> </w:t>
              </w:r>
              <w:smartTag w:uri="urn:schemas-microsoft-com:office:smarttags" w:element="PlaceType">
                <w:r w:rsidRPr="00E76B4B">
                  <w:rPr>
                    <w:color w:val="000000"/>
                  </w:rPr>
                  <w:t>Bay</w:t>
                </w:r>
              </w:smartTag>
            </w:smartTag>
          </w:p>
        </w:tc>
        <w:tc>
          <w:tcPr>
            <w:tcW w:w="1237" w:type="dxa"/>
            <w:vAlign w:val="center"/>
          </w:tcPr>
          <w:p w:rsidR="004B3323" w:rsidRPr="00E76B4B" w:rsidRDefault="004B3323" w:rsidP="00067543">
            <w:pPr>
              <w:pStyle w:val="TableText"/>
              <w:jc w:val="center"/>
              <w:rPr>
                <w:color w:val="000000"/>
              </w:rPr>
            </w:pPr>
            <w:r w:rsidRPr="00E76B4B">
              <w:rPr>
                <w:color w:val="000000"/>
              </w:rPr>
              <w:t>0.01</w:t>
            </w:r>
          </w:p>
        </w:tc>
        <w:tc>
          <w:tcPr>
            <w:tcW w:w="1208" w:type="dxa"/>
            <w:vAlign w:val="center"/>
          </w:tcPr>
          <w:p w:rsidR="004B3323" w:rsidRPr="00E76B4B" w:rsidRDefault="004B3323" w:rsidP="00067543">
            <w:pPr>
              <w:pStyle w:val="TableText"/>
              <w:jc w:val="center"/>
              <w:rPr>
                <w:color w:val="000000"/>
              </w:rPr>
            </w:pPr>
            <w:r w:rsidRPr="00E76B4B">
              <w:rPr>
                <w:color w:val="000000"/>
              </w:rPr>
              <w:t>0.0095</w:t>
            </w:r>
          </w:p>
        </w:tc>
        <w:tc>
          <w:tcPr>
            <w:tcW w:w="1237" w:type="dxa"/>
            <w:vAlign w:val="center"/>
          </w:tcPr>
          <w:p w:rsidR="004B3323" w:rsidRDefault="004B3323" w:rsidP="00067543">
            <w:pPr>
              <w:pStyle w:val="TableText"/>
              <w:jc w:val="center"/>
            </w:pPr>
            <w:r w:rsidRPr="00E76B4B">
              <w:rPr>
                <w:highlight w:val="lightGray"/>
              </w:rPr>
              <w:t>0.04</w:t>
            </w:r>
          </w:p>
        </w:tc>
        <w:tc>
          <w:tcPr>
            <w:tcW w:w="1208" w:type="dxa"/>
            <w:vAlign w:val="center"/>
          </w:tcPr>
          <w:p w:rsidR="004B3323" w:rsidRDefault="004B3323" w:rsidP="00067543">
            <w:pPr>
              <w:pStyle w:val="TableText"/>
              <w:jc w:val="center"/>
            </w:pPr>
            <w:r w:rsidRPr="00E76B4B">
              <w:rPr>
                <w:highlight w:val="lightGray"/>
              </w:rPr>
              <w:t>0.0395</w:t>
            </w:r>
          </w:p>
        </w:tc>
        <w:tc>
          <w:tcPr>
            <w:tcW w:w="1201" w:type="dxa"/>
            <w:vAlign w:val="center"/>
          </w:tcPr>
          <w:p w:rsidR="004B3323" w:rsidRDefault="004B3323" w:rsidP="00067543">
            <w:pPr>
              <w:pStyle w:val="TableText"/>
              <w:jc w:val="center"/>
            </w:pPr>
            <w:r>
              <w:t>0.54</w:t>
            </w:r>
          </w:p>
        </w:tc>
        <w:tc>
          <w:tcPr>
            <w:tcW w:w="1208" w:type="dxa"/>
            <w:vAlign w:val="center"/>
          </w:tcPr>
          <w:p w:rsidR="004B3323" w:rsidRPr="00E76B4B" w:rsidRDefault="004B3323" w:rsidP="00067543">
            <w:pPr>
              <w:pStyle w:val="TableText"/>
              <w:jc w:val="center"/>
              <w:rPr>
                <w:color w:val="000000"/>
                <w:highlight w:val="yellow"/>
              </w:rPr>
            </w:pPr>
            <w:r w:rsidRPr="00E76B4B">
              <w:rPr>
                <w:color w:val="000000"/>
                <w:highlight w:val="yellow"/>
              </w:rPr>
              <w:t>512</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smartTag w:uri="urn:schemas-microsoft-com:office:smarttags" w:element="PlaceName">
                <w:r w:rsidRPr="00E76B4B">
                  <w:rPr>
                    <w:color w:val="000000"/>
                  </w:rPr>
                  <w:t>Tampa</w:t>
                </w:r>
              </w:smartTag>
              <w:r w:rsidRPr="00E76B4B">
                <w:rPr>
                  <w:color w:val="000000"/>
                </w:rPr>
                <w:t xml:space="preserve"> </w:t>
              </w:r>
              <w:smartTag w:uri="urn:schemas-microsoft-com:office:smarttags" w:element="PlaceType">
                <w:r w:rsidRPr="00E76B4B">
                  <w:rPr>
                    <w:color w:val="000000"/>
                  </w:rPr>
                  <w:t>Bay</w:t>
                </w:r>
              </w:smartTag>
            </w:smartTag>
            <w:r w:rsidRPr="00E76B4B">
              <w:rPr>
                <w:color w:val="000000"/>
              </w:rPr>
              <w:t xml:space="preserve"> Tributaries</w:t>
            </w:r>
          </w:p>
        </w:tc>
        <w:tc>
          <w:tcPr>
            <w:tcW w:w="1237" w:type="dxa"/>
            <w:vAlign w:val="center"/>
          </w:tcPr>
          <w:p w:rsidR="004B3323" w:rsidRPr="00E76B4B" w:rsidRDefault="004B3323" w:rsidP="00067543">
            <w:pPr>
              <w:pStyle w:val="TableText"/>
              <w:jc w:val="center"/>
              <w:rPr>
                <w:color w:val="000000"/>
              </w:rPr>
            </w:pPr>
            <w:r w:rsidRPr="00E76B4B">
              <w:rPr>
                <w:color w:val="000000"/>
                <w:highlight w:val="lightGray"/>
              </w:rPr>
              <w:t>0.016</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0.018</w:t>
            </w:r>
          </w:p>
        </w:tc>
        <w:tc>
          <w:tcPr>
            <w:tcW w:w="1237" w:type="dxa"/>
            <w:vAlign w:val="center"/>
          </w:tcPr>
          <w:p w:rsidR="004B3323" w:rsidRDefault="004B3323" w:rsidP="00067543">
            <w:pPr>
              <w:pStyle w:val="TableText"/>
              <w:jc w:val="center"/>
            </w:pPr>
            <w:r w:rsidRPr="00E76B4B">
              <w:rPr>
                <w:highlight w:val="lightGray"/>
              </w:rPr>
              <w:t>0.057</w:t>
            </w:r>
          </w:p>
        </w:tc>
        <w:tc>
          <w:tcPr>
            <w:tcW w:w="1208" w:type="dxa"/>
            <w:vAlign w:val="center"/>
          </w:tcPr>
          <w:p w:rsidR="004B3323" w:rsidRDefault="004B3323" w:rsidP="00067543">
            <w:pPr>
              <w:pStyle w:val="TableText"/>
              <w:jc w:val="center"/>
            </w:pPr>
            <w:r>
              <w:t>0.088</w:t>
            </w:r>
          </w:p>
        </w:tc>
        <w:tc>
          <w:tcPr>
            <w:tcW w:w="1201" w:type="dxa"/>
            <w:vAlign w:val="center"/>
          </w:tcPr>
          <w:p w:rsidR="004B3323" w:rsidRDefault="004B3323" w:rsidP="00067543">
            <w:pPr>
              <w:pStyle w:val="TableText"/>
              <w:jc w:val="center"/>
            </w:pPr>
            <w:r>
              <w:t>1.01</w:t>
            </w:r>
          </w:p>
        </w:tc>
        <w:tc>
          <w:tcPr>
            <w:tcW w:w="1208" w:type="dxa"/>
            <w:vAlign w:val="center"/>
          </w:tcPr>
          <w:p w:rsidR="004B3323" w:rsidRPr="00E76B4B" w:rsidRDefault="004B3323" w:rsidP="00067543">
            <w:pPr>
              <w:pStyle w:val="TableText"/>
              <w:jc w:val="center"/>
              <w:rPr>
                <w:color w:val="000000"/>
              </w:rPr>
            </w:pPr>
            <w:r w:rsidRPr="00E76B4B">
              <w:rPr>
                <w:color w:val="000000"/>
                <w:highlight w:val="yellow"/>
              </w:rPr>
              <w:t>962</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Upper East Coast</w:t>
              </w:r>
            </w:smartTag>
          </w:p>
        </w:tc>
        <w:tc>
          <w:tcPr>
            <w:tcW w:w="1237" w:type="dxa"/>
            <w:vAlign w:val="center"/>
          </w:tcPr>
          <w:p w:rsidR="004B3323" w:rsidRPr="00E76B4B" w:rsidRDefault="004B3323" w:rsidP="00067543">
            <w:pPr>
              <w:pStyle w:val="TableText"/>
              <w:jc w:val="center"/>
              <w:rPr>
                <w:color w:val="000000"/>
              </w:rPr>
            </w:pPr>
            <w:r w:rsidRPr="00E76B4B">
              <w:rPr>
                <w:color w:val="000000"/>
              </w:rPr>
              <w:t>0.006</w:t>
            </w:r>
          </w:p>
        </w:tc>
        <w:tc>
          <w:tcPr>
            <w:tcW w:w="1208" w:type="dxa"/>
            <w:vAlign w:val="center"/>
          </w:tcPr>
          <w:p w:rsidR="004B3323" w:rsidRPr="00E76B4B" w:rsidRDefault="004B3323" w:rsidP="00067543">
            <w:pPr>
              <w:pStyle w:val="TableText"/>
              <w:jc w:val="center"/>
              <w:rPr>
                <w:color w:val="000000"/>
              </w:rPr>
            </w:pPr>
            <w:r w:rsidRPr="00E76B4B">
              <w:rPr>
                <w:color w:val="000000"/>
                <w:highlight w:val="yellow"/>
              </w:rPr>
              <w:t>5.5</w:t>
            </w:r>
          </w:p>
        </w:tc>
        <w:tc>
          <w:tcPr>
            <w:tcW w:w="1237" w:type="dxa"/>
            <w:vAlign w:val="center"/>
          </w:tcPr>
          <w:p w:rsidR="004B3323" w:rsidRPr="00E76B4B" w:rsidRDefault="004B3323" w:rsidP="00067543">
            <w:pPr>
              <w:pStyle w:val="TableText"/>
              <w:jc w:val="center"/>
              <w:rPr>
                <w:highlight w:val="yellow"/>
              </w:rPr>
            </w:pPr>
            <w:r w:rsidRPr="00E76B4B">
              <w:rPr>
                <w:highlight w:val="yellow"/>
              </w:rPr>
              <w:t>0.205</w:t>
            </w:r>
          </w:p>
        </w:tc>
        <w:tc>
          <w:tcPr>
            <w:tcW w:w="1208" w:type="dxa"/>
            <w:vAlign w:val="center"/>
          </w:tcPr>
          <w:p w:rsidR="004B3323" w:rsidRDefault="004B3323" w:rsidP="00067543">
            <w:pPr>
              <w:pStyle w:val="TableText"/>
              <w:jc w:val="center"/>
            </w:pPr>
            <w:r w:rsidRPr="00E76B4B">
              <w:rPr>
                <w:highlight w:val="yellow"/>
              </w:rPr>
              <w:t>1.1</w:t>
            </w:r>
          </w:p>
        </w:tc>
        <w:tc>
          <w:tcPr>
            <w:tcW w:w="1201" w:type="dxa"/>
            <w:vAlign w:val="center"/>
          </w:tcPr>
          <w:p w:rsidR="004B3323" w:rsidRDefault="004B3323" w:rsidP="00067543">
            <w:pPr>
              <w:pStyle w:val="TableText"/>
              <w:jc w:val="center"/>
            </w:pPr>
            <w:r>
              <w:t>0.32</w:t>
            </w:r>
          </w:p>
        </w:tc>
        <w:tc>
          <w:tcPr>
            <w:tcW w:w="1208" w:type="dxa"/>
            <w:vAlign w:val="center"/>
          </w:tcPr>
          <w:p w:rsidR="004B3323" w:rsidRPr="00E76B4B" w:rsidRDefault="004B3323" w:rsidP="00067543">
            <w:pPr>
              <w:pStyle w:val="TableText"/>
              <w:jc w:val="center"/>
              <w:rPr>
                <w:color w:val="000000"/>
              </w:rPr>
            </w:pPr>
            <w:r w:rsidRPr="00E76B4B">
              <w:rPr>
                <w:color w:val="000000"/>
              </w:rPr>
              <w:t>55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Upper St. Johns</w:t>
              </w:r>
            </w:smartTag>
          </w:p>
        </w:tc>
        <w:tc>
          <w:tcPr>
            <w:tcW w:w="1237" w:type="dxa"/>
            <w:vAlign w:val="center"/>
          </w:tcPr>
          <w:p w:rsidR="004B3323" w:rsidRPr="00E76B4B" w:rsidRDefault="004B3323" w:rsidP="00067543">
            <w:pPr>
              <w:pStyle w:val="TableText"/>
              <w:jc w:val="center"/>
              <w:rPr>
                <w:color w:val="000000"/>
              </w:rPr>
            </w:pPr>
            <w:r w:rsidRPr="00E76B4B">
              <w:rPr>
                <w:color w:val="000000"/>
              </w:rPr>
              <w:t>0.002</w:t>
            </w:r>
          </w:p>
        </w:tc>
        <w:tc>
          <w:tcPr>
            <w:tcW w:w="1208" w:type="dxa"/>
            <w:vAlign w:val="center"/>
          </w:tcPr>
          <w:p w:rsidR="004B3323" w:rsidRPr="00E76B4B" w:rsidRDefault="004B3323" w:rsidP="00067543">
            <w:pPr>
              <w:pStyle w:val="TableText"/>
              <w:jc w:val="center"/>
              <w:rPr>
                <w:color w:val="000000"/>
              </w:rPr>
            </w:pPr>
            <w:r w:rsidRPr="00E76B4B">
              <w:rPr>
                <w:color w:val="000000"/>
              </w:rPr>
              <w:t>0.002</w:t>
            </w:r>
          </w:p>
        </w:tc>
        <w:tc>
          <w:tcPr>
            <w:tcW w:w="1237" w:type="dxa"/>
            <w:vAlign w:val="center"/>
          </w:tcPr>
          <w:p w:rsidR="004B3323" w:rsidRDefault="004B3323" w:rsidP="00067543">
            <w:pPr>
              <w:pStyle w:val="TableText"/>
              <w:jc w:val="center"/>
            </w:pPr>
            <w:r w:rsidRPr="00E76B4B">
              <w:rPr>
                <w:highlight w:val="lightGray"/>
              </w:rPr>
              <w:t>0.0685</w:t>
            </w:r>
          </w:p>
        </w:tc>
        <w:tc>
          <w:tcPr>
            <w:tcW w:w="1208" w:type="dxa"/>
            <w:vAlign w:val="center"/>
          </w:tcPr>
          <w:p w:rsidR="004B3323" w:rsidRPr="00E76B4B" w:rsidRDefault="004B3323" w:rsidP="00067543">
            <w:pPr>
              <w:pStyle w:val="TableText"/>
              <w:jc w:val="center"/>
              <w:rPr>
                <w:highlight w:val="yellow"/>
              </w:rPr>
            </w:pPr>
            <w:r w:rsidRPr="00E76B4B">
              <w:rPr>
                <w:highlight w:val="yellow"/>
              </w:rPr>
              <w:t>0.25</w:t>
            </w:r>
          </w:p>
        </w:tc>
        <w:tc>
          <w:tcPr>
            <w:tcW w:w="1201" w:type="dxa"/>
            <w:vAlign w:val="center"/>
          </w:tcPr>
          <w:p w:rsidR="004B3323" w:rsidRDefault="004B3323" w:rsidP="00067543">
            <w:pPr>
              <w:pStyle w:val="TableText"/>
              <w:jc w:val="center"/>
            </w:pPr>
            <w:r>
              <w:t>0.8</w:t>
            </w:r>
          </w:p>
        </w:tc>
        <w:tc>
          <w:tcPr>
            <w:tcW w:w="1208" w:type="dxa"/>
            <w:vAlign w:val="center"/>
          </w:tcPr>
          <w:p w:rsidR="004B3323" w:rsidRPr="00E76B4B" w:rsidRDefault="004B3323" w:rsidP="00067543">
            <w:pPr>
              <w:pStyle w:val="TableText"/>
              <w:jc w:val="center"/>
              <w:rPr>
                <w:color w:val="000000"/>
              </w:rPr>
            </w:pPr>
            <w:r w:rsidRPr="00E76B4B">
              <w:rPr>
                <w:color w:val="000000"/>
                <w:highlight w:val="yellow"/>
              </w:rPr>
              <w:t>805.5</w:t>
            </w:r>
          </w:p>
        </w:tc>
      </w:tr>
      <w:tr w:rsidR="004B3323" w:rsidTr="00067543">
        <w:trPr>
          <w:jc w:val="center"/>
        </w:trPr>
        <w:tc>
          <w:tcPr>
            <w:tcW w:w="2863" w:type="dxa"/>
            <w:shd w:val="clear" w:color="auto" w:fill="F3F3F3"/>
            <w:vAlign w:val="center"/>
          </w:tcPr>
          <w:p w:rsidR="004B3323" w:rsidRPr="00E76B4B" w:rsidRDefault="004B3323" w:rsidP="00067543">
            <w:pPr>
              <w:pStyle w:val="TableText"/>
              <w:rPr>
                <w:color w:val="000000"/>
              </w:rPr>
            </w:pPr>
            <w:smartTag w:uri="urn:schemas-microsoft-com:office:smarttags" w:element="place">
              <w:r w:rsidRPr="00E76B4B">
                <w:rPr>
                  <w:color w:val="000000"/>
                </w:rPr>
                <w:t>Withlacoochee</w:t>
              </w:r>
            </w:smartTag>
          </w:p>
        </w:tc>
        <w:tc>
          <w:tcPr>
            <w:tcW w:w="1237" w:type="dxa"/>
            <w:vAlign w:val="center"/>
          </w:tcPr>
          <w:p w:rsidR="004B3323" w:rsidRPr="00E76B4B" w:rsidRDefault="004B3323" w:rsidP="00067543">
            <w:pPr>
              <w:pStyle w:val="TableText"/>
              <w:jc w:val="center"/>
              <w:rPr>
                <w:color w:val="000000"/>
              </w:rPr>
            </w:pPr>
            <w:r w:rsidRPr="00E76B4B">
              <w:rPr>
                <w:color w:val="000000"/>
                <w:highlight w:val="yellow"/>
              </w:rPr>
              <w:t>0.081</w:t>
            </w:r>
          </w:p>
        </w:tc>
        <w:tc>
          <w:tcPr>
            <w:tcW w:w="1208" w:type="dxa"/>
            <w:vAlign w:val="center"/>
          </w:tcPr>
          <w:p w:rsidR="004B3323" w:rsidRPr="00E76B4B" w:rsidRDefault="004B3323" w:rsidP="00067543">
            <w:pPr>
              <w:pStyle w:val="TableText"/>
              <w:jc w:val="center"/>
              <w:rPr>
                <w:color w:val="000000"/>
              </w:rPr>
            </w:pPr>
            <w:r w:rsidRPr="00E76B4B">
              <w:rPr>
                <w:color w:val="000000"/>
                <w:highlight w:val="lightGray"/>
              </w:rPr>
              <w:t>0.02</w:t>
            </w:r>
          </w:p>
        </w:tc>
        <w:tc>
          <w:tcPr>
            <w:tcW w:w="1237" w:type="dxa"/>
            <w:vAlign w:val="center"/>
          </w:tcPr>
          <w:p w:rsidR="004B3323" w:rsidRDefault="004B3323" w:rsidP="00067543">
            <w:pPr>
              <w:pStyle w:val="TableText"/>
              <w:jc w:val="center"/>
            </w:pPr>
            <w:r w:rsidRPr="00E76B4B">
              <w:rPr>
                <w:highlight w:val="lightGray"/>
              </w:rPr>
              <w:t>0.053</w:t>
            </w:r>
          </w:p>
        </w:tc>
        <w:tc>
          <w:tcPr>
            <w:tcW w:w="1208" w:type="dxa"/>
            <w:vAlign w:val="center"/>
          </w:tcPr>
          <w:p w:rsidR="004B3323" w:rsidRDefault="004B3323" w:rsidP="00067543">
            <w:pPr>
              <w:pStyle w:val="TableText"/>
              <w:jc w:val="center"/>
            </w:pPr>
            <w:r w:rsidRPr="00E76B4B">
              <w:rPr>
                <w:highlight w:val="lightGray"/>
              </w:rPr>
              <w:t>0.056</w:t>
            </w:r>
          </w:p>
        </w:tc>
        <w:tc>
          <w:tcPr>
            <w:tcW w:w="1201" w:type="dxa"/>
            <w:vAlign w:val="center"/>
          </w:tcPr>
          <w:p w:rsidR="004B3323" w:rsidRDefault="004B3323" w:rsidP="00067543">
            <w:pPr>
              <w:pStyle w:val="TableText"/>
              <w:jc w:val="center"/>
            </w:pPr>
            <w:r>
              <w:t>0.73</w:t>
            </w:r>
          </w:p>
        </w:tc>
        <w:tc>
          <w:tcPr>
            <w:tcW w:w="1208" w:type="dxa"/>
            <w:vAlign w:val="center"/>
          </w:tcPr>
          <w:p w:rsidR="004B3323" w:rsidRPr="00E76B4B" w:rsidRDefault="004B3323" w:rsidP="00067543">
            <w:pPr>
              <w:pStyle w:val="TableText"/>
              <w:jc w:val="center"/>
              <w:rPr>
                <w:color w:val="000000"/>
              </w:rPr>
            </w:pPr>
            <w:r w:rsidRPr="00E76B4B">
              <w:rPr>
                <w:color w:val="000000"/>
                <w:highlight w:val="yellow"/>
              </w:rPr>
              <w:t>1,210</w:t>
            </w:r>
          </w:p>
        </w:tc>
      </w:tr>
      <w:tr w:rsidR="004B3323" w:rsidTr="00067543">
        <w:trPr>
          <w:jc w:val="center"/>
        </w:trPr>
        <w:tc>
          <w:tcPr>
            <w:tcW w:w="2863" w:type="dxa"/>
            <w:shd w:val="clear" w:color="auto" w:fill="F3F3F3"/>
            <w:vAlign w:val="center"/>
          </w:tcPr>
          <w:p w:rsidR="004B3323" w:rsidRPr="00E76B4B" w:rsidRDefault="004B3323" w:rsidP="00067543">
            <w:pPr>
              <w:pStyle w:val="TableText"/>
              <w:rPr>
                <w:bCs/>
                <w:color w:val="000000"/>
              </w:rPr>
            </w:pPr>
            <w:r w:rsidRPr="00E76B4B">
              <w:rPr>
                <w:bCs/>
                <w:color w:val="000000"/>
              </w:rPr>
              <w:t>Ground Water Statewide Median</w:t>
            </w:r>
          </w:p>
        </w:tc>
        <w:tc>
          <w:tcPr>
            <w:tcW w:w="1237" w:type="dxa"/>
            <w:vAlign w:val="center"/>
          </w:tcPr>
          <w:p w:rsidR="004B3323" w:rsidRPr="00E76B4B" w:rsidRDefault="004B3323" w:rsidP="00067543">
            <w:pPr>
              <w:pStyle w:val="TableText"/>
              <w:jc w:val="center"/>
              <w:rPr>
                <w:bCs/>
                <w:color w:val="000000"/>
              </w:rPr>
            </w:pPr>
            <w:r w:rsidRPr="00E76B4B">
              <w:rPr>
                <w:bCs/>
                <w:color w:val="000000"/>
              </w:rPr>
              <w:t>0.01</w:t>
            </w:r>
          </w:p>
        </w:tc>
        <w:tc>
          <w:tcPr>
            <w:tcW w:w="1208" w:type="dxa"/>
            <w:vAlign w:val="center"/>
          </w:tcPr>
          <w:p w:rsidR="004B3323" w:rsidRPr="00E76B4B" w:rsidRDefault="004B3323" w:rsidP="00067543">
            <w:pPr>
              <w:pStyle w:val="TableText"/>
              <w:jc w:val="center"/>
              <w:rPr>
                <w:bCs/>
                <w:color w:val="000000"/>
              </w:rPr>
            </w:pPr>
            <w:r w:rsidRPr="00E76B4B">
              <w:rPr>
                <w:bCs/>
                <w:color w:val="000000"/>
              </w:rPr>
              <w:t>0.01</w:t>
            </w:r>
          </w:p>
        </w:tc>
        <w:tc>
          <w:tcPr>
            <w:tcW w:w="1237" w:type="dxa"/>
            <w:vAlign w:val="center"/>
          </w:tcPr>
          <w:p w:rsidR="004B3323" w:rsidRPr="00E76B4B" w:rsidRDefault="004B3323" w:rsidP="00067543">
            <w:pPr>
              <w:pStyle w:val="TableText"/>
              <w:jc w:val="center"/>
              <w:rPr>
                <w:bCs/>
              </w:rPr>
            </w:pPr>
            <w:r w:rsidRPr="00E76B4B">
              <w:rPr>
                <w:bCs/>
                <w:highlight w:val="lightGray"/>
              </w:rPr>
              <w:t>0.035</w:t>
            </w:r>
          </w:p>
        </w:tc>
        <w:tc>
          <w:tcPr>
            <w:tcW w:w="1208" w:type="dxa"/>
            <w:vAlign w:val="center"/>
          </w:tcPr>
          <w:p w:rsidR="004B3323" w:rsidRPr="00E76B4B" w:rsidRDefault="004B3323" w:rsidP="00067543">
            <w:pPr>
              <w:pStyle w:val="TableText"/>
              <w:jc w:val="center"/>
              <w:rPr>
                <w:bCs/>
              </w:rPr>
            </w:pPr>
            <w:r w:rsidRPr="00E76B4B">
              <w:rPr>
                <w:bCs/>
                <w:highlight w:val="lightGray"/>
              </w:rPr>
              <w:t>0.0425</w:t>
            </w:r>
          </w:p>
        </w:tc>
        <w:tc>
          <w:tcPr>
            <w:tcW w:w="1201" w:type="dxa"/>
            <w:vAlign w:val="center"/>
          </w:tcPr>
          <w:p w:rsidR="004B3323" w:rsidRPr="00E76B4B" w:rsidRDefault="004B3323" w:rsidP="00067543">
            <w:pPr>
              <w:pStyle w:val="TableText"/>
              <w:jc w:val="center"/>
              <w:rPr>
                <w:bCs/>
              </w:rPr>
            </w:pPr>
            <w:r w:rsidRPr="00E76B4B">
              <w:rPr>
                <w:bCs/>
              </w:rPr>
              <w:t>0.815</w:t>
            </w:r>
          </w:p>
        </w:tc>
        <w:tc>
          <w:tcPr>
            <w:tcW w:w="1208" w:type="dxa"/>
            <w:vAlign w:val="center"/>
          </w:tcPr>
          <w:p w:rsidR="004B3323" w:rsidRPr="00E76B4B" w:rsidRDefault="004B3323" w:rsidP="00067543">
            <w:pPr>
              <w:pStyle w:val="TableText"/>
              <w:jc w:val="center"/>
              <w:rPr>
                <w:bCs/>
              </w:rPr>
            </w:pPr>
            <w:r w:rsidRPr="00E76B4B">
              <w:rPr>
                <w:bCs/>
                <w:highlight w:val="yellow"/>
              </w:rPr>
              <w:t>454</w:t>
            </w:r>
          </w:p>
        </w:tc>
      </w:tr>
      <w:tr w:rsidR="004B3323" w:rsidRPr="00E76B4B" w:rsidTr="00067543">
        <w:trPr>
          <w:jc w:val="center"/>
        </w:trPr>
        <w:tc>
          <w:tcPr>
            <w:tcW w:w="10162" w:type="dxa"/>
            <w:gridSpan w:val="7"/>
            <w:shd w:val="clear" w:color="auto" w:fill="E0E0E0"/>
            <w:vAlign w:val="center"/>
          </w:tcPr>
          <w:p w:rsidR="004B3323" w:rsidRPr="00E76B4B" w:rsidRDefault="004B3323" w:rsidP="00067543">
            <w:pPr>
              <w:pStyle w:val="TableText"/>
              <w:rPr>
                <w:b/>
              </w:rPr>
            </w:pPr>
            <w:r w:rsidRPr="00E76B4B">
              <w:rPr>
                <w:b/>
                <w:bCs/>
              </w:rPr>
              <w:t>Statewide Medians for Surface Water</w:t>
            </w:r>
            <w:r w:rsidRPr="00E76B4B">
              <w:rPr>
                <w:b/>
                <w:bCs/>
                <w:vertAlign w:val="superscript"/>
              </w:rPr>
              <w:t>2</w:t>
            </w:r>
          </w:p>
        </w:tc>
      </w:tr>
      <w:tr w:rsidR="004B3323" w:rsidTr="00067543">
        <w:trPr>
          <w:jc w:val="center"/>
        </w:trPr>
        <w:tc>
          <w:tcPr>
            <w:tcW w:w="2863" w:type="dxa"/>
            <w:shd w:val="clear" w:color="auto" w:fill="F3F3F3"/>
            <w:vAlign w:val="center"/>
          </w:tcPr>
          <w:p w:rsidR="004B3323" w:rsidRPr="00E76B4B" w:rsidRDefault="004B3323" w:rsidP="00067543">
            <w:pPr>
              <w:pStyle w:val="TableText"/>
              <w:rPr>
                <w:bCs/>
              </w:rPr>
            </w:pPr>
            <w:smartTag w:uri="urn:schemas-microsoft-com:office:smarttags" w:element="place">
              <w:r w:rsidRPr="00E76B4B">
                <w:rPr>
                  <w:bCs/>
                </w:rPr>
                <w:t>Lake</w:t>
              </w:r>
            </w:smartTag>
          </w:p>
        </w:tc>
        <w:tc>
          <w:tcPr>
            <w:tcW w:w="2445" w:type="dxa"/>
            <w:gridSpan w:val="2"/>
            <w:vAlign w:val="center"/>
          </w:tcPr>
          <w:p w:rsidR="004B3323" w:rsidRPr="00E76B4B" w:rsidRDefault="004B3323" w:rsidP="00067543">
            <w:pPr>
              <w:pStyle w:val="TableText"/>
              <w:jc w:val="center"/>
              <w:rPr>
                <w:bCs/>
              </w:rPr>
            </w:pPr>
            <w:r w:rsidRPr="00E76B4B">
              <w:rPr>
                <w:bCs/>
              </w:rPr>
              <w:t>0.02</w:t>
            </w:r>
          </w:p>
        </w:tc>
        <w:tc>
          <w:tcPr>
            <w:tcW w:w="2445" w:type="dxa"/>
            <w:gridSpan w:val="2"/>
            <w:vAlign w:val="center"/>
          </w:tcPr>
          <w:p w:rsidR="004B3323" w:rsidRPr="00E76B4B" w:rsidRDefault="004B3323" w:rsidP="00067543">
            <w:pPr>
              <w:pStyle w:val="TableText"/>
              <w:jc w:val="center"/>
              <w:rPr>
                <w:bCs/>
              </w:rPr>
            </w:pPr>
            <w:r w:rsidRPr="00E76B4B">
              <w:rPr>
                <w:bCs/>
              </w:rPr>
              <w:t>0.03</w:t>
            </w:r>
          </w:p>
        </w:tc>
        <w:tc>
          <w:tcPr>
            <w:tcW w:w="1201" w:type="dxa"/>
            <w:vAlign w:val="center"/>
          </w:tcPr>
          <w:p w:rsidR="004B3323" w:rsidRPr="00E76B4B" w:rsidRDefault="004B3323" w:rsidP="00067543">
            <w:pPr>
              <w:pStyle w:val="TableText"/>
              <w:jc w:val="center"/>
              <w:rPr>
                <w:bCs/>
              </w:rPr>
            </w:pPr>
            <w:r w:rsidRPr="00E76B4B">
              <w:rPr>
                <w:bCs/>
              </w:rPr>
              <w:t>7.66</w:t>
            </w:r>
          </w:p>
        </w:tc>
        <w:tc>
          <w:tcPr>
            <w:tcW w:w="1208" w:type="dxa"/>
            <w:vAlign w:val="center"/>
          </w:tcPr>
          <w:p w:rsidR="004B3323" w:rsidRPr="00E76B4B" w:rsidRDefault="004B3323" w:rsidP="00067543">
            <w:pPr>
              <w:pStyle w:val="TableText"/>
              <w:jc w:val="center"/>
              <w:rPr>
                <w:bCs/>
              </w:rPr>
            </w:pPr>
            <w:r w:rsidRPr="00E76B4B">
              <w:rPr>
                <w:bCs/>
              </w:rPr>
              <w:t>158</w:t>
            </w:r>
          </w:p>
        </w:tc>
      </w:tr>
      <w:tr w:rsidR="004B3323" w:rsidTr="00067543">
        <w:trPr>
          <w:jc w:val="center"/>
        </w:trPr>
        <w:tc>
          <w:tcPr>
            <w:tcW w:w="2863" w:type="dxa"/>
            <w:shd w:val="clear" w:color="auto" w:fill="F3F3F3"/>
            <w:vAlign w:val="center"/>
          </w:tcPr>
          <w:p w:rsidR="004B3323" w:rsidRPr="00E76B4B" w:rsidRDefault="004B3323" w:rsidP="00067543">
            <w:pPr>
              <w:pStyle w:val="TableText"/>
              <w:rPr>
                <w:bCs/>
              </w:rPr>
            </w:pPr>
            <w:r w:rsidRPr="00E76B4B">
              <w:rPr>
                <w:bCs/>
              </w:rPr>
              <w:t>Stream</w:t>
            </w:r>
          </w:p>
        </w:tc>
        <w:tc>
          <w:tcPr>
            <w:tcW w:w="2445" w:type="dxa"/>
            <w:gridSpan w:val="2"/>
            <w:vAlign w:val="center"/>
          </w:tcPr>
          <w:p w:rsidR="004B3323" w:rsidRPr="00E76B4B" w:rsidRDefault="004B3323" w:rsidP="00067543">
            <w:pPr>
              <w:pStyle w:val="TableText"/>
              <w:jc w:val="center"/>
              <w:rPr>
                <w:bCs/>
              </w:rPr>
            </w:pPr>
            <w:r w:rsidRPr="00E76B4B">
              <w:rPr>
                <w:bCs/>
              </w:rPr>
              <w:t>0.07</w:t>
            </w:r>
          </w:p>
        </w:tc>
        <w:tc>
          <w:tcPr>
            <w:tcW w:w="2445" w:type="dxa"/>
            <w:gridSpan w:val="2"/>
            <w:vAlign w:val="center"/>
          </w:tcPr>
          <w:p w:rsidR="004B3323" w:rsidRPr="00E76B4B" w:rsidRDefault="004B3323" w:rsidP="00067543">
            <w:pPr>
              <w:pStyle w:val="TableText"/>
              <w:jc w:val="center"/>
              <w:rPr>
                <w:bCs/>
              </w:rPr>
            </w:pPr>
            <w:r w:rsidRPr="00E76B4B">
              <w:rPr>
                <w:bCs/>
              </w:rPr>
              <w:t>0.08</w:t>
            </w:r>
          </w:p>
        </w:tc>
        <w:tc>
          <w:tcPr>
            <w:tcW w:w="1201" w:type="dxa"/>
            <w:vAlign w:val="center"/>
          </w:tcPr>
          <w:p w:rsidR="004B3323" w:rsidRPr="00E76B4B" w:rsidRDefault="004B3323" w:rsidP="00067543">
            <w:pPr>
              <w:pStyle w:val="TableText"/>
              <w:jc w:val="center"/>
              <w:rPr>
                <w:bCs/>
              </w:rPr>
            </w:pPr>
            <w:r w:rsidRPr="00E76B4B">
              <w:rPr>
                <w:bCs/>
              </w:rPr>
              <w:t>5.53</w:t>
            </w:r>
          </w:p>
        </w:tc>
        <w:tc>
          <w:tcPr>
            <w:tcW w:w="1208" w:type="dxa"/>
            <w:vAlign w:val="center"/>
          </w:tcPr>
          <w:p w:rsidR="004B3323" w:rsidRPr="00E76B4B" w:rsidRDefault="004B3323" w:rsidP="00067543">
            <w:pPr>
              <w:pStyle w:val="TableText"/>
              <w:jc w:val="center"/>
              <w:rPr>
                <w:bCs/>
              </w:rPr>
            </w:pPr>
            <w:r w:rsidRPr="00E76B4B">
              <w:rPr>
                <w:bCs/>
              </w:rPr>
              <w:t>200</w:t>
            </w:r>
          </w:p>
        </w:tc>
      </w:tr>
      <w:tr w:rsidR="004B3323" w:rsidTr="00067543">
        <w:trPr>
          <w:jc w:val="center"/>
        </w:trPr>
        <w:tc>
          <w:tcPr>
            <w:tcW w:w="2863" w:type="dxa"/>
            <w:shd w:val="clear" w:color="auto" w:fill="F3F3F3"/>
            <w:vAlign w:val="center"/>
          </w:tcPr>
          <w:p w:rsidR="004B3323" w:rsidRPr="00E76B4B" w:rsidRDefault="004B3323" w:rsidP="00067543">
            <w:pPr>
              <w:pStyle w:val="TableText"/>
              <w:rPr>
                <w:bCs/>
              </w:rPr>
            </w:pPr>
            <w:r w:rsidRPr="00E76B4B">
              <w:rPr>
                <w:bCs/>
              </w:rPr>
              <w:t>Estuary</w:t>
            </w:r>
          </w:p>
        </w:tc>
        <w:tc>
          <w:tcPr>
            <w:tcW w:w="2445" w:type="dxa"/>
            <w:gridSpan w:val="2"/>
            <w:vAlign w:val="center"/>
          </w:tcPr>
          <w:p w:rsidR="004B3323" w:rsidRPr="00E76B4B" w:rsidRDefault="004B3323" w:rsidP="00067543">
            <w:pPr>
              <w:pStyle w:val="TableText"/>
              <w:jc w:val="center"/>
              <w:rPr>
                <w:bCs/>
              </w:rPr>
            </w:pPr>
            <w:r w:rsidRPr="00E76B4B">
              <w:rPr>
                <w:bCs/>
              </w:rPr>
              <w:t>0.01</w:t>
            </w:r>
          </w:p>
        </w:tc>
        <w:tc>
          <w:tcPr>
            <w:tcW w:w="2445" w:type="dxa"/>
            <w:gridSpan w:val="2"/>
            <w:vAlign w:val="center"/>
          </w:tcPr>
          <w:p w:rsidR="004B3323" w:rsidRPr="00E76B4B" w:rsidRDefault="004B3323" w:rsidP="00067543">
            <w:pPr>
              <w:pStyle w:val="TableText"/>
              <w:jc w:val="center"/>
              <w:rPr>
                <w:bCs/>
              </w:rPr>
            </w:pPr>
            <w:r w:rsidRPr="00E76B4B">
              <w:rPr>
                <w:bCs/>
              </w:rPr>
              <w:t>0.02</w:t>
            </w:r>
          </w:p>
        </w:tc>
        <w:tc>
          <w:tcPr>
            <w:tcW w:w="1201" w:type="dxa"/>
            <w:vAlign w:val="center"/>
          </w:tcPr>
          <w:p w:rsidR="004B3323" w:rsidRPr="00E76B4B" w:rsidRDefault="004B3323" w:rsidP="00067543">
            <w:pPr>
              <w:pStyle w:val="TableText"/>
              <w:jc w:val="center"/>
              <w:rPr>
                <w:bCs/>
              </w:rPr>
            </w:pPr>
            <w:r w:rsidRPr="00E76B4B">
              <w:rPr>
                <w:bCs/>
              </w:rPr>
              <w:t>7.2</w:t>
            </w:r>
          </w:p>
        </w:tc>
        <w:tc>
          <w:tcPr>
            <w:tcW w:w="1208" w:type="dxa"/>
            <w:vAlign w:val="center"/>
          </w:tcPr>
          <w:p w:rsidR="004B3323" w:rsidRPr="00E76B4B" w:rsidRDefault="004B3323" w:rsidP="00067543">
            <w:pPr>
              <w:pStyle w:val="TableText"/>
              <w:jc w:val="center"/>
              <w:rPr>
                <w:bCs/>
              </w:rPr>
            </w:pPr>
            <w:r w:rsidRPr="00E76B4B">
              <w:rPr>
                <w:bCs/>
              </w:rPr>
              <w:t>N/A</w:t>
            </w:r>
          </w:p>
        </w:tc>
      </w:tr>
    </w:tbl>
    <w:p w:rsidR="004B3323" w:rsidRDefault="004B3323" w:rsidP="004B3323">
      <w:pPr>
        <w:pStyle w:val="TableText"/>
        <w:rPr>
          <w:b/>
          <w:sz w:val="16"/>
          <w:szCs w:val="16"/>
        </w:rPr>
      </w:pPr>
      <w:r w:rsidRPr="00D54646">
        <w:rPr>
          <w:b/>
          <w:sz w:val="16"/>
          <w:szCs w:val="16"/>
        </w:rPr>
        <w:t>Notes:</w:t>
      </w:r>
    </w:p>
    <w:p w:rsidR="004B3323" w:rsidRDefault="004B3323" w:rsidP="004B3323">
      <w:pPr>
        <w:pStyle w:val="TableText"/>
        <w:rPr>
          <w:sz w:val="16"/>
          <w:szCs w:val="16"/>
        </w:rPr>
      </w:pPr>
      <w:r w:rsidRPr="00D54646">
        <w:rPr>
          <w:sz w:val="16"/>
          <w:szCs w:val="16"/>
        </w:rPr>
        <w:t>N/A – Not available.</w:t>
      </w:r>
    </w:p>
    <w:p w:rsidR="004B3323" w:rsidRPr="00D54646" w:rsidRDefault="004B3323" w:rsidP="004B3323">
      <w:pPr>
        <w:pStyle w:val="TableText"/>
        <w:rPr>
          <w:sz w:val="16"/>
          <w:szCs w:val="16"/>
        </w:rPr>
      </w:pPr>
    </w:p>
    <w:p w:rsidR="004B3323" w:rsidRPr="00D54646" w:rsidRDefault="004B3323" w:rsidP="004B3323">
      <w:pPr>
        <w:pStyle w:val="TableText"/>
        <w:rPr>
          <w:rFonts w:cs="Arial"/>
          <w:sz w:val="16"/>
          <w:szCs w:val="16"/>
        </w:rPr>
      </w:pPr>
      <w:r w:rsidRPr="00D54646">
        <w:rPr>
          <w:rFonts w:cs="Arial"/>
          <w:sz w:val="16"/>
          <w:szCs w:val="16"/>
          <w:vertAlign w:val="superscript"/>
        </w:rPr>
        <w:t>1</w:t>
      </w:r>
      <w:r w:rsidRPr="00D54646">
        <w:rPr>
          <w:rFonts w:cs="Arial"/>
          <w:sz w:val="16"/>
          <w:szCs w:val="16"/>
        </w:rPr>
        <w:t xml:space="preserve"> Values highlighted in gray exceed medians for at least one waterbody type; values highlighted in yellow exceed medians for all surface water types.</w:t>
      </w:r>
    </w:p>
    <w:p w:rsidR="004B3323" w:rsidRPr="00D54646" w:rsidRDefault="004B3323" w:rsidP="004B3323">
      <w:pPr>
        <w:pStyle w:val="TableText"/>
        <w:rPr>
          <w:rFonts w:cs="Arial"/>
          <w:sz w:val="16"/>
          <w:szCs w:val="16"/>
        </w:rPr>
      </w:pPr>
      <w:r w:rsidRPr="00D54646">
        <w:rPr>
          <w:rFonts w:cs="Arial"/>
          <w:sz w:val="16"/>
          <w:szCs w:val="16"/>
          <w:vertAlign w:val="superscript"/>
        </w:rPr>
        <w:t>2</w:t>
      </w:r>
      <w:r w:rsidRPr="00D54646">
        <w:rPr>
          <w:rFonts w:cs="Arial"/>
          <w:sz w:val="16"/>
          <w:szCs w:val="16"/>
        </w:rPr>
        <w:t xml:space="preserve"> Obtained from </w:t>
      </w:r>
      <w:r w:rsidRPr="00D54646">
        <w:rPr>
          <w:rFonts w:cs="Arial"/>
          <w:i/>
          <w:iCs/>
          <w:sz w:val="16"/>
          <w:szCs w:val="16"/>
        </w:rPr>
        <w:t xml:space="preserve">Typical Water Quality Values for </w:t>
      </w:r>
      <w:smartTag w:uri="urn:schemas-microsoft-com:office:smarttags" w:element="place">
        <w:smartTag w:uri="urn:schemas-microsoft-com:office:smarttags" w:element="State">
          <w:r w:rsidRPr="00D54646">
            <w:rPr>
              <w:rFonts w:cs="Arial"/>
              <w:i/>
              <w:iCs/>
              <w:sz w:val="16"/>
              <w:szCs w:val="16"/>
            </w:rPr>
            <w:t>Florida</w:t>
          </w:r>
        </w:smartTag>
      </w:smartTag>
      <w:r w:rsidRPr="00D54646">
        <w:rPr>
          <w:rFonts w:cs="Arial"/>
          <w:i/>
          <w:iCs/>
          <w:sz w:val="16"/>
          <w:szCs w:val="16"/>
        </w:rPr>
        <w:t>’s Lakes, Streams, and Estuaries (Draft)</w:t>
      </w:r>
      <w:r w:rsidRPr="00D54646">
        <w:rPr>
          <w:rFonts w:cs="Arial"/>
          <w:sz w:val="16"/>
          <w:szCs w:val="16"/>
        </w:rPr>
        <w:t>, May 2004.  Nitrate+</w:t>
      </w:r>
      <w:r>
        <w:rPr>
          <w:rFonts w:cs="Arial"/>
          <w:sz w:val="16"/>
          <w:szCs w:val="16"/>
        </w:rPr>
        <w:t>n</w:t>
      </w:r>
      <w:r w:rsidRPr="00D54646">
        <w:rPr>
          <w:rFonts w:cs="Arial"/>
          <w:sz w:val="16"/>
          <w:szCs w:val="16"/>
        </w:rPr>
        <w:t xml:space="preserve">itrite and </w:t>
      </w:r>
      <w:r>
        <w:rPr>
          <w:rFonts w:cs="Arial"/>
          <w:sz w:val="16"/>
          <w:szCs w:val="16"/>
        </w:rPr>
        <w:t>p</w:t>
      </w:r>
      <w:r w:rsidRPr="00D54646">
        <w:rPr>
          <w:rFonts w:cs="Arial"/>
          <w:sz w:val="16"/>
          <w:szCs w:val="16"/>
        </w:rPr>
        <w:t>hosphorus threshold values for surface waters are based on total rather than dissolved concentrations.</w:t>
      </w:r>
    </w:p>
    <w:p w:rsidR="004B3323" w:rsidRPr="00D54646" w:rsidRDefault="004B3323" w:rsidP="004B3323">
      <w:pPr>
        <w:pStyle w:val="TableText"/>
        <w:rPr>
          <w:rFonts w:cs="Arial"/>
          <w:sz w:val="16"/>
          <w:szCs w:val="16"/>
        </w:rPr>
      </w:pPr>
      <w:r w:rsidRPr="00D54646">
        <w:rPr>
          <w:rFonts w:cs="Arial"/>
          <w:sz w:val="16"/>
          <w:szCs w:val="16"/>
          <w:vertAlign w:val="superscript"/>
        </w:rPr>
        <w:t>3</w:t>
      </w:r>
      <w:r w:rsidRPr="00D54646">
        <w:rPr>
          <w:rFonts w:cs="Arial"/>
          <w:sz w:val="16"/>
          <w:szCs w:val="16"/>
        </w:rPr>
        <w:t xml:space="preserve"> Data used for this assessment </w:t>
      </w:r>
      <w:r>
        <w:rPr>
          <w:rFonts w:cs="Arial"/>
          <w:sz w:val="16"/>
          <w:szCs w:val="16"/>
        </w:rPr>
        <w:t>were</w:t>
      </w:r>
      <w:r w:rsidRPr="00D54646">
        <w:rPr>
          <w:rFonts w:cs="Arial"/>
          <w:sz w:val="16"/>
          <w:szCs w:val="16"/>
        </w:rPr>
        <w:t xml:space="preserve"> sampled between 2000 and 2007 and mainly include the Status and Trend Network's Cycle 1 (2000</w:t>
      </w:r>
      <w:r>
        <w:rPr>
          <w:rFonts w:cs="Arial"/>
          <w:sz w:val="16"/>
          <w:szCs w:val="16"/>
        </w:rPr>
        <w:t>–</w:t>
      </w:r>
      <w:r w:rsidRPr="00D54646">
        <w:rPr>
          <w:rFonts w:cs="Arial"/>
          <w:sz w:val="16"/>
          <w:szCs w:val="16"/>
        </w:rPr>
        <w:t>04) and Cycle 2 (2004</w:t>
      </w:r>
      <w:r>
        <w:rPr>
          <w:rFonts w:cs="Arial"/>
          <w:sz w:val="16"/>
          <w:szCs w:val="16"/>
        </w:rPr>
        <w:t>–</w:t>
      </w:r>
      <w:r w:rsidRPr="00D54646">
        <w:rPr>
          <w:rFonts w:cs="Arial"/>
          <w:sz w:val="16"/>
          <w:szCs w:val="16"/>
        </w:rPr>
        <w:t>07) basin monitoring.  The analytes and list frame of wells used by the Status Network's probabilistic design differed for the cycles.  The Cycle 1 well list frame included a relatively larger population of background wells</w:t>
      </w:r>
      <w:r>
        <w:rPr>
          <w:rFonts w:cs="Arial"/>
          <w:sz w:val="16"/>
          <w:szCs w:val="16"/>
        </w:rPr>
        <w:t>,</w:t>
      </w:r>
      <w:r w:rsidRPr="00D54646">
        <w:rPr>
          <w:rFonts w:cs="Arial"/>
          <w:sz w:val="16"/>
          <w:szCs w:val="16"/>
        </w:rPr>
        <w:t xml:space="preserve"> while the Cycle 2 well list frame included a significantly greater number of upgradient facility wells.  D</w:t>
      </w:r>
      <w:r>
        <w:rPr>
          <w:rFonts w:cs="Arial"/>
          <w:sz w:val="16"/>
          <w:szCs w:val="16"/>
        </w:rPr>
        <w:t>O</w:t>
      </w:r>
      <w:r w:rsidRPr="00D54646">
        <w:rPr>
          <w:rFonts w:cs="Arial"/>
          <w:sz w:val="16"/>
          <w:szCs w:val="16"/>
        </w:rPr>
        <w:t xml:space="preserve"> was sampled during both cycles and total iron was only sampled during Cycle 2 of the Status Network.</w:t>
      </w:r>
    </w:p>
    <w:p w:rsidR="004B3323" w:rsidRPr="00D54646" w:rsidRDefault="004B3323" w:rsidP="004B3323">
      <w:pPr>
        <w:pStyle w:val="TableText"/>
        <w:rPr>
          <w:sz w:val="16"/>
          <w:szCs w:val="16"/>
        </w:rPr>
      </w:pPr>
    </w:p>
    <w:p w:rsidR="004B3323" w:rsidRPr="00247625" w:rsidRDefault="004B3323" w:rsidP="004B3323">
      <w:pPr>
        <w:rPr>
          <w:rFonts w:ascii="Arial" w:hAnsi="Arial" w:cs="Arial"/>
          <w:sz w:val="22"/>
          <w:szCs w:val="22"/>
        </w:rPr>
      </w:pPr>
      <w:r>
        <w:rPr>
          <w:rFonts w:ascii="Arial" w:hAnsi="Arial" w:cs="Arial"/>
          <w:sz w:val="22"/>
          <w:szCs w:val="22"/>
        </w:rPr>
        <w:br w:type="page"/>
      </w:r>
    </w:p>
    <w:p w:rsidR="004B3323" w:rsidRDefault="004B3323" w:rsidP="004B3323">
      <w:pPr>
        <w:autoSpaceDE w:val="0"/>
        <w:autoSpaceDN w:val="0"/>
        <w:adjustRightInd w:val="0"/>
        <w:rPr>
          <w:rFonts w:ascii="Arial" w:hAnsi="Arial" w:cs="Arial"/>
          <w:bCs/>
          <w:sz w:val="22"/>
          <w:szCs w:val="22"/>
        </w:rPr>
      </w:pPr>
      <w:r>
        <w:rPr>
          <w:rFonts w:ascii="Arial" w:hAnsi="Arial" w:cs="Arial"/>
          <w:bCs/>
          <w:sz w:val="22"/>
          <w:szCs w:val="22"/>
        </w:rPr>
        <w:lastRenderedPageBreak/>
        <w:t>Low DO is a normal characteristic of ground water.  Depressed DO in springs, spring runs, spring-fed rivers, and many drainage canals is primarily or entirely attributable to ground water inflows.  In instances where ground water contributions to surface waterbodies are high, low DO is a typical consequence.</w:t>
      </w:r>
    </w:p>
    <w:p w:rsidR="004B3323" w:rsidRDefault="004B3323" w:rsidP="004B3323">
      <w:pPr>
        <w:autoSpaceDE w:val="0"/>
        <w:autoSpaceDN w:val="0"/>
        <w:adjustRightInd w:val="0"/>
        <w:rPr>
          <w:rFonts w:ascii="Arial" w:hAnsi="Arial" w:cs="Arial"/>
          <w:bCs/>
          <w:sz w:val="22"/>
          <w:szCs w:val="22"/>
        </w:rPr>
      </w:pPr>
    </w:p>
    <w:p w:rsidR="004B3323" w:rsidRPr="00861849" w:rsidRDefault="004B3323" w:rsidP="004B3323">
      <w:pPr>
        <w:autoSpaceDE w:val="0"/>
        <w:autoSpaceDN w:val="0"/>
        <w:adjustRightInd w:val="0"/>
        <w:rPr>
          <w:rFonts w:ascii="Arial" w:hAnsi="Arial" w:cs="Arial"/>
          <w:bCs/>
          <w:sz w:val="22"/>
          <w:szCs w:val="22"/>
        </w:rPr>
      </w:pPr>
      <w:r>
        <w:rPr>
          <w:rFonts w:ascii="Arial" w:hAnsi="Arial" w:cs="Arial"/>
          <w:bCs/>
          <w:sz w:val="22"/>
          <w:szCs w:val="22"/>
        </w:rPr>
        <w:t xml:space="preserve">Iron is another ground water constituent that occurs naturally due to the leaching of ferric iron from iron-rich clay soils and sediment.  Iron in the environment also has an affinity for organic materials.  Streams that are high in iron concentration typically have a high to moderate ground water component, low DO, and high dissolved organic carbon content. </w:t>
      </w:r>
    </w:p>
    <w:p w:rsidR="004B3323" w:rsidRDefault="004B3323" w:rsidP="004B3323">
      <w:pPr>
        <w:autoSpaceDE w:val="0"/>
        <w:autoSpaceDN w:val="0"/>
        <w:adjustRightInd w:val="0"/>
        <w:rPr>
          <w:rFonts w:ascii="Arial" w:hAnsi="Arial" w:cs="Arial"/>
          <w:bCs/>
          <w:sz w:val="22"/>
          <w:szCs w:val="22"/>
        </w:rPr>
      </w:pPr>
    </w:p>
    <w:p w:rsidR="004B3323" w:rsidRPr="00755B30" w:rsidRDefault="004B3323" w:rsidP="004B3323">
      <w:pPr>
        <w:pStyle w:val="Heading3"/>
      </w:pPr>
      <w:bookmarkStart w:id="61" w:name="_Toc190052711"/>
      <w:bookmarkStart w:id="62" w:name="_Toc209241296"/>
      <w:r w:rsidRPr="00810E70">
        <w:t>Springs and Spring-related Issues</w:t>
      </w:r>
      <w:bookmarkEnd w:id="61"/>
      <w:bookmarkEnd w:id="62"/>
      <w:r w:rsidRPr="00810E70">
        <w:t xml:space="preserve"> </w:t>
      </w:r>
    </w:p>
    <w:p w:rsidR="004B3323" w:rsidRDefault="004B3323" w:rsidP="004B3323">
      <w:pPr>
        <w:pStyle w:val="BodyText2"/>
        <w:rPr>
          <w:i w:val="0"/>
          <w:color w:val="000000"/>
          <w:sz w:val="22"/>
          <w:szCs w:val="22"/>
        </w:rPr>
      </w:pPr>
      <w:r w:rsidRPr="0074792A">
        <w:rPr>
          <w:i w:val="0"/>
          <w:color w:val="000000"/>
          <w:sz w:val="22"/>
          <w:szCs w:val="22"/>
        </w:rPr>
        <w:t xml:space="preserve">Elevated nitrates are a common and growing problem in </w:t>
      </w:r>
      <w:smartTag w:uri="urn:schemas-microsoft-com:office:smarttags" w:element="State">
        <w:r w:rsidRPr="0074792A">
          <w:rPr>
            <w:i w:val="0"/>
            <w:color w:val="000000"/>
            <w:sz w:val="22"/>
            <w:szCs w:val="22"/>
          </w:rPr>
          <w:t>Florida</w:t>
        </w:r>
      </w:smartTag>
      <w:r w:rsidRPr="0074792A">
        <w:rPr>
          <w:i w:val="0"/>
          <w:color w:val="000000"/>
          <w:sz w:val="22"/>
          <w:szCs w:val="22"/>
        </w:rPr>
        <w:t xml:space="preserve"> springs, with steady rises in nitrate levels observed in many </w:t>
      </w:r>
      <w:smartTag w:uri="urn:schemas-microsoft-com:office:smarttags" w:element="place">
        <w:smartTag w:uri="urn:schemas-microsoft-com:office:smarttags" w:element="State">
          <w:r w:rsidRPr="0074792A">
            <w:rPr>
              <w:i w:val="0"/>
              <w:color w:val="000000"/>
              <w:sz w:val="22"/>
              <w:szCs w:val="22"/>
            </w:rPr>
            <w:t>Florida</w:t>
          </w:r>
        </w:smartTag>
      </w:smartTag>
      <w:r w:rsidRPr="0074792A">
        <w:rPr>
          <w:i w:val="0"/>
          <w:color w:val="000000"/>
          <w:sz w:val="22"/>
          <w:szCs w:val="22"/>
        </w:rPr>
        <w:t xml:space="preserve"> springs over the past 30 years (Florida Springs Task Force, 2000).  Nitrate was once a very minor constituent of </w:t>
      </w:r>
      <w:smartTag w:uri="urn:schemas-microsoft-com:office:smarttags" w:element="place">
        <w:smartTag w:uri="urn:schemas-microsoft-com:office:smarttags" w:element="State">
          <w:r w:rsidRPr="0074792A">
            <w:rPr>
              <w:i w:val="0"/>
              <w:color w:val="000000"/>
              <w:sz w:val="22"/>
              <w:szCs w:val="22"/>
            </w:rPr>
            <w:t>Florida</w:t>
          </w:r>
        </w:smartTag>
      </w:smartTag>
      <w:r w:rsidRPr="0074792A">
        <w:rPr>
          <w:i w:val="0"/>
          <w:color w:val="000000"/>
          <w:sz w:val="22"/>
          <w:szCs w:val="22"/>
        </w:rPr>
        <w:t xml:space="preserve"> spring water.  Typical nitrate concentrations were less than 0.2 mg/L.</w:t>
      </w:r>
      <w:r>
        <w:rPr>
          <w:i w:val="0"/>
          <w:color w:val="000000"/>
          <w:sz w:val="22"/>
          <w:szCs w:val="22"/>
        </w:rPr>
        <w:t xml:space="preserve"> </w:t>
      </w:r>
      <w:r w:rsidRPr="0074792A">
        <w:rPr>
          <w:i w:val="0"/>
          <w:color w:val="000000"/>
          <w:sz w:val="22"/>
          <w:szCs w:val="22"/>
        </w:rPr>
        <w:t xml:space="preserve"> Today many </w:t>
      </w:r>
      <w:smartTag w:uri="urn:schemas-microsoft-com:office:smarttags" w:element="place">
        <w:smartTag w:uri="urn:schemas-microsoft-com:office:smarttags" w:element="State">
          <w:r w:rsidRPr="0074792A">
            <w:rPr>
              <w:i w:val="0"/>
              <w:color w:val="000000"/>
              <w:sz w:val="22"/>
              <w:szCs w:val="22"/>
            </w:rPr>
            <w:t>Florida</w:t>
          </w:r>
        </w:smartTag>
      </w:smartTag>
      <w:r w:rsidRPr="0074792A">
        <w:rPr>
          <w:i w:val="0"/>
          <w:color w:val="000000"/>
          <w:sz w:val="22"/>
          <w:szCs w:val="22"/>
        </w:rPr>
        <w:t xml:space="preserve"> springs discharge water that has more than 1.0 mg/L of nitrate</w:t>
      </w:r>
      <w:r>
        <w:rPr>
          <w:i w:val="0"/>
          <w:color w:val="000000"/>
          <w:sz w:val="22"/>
          <w:szCs w:val="22"/>
        </w:rPr>
        <w:t xml:space="preserve"> nitrogen</w:t>
      </w:r>
      <w:r w:rsidRPr="0074792A">
        <w:rPr>
          <w:i w:val="0"/>
          <w:color w:val="000000"/>
          <w:sz w:val="22"/>
          <w:szCs w:val="22"/>
        </w:rPr>
        <w:t xml:space="preserve">.  It is believed that nitrate </w:t>
      </w:r>
      <w:r>
        <w:rPr>
          <w:i w:val="0"/>
          <w:color w:val="000000"/>
          <w:sz w:val="22"/>
          <w:szCs w:val="22"/>
        </w:rPr>
        <w:t xml:space="preserve">nitrogen </w:t>
      </w:r>
      <w:r w:rsidRPr="0074792A">
        <w:rPr>
          <w:i w:val="0"/>
          <w:color w:val="000000"/>
          <w:sz w:val="22"/>
          <w:szCs w:val="22"/>
        </w:rPr>
        <w:t xml:space="preserve">levels as low as </w:t>
      </w:r>
      <w:r>
        <w:rPr>
          <w:i w:val="0"/>
          <w:color w:val="000000"/>
          <w:sz w:val="22"/>
          <w:szCs w:val="22"/>
        </w:rPr>
        <w:br/>
      </w:r>
      <w:r w:rsidRPr="0074792A">
        <w:rPr>
          <w:i w:val="0"/>
          <w:color w:val="000000"/>
          <w:sz w:val="22"/>
          <w:szCs w:val="22"/>
        </w:rPr>
        <w:t>1 mg/L or less can cause a significant shift in the balance of spring ecological communities, leading to the degradation of biological systems</w:t>
      </w:r>
      <w:r>
        <w:rPr>
          <w:i w:val="0"/>
          <w:color w:val="000000"/>
          <w:sz w:val="22"/>
          <w:szCs w:val="22"/>
        </w:rPr>
        <w:t xml:space="preserve"> due to the overgrowth of algae and sometimes aquatic plants</w:t>
      </w:r>
      <w:r w:rsidRPr="0074792A">
        <w:rPr>
          <w:i w:val="0"/>
          <w:color w:val="000000"/>
          <w:sz w:val="22"/>
          <w:szCs w:val="22"/>
        </w:rPr>
        <w:t>.</w:t>
      </w:r>
    </w:p>
    <w:p w:rsidR="004B3323" w:rsidRDefault="004B3323" w:rsidP="004B3323">
      <w:pPr>
        <w:pStyle w:val="BodyText2"/>
        <w:rPr>
          <w:i w:val="0"/>
          <w:color w:val="000000"/>
          <w:sz w:val="22"/>
          <w:szCs w:val="22"/>
        </w:rPr>
      </w:pPr>
    </w:p>
    <w:p w:rsidR="004B3323" w:rsidRPr="0074792A" w:rsidRDefault="004B3323" w:rsidP="004B3323">
      <w:pPr>
        <w:pStyle w:val="BodyText2"/>
        <w:rPr>
          <w:i w:val="0"/>
          <w:color w:val="000000"/>
          <w:sz w:val="22"/>
          <w:szCs w:val="22"/>
        </w:rPr>
      </w:pPr>
      <w:r>
        <w:rPr>
          <w:i w:val="0"/>
          <w:color w:val="000000"/>
          <w:sz w:val="22"/>
          <w:szCs w:val="22"/>
        </w:rPr>
        <w:t xml:space="preserve">There is currently no statewide adverse-effects threshold for nitrate for </w:t>
      </w:r>
      <w:smartTag w:uri="urn:schemas-microsoft-com:office:smarttags" w:element="place">
        <w:smartTag w:uri="urn:schemas-microsoft-com:office:smarttags" w:element="State">
          <w:r>
            <w:rPr>
              <w:i w:val="0"/>
              <w:color w:val="000000"/>
              <w:sz w:val="22"/>
              <w:szCs w:val="22"/>
            </w:rPr>
            <w:t>Florida</w:t>
          </w:r>
        </w:smartTag>
      </w:smartTag>
      <w:r>
        <w:rPr>
          <w:i w:val="0"/>
          <w:color w:val="000000"/>
          <w:sz w:val="22"/>
          <w:szCs w:val="22"/>
        </w:rPr>
        <w:t xml:space="preserve">, although several science-based values have been offered that can be used for reference purposes.  In an FDEP-funded study, </w:t>
      </w:r>
      <w:smartTag w:uri="urn:schemas-microsoft-com:office:smarttags" w:element="place">
        <w:smartTag w:uri="urn:schemas-microsoft-com:office:smarttags" w:element="PlaceName">
          <w:r>
            <w:rPr>
              <w:i w:val="0"/>
              <w:color w:val="000000"/>
              <w:sz w:val="22"/>
              <w:szCs w:val="22"/>
            </w:rPr>
            <w:t>Michigan</w:t>
          </w:r>
        </w:smartTag>
        <w:r>
          <w:rPr>
            <w:i w:val="0"/>
            <w:color w:val="000000"/>
            <w:sz w:val="22"/>
            <w:szCs w:val="22"/>
          </w:rPr>
          <w:t xml:space="preserve"> </w:t>
        </w:r>
        <w:smartTag w:uri="urn:schemas-microsoft-com:office:smarttags" w:element="PlaceType">
          <w:r>
            <w:rPr>
              <w:i w:val="0"/>
              <w:color w:val="000000"/>
              <w:sz w:val="22"/>
              <w:szCs w:val="22"/>
            </w:rPr>
            <w:t>State</w:t>
          </w:r>
        </w:smartTag>
        <w:r>
          <w:rPr>
            <w:i w:val="0"/>
            <w:color w:val="000000"/>
            <w:sz w:val="22"/>
            <w:szCs w:val="22"/>
          </w:rPr>
          <w:t xml:space="preserve"> </w:t>
        </w:r>
        <w:smartTag w:uri="urn:schemas-microsoft-com:office:smarttags" w:element="PlaceType">
          <w:r>
            <w:rPr>
              <w:i w:val="0"/>
              <w:color w:val="000000"/>
              <w:sz w:val="22"/>
              <w:szCs w:val="22"/>
            </w:rPr>
            <w:t>University</w:t>
          </w:r>
        </w:smartTag>
      </w:smartTag>
      <w:r>
        <w:rPr>
          <w:i w:val="0"/>
          <w:color w:val="000000"/>
          <w:sz w:val="22"/>
          <w:szCs w:val="22"/>
        </w:rPr>
        <w:t xml:space="preserve"> researchers determined that algal species reductions occurred at nitrate concentrations below 0.591 mg/L for the algal genus </w:t>
      </w:r>
      <w:r w:rsidRPr="00B51AD4">
        <w:rPr>
          <w:color w:val="000000"/>
          <w:sz w:val="22"/>
          <w:szCs w:val="22"/>
        </w:rPr>
        <w:t>Vaucheria</w:t>
      </w:r>
      <w:r>
        <w:rPr>
          <w:i w:val="0"/>
          <w:color w:val="000000"/>
          <w:sz w:val="22"/>
          <w:szCs w:val="22"/>
        </w:rPr>
        <w:t xml:space="preserve"> spp. and below 0.250 mg/L for the more prevalent </w:t>
      </w:r>
      <w:r w:rsidRPr="00B51AD4">
        <w:rPr>
          <w:color w:val="000000"/>
          <w:sz w:val="22"/>
          <w:szCs w:val="22"/>
        </w:rPr>
        <w:t>Lyngbya wollei</w:t>
      </w:r>
      <w:r>
        <w:rPr>
          <w:color w:val="000000"/>
          <w:sz w:val="22"/>
          <w:szCs w:val="22"/>
        </w:rPr>
        <w:t xml:space="preserve"> </w:t>
      </w:r>
      <w:r>
        <w:rPr>
          <w:i w:val="0"/>
          <w:color w:val="000000"/>
          <w:sz w:val="22"/>
          <w:szCs w:val="22"/>
        </w:rPr>
        <w:t xml:space="preserve">(Stevenson et al., 2007).  Another reference threshold was provided in documentation supporting spring run–related TMDLs for the </w:t>
      </w:r>
      <w:smartTag w:uri="urn:schemas-microsoft-com:office:smarttags" w:element="place">
        <w:smartTag w:uri="urn:schemas-microsoft-com:office:smarttags" w:element="PlaceName">
          <w:r>
            <w:rPr>
              <w:i w:val="0"/>
              <w:color w:val="000000"/>
              <w:sz w:val="22"/>
              <w:szCs w:val="22"/>
            </w:rPr>
            <w:t>Wekiva</w:t>
          </w:r>
        </w:smartTag>
        <w:r>
          <w:rPr>
            <w:i w:val="0"/>
            <w:color w:val="000000"/>
            <w:sz w:val="22"/>
            <w:szCs w:val="22"/>
          </w:rPr>
          <w:t xml:space="preserve"> </w:t>
        </w:r>
        <w:smartTag w:uri="urn:schemas-microsoft-com:office:smarttags" w:element="PlaceType">
          <w:r>
            <w:rPr>
              <w:i w:val="0"/>
              <w:color w:val="000000"/>
              <w:sz w:val="22"/>
              <w:szCs w:val="22"/>
            </w:rPr>
            <w:t>River</w:t>
          </w:r>
        </w:smartTag>
      </w:smartTag>
      <w:r>
        <w:rPr>
          <w:i w:val="0"/>
          <w:color w:val="000000"/>
          <w:sz w:val="22"/>
          <w:szCs w:val="22"/>
        </w:rPr>
        <w:t xml:space="preserve"> and Rock Springs Run by FDEP (Gao, 2007).  The Wekiva River/Rock Springs Run TMDL was based on a nitrate threshold of 0.286 mg/L, established at a level that would reduce overall periphyton biomass concentration to an acceptable level.</w:t>
      </w:r>
    </w:p>
    <w:p w:rsidR="004B3323" w:rsidRDefault="004B3323" w:rsidP="004B3323">
      <w:pPr>
        <w:rPr>
          <w:rFonts w:ascii="Arial" w:hAnsi="Arial" w:cs="Arial"/>
          <w:sz w:val="22"/>
          <w:szCs w:val="22"/>
        </w:rPr>
      </w:pPr>
    </w:p>
    <w:p w:rsidR="004B3323" w:rsidRDefault="004B3323" w:rsidP="004B3323">
      <w:pPr>
        <w:autoSpaceDE w:val="0"/>
        <w:autoSpaceDN w:val="0"/>
        <w:adjustRightInd w:val="0"/>
      </w:pPr>
      <w:r>
        <w:rPr>
          <w:rFonts w:ascii="Arial" w:hAnsi="Arial" w:cs="Arial"/>
          <w:sz w:val="22"/>
          <w:szCs w:val="22"/>
        </w:rPr>
        <w:t>F</w:t>
      </w:r>
      <w:r w:rsidRPr="00247625">
        <w:rPr>
          <w:rFonts w:ascii="Arial" w:hAnsi="Arial" w:cs="Arial"/>
          <w:sz w:val="22"/>
          <w:szCs w:val="22"/>
        </w:rPr>
        <w:t xml:space="preserve">or </w:t>
      </w:r>
      <w:r>
        <w:rPr>
          <w:rFonts w:ascii="Arial" w:hAnsi="Arial" w:cs="Arial"/>
          <w:sz w:val="22"/>
          <w:szCs w:val="22"/>
        </w:rPr>
        <w:t xml:space="preserve">this evaluation, FDEP used </w:t>
      </w:r>
      <w:r w:rsidRPr="00247625">
        <w:rPr>
          <w:rFonts w:ascii="Arial" w:hAnsi="Arial" w:cs="Arial"/>
          <w:sz w:val="22"/>
          <w:szCs w:val="22"/>
        </w:rPr>
        <w:t>spring</w:t>
      </w:r>
      <w:r>
        <w:rPr>
          <w:rFonts w:ascii="Arial" w:hAnsi="Arial" w:cs="Arial"/>
          <w:sz w:val="22"/>
          <w:szCs w:val="22"/>
        </w:rPr>
        <w:t xml:space="preserve"> water quality</w:t>
      </w:r>
      <w:r w:rsidRPr="00247625">
        <w:rPr>
          <w:rFonts w:ascii="Arial" w:hAnsi="Arial" w:cs="Arial"/>
          <w:sz w:val="22"/>
          <w:szCs w:val="22"/>
        </w:rPr>
        <w:t xml:space="preserve"> data provided by the Springs Initiative</w:t>
      </w:r>
      <w:r>
        <w:rPr>
          <w:rFonts w:ascii="Arial" w:hAnsi="Arial" w:cs="Arial"/>
          <w:sz w:val="22"/>
          <w:szCs w:val="22"/>
        </w:rPr>
        <w:t xml:space="preserve"> special projects and quarterly monitoring network</w:t>
      </w:r>
      <w:r w:rsidRPr="00247625">
        <w:rPr>
          <w:rFonts w:ascii="Arial" w:hAnsi="Arial" w:cs="Arial"/>
          <w:sz w:val="22"/>
          <w:szCs w:val="22"/>
        </w:rPr>
        <w:t xml:space="preserve"> (200</w:t>
      </w:r>
      <w:r>
        <w:rPr>
          <w:rFonts w:ascii="Arial" w:hAnsi="Arial" w:cs="Arial"/>
          <w:sz w:val="22"/>
          <w:szCs w:val="22"/>
        </w:rPr>
        <w:t>0–06</w:t>
      </w:r>
      <w:r w:rsidRPr="00247625">
        <w:rPr>
          <w:rFonts w:ascii="Arial" w:hAnsi="Arial" w:cs="Arial"/>
          <w:sz w:val="22"/>
          <w:szCs w:val="22"/>
        </w:rPr>
        <w:t xml:space="preserve">).  </w:t>
      </w:r>
      <w:r w:rsidRPr="001B458D">
        <w:rPr>
          <w:rFonts w:ascii="Arial" w:hAnsi="Arial" w:cs="Arial"/>
          <w:b/>
          <w:i/>
          <w:sz w:val="22"/>
          <w:szCs w:val="22"/>
        </w:rPr>
        <w:t xml:space="preserve">Table </w:t>
      </w:r>
      <w:r>
        <w:rPr>
          <w:rFonts w:ascii="Arial" w:hAnsi="Arial" w:cs="Arial"/>
          <w:b/>
          <w:i/>
          <w:sz w:val="22"/>
          <w:szCs w:val="22"/>
        </w:rPr>
        <w:t>31</w:t>
      </w:r>
      <w:r w:rsidRPr="0044047C">
        <w:rPr>
          <w:rFonts w:ascii="Arial" w:hAnsi="Arial" w:cs="Arial"/>
          <w:b/>
          <w:sz w:val="22"/>
          <w:szCs w:val="22"/>
        </w:rPr>
        <w:t xml:space="preserve"> </w:t>
      </w:r>
      <w:r>
        <w:rPr>
          <w:rFonts w:ascii="Arial" w:hAnsi="Arial" w:cs="Arial"/>
          <w:sz w:val="22"/>
          <w:szCs w:val="22"/>
        </w:rPr>
        <w:t>lists th</w:t>
      </w:r>
      <w:r w:rsidRPr="00247625">
        <w:rPr>
          <w:rFonts w:ascii="Arial" w:hAnsi="Arial" w:cs="Arial"/>
          <w:sz w:val="22"/>
          <w:szCs w:val="22"/>
        </w:rPr>
        <w:t>ese reference springs</w:t>
      </w:r>
      <w:r>
        <w:rPr>
          <w:rFonts w:ascii="Arial" w:hAnsi="Arial" w:cs="Arial"/>
          <w:sz w:val="22"/>
          <w:szCs w:val="22"/>
        </w:rPr>
        <w:t xml:space="preserve">, </w:t>
      </w:r>
      <w:r w:rsidRPr="00247625">
        <w:rPr>
          <w:rFonts w:ascii="Arial" w:hAnsi="Arial" w:cs="Arial"/>
          <w:sz w:val="22"/>
          <w:szCs w:val="22"/>
        </w:rPr>
        <w:t xml:space="preserve">along </w:t>
      </w:r>
      <w:r>
        <w:rPr>
          <w:rFonts w:ascii="Arial" w:hAnsi="Arial" w:cs="Arial"/>
          <w:sz w:val="22"/>
          <w:szCs w:val="22"/>
        </w:rPr>
        <w:t xml:space="preserve">with median values for nitrate.  A reference spring in this report is defined as having a nitrate median concentration less than 0.06 mg/L.  Some of the springs listed in </w:t>
      </w:r>
      <w:r w:rsidRPr="00F90770">
        <w:rPr>
          <w:rFonts w:ascii="Arial" w:hAnsi="Arial" w:cs="Arial"/>
          <w:b/>
          <w:i/>
          <w:sz w:val="22"/>
          <w:szCs w:val="22"/>
        </w:rPr>
        <w:t xml:space="preserve">Table </w:t>
      </w:r>
      <w:r>
        <w:rPr>
          <w:rFonts w:ascii="Arial" w:hAnsi="Arial" w:cs="Arial"/>
          <w:b/>
          <w:i/>
          <w:sz w:val="22"/>
          <w:szCs w:val="22"/>
        </w:rPr>
        <w:t>31</w:t>
      </w:r>
      <w:r>
        <w:rPr>
          <w:rFonts w:ascii="Arial" w:hAnsi="Arial" w:cs="Arial"/>
          <w:sz w:val="22"/>
          <w:szCs w:val="22"/>
        </w:rPr>
        <w:t xml:space="preserve"> have limited data and require additional sampling in the future to confirm their inclusion in the list of reference springs.</w:t>
      </w:r>
    </w:p>
    <w:p w:rsidR="004B3323" w:rsidRDefault="004B3323" w:rsidP="004B3323"/>
    <w:p w:rsidR="004B3323" w:rsidRPr="00247625" w:rsidRDefault="004B3323" w:rsidP="004B3323">
      <w:pPr>
        <w:pStyle w:val="Bodytext"/>
      </w:pPr>
      <w:r w:rsidRPr="00247625">
        <w:t xml:space="preserve">The statewide spring data were combined and compared </w:t>
      </w:r>
      <w:r>
        <w:t>with</w:t>
      </w:r>
      <w:r w:rsidRPr="00247625">
        <w:t xml:space="preserve"> the reference springs for nutrients.  The period of </w:t>
      </w:r>
      <w:r>
        <w:t xml:space="preserve">record for statewide nitrate nitrogen data is </w:t>
      </w:r>
      <w:r w:rsidRPr="009A6736">
        <w:t>1985 to 2007; however, most springs only have data from 2000 to 2006.  The stat</w:t>
      </w:r>
      <w:r w:rsidRPr="00247625">
        <w:t xml:space="preserve">ewide median nitrate value was over </w:t>
      </w:r>
      <w:r>
        <w:t>50</w:t>
      </w:r>
      <w:r w:rsidRPr="00247625">
        <w:t xml:space="preserve"> times higher than the median value for reference springs.  The first</w:t>
      </w:r>
      <w:r>
        <w:t>-</w:t>
      </w:r>
      <w:r w:rsidRPr="00247625">
        <w:t xml:space="preserve">magnitude springs were also compared </w:t>
      </w:r>
      <w:r>
        <w:t>with</w:t>
      </w:r>
      <w:r w:rsidRPr="00247625">
        <w:t xml:space="preserve"> the reference springs and have a similar result.  </w:t>
      </w:r>
    </w:p>
    <w:p w:rsidR="004B3323" w:rsidRDefault="004B3323" w:rsidP="004B3323">
      <w:pPr>
        <w:pStyle w:val="Bodytext"/>
      </w:pPr>
    </w:p>
    <w:p w:rsidR="004B3323" w:rsidRPr="00247625" w:rsidRDefault="004B3323" w:rsidP="004B3323">
      <w:pPr>
        <w:pStyle w:val="Bodytext"/>
      </w:pPr>
      <w:r w:rsidRPr="00247625">
        <w:t xml:space="preserve">The trends in water quality for springs are best analyzed by looking at the data for individual springs or groups of springs that are in close proximity and comparing them </w:t>
      </w:r>
      <w:r>
        <w:t>with</w:t>
      </w:r>
      <w:r w:rsidRPr="00247625">
        <w:t xml:space="preserve"> reference springs </w:t>
      </w:r>
      <w:r w:rsidRPr="00193E51">
        <w:rPr>
          <w:b/>
          <w:i/>
        </w:rPr>
        <w:t xml:space="preserve">(Figure </w:t>
      </w:r>
      <w:r>
        <w:rPr>
          <w:b/>
          <w:i/>
        </w:rPr>
        <w:t>8</w:t>
      </w:r>
      <w:r w:rsidRPr="00193E51">
        <w:rPr>
          <w:b/>
          <w:i/>
        </w:rPr>
        <w:t>).</w:t>
      </w:r>
      <w:r w:rsidRPr="00247625">
        <w:t xml:space="preserve"> </w:t>
      </w:r>
      <w:r>
        <w:t xml:space="preserve"> Some springs were organized by clusters or groups to increase the number of sampling events.  </w:t>
      </w:r>
      <w:r w:rsidRPr="00247625">
        <w:t>For th</w:t>
      </w:r>
      <w:r>
        <w:t>e empirical trend analysis in th</w:t>
      </w:r>
      <w:r w:rsidRPr="00247625">
        <w:t xml:space="preserve">is </w:t>
      </w:r>
      <w:r w:rsidRPr="00247625">
        <w:lastRenderedPageBreak/>
        <w:t xml:space="preserve">report, only the data from </w:t>
      </w:r>
      <w:r>
        <w:t xml:space="preserve">the </w:t>
      </w:r>
      <w:r w:rsidRPr="00247625">
        <w:t>200</w:t>
      </w:r>
      <w:r>
        <w:t xml:space="preserve">0 to </w:t>
      </w:r>
      <w:r w:rsidRPr="00247625">
        <w:t>200</w:t>
      </w:r>
      <w:r>
        <w:t>6 period of monitoring implemented by the Springs Initiative</w:t>
      </w:r>
      <w:r w:rsidRPr="00247625">
        <w:t xml:space="preserve"> </w:t>
      </w:r>
      <w:r>
        <w:t>were</w:t>
      </w:r>
      <w:r w:rsidRPr="00247625">
        <w:t xml:space="preserve"> </w:t>
      </w:r>
      <w:r>
        <w:t>used</w:t>
      </w:r>
      <w:r w:rsidRPr="00247625">
        <w:t>.  The</w:t>
      </w:r>
      <w:r>
        <w:t>re could be several</w:t>
      </w:r>
      <w:r w:rsidRPr="00247625">
        <w:t xml:space="preserve"> contributing factors to observable trends</w:t>
      </w:r>
      <w:r>
        <w:t>, but the overall increases in nitrate are associated with anthropogenic sources</w:t>
      </w:r>
      <w:r w:rsidRPr="00247625">
        <w:t xml:space="preserve">.  </w:t>
      </w:r>
      <w:r>
        <w:t>Essentially n</w:t>
      </w:r>
      <w:r w:rsidRPr="00247625">
        <w:t>o nitrate trends were identified in the reference springs</w:t>
      </w:r>
      <w:r>
        <w:t>, where the primary source of nitrate</w:t>
      </w:r>
      <w:r w:rsidRPr="00247625">
        <w:t xml:space="preserve"> </w:t>
      </w:r>
      <w:r>
        <w:t>is</w:t>
      </w:r>
      <w:r w:rsidRPr="00247625">
        <w:t xml:space="preserve"> assumed to be atmospheric deposition.  </w:t>
      </w:r>
      <w:r>
        <w:t xml:space="preserve">Nitrate trends for most other </w:t>
      </w:r>
      <w:r w:rsidRPr="00247625">
        <w:t>springs</w:t>
      </w:r>
      <w:r>
        <w:t xml:space="preserve">, especially those springs with </w:t>
      </w:r>
      <w:r w:rsidRPr="00247625">
        <w:t>the highest nitrate concentrations in the s</w:t>
      </w:r>
      <w:r>
        <w:t>tate, show measurable increases</w:t>
      </w:r>
      <w:r w:rsidRPr="00247625">
        <w:t>.</w:t>
      </w:r>
    </w:p>
    <w:p w:rsidR="004B3323" w:rsidRDefault="004B3323" w:rsidP="004B3323">
      <w:pPr>
        <w:pStyle w:val="Bodytext"/>
      </w:pPr>
    </w:p>
    <w:p w:rsidR="004B3323" w:rsidRDefault="004B3323" w:rsidP="004B3323">
      <w:pPr>
        <w:pStyle w:val="Bodytext"/>
      </w:pPr>
      <w:r>
        <w:t>Nitrate concentrations in s</w:t>
      </w:r>
      <w:r w:rsidRPr="00247625">
        <w:t>pring</w:t>
      </w:r>
      <w:r>
        <w:t xml:space="preserve"> clusters or springs</w:t>
      </w:r>
      <w:r w:rsidRPr="00247625">
        <w:t xml:space="preserve"> that had at least 10 observations </w:t>
      </w:r>
      <w:r>
        <w:t>over at least four</w:t>
      </w:r>
      <w:r w:rsidRPr="00247625">
        <w:t xml:space="preserve"> years were plotted over time to observe </w:t>
      </w:r>
      <w:r>
        <w:t>trends</w:t>
      </w:r>
      <w:r w:rsidRPr="00247625">
        <w:t>.  The</w:t>
      </w:r>
      <w:r>
        <w:t xml:space="preserve"> spring clusters or springs</w:t>
      </w:r>
      <w:r w:rsidRPr="00247625">
        <w:t xml:space="preserve"> were categorized by the magnitude of the nitrate impact into </w:t>
      </w:r>
      <w:r>
        <w:t>five</w:t>
      </w:r>
      <w:r w:rsidRPr="00247625">
        <w:t xml:space="preserve"> groups.  </w:t>
      </w:r>
      <w:r>
        <w:t>Nitrates in Kings Homosassa, Rock, and Kings Bay Springs are elevated, but there seem to be no distinct trends over the four-year period.  Al</w:t>
      </w:r>
      <w:r w:rsidRPr="00247625">
        <w:t xml:space="preserve">l other springs had increasing nitrate </w:t>
      </w:r>
      <w:r>
        <w:t xml:space="preserve">nitrogen </w:t>
      </w:r>
      <w:r w:rsidRPr="00247625">
        <w:t>concentrations</w:t>
      </w:r>
      <w:r>
        <w:t>,</w:t>
      </w:r>
      <w:r w:rsidRPr="00247625">
        <w:t xml:space="preserve"> with</w:t>
      </w:r>
      <w:r>
        <w:t xml:space="preserve"> </w:t>
      </w:r>
      <w:r w:rsidRPr="00247625">
        <w:t>Fanning</w:t>
      </w:r>
      <w:r>
        <w:t>,</w:t>
      </w:r>
      <w:r w:rsidRPr="00247625">
        <w:t xml:space="preserve"> and Jackson Blue at the highest levels.</w:t>
      </w:r>
    </w:p>
    <w:p w:rsidR="004B3323" w:rsidRDefault="004B3323" w:rsidP="004B3323">
      <w:pPr>
        <w:rPr>
          <w:rFonts w:ascii="Arial" w:hAnsi="Arial" w:cs="Arial"/>
          <w:sz w:val="22"/>
          <w:szCs w:val="22"/>
          <w:highlight w:val="yellow"/>
        </w:rPr>
      </w:pPr>
    </w:p>
    <w:p w:rsidR="004B3323" w:rsidRDefault="004B3323" w:rsidP="004B3323"/>
    <w:p w:rsidR="004B3323" w:rsidRPr="000B6343" w:rsidRDefault="004B3323" w:rsidP="004B3323">
      <w:pPr>
        <w:pStyle w:val="Tableheading"/>
      </w:pPr>
      <w:bookmarkStart w:id="63" w:name="_Toc190005285"/>
      <w:bookmarkStart w:id="64" w:name="_Toc209240672"/>
      <w:r w:rsidRPr="00BA4284">
        <w:t xml:space="preserve">Table </w:t>
      </w:r>
      <w:r>
        <w:t>31.</w:t>
      </w:r>
      <w:r w:rsidRPr="00BA4284">
        <w:t xml:space="preserve">  Reference Springs and Statewide Medians for Nitrate</w:t>
      </w:r>
      <w:r>
        <w:t xml:space="preserve"> Nitrogen</w:t>
      </w:r>
      <w:bookmarkEnd w:id="63"/>
      <w:bookmarkEnd w:id="64"/>
    </w:p>
    <w:tbl>
      <w:tblPr>
        <w:tblW w:w="9178" w:type="dxa"/>
        <w:tblInd w:w="93" w:type="dxa"/>
        <w:tblLayout w:type="fixed"/>
        <w:tblLook w:val="0000"/>
      </w:tblPr>
      <w:tblGrid>
        <w:gridCol w:w="2446"/>
        <w:gridCol w:w="2431"/>
        <w:gridCol w:w="1309"/>
        <w:gridCol w:w="1309"/>
        <w:gridCol w:w="1683"/>
      </w:tblGrid>
      <w:tr w:rsidR="004B3323" w:rsidRPr="00BA54F2" w:rsidTr="00067543">
        <w:trPr>
          <w:trHeight w:val="795"/>
        </w:trPr>
        <w:tc>
          <w:tcPr>
            <w:tcW w:w="2446" w:type="dxa"/>
            <w:tcBorders>
              <w:top w:val="single" w:sz="4" w:space="0" w:color="auto"/>
              <w:left w:val="single" w:sz="4" w:space="0" w:color="auto"/>
              <w:bottom w:val="single" w:sz="8" w:space="0" w:color="auto"/>
              <w:right w:val="single" w:sz="8" w:space="0" w:color="auto"/>
            </w:tcBorders>
            <w:shd w:val="clear" w:color="auto" w:fill="D9D9D9"/>
            <w:vAlign w:val="center"/>
          </w:tcPr>
          <w:p w:rsidR="004B3323" w:rsidRPr="00CB37C9" w:rsidRDefault="004B3323" w:rsidP="00067543">
            <w:pPr>
              <w:pStyle w:val="TableText"/>
              <w:jc w:val="center"/>
              <w:rPr>
                <w:b/>
                <w:i/>
                <w:szCs w:val="18"/>
              </w:rPr>
            </w:pPr>
            <w:r w:rsidRPr="00CB37C9">
              <w:rPr>
                <w:b/>
                <w:i/>
                <w:szCs w:val="18"/>
              </w:rPr>
              <w:t>Spring</w:t>
            </w:r>
          </w:p>
        </w:tc>
        <w:tc>
          <w:tcPr>
            <w:tcW w:w="2431" w:type="dxa"/>
            <w:tcBorders>
              <w:top w:val="single" w:sz="4" w:space="0" w:color="auto"/>
              <w:left w:val="nil"/>
              <w:bottom w:val="single" w:sz="8" w:space="0" w:color="auto"/>
              <w:right w:val="single" w:sz="8" w:space="0" w:color="auto"/>
            </w:tcBorders>
            <w:shd w:val="clear" w:color="auto" w:fill="D9D9D9"/>
            <w:vAlign w:val="center"/>
          </w:tcPr>
          <w:p w:rsidR="004B3323" w:rsidRPr="00CB37C9" w:rsidRDefault="004B3323" w:rsidP="00067543">
            <w:pPr>
              <w:pStyle w:val="TableText"/>
              <w:jc w:val="center"/>
              <w:rPr>
                <w:b/>
                <w:i/>
                <w:szCs w:val="18"/>
              </w:rPr>
            </w:pPr>
            <w:r w:rsidRPr="00CB37C9">
              <w:rPr>
                <w:b/>
                <w:i/>
                <w:szCs w:val="18"/>
              </w:rPr>
              <w:t>Basin</w:t>
            </w:r>
          </w:p>
        </w:tc>
        <w:tc>
          <w:tcPr>
            <w:tcW w:w="1309" w:type="dxa"/>
            <w:tcBorders>
              <w:top w:val="single" w:sz="4" w:space="0" w:color="auto"/>
              <w:left w:val="nil"/>
              <w:bottom w:val="single" w:sz="8" w:space="0" w:color="auto"/>
              <w:right w:val="single" w:sz="8" w:space="0" w:color="auto"/>
            </w:tcBorders>
            <w:shd w:val="clear" w:color="auto" w:fill="D9D9D9"/>
            <w:vAlign w:val="center"/>
          </w:tcPr>
          <w:p w:rsidR="004B3323" w:rsidRPr="00CB37C9" w:rsidRDefault="004B3323" w:rsidP="00067543">
            <w:pPr>
              <w:pStyle w:val="TableText"/>
              <w:jc w:val="center"/>
              <w:rPr>
                <w:b/>
                <w:i/>
                <w:szCs w:val="18"/>
              </w:rPr>
            </w:pPr>
            <w:r w:rsidRPr="00CB37C9">
              <w:rPr>
                <w:b/>
                <w:i/>
                <w:szCs w:val="18"/>
              </w:rPr>
              <w:t>County</w:t>
            </w:r>
          </w:p>
        </w:tc>
        <w:tc>
          <w:tcPr>
            <w:tcW w:w="1309" w:type="dxa"/>
            <w:tcBorders>
              <w:top w:val="single" w:sz="4" w:space="0" w:color="auto"/>
              <w:left w:val="nil"/>
              <w:bottom w:val="single" w:sz="8" w:space="0" w:color="auto"/>
              <w:right w:val="single" w:sz="8" w:space="0" w:color="auto"/>
            </w:tcBorders>
            <w:shd w:val="clear" w:color="auto" w:fill="D9D9D9"/>
            <w:vAlign w:val="center"/>
          </w:tcPr>
          <w:p w:rsidR="004B3323" w:rsidRPr="00CB37C9" w:rsidRDefault="004B3323" w:rsidP="00067543">
            <w:pPr>
              <w:pStyle w:val="TableText"/>
              <w:jc w:val="center"/>
              <w:rPr>
                <w:b/>
                <w:i/>
                <w:szCs w:val="18"/>
              </w:rPr>
            </w:pPr>
            <w:r w:rsidRPr="00CB37C9">
              <w:rPr>
                <w:b/>
                <w:i/>
                <w:szCs w:val="18"/>
              </w:rPr>
              <w:t>Spring Magnitude</w:t>
            </w:r>
            <w:r w:rsidRPr="00CB37C9">
              <w:rPr>
                <w:b/>
                <w:i/>
                <w:szCs w:val="18"/>
                <w:vertAlign w:val="superscript"/>
              </w:rPr>
              <w:t>1</w:t>
            </w:r>
          </w:p>
        </w:tc>
        <w:tc>
          <w:tcPr>
            <w:tcW w:w="1683" w:type="dxa"/>
            <w:tcBorders>
              <w:top w:val="single" w:sz="4" w:space="0" w:color="auto"/>
              <w:left w:val="nil"/>
              <w:bottom w:val="single" w:sz="8" w:space="0" w:color="auto"/>
              <w:right w:val="single" w:sz="4" w:space="0" w:color="auto"/>
            </w:tcBorders>
            <w:shd w:val="clear" w:color="auto" w:fill="D9D9D9"/>
            <w:vAlign w:val="center"/>
          </w:tcPr>
          <w:p w:rsidR="004B3323" w:rsidRDefault="004B3323" w:rsidP="00067543">
            <w:pPr>
              <w:pStyle w:val="TableText"/>
              <w:jc w:val="center"/>
              <w:rPr>
                <w:b/>
                <w:i/>
                <w:szCs w:val="18"/>
                <w:lang w:val="pt-BR"/>
              </w:rPr>
            </w:pPr>
            <w:r w:rsidRPr="00BA54F2">
              <w:rPr>
                <w:b/>
                <w:i/>
                <w:szCs w:val="18"/>
                <w:lang w:val="pt-BR"/>
              </w:rPr>
              <w:t xml:space="preserve">Total Nitrate-N Median </w:t>
            </w:r>
          </w:p>
          <w:p w:rsidR="004B3323" w:rsidRPr="00BA54F2" w:rsidRDefault="004B3323" w:rsidP="00067543">
            <w:pPr>
              <w:pStyle w:val="TableText"/>
              <w:jc w:val="center"/>
              <w:rPr>
                <w:b/>
                <w:i/>
                <w:szCs w:val="18"/>
                <w:lang w:val="pt-BR"/>
              </w:rPr>
            </w:pPr>
            <w:r w:rsidRPr="00BA54F2">
              <w:rPr>
                <w:b/>
                <w:i/>
                <w:szCs w:val="18"/>
                <w:lang w:val="pt-BR"/>
              </w:rPr>
              <w:t>(mg/L)</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RDefault="004B3323" w:rsidP="00067543">
            <w:pPr>
              <w:pStyle w:val="TableText"/>
              <w:jc w:val="center"/>
              <w:rPr>
                <w:szCs w:val="18"/>
              </w:rPr>
            </w:pPr>
            <w:r>
              <w:rPr>
                <w:rFonts w:cs="Arial"/>
                <w:szCs w:val="18"/>
              </w:rPr>
              <w:t>Green Cove Springs</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smartTag w:uri="urn:schemas-microsoft-com:office:smarttags" w:element="place">
              <w:r>
                <w:rPr>
                  <w:rFonts w:cs="Arial"/>
                  <w:szCs w:val="18"/>
                </w:rPr>
                <w:t>Lower St. Johns</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r>
              <w:rPr>
                <w:rFonts w:cs="Arial"/>
                <w:szCs w:val="18"/>
              </w:rPr>
              <w:t>Clay</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2</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Beecher Spring</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 xml:space="preserve">Middle </w:t>
            </w:r>
            <w:smartTag w:uri="urn:schemas-microsoft-com:office:smarttags" w:element="place">
              <w:smartTag w:uri="urn:schemas-microsoft-com:office:smarttags" w:element="City">
                <w:r>
                  <w:rPr>
                    <w:rFonts w:cs="Arial"/>
                    <w:szCs w:val="18"/>
                  </w:rPr>
                  <w:t>St. Johns</w:t>
                </w:r>
              </w:smartTag>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Putnam</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2</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Copper Spring</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Dixie</w:t>
              </w:r>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2</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Holton Creek Rise</w:t>
            </w:r>
            <w:r w:rsidRPr="00561FE0">
              <w:rPr>
                <w:rFonts w:cs="Arial"/>
                <w:sz w:val="16"/>
                <w:szCs w:val="16"/>
                <w:vertAlign w:val="superscript"/>
              </w:rPr>
              <w:t>2</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Hamilton</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1</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Orange Spring (</w:t>
            </w:r>
            <w:smartTag w:uri="urn:schemas-microsoft-com:office:smarttags" w:element="place">
              <w:smartTag w:uri="urn:schemas-microsoft-com:office:smarttags" w:element="City">
                <w:r>
                  <w:rPr>
                    <w:rFonts w:cs="Arial"/>
                    <w:szCs w:val="18"/>
                  </w:rPr>
                  <w:t>Marion</w:t>
                </w:r>
              </w:smartTag>
            </w:smartTag>
            <w:r>
              <w:rPr>
                <w:rFonts w:cs="Arial"/>
                <w:szCs w:val="18"/>
              </w:rPr>
              <w:t>)</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Ocklawaha</w:t>
            </w:r>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Marion</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3</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Suwannee Springs</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2</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0.002</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Newport Spring</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Ochlockonee–St. Marks</w:t>
            </w:r>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Wakulla</w:t>
            </w:r>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3</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0.005</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Waldo</w:t>
                </w:r>
              </w:smartTag>
              <w:r>
                <w:rPr>
                  <w:rFonts w:cs="Arial"/>
                  <w:szCs w:val="18"/>
                </w:rPr>
                <w:t xml:space="preserve"> </w:t>
              </w:r>
              <w:smartTag w:uri="urn:schemas-microsoft-com:office:smarttags" w:element="PlaceName">
                <w:r>
                  <w:rPr>
                    <w:rFonts w:cs="Arial"/>
                    <w:szCs w:val="18"/>
                  </w:rPr>
                  <w:t>Spring</w:t>
                </w:r>
              </w:smartTag>
            </w:smartTag>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Taylor</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3</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0.007</w:t>
            </w:r>
          </w:p>
        </w:tc>
      </w:tr>
      <w:tr w:rsidR="004B3323" w:rsidRPr="001E2EEF" w:rsidTr="00067543">
        <w:trPr>
          <w:trHeight w:val="499"/>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Warm Mineral Spring</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Default="004B3323" w:rsidP="00067543">
            <w:pPr>
              <w:pStyle w:val="TableText"/>
              <w:jc w:val="center"/>
              <w:rPr>
                <w:rFonts w:cs="Arial"/>
                <w:szCs w:val="18"/>
              </w:rPr>
            </w:pPr>
            <w:smartTag w:uri="urn:schemas-microsoft-com:office:smarttags" w:element="place">
              <w:smartTag w:uri="urn:schemas-microsoft-com:office:smarttags" w:element="PlaceName">
                <w:r>
                  <w:rPr>
                    <w:rFonts w:cs="Arial"/>
                    <w:szCs w:val="18"/>
                  </w:rPr>
                  <w:t>Sarasota</w:t>
                </w:r>
              </w:smartTag>
              <w:r>
                <w:rPr>
                  <w:rFonts w:cs="Arial"/>
                  <w:szCs w:val="18"/>
                </w:rPr>
                <w:t xml:space="preserve"> </w:t>
              </w:r>
              <w:smartTag w:uri="urn:schemas-microsoft-com:office:smarttags" w:element="PlaceType">
                <w:r>
                  <w:rPr>
                    <w:rFonts w:cs="Arial"/>
                    <w:szCs w:val="18"/>
                  </w:rPr>
                  <w:t>Bay–</w:t>
                </w:r>
              </w:smartTag>
            </w:smartTag>
          </w:p>
          <w:p w:rsidR="004B3323" w:rsidRPr="001E2EEF" w:rsidDel="00AA1A02" w:rsidRDefault="004B3323" w:rsidP="00067543">
            <w:pPr>
              <w:pStyle w:val="TableText"/>
              <w:jc w:val="center"/>
              <w:rPr>
                <w:szCs w:val="18"/>
              </w:rPr>
            </w:pPr>
            <w:r>
              <w:rPr>
                <w:rFonts w:cs="Arial"/>
                <w:szCs w:val="18"/>
              </w:rPr>
              <w:t>Peace–Myakka</w:t>
            </w:r>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Sarasota</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3</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0.013</w:t>
            </w:r>
          </w:p>
        </w:tc>
      </w:tr>
      <w:tr w:rsidR="004B3323" w:rsidRPr="001E2EEF" w:rsidTr="00067543">
        <w:trPr>
          <w:trHeight w:val="52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Santa Fe Spring (</w:t>
            </w:r>
            <w:smartTag w:uri="urn:schemas-microsoft-com:office:smarttags" w:element="place">
              <w:smartTag w:uri="urn:schemas-microsoft-com:office:smarttags" w:element="City">
                <w:r>
                  <w:rPr>
                    <w:rFonts w:cs="Arial"/>
                    <w:szCs w:val="18"/>
                  </w:rPr>
                  <w:t>Columbia</w:t>
                </w:r>
              </w:smartTag>
            </w:smartTag>
            <w:r>
              <w:rPr>
                <w:rFonts w:cs="Arial"/>
                <w:szCs w:val="18"/>
              </w:rPr>
              <w:t>)</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Columbia</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1</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0.023</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r>
              <w:rPr>
                <w:rFonts w:cs="Arial"/>
                <w:szCs w:val="18"/>
              </w:rPr>
              <w:t>Nutall Rise</w:t>
            </w:r>
            <w:r w:rsidRPr="00561FE0">
              <w:rPr>
                <w:rFonts w:cs="Arial"/>
                <w:sz w:val="16"/>
                <w:szCs w:val="16"/>
                <w:vertAlign w:val="superscript"/>
              </w:rPr>
              <w:t>2</w:t>
            </w:r>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Taylor</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1</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0.029</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Silver</w:t>
                </w:r>
              </w:smartTag>
              <w:r>
                <w:rPr>
                  <w:rFonts w:cs="Arial"/>
                  <w:szCs w:val="18"/>
                </w:rPr>
                <w:t xml:space="preserve"> </w:t>
              </w:r>
              <w:smartTag w:uri="urn:schemas-microsoft-com:office:smarttags" w:element="PlaceName">
                <w:r>
                  <w:rPr>
                    <w:rFonts w:cs="Arial"/>
                    <w:szCs w:val="18"/>
                  </w:rPr>
                  <w:t>Glen</w:t>
                </w:r>
              </w:smartTag>
              <w:r>
                <w:rPr>
                  <w:rFonts w:cs="Arial"/>
                  <w:szCs w:val="18"/>
                </w:rPr>
                <w:t xml:space="preserve"> </w:t>
              </w:r>
              <w:smartTag w:uri="urn:schemas-microsoft-com:office:smarttags" w:element="PlaceName">
                <w:r>
                  <w:rPr>
                    <w:rFonts w:cs="Arial"/>
                    <w:szCs w:val="18"/>
                  </w:rPr>
                  <w:t>Springs</w:t>
                </w:r>
              </w:smartTag>
            </w:smartTag>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 xml:space="preserve">Middle </w:t>
            </w:r>
            <w:smartTag w:uri="urn:schemas-microsoft-com:office:smarttags" w:element="place">
              <w:smartTag w:uri="urn:schemas-microsoft-com:office:smarttags" w:element="City">
                <w:r>
                  <w:rPr>
                    <w:rFonts w:cs="Arial"/>
                    <w:szCs w:val="18"/>
                  </w:rPr>
                  <w:t>St. Johns</w:t>
                </w:r>
              </w:smartTag>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City">
                <w:r>
                  <w:rPr>
                    <w:rFonts w:cs="Arial"/>
                    <w:szCs w:val="18"/>
                  </w:rPr>
                  <w:t>Marion</w:t>
                </w:r>
              </w:smartTag>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1</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0.049</w:t>
            </w:r>
          </w:p>
        </w:tc>
      </w:tr>
      <w:tr w:rsidR="004B3323" w:rsidRPr="001E2EEF" w:rsidTr="00067543">
        <w:trPr>
          <w:trHeight w:val="300"/>
        </w:trPr>
        <w:tc>
          <w:tcPr>
            <w:tcW w:w="2446" w:type="dxa"/>
            <w:tcBorders>
              <w:top w:val="single" w:sz="4" w:space="0" w:color="auto"/>
              <w:left w:val="single" w:sz="4" w:space="0" w:color="auto"/>
              <w:bottom w:val="single" w:sz="4" w:space="0" w:color="auto"/>
              <w:right w:val="single" w:sz="4" w:space="0" w:color="auto"/>
            </w:tcBorders>
            <w:shd w:val="clear" w:color="auto" w:fill="F3F3F3"/>
            <w:vAlign w:val="center"/>
          </w:tcPr>
          <w:p w:rsidR="004B3323" w:rsidRPr="001E2EEF" w:rsidDel="00AA1A02"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Alexander</w:t>
                </w:r>
              </w:smartTag>
              <w:r>
                <w:rPr>
                  <w:rFonts w:cs="Arial"/>
                  <w:szCs w:val="18"/>
                </w:rPr>
                <w:t xml:space="preserve"> </w:t>
              </w:r>
              <w:smartTag w:uri="urn:schemas-microsoft-com:office:smarttags" w:element="PlaceName">
                <w:r>
                  <w:rPr>
                    <w:rFonts w:cs="Arial"/>
                    <w:szCs w:val="18"/>
                  </w:rPr>
                  <w:t>Springs</w:t>
                </w:r>
              </w:smartTag>
            </w:smartTag>
          </w:p>
        </w:tc>
        <w:tc>
          <w:tcPr>
            <w:tcW w:w="2431"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r>
              <w:rPr>
                <w:rFonts w:cs="Arial"/>
                <w:szCs w:val="18"/>
              </w:rPr>
              <w:t xml:space="preserve">Middle </w:t>
            </w:r>
            <w:smartTag w:uri="urn:schemas-microsoft-com:office:smarttags" w:element="place">
              <w:smartTag w:uri="urn:schemas-microsoft-com:office:smarttags" w:element="City">
                <w:r>
                  <w:rPr>
                    <w:rFonts w:cs="Arial"/>
                    <w:szCs w:val="18"/>
                  </w:rPr>
                  <w:t>St. Johns</w:t>
                </w:r>
              </w:smartTag>
            </w:smartTag>
          </w:p>
        </w:tc>
        <w:tc>
          <w:tcPr>
            <w:tcW w:w="1309" w:type="dxa"/>
            <w:tcBorders>
              <w:top w:val="single" w:sz="4" w:space="0" w:color="auto"/>
              <w:left w:val="nil"/>
              <w:bottom w:val="single" w:sz="4" w:space="0" w:color="auto"/>
              <w:right w:val="single" w:sz="4" w:space="0" w:color="auto"/>
            </w:tcBorders>
            <w:shd w:val="clear" w:color="auto" w:fill="auto"/>
            <w:vAlign w:val="center"/>
          </w:tcPr>
          <w:p w:rsidR="004B3323" w:rsidRPr="001E2EEF" w:rsidDel="00AA1A02" w:rsidRDefault="004B3323" w:rsidP="00067543">
            <w:pPr>
              <w:pStyle w:val="TableText"/>
              <w:jc w:val="center"/>
              <w:rPr>
                <w:szCs w:val="18"/>
              </w:rPr>
            </w:pPr>
            <w:smartTag w:uri="urn:schemas-microsoft-com:office:smarttags" w:element="place">
              <w:r>
                <w:rPr>
                  <w:rFonts w:cs="Arial"/>
                  <w:szCs w:val="18"/>
                </w:rPr>
                <w:t>Lake</w:t>
              </w:r>
            </w:smartTag>
          </w:p>
        </w:tc>
        <w:tc>
          <w:tcPr>
            <w:tcW w:w="13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1</w:t>
            </w:r>
          </w:p>
        </w:tc>
        <w:tc>
          <w:tcPr>
            <w:tcW w:w="1683" w:type="dxa"/>
            <w:tcBorders>
              <w:top w:val="single" w:sz="4" w:space="0" w:color="auto"/>
              <w:left w:val="nil"/>
              <w:bottom w:val="single" w:sz="4" w:space="0" w:color="auto"/>
              <w:right w:val="single" w:sz="4" w:space="0" w:color="auto"/>
            </w:tcBorders>
            <w:shd w:val="clear" w:color="auto" w:fill="auto"/>
            <w:noWrap/>
            <w:vAlign w:val="center"/>
          </w:tcPr>
          <w:p w:rsidR="004B3323" w:rsidRPr="001E2EEF" w:rsidDel="00AA1A02" w:rsidRDefault="004B3323" w:rsidP="00067543">
            <w:pPr>
              <w:pStyle w:val="TableText"/>
              <w:jc w:val="center"/>
              <w:rPr>
                <w:color w:val="000000"/>
                <w:szCs w:val="18"/>
              </w:rPr>
            </w:pPr>
            <w:r>
              <w:rPr>
                <w:rFonts w:cs="Arial"/>
                <w:color w:val="000000"/>
                <w:szCs w:val="18"/>
              </w:rPr>
              <w:t>0.053</w:t>
            </w:r>
          </w:p>
        </w:tc>
      </w:tr>
      <w:tr w:rsidR="004B3323" w:rsidRPr="001E2EEF" w:rsidTr="00067543">
        <w:trPr>
          <w:trHeight w:val="520"/>
        </w:trPr>
        <w:tc>
          <w:tcPr>
            <w:tcW w:w="2446" w:type="dxa"/>
            <w:tcBorders>
              <w:top w:val="nil"/>
              <w:left w:val="single" w:sz="4" w:space="0" w:color="auto"/>
              <w:bottom w:val="single" w:sz="4" w:space="0" w:color="auto"/>
              <w:right w:val="single" w:sz="4" w:space="0" w:color="auto"/>
            </w:tcBorders>
            <w:shd w:val="clear" w:color="auto" w:fill="F3F3F3"/>
            <w:vAlign w:val="center"/>
          </w:tcPr>
          <w:p w:rsidR="004B3323" w:rsidRPr="001E2EEF" w:rsidRDefault="004B3323" w:rsidP="00067543">
            <w:pPr>
              <w:pStyle w:val="TableText"/>
              <w:jc w:val="center"/>
              <w:rPr>
                <w:szCs w:val="18"/>
              </w:rPr>
            </w:pPr>
            <w:r>
              <w:rPr>
                <w:rFonts w:cs="Arial"/>
                <w:szCs w:val="18"/>
              </w:rPr>
              <w:t>Washington Blue Spring (</w:t>
            </w:r>
            <w:smartTag w:uri="urn:schemas-microsoft-com:office:smarttags" w:element="place">
              <w:r>
                <w:rPr>
                  <w:rFonts w:cs="Arial"/>
                  <w:szCs w:val="18"/>
                </w:rPr>
                <w:t>Choctawhatchee</w:t>
              </w:r>
            </w:smartTag>
            <w:r>
              <w:rPr>
                <w:rFonts w:cs="Arial"/>
                <w:szCs w:val="18"/>
              </w:rPr>
              <w:t>)</w:t>
            </w:r>
          </w:p>
        </w:tc>
        <w:tc>
          <w:tcPr>
            <w:tcW w:w="2431" w:type="dxa"/>
            <w:tcBorders>
              <w:top w:val="nil"/>
              <w:left w:val="nil"/>
              <w:bottom w:val="single" w:sz="4" w:space="0" w:color="auto"/>
              <w:right w:val="single" w:sz="4" w:space="0" w:color="auto"/>
            </w:tcBorders>
            <w:shd w:val="clear" w:color="auto" w:fill="auto"/>
            <w:vAlign w:val="center"/>
          </w:tcPr>
          <w:p w:rsidR="004B3323" w:rsidRDefault="004B3323" w:rsidP="00067543">
            <w:pPr>
              <w:pStyle w:val="TableText"/>
              <w:jc w:val="center"/>
              <w:rPr>
                <w:rFonts w:cs="Arial"/>
                <w:szCs w:val="18"/>
              </w:rPr>
            </w:pPr>
            <w:smartTag w:uri="urn:schemas-microsoft-com:office:smarttags" w:element="place">
              <w:r>
                <w:rPr>
                  <w:rFonts w:cs="Arial"/>
                  <w:szCs w:val="18"/>
                </w:rPr>
                <w:t>Choctawhatchee–</w:t>
              </w:r>
            </w:smartTag>
          </w:p>
          <w:p w:rsidR="004B3323" w:rsidRPr="001E2EEF" w:rsidRDefault="004B3323" w:rsidP="00067543">
            <w:pPr>
              <w:pStyle w:val="TableText"/>
              <w:jc w:val="center"/>
              <w:rPr>
                <w:szCs w:val="18"/>
              </w:rPr>
            </w:pPr>
            <w:r>
              <w:rPr>
                <w:rFonts w:cs="Arial"/>
                <w:szCs w:val="18"/>
              </w:rPr>
              <w:t>St. Andrew</w:t>
            </w:r>
          </w:p>
        </w:tc>
        <w:tc>
          <w:tcPr>
            <w:tcW w:w="1309" w:type="dxa"/>
            <w:tcBorders>
              <w:top w:val="nil"/>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smartTag w:uri="urn:schemas-microsoft-com:office:smarttags" w:element="place">
              <w:smartTag w:uri="urn:schemas-microsoft-com:office:smarttags" w:element="State">
                <w:r>
                  <w:rPr>
                    <w:rFonts w:cs="Arial"/>
                    <w:szCs w:val="18"/>
                  </w:rPr>
                  <w:t>Washington</w:t>
                </w:r>
              </w:smartTag>
            </w:smartTag>
          </w:p>
        </w:tc>
        <w:tc>
          <w:tcPr>
            <w:tcW w:w="1309"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2</w:t>
            </w:r>
          </w:p>
        </w:tc>
        <w:tc>
          <w:tcPr>
            <w:tcW w:w="1683"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0.054</w:t>
            </w:r>
          </w:p>
        </w:tc>
      </w:tr>
      <w:tr w:rsidR="004B3323" w:rsidRPr="001E2EEF" w:rsidTr="00067543">
        <w:trPr>
          <w:trHeight w:val="300"/>
        </w:trPr>
        <w:tc>
          <w:tcPr>
            <w:tcW w:w="2446" w:type="dxa"/>
            <w:tcBorders>
              <w:top w:val="nil"/>
              <w:left w:val="single" w:sz="4" w:space="0" w:color="auto"/>
              <w:bottom w:val="single" w:sz="4" w:space="0" w:color="auto"/>
              <w:right w:val="single" w:sz="4" w:space="0" w:color="auto"/>
            </w:tcBorders>
            <w:shd w:val="clear" w:color="auto" w:fill="F3F3F3"/>
            <w:vAlign w:val="center"/>
          </w:tcPr>
          <w:p w:rsidR="004B3323" w:rsidRPr="001E2EEF"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Steinhatchee</w:t>
                </w:r>
              </w:smartTag>
              <w:r>
                <w:rPr>
                  <w:rFonts w:cs="Arial"/>
                  <w:szCs w:val="18"/>
                </w:rPr>
                <w:t xml:space="preserve"> </w:t>
              </w:r>
              <w:smartTag w:uri="urn:schemas-microsoft-com:office:smarttags" w:element="PlaceType">
                <w:r>
                  <w:rPr>
                    <w:rFonts w:cs="Arial"/>
                    <w:szCs w:val="18"/>
                  </w:rPr>
                  <w:t>River</w:t>
                </w:r>
              </w:smartTag>
            </w:smartTag>
            <w:r>
              <w:rPr>
                <w:rFonts w:cs="Arial"/>
                <w:szCs w:val="18"/>
              </w:rPr>
              <w:t xml:space="preserve"> Rise</w:t>
            </w:r>
            <w:r w:rsidRPr="00561FE0">
              <w:rPr>
                <w:rFonts w:cs="Arial"/>
                <w:sz w:val="16"/>
                <w:szCs w:val="16"/>
                <w:vertAlign w:val="superscript"/>
              </w:rPr>
              <w:t>2</w:t>
            </w:r>
          </w:p>
        </w:tc>
        <w:tc>
          <w:tcPr>
            <w:tcW w:w="2431" w:type="dxa"/>
            <w:tcBorders>
              <w:top w:val="nil"/>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smartTag w:uri="urn:schemas-microsoft-com:office:smarttags" w:element="place">
              <w:r>
                <w:rPr>
                  <w:rFonts w:cs="Arial"/>
                  <w:szCs w:val="18"/>
                </w:rPr>
                <w:t>Suwannee</w:t>
              </w:r>
            </w:smartTag>
          </w:p>
        </w:tc>
        <w:tc>
          <w:tcPr>
            <w:tcW w:w="1309" w:type="dxa"/>
            <w:tcBorders>
              <w:top w:val="nil"/>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smartTag w:uri="urn:schemas-microsoft-com:office:smarttags" w:element="place">
              <w:r>
                <w:rPr>
                  <w:rFonts w:cs="Arial"/>
                  <w:szCs w:val="18"/>
                </w:rPr>
                <w:t>Dixie</w:t>
              </w:r>
            </w:smartTag>
          </w:p>
        </w:tc>
        <w:tc>
          <w:tcPr>
            <w:tcW w:w="1309"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1</w:t>
            </w:r>
          </w:p>
        </w:tc>
        <w:tc>
          <w:tcPr>
            <w:tcW w:w="1683"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color w:val="000000"/>
                <w:szCs w:val="18"/>
              </w:rPr>
              <w:t>0.056</w:t>
            </w:r>
          </w:p>
        </w:tc>
      </w:tr>
      <w:tr w:rsidR="004B3323" w:rsidRPr="001E2EEF" w:rsidTr="00067543">
        <w:trPr>
          <w:trHeight w:val="520"/>
        </w:trPr>
        <w:tc>
          <w:tcPr>
            <w:tcW w:w="2446" w:type="dxa"/>
            <w:tcBorders>
              <w:top w:val="nil"/>
              <w:left w:val="single" w:sz="4" w:space="0" w:color="auto"/>
              <w:bottom w:val="single" w:sz="4" w:space="0" w:color="auto"/>
              <w:right w:val="single" w:sz="4" w:space="0" w:color="auto"/>
            </w:tcBorders>
            <w:shd w:val="clear" w:color="auto" w:fill="F3F3F3"/>
            <w:vAlign w:val="center"/>
          </w:tcPr>
          <w:p w:rsidR="004B3323" w:rsidRPr="001E2EEF"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Santa Fe</w:t>
                </w:r>
              </w:smartTag>
              <w:r>
                <w:rPr>
                  <w:rFonts w:cs="Arial"/>
                  <w:szCs w:val="18"/>
                </w:rPr>
                <w:t xml:space="preserve"> </w:t>
              </w:r>
              <w:smartTag w:uri="urn:schemas-microsoft-com:office:smarttags" w:element="PlaceType">
                <w:r>
                  <w:rPr>
                    <w:rFonts w:cs="Arial"/>
                    <w:szCs w:val="18"/>
                  </w:rPr>
                  <w:t>River</w:t>
                </w:r>
              </w:smartTag>
            </w:smartTag>
            <w:r>
              <w:rPr>
                <w:rFonts w:cs="Arial"/>
                <w:szCs w:val="18"/>
              </w:rPr>
              <w:t xml:space="preserve"> Rise (Alachua)</w:t>
            </w:r>
            <w:r w:rsidRPr="00561FE0">
              <w:rPr>
                <w:rFonts w:cs="Arial"/>
                <w:sz w:val="16"/>
                <w:szCs w:val="16"/>
                <w:vertAlign w:val="superscript"/>
              </w:rPr>
              <w:t xml:space="preserve"> 2</w:t>
            </w:r>
          </w:p>
        </w:tc>
        <w:tc>
          <w:tcPr>
            <w:tcW w:w="2431" w:type="dxa"/>
            <w:tcBorders>
              <w:top w:val="nil"/>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smartTag w:uri="urn:schemas-microsoft-com:office:smarttags" w:element="place">
              <w:smartTag w:uri="urn:schemas-microsoft-com:office:smarttags" w:element="PlaceName">
                <w:r>
                  <w:rPr>
                    <w:rFonts w:cs="Arial"/>
                    <w:szCs w:val="18"/>
                  </w:rPr>
                  <w:t>Santa Fe</w:t>
                </w:r>
              </w:smartTag>
              <w:r>
                <w:rPr>
                  <w:rFonts w:cs="Arial"/>
                  <w:szCs w:val="18"/>
                </w:rPr>
                <w:t xml:space="preserve"> </w:t>
              </w:r>
              <w:smartTag w:uri="urn:schemas-microsoft-com:office:smarttags" w:element="PlaceType">
                <w:r>
                  <w:rPr>
                    <w:rFonts w:cs="Arial"/>
                    <w:szCs w:val="18"/>
                  </w:rPr>
                  <w:t>River</w:t>
                </w:r>
              </w:smartTag>
            </w:smartTag>
          </w:p>
        </w:tc>
        <w:tc>
          <w:tcPr>
            <w:tcW w:w="1309" w:type="dxa"/>
            <w:tcBorders>
              <w:top w:val="nil"/>
              <w:left w:val="nil"/>
              <w:bottom w:val="single" w:sz="4" w:space="0" w:color="auto"/>
              <w:right w:val="single" w:sz="4" w:space="0" w:color="auto"/>
            </w:tcBorders>
            <w:shd w:val="clear" w:color="auto" w:fill="auto"/>
            <w:vAlign w:val="center"/>
          </w:tcPr>
          <w:p w:rsidR="004B3323" w:rsidRPr="001E2EEF" w:rsidRDefault="004B3323" w:rsidP="00067543">
            <w:pPr>
              <w:pStyle w:val="TableText"/>
              <w:jc w:val="center"/>
              <w:rPr>
                <w:szCs w:val="18"/>
              </w:rPr>
            </w:pPr>
            <w:r>
              <w:rPr>
                <w:rFonts w:cs="Arial"/>
                <w:szCs w:val="18"/>
              </w:rPr>
              <w:t>Alachua</w:t>
            </w:r>
          </w:p>
        </w:tc>
        <w:tc>
          <w:tcPr>
            <w:tcW w:w="1309"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szCs w:val="18"/>
              </w:rPr>
              <w:t>1</w:t>
            </w:r>
          </w:p>
        </w:tc>
        <w:tc>
          <w:tcPr>
            <w:tcW w:w="1683" w:type="dxa"/>
            <w:tcBorders>
              <w:top w:val="nil"/>
              <w:left w:val="nil"/>
              <w:bottom w:val="single" w:sz="4" w:space="0" w:color="auto"/>
              <w:right w:val="single" w:sz="4" w:space="0" w:color="auto"/>
            </w:tcBorders>
            <w:shd w:val="clear" w:color="auto" w:fill="auto"/>
            <w:noWrap/>
            <w:vAlign w:val="center"/>
          </w:tcPr>
          <w:p w:rsidR="004B3323" w:rsidRPr="001E2EEF" w:rsidRDefault="004B3323" w:rsidP="00067543">
            <w:pPr>
              <w:pStyle w:val="TableText"/>
              <w:jc w:val="center"/>
              <w:rPr>
                <w:color w:val="000000"/>
                <w:szCs w:val="18"/>
              </w:rPr>
            </w:pPr>
            <w:r>
              <w:rPr>
                <w:rFonts w:cs="Arial"/>
                <w:szCs w:val="18"/>
              </w:rPr>
              <w:t>0.058</w:t>
            </w:r>
          </w:p>
        </w:tc>
      </w:tr>
      <w:tr w:rsidR="004B3323" w:rsidRPr="00AF51BC" w:rsidTr="00067543">
        <w:trPr>
          <w:trHeight w:val="360"/>
        </w:trPr>
        <w:tc>
          <w:tcPr>
            <w:tcW w:w="2446" w:type="dxa"/>
            <w:tcBorders>
              <w:top w:val="double" w:sz="6" w:space="0" w:color="auto"/>
              <w:left w:val="single" w:sz="4" w:space="0" w:color="auto"/>
              <w:bottom w:val="single" w:sz="6" w:space="0" w:color="auto"/>
              <w:right w:val="single" w:sz="6" w:space="0" w:color="auto"/>
            </w:tcBorders>
            <w:shd w:val="clear" w:color="auto" w:fill="F3F3F3"/>
            <w:vAlign w:val="center"/>
          </w:tcPr>
          <w:p w:rsidR="004B3323" w:rsidRPr="00AF51BC" w:rsidRDefault="004B3323" w:rsidP="00067543">
            <w:pPr>
              <w:pStyle w:val="TableText"/>
              <w:jc w:val="center"/>
              <w:rPr>
                <w:b/>
                <w:szCs w:val="18"/>
              </w:rPr>
            </w:pPr>
            <w:r w:rsidRPr="00AF51BC">
              <w:rPr>
                <w:b/>
                <w:szCs w:val="18"/>
              </w:rPr>
              <w:t>Reference Springs</w:t>
            </w:r>
          </w:p>
        </w:tc>
        <w:tc>
          <w:tcPr>
            <w:tcW w:w="5049" w:type="dxa"/>
            <w:gridSpan w:val="3"/>
            <w:tcBorders>
              <w:top w:val="double" w:sz="6" w:space="0" w:color="auto"/>
              <w:left w:val="single" w:sz="6" w:space="0" w:color="auto"/>
              <w:bottom w:val="single" w:sz="6" w:space="0" w:color="auto"/>
              <w:right w:val="single" w:sz="6" w:space="0" w:color="auto"/>
            </w:tcBorders>
            <w:shd w:val="clear" w:color="auto" w:fill="auto"/>
            <w:vAlign w:val="center"/>
          </w:tcPr>
          <w:p w:rsidR="004B3323" w:rsidRPr="00AF51BC" w:rsidRDefault="004B3323" w:rsidP="00067543">
            <w:pPr>
              <w:pStyle w:val="TableText"/>
              <w:jc w:val="center"/>
              <w:rPr>
                <w:b/>
                <w:szCs w:val="18"/>
              </w:rPr>
            </w:pPr>
            <w:r w:rsidRPr="00AF51BC">
              <w:rPr>
                <w:b/>
                <w:szCs w:val="18"/>
              </w:rPr>
              <w:t>Overall Median</w:t>
            </w:r>
          </w:p>
        </w:tc>
        <w:tc>
          <w:tcPr>
            <w:tcW w:w="1683" w:type="dxa"/>
            <w:tcBorders>
              <w:top w:val="double" w:sz="6" w:space="0" w:color="auto"/>
              <w:left w:val="single" w:sz="6" w:space="0" w:color="auto"/>
              <w:bottom w:val="single" w:sz="6" w:space="0" w:color="auto"/>
              <w:right w:val="single" w:sz="4" w:space="0" w:color="auto"/>
            </w:tcBorders>
            <w:shd w:val="clear" w:color="auto" w:fill="auto"/>
            <w:noWrap/>
            <w:vAlign w:val="center"/>
          </w:tcPr>
          <w:p w:rsidR="004B3323" w:rsidRPr="00AF51BC" w:rsidRDefault="004B3323" w:rsidP="00067543">
            <w:pPr>
              <w:pStyle w:val="TableText"/>
              <w:jc w:val="center"/>
              <w:rPr>
                <w:b/>
                <w:szCs w:val="18"/>
              </w:rPr>
            </w:pPr>
            <w:r w:rsidRPr="00AF51BC">
              <w:rPr>
                <w:b/>
                <w:szCs w:val="18"/>
              </w:rPr>
              <w:t>0.0</w:t>
            </w:r>
            <w:r>
              <w:rPr>
                <w:b/>
                <w:szCs w:val="18"/>
              </w:rPr>
              <w:t>1</w:t>
            </w:r>
          </w:p>
        </w:tc>
      </w:tr>
      <w:tr w:rsidR="004B3323" w:rsidRPr="00AF51BC" w:rsidTr="00067543">
        <w:trPr>
          <w:trHeight w:val="360"/>
        </w:trPr>
        <w:tc>
          <w:tcPr>
            <w:tcW w:w="2446" w:type="dxa"/>
            <w:tcBorders>
              <w:top w:val="single" w:sz="6" w:space="0" w:color="auto"/>
              <w:left w:val="single" w:sz="4" w:space="0" w:color="auto"/>
              <w:bottom w:val="single" w:sz="6" w:space="0" w:color="auto"/>
              <w:right w:val="single" w:sz="6" w:space="0" w:color="auto"/>
            </w:tcBorders>
            <w:shd w:val="clear" w:color="auto" w:fill="F3F3F3"/>
            <w:vAlign w:val="center"/>
          </w:tcPr>
          <w:p w:rsidR="004B3323" w:rsidRPr="00AF51BC" w:rsidRDefault="004B3323" w:rsidP="00067543">
            <w:pPr>
              <w:pStyle w:val="TableText"/>
              <w:jc w:val="center"/>
              <w:rPr>
                <w:b/>
                <w:szCs w:val="18"/>
              </w:rPr>
            </w:pPr>
            <w:r w:rsidRPr="00AF51BC">
              <w:rPr>
                <w:b/>
                <w:szCs w:val="18"/>
              </w:rPr>
              <w:t>Statewide Springs</w:t>
            </w:r>
          </w:p>
        </w:tc>
        <w:tc>
          <w:tcPr>
            <w:tcW w:w="504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rsidR="004B3323" w:rsidRPr="00AF51BC" w:rsidRDefault="004B3323" w:rsidP="00067543">
            <w:pPr>
              <w:pStyle w:val="TableText"/>
              <w:jc w:val="center"/>
              <w:rPr>
                <w:b/>
                <w:szCs w:val="18"/>
              </w:rPr>
            </w:pPr>
            <w:r w:rsidRPr="00AF51BC">
              <w:rPr>
                <w:b/>
                <w:szCs w:val="18"/>
              </w:rPr>
              <w:t>Overall Median</w:t>
            </w:r>
          </w:p>
        </w:tc>
        <w:tc>
          <w:tcPr>
            <w:tcW w:w="1683" w:type="dxa"/>
            <w:tcBorders>
              <w:top w:val="single" w:sz="6" w:space="0" w:color="auto"/>
              <w:left w:val="single" w:sz="6" w:space="0" w:color="auto"/>
              <w:bottom w:val="single" w:sz="6" w:space="0" w:color="auto"/>
              <w:right w:val="single" w:sz="4" w:space="0" w:color="auto"/>
            </w:tcBorders>
            <w:shd w:val="clear" w:color="auto" w:fill="auto"/>
            <w:noWrap/>
            <w:vAlign w:val="center"/>
          </w:tcPr>
          <w:p w:rsidR="004B3323" w:rsidRPr="00AF51BC" w:rsidRDefault="004B3323" w:rsidP="00067543">
            <w:pPr>
              <w:pStyle w:val="TableText"/>
              <w:jc w:val="center"/>
              <w:rPr>
                <w:b/>
                <w:szCs w:val="18"/>
              </w:rPr>
            </w:pPr>
            <w:r w:rsidRPr="00AF51BC">
              <w:rPr>
                <w:b/>
                <w:szCs w:val="18"/>
              </w:rPr>
              <w:t>0.</w:t>
            </w:r>
            <w:r>
              <w:rPr>
                <w:b/>
                <w:szCs w:val="18"/>
              </w:rPr>
              <w:t>58</w:t>
            </w:r>
          </w:p>
        </w:tc>
      </w:tr>
      <w:tr w:rsidR="004B3323" w:rsidRPr="00AF51BC" w:rsidTr="00067543">
        <w:trPr>
          <w:trHeight w:val="360"/>
        </w:trPr>
        <w:tc>
          <w:tcPr>
            <w:tcW w:w="2446" w:type="dxa"/>
            <w:tcBorders>
              <w:top w:val="single" w:sz="6" w:space="0" w:color="auto"/>
              <w:left w:val="single" w:sz="4" w:space="0" w:color="auto"/>
              <w:bottom w:val="single" w:sz="4" w:space="0" w:color="auto"/>
              <w:right w:val="single" w:sz="6" w:space="0" w:color="auto"/>
            </w:tcBorders>
            <w:shd w:val="clear" w:color="auto" w:fill="F3F3F3"/>
            <w:vAlign w:val="center"/>
          </w:tcPr>
          <w:p w:rsidR="004B3323" w:rsidRPr="00AF51BC" w:rsidRDefault="004B3323" w:rsidP="00067543">
            <w:pPr>
              <w:pStyle w:val="TableText"/>
              <w:jc w:val="center"/>
              <w:rPr>
                <w:b/>
                <w:szCs w:val="18"/>
              </w:rPr>
            </w:pPr>
            <w:r w:rsidRPr="00AF51BC">
              <w:rPr>
                <w:b/>
                <w:szCs w:val="18"/>
              </w:rPr>
              <w:t>First-magnitude Springs</w:t>
            </w:r>
          </w:p>
        </w:tc>
        <w:tc>
          <w:tcPr>
            <w:tcW w:w="5049" w:type="dxa"/>
            <w:gridSpan w:val="3"/>
            <w:tcBorders>
              <w:top w:val="single" w:sz="6" w:space="0" w:color="auto"/>
              <w:left w:val="single" w:sz="6" w:space="0" w:color="auto"/>
              <w:bottom w:val="single" w:sz="4" w:space="0" w:color="auto"/>
              <w:right w:val="single" w:sz="6" w:space="0" w:color="auto"/>
            </w:tcBorders>
            <w:shd w:val="clear" w:color="auto" w:fill="auto"/>
            <w:vAlign w:val="center"/>
          </w:tcPr>
          <w:p w:rsidR="004B3323" w:rsidRPr="00AF51BC" w:rsidRDefault="004B3323" w:rsidP="00067543">
            <w:pPr>
              <w:pStyle w:val="TableText"/>
              <w:jc w:val="center"/>
              <w:rPr>
                <w:b/>
                <w:szCs w:val="18"/>
              </w:rPr>
            </w:pPr>
            <w:r w:rsidRPr="00AF51BC">
              <w:rPr>
                <w:b/>
                <w:szCs w:val="18"/>
              </w:rPr>
              <w:t>Overall Median</w:t>
            </w:r>
          </w:p>
        </w:tc>
        <w:tc>
          <w:tcPr>
            <w:tcW w:w="1683" w:type="dxa"/>
            <w:tcBorders>
              <w:top w:val="single" w:sz="6" w:space="0" w:color="auto"/>
              <w:left w:val="single" w:sz="6" w:space="0" w:color="auto"/>
              <w:bottom w:val="single" w:sz="4" w:space="0" w:color="auto"/>
              <w:right w:val="single" w:sz="4" w:space="0" w:color="auto"/>
            </w:tcBorders>
            <w:shd w:val="clear" w:color="auto" w:fill="auto"/>
            <w:noWrap/>
            <w:vAlign w:val="center"/>
          </w:tcPr>
          <w:p w:rsidR="004B3323" w:rsidRPr="00AF51BC" w:rsidRDefault="004B3323" w:rsidP="00067543">
            <w:pPr>
              <w:pStyle w:val="TableText"/>
              <w:jc w:val="center"/>
              <w:rPr>
                <w:b/>
                <w:szCs w:val="18"/>
              </w:rPr>
            </w:pPr>
            <w:r w:rsidRPr="00AF51BC">
              <w:rPr>
                <w:b/>
                <w:szCs w:val="18"/>
              </w:rPr>
              <w:t>0.</w:t>
            </w:r>
            <w:r>
              <w:rPr>
                <w:b/>
                <w:szCs w:val="18"/>
              </w:rPr>
              <w:t>60</w:t>
            </w:r>
          </w:p>
        </w:tc>
      </w:tr>
    </w:tbl>
    <w:p w:rsidR="004B3323" w:rsidRPr="001B458D" w:rsidRDefault="004B3323" w:rsidP="004B3323">
      <w:pPr>
        <w:rPr>
          <w:rFonts w:ascii="Arial" w:hAnsi="Arial" w:cs="Arial"/>
          <w:b/>
          <w:sz w:val="16"/>
          <w:szCs w:val="16"/>
        </w:rPr>
      </w:pPr>
      <w:r w:rsidRPr="001B458D">
        <w:rPr>
          <w:rFonts w:ascii="Arial" w:hAnsi="Arial" w:cs="Arial"/>
          <w:b/>
          <w:sz w:val="16"/>
          <w:szCs w:val="16"/>
        </w:rPr>
        <w:t>Notes:</w:t>
      </w:r>
    </w:p>
    <w:p w:rsidR="004B3323" w:rsidRDefault="004B3323" w:rsidP="004B3323">
      <w:pPr>
        <w:rPr>
          <w:rFonts w:ascii="Arial" w:hAnsi="Arial" w:cs="Arial"/>
          <w:sz w:val="16"/>
          <w:szCs w:val="16"/>
        </w:rPr>
      </w:pPr>
      <w:r w:rsidRPr="001E2EEF">
        <w:rPr>
          <w:rFonts w:ascii="Arial" w:hAnsi="Arial" w:cs="Arial"/>
          <w:sz w:val="16"/>
          <w:szCs w:val="16"/>
          <w:vertAlign w:val="superscript"/>
        </w:rPr>
        <w:lastRenderedPageBreak/>
        <w:t>1</w:t>
      </w:r>
      <w:r>
        <w:rPr>
          <w:rFonts w:ascii="Arial" w:hAnsi="Arial" w:cs="Arial"/>
          <w:sz w:val="16"/>
          <w:szCs w:val="16"/>
        </w:rPr>
        <w:t xml:space="preserve"> </w:t>
      </w:r>
      <w:r w:rsidRPr="00950E08">
        <w:rPr>
          <w:rFonts w:ascii="Arial" w:hAnsi="Arial" w:cs="Arial"/>
          <w:sz w:val="16"/>
          <w:szCs w:val="16"/>
        </w:rPr>
        <w:t>Spring magnitude based on discharge.  First</w:t>
      </w:r>
      <w:r>
        <w:rPr>
          <w:rFonts w:ascii="Arial" w:hAnsi="Arial" w:cs="Arial"/>
          <w:sz w:val="16"/>
          <w:szCs w:val="16"/>
        </w:rPr>
        <w:t>-</w:t>
      </w:r>
      <w:r w:rsidRPr="00950E08">
        <w:rPr>
          <w:rFonts w:ascii="Arial" w:hAnsi="Arial" w:cs="Arial"/>
          <w:sz w:val="16"/>
          <w:szCs w:val="16"/>
        </w:rPr>
        <w:t>magnitude (1) springs have</w:t>
      </w:r>
      <w:r>
        <w:rPr>
          <w:rFonts w:ascii="Arial" w:hAnsi="Arial" w:cs="Arial"/>
          <w:sz w:val="16"/>
          <w:szCs w:val="16"/>
        </w:rPr>
        <w:t xml:space="preserve"> an</w:t>
      </w:r>
      <w:r w:rsidRPr="00950E08">
        <w:rPr>
          <w:rFonts w:ascii="Arial" w:hAnsi="Arial" w:cs="Arial"/>
          <w:sz w:val="16"/>
          <w:szCs w:val="16"/>
        </w:rPr>
        <w:t xml:space="preserve"> av</w:t>
      </w:r>
      <w:r>
        <w:rPr>
          <w:rFonts w:ascii="Arial" w:hAnsi="Arial" w:cs="Arial"/>
          <w:sz w:val="16"/>
          <w:szCs w:val="16"/>
        </w:rPr>
        <w:t>erage</w:t>
      </w:r>
      <w:r w:rsidRPr="00950E08">
        <w:rPr>
          <w:rFonts w:ascii="Arial" w:hAnsi="Arial" w:cs="Arial"/>
          <w:sz w:val="16"/>
          <w:szCs w:val="16"/>
        </w:rPr>
        <w:t xml:space="preserve"> discharge </w:t>
      </w:r>
      <w:r>
        <w:rPr>
          <w:rFonts w:ascii="Arial" w:hAnsi="Arial" w:cs="Arial"/>
          <w:sz w:val="16"/>
          <w:szCs w:val="16"/>
        </w:rPr>
        <w:t>greater than</w:t>
      </w:r>
      <w:r w:rsidRPr="00950E08">
        <w:rPr>
          <w:rFonts w:ascii="Arial" w:hAnsi="Arial" w:cs="Arial"/>
          <w:sz w:val="16"/>
          <w:szCs w:val="16"/>
        </w:rPr>
        <w:t xml:space="preserve">100 </w:t>
      </w:r>
      <w:r>
        <w:rPr>
          <w:rFonts w:ascii="Arial" w:hAnsi="Arial" w:cs="Arial"/>
          <w:sz w:val="16"/>
          <w:szCs w:val="16"/>
        </w:rPr>
        <w:t>cfs;</w:t>
      </w:r>
      <w:r w:rsidRPr="00950E08">
        <w:rPr>
          <w:rFonts w:ascii="Arial" w:hAnsi="Arial" w:cs="Arial"/>
          <w:sz w:val="16"/>
          <w:szCs w:val="16"/>
        </w:rPr>
        <w:t xml:space="preserve"> second</w:t>
      </w:r>
      <w:r>
        <w:rPr>
          <w:rFonts w:ascii="Arial" w:hAnsi="Arial" w:cs="Arial"/>
          <w:sz w:val="16"/>
          <w:szCs w:val="16"/>
        </w:rPr>
        <w:t>-</w:t>
      </w:r>
      <w:r w:rsidRPr="00950E08">
        <w:rPr>
          <w:rFonts w:ascii="Arial" w:hAnsi="Arial" w:cs="Arial"/>
          <w:sz w:val="16"/>
          <w:szCs w:val="16"/>
        </w:rPr>
        <w:t>magnitude (2)</w:t>
      </w:r>
      <w:r>
        <w:rPr>
          <w:rFonts w:ascii="Arial" w:hAnsi="Arial" w:cs="Arial"/>
          <w:sz w:val="16"/>
          <w:szCs w:val="16"/>
        </w:rPr>
        <w:t xml:space="preserve"> springs</w:t>
      </w:r>
      <w:r w:rsidRPr="00950E08">
        <w:rPr>
          <w:rFonts w:ascii="Arial" w:hAnsi="Arial" w:cs="Arial"/>
          <w:sz w:val="16"/>
          <w:szCs w:val="16"/>
        </w:rPr>
        <w:t xml:space="preserve"> have </w:t>
      </w:r>
      <w:r>
        <w:rPr>
          <w:rFonts w:ascii="Arial" w:hAnsi="Arial" w:cs="Arial"/>
          <w:sz w:val="16"/>
          <w:szCs w:val="16"/>
        </w:rPr>
        <w:t xml:space="preserve">an </w:t>
      </w:r>
      <w:r w:rsidRPr="00950E08">
        <w:rPr>
          <w:rFonts w:ascii="Arial" w:hAnsi="Arial" w:cs="Arial"/>
          <w:sz w:val="16"/>
          <w:szCs w:val="16"/>
        </w:rPr>
        <w:t>av</w:t>
      </w:r>
      <w:r>
        <w:rPr>
          <w:rFonts w:ascii="Arial" w:hAnsi="Arial" w:cs="Arial"/>
          <w:sz w:val="16"/>
          <w:szCs w:val="16"/>
        </w:rPr>
        <w:t>erage</w:t>
      </w:r>
      <w:r w:rsidRPr="00950E08">
        <w:rPr>
          <w:rFonts w:ascii="Arial" w:hAnsi="Arial" w:cs="Arial"/>
          <w:sz w:val="16"/>
          <w:szCs w:val="16"/>
        </w:rPr>
        <w:t xml:space="preserve"> discharge </w:t>
      </w:r>
      <w:r>
        <w:rPr>
          <w:rFonts w:ascii="Arial" w:hAnsi="Arial" w:cs="Arial"/>
          <w:sz w:val="16"/>
          <w:szCs w:val="16"/>
        </w:rPr>
        <w:t xml:space="preserve">of </w:t>
      </w:r>
      <w:r w:rsidRPr="00950E08">
        <w:rPr>
          <w:rFonts w:ascii="Arial" w:hAnsi="Arial" w:cs="Arial"/>
          <w:sz w:val="16"/>
          <w:szCs w:val="16"/>
        </w:rPr>
        <w:t>10</w:t>
      </w:r>
      <w:r>
        <w:rPr>
          <w:rFonts w:ascii="Arial" w:hAnsi="Arial" w:cs="Arial"/>
          <w:sz w:val="16"/>
          <w:szCs w:val="16"/>
        </w:rPr>
        <w:t xml:space="preserve"> to </w:t>
      </w:r>
      <w:r w:rsidRPr="00950E08">
        <w:rPr>
          <w:rFonts w:ascii="Arial" w:hAnsi="Arial" w:cs="Arial"/>
          <w:sz w:val="16"/>
          <w:szCs w:val="16"/>
        </w:rPr>
        <w:t xml:space="preserve">100 </w:t>
      </w:r>
      <w:r>
        <w:rPr>
          <w:rFonts w:ascii="Arial" w:hAnsi="Arial" w:cs="Arial"/>
          <w:sz w:val="16"/>
          <w:szCs w:val="16"/>
        </w:rPr>
        <w:t>cfs</w:t>
      </w:r>
      <w:r w:rsidRPr="00950E08">
        <w:rPr>
          <w:rFonts w:ascii="Arial" w:hAnsi="Arial" w:cs="Arial"/>
          <w:sz w:val="16"/>
          <w:szCs w:val="16"/>
        </w:rPr>
        <w:t>.</w:t>
      </w:r>
      <w:r>
        <w:rPr>
          <w:rFonts w:ascii="Arial" w:hAnsi="Arial" w:cs="Arial"/>
          <w:sz w:val="16"/>
          <w:szCs w:val="16"/>
        </w:rPr>
        <w:t xml:space="preserve">  Third-magnitude (3) springs have flows in the range of 1 to 10 cfs.</w:t>
      </w:r>
    </w:p>
    <w:p w:rsidR="004B3323" w:rsidRPr="00950E08" w:rsidRDefault="004B3323" w:rsidP="004B3323">
      <w:pPr>
        <w:rPr>
          <w:rFonts w:ascii="Arial" w:hAnsi="Arial" w:cs="Arial"/>
          <w:sz w:val="16"/>
          <w:szCs w:val="16"/>
        </w:rPr>
      </w:pPr>
      <w:r w:rsidRPr="00561FE0">
        <w:rPr>
          <w:rFonts w:ascii="Arial" w:hAnsi="Arial" w:cs="Arial"/>
          <w:sz w:val="16"/>
          <w:szCs w:val="16"/>
          <w:vertAlign w:val="superscript"/>
        </w:rPr>
        <w:t>2</w:t>
      </w:r>
      <w:r>
        <w:rPr>
          <w:rFonts w:ascii="Arial" w:hAnsi="Arial" w:cs="Arial"/>
          <w:sz w:val="16"/>
          <w:szCs w:val="16"/>
        </w:rPr>
        <w:t xml:space="preserve"> River rises are included for informational purposes.  A river rise is a re-emergence of ground water through a karst feature, a part or all of whose waters are derived from surface inflow.  </w:t>
      </w:r>
    </w:p>
    <w:p w:rsidR="004B3323" w:rsidRDefault="004B3323" w:rsidP="004B3323">
      <w:pPr>
        <w:pStyle w:val="Bodytext"/>
      </w:pPr>
    </w:p>
    <w:p w:rsidR="004B3323" w:rsidRDefault="004B3323" w:rsidP="004B3323">
      <w:pPr>
        <w:rPr>
          <w:rFonts w:ascii="Arial" w:hAnsi="Arial" w:cs="Arial"/>
          <w:sz w:val="22"/>
          <w:szCs w:val="22"/>
          <w:highlight w:val="yellow"/>
        </w:rPr>
      </w:pPr>
      <w:r>
        <w:rPr>
          <w:rFonts w:ascii="Arial" w:hAnsi="Arial" w:cs="Arial"/>
          <w:sz w:val="22"/>
          <w:szCs w:val="22"/>
          <w:highlight w:val="yellow"/>
        </w:rPr>
        <w:br w:type="page"/>
      </w:r>
    </w:p>
    <w:p w:rsidR="004B3323" w:rsidRPr="00D92A27" w:rsidRDefault="004B3323" w:rsidP="004B3323">
      <w:pPr>
        <w:pStyle w:val="Caption"/>
      </w:pPr>
      <w:bookmarkStart w:id="65" w:name="_Toc190005301"/>
      <w:bookmarkStart w:id="66" w:name="_Toc209240683"/>
      <w:r w:rsidRPr="00364D30">
        <w:lastRenderedPageBreak/>
        <w:t xml:space="preserve">Figure </w:t>
      </w:r>
      <w:r>
        <w:t>8.  Comparison of N</w:t>
      </w:r>
      <w:r w:rsidRPr="00364D30">
        <w:t>it</w:t>
      </w:r>
      <w:r>
        <w:t>rate T</w:t>
      </w:r>
      <w:r w:rsidRPr="00364D30">
        <w:t>rends</w:t>
      </w:r>
      <w:bookmarkEnd w:id="65"/>
      <w:r>
        <w:t xml:space="preserve"> for Selected Springs (2000–06)</w:t>
      </w:r>
      <w:bookmarkEnd w:id="66"/>
    </w:p>
    <w:p w:rsidR="004B3323" w:rsidRDefault="004B3323" w:rsidP="004B3323">
      <w:r>
        <w:object w:dxaOrig="10912" w:dyaOrig="75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95pt;height:315.15pt" o:ole="">
            <v:imagedata r:id="rId6" o:title=""/>
          </v:shape>
          <o:OLEObject Type="Embed" ProgID="Excel.Sheet.8" ShapeID="_x0000_i1025" DrawAspect="Content" ObjectID="_1324110780" r:id="rId7"/>
        </w:object>
      </w:r>
    </w:p>
    <w:p w:rsidR="004B3323" w:rsidRPr="00FD2085" w:rsidRDefault="004B3323" w:rsidP="004B3323">
      <w:pPr>
        <w:rPr>
          <w:rFonts w:ascii="Arial" w:hAnsi="Arial" w:cs="Arial"/>
          <w:b/>
          <w:sz w:val="16"/>
          <w:szCs w:val="16"/>
        </w:rPr>
      </w:pPr>
      <w:r w:rsidRPr="00FD2085">
        <w:rPr>
          <w:rFonts w:ascii="Arial" w:hAnsi="Arial" w:cs="Arial"/>
          <w:b/>
          <w:sz w:val="16"/>
          <w:szCs w:val="16"/>
        </w:rPr>
        <w:t xml:space="preserve">Notes:  </w:t>
      </w:r>
    </w:p>
    <w:p w:rsidR="004B3323" w:rsidRPr="00D92A27" w:rsidRDefault="004B3323" w:rsidP="004B3323">
      <w:pPr>
        <w:rPr>
          <w:rFonts w:ascii="Arial" w:hAnsi="Arial" w:cs="Arial"/>
          <w:sz w:val="16"/>
          <w:szCs w:val="16"/>
        </w:rPr>
      </w:pPr>
      <w:r w:rsidRPr="00D92A27">
        <w:rPr>
          <w:rFonts w:ascii="Arial" w:hAnsi="Arial" w:cs="Arial"/>
          <w:sz w:val="16"/>
          <w:szCs w:val="16"/>
        </w:rPr>
        <w:t>Springs in bold are included in FDEP routine monitoring</w:t>
      </w:r>
      <w:r>
        <w:rPr>
          <w:rFonts w:ascii="Arial" w:hAnsi="Arial" w:cs="Arial"/>
          <w:sz w:val="16"/>
          <w:szCs w:val="16"/>
        </w:rPr>
        <w:t>.</w:t>
      </w:r>
    </w:p>
    <w:p w:rsidR="004B3323" w:rsidRPr="00D92A27" w:rsidRDefault="004B3323" w:rsidP="004B3323">
      <w:pPr>
        <w:rPr>
          <w:rFonts w:ascii="Arial" w:hAnsi="Arial" w:cs="Arial"/>
          <w:sz w:val="16"/>
          <w:szCs w:val="16"/>
        </w:rPr>
      </w:pPr>
      <w:r w:rsidRPr="00D92A27">
        <w:rPr>
          <w:rFonts w:ascii="Arial" w:hAnsi="Arial" w:cs="Arial"/>
          <w:sz w:val="16"/>
          <w:szCs w:val="16"/>
        </w:rPr>
        <w:t xml:space="preserve">Springs in italics </w:t>
      </w:r>
      <w:r>
        <w:rPr>
          <w:rFonts w:ascii="Arial" w:hAnsi="Arial" w:cs="Arial"/>
          <w:sz w:val="16"/>
          <w:szCs w:val="16"/>
        </w:rPr>
        <w:t>represent</w:t>
      </w:r>
      <w:r w:rsidRPr="00D92A27">
        <w:rPr>
          <w:rFonts w:ascii="Arial" w:hAnsi="Arial" w:cs="Arial"/>
          <w:sz w:val="16"/>
          <w:szCs w:val="16"/>
        </w:rPr>
        <w:t xml:space="preserve"> groups or clusters</w:t>
      </w:r>
      <w:r>
        <w:rPr>
          <w:rFonts w:ascii="Arial" w:hAnsi="Arial" w:cs="Arial"/>
          <w:sz w:val="16"/>
          <w:szCs w:val="16"/>
        </w:rPr>
        <w:t xml:space="preserve"> of springs.</w:t>
      </w:r>
    </w:p>
    <w:p w:rsidR="004B3323" w:rsidRPr="00D92A27" w:rsidRDefault="004B3323" w:rsidP="004B3323">
      <w:pPr>
        <w:rPr>
          <w:rFonts w:ascii="Arial" w:hAnsi="Arial" w:cs="Arial"/>
          <w:sz w:val="16"/>
          <w:szCs w:val="16"/>
        </w:rPr>
      </w:pPr>
      <w:r w:rsidRPr="00D92A27">
        <w:rPr>
          <w:rFonts w:ascii="Arial" w:hAnsi="Arial" w:cs="Arial"/>
          <w:sz w:val="16"/>
          <w:szCs w:val="16"/>
          <w:vertAlign w:val="superscript"/>
        </w:rPr>
        <w:t>REF</w:t>
      </w:r>
      <w:r>
        <w:rPr>
          <w:rFonts w:ascii="Arial" w:hAnsi="Arial" w:cs="Arial"/>
          <w:sz w:val="16"/>
          <w:szCs w:val="16"/>
        </w:rPr>
        <w:t xml:space="preserve"> </w:t>
      </w:r>
      <w:r w:rsidRPr="00D92A27">
        <w:rPr>
          <w:rFonts w:ascii="Arial" w:hAnsi="Arial" w:cs="Arial"/>
          <w:sz w:val="16"/>
          <w:szCs w:val="16"/>
        </w:rPr>
        <w:t>Reference spring selected by lowest nitrates statewide.</w:t>
      </w:r>
    </w:p>
    <w:p w:rsidR="004B3323" w:rsidRDefault="004B3323" w:rsidP="004B3323">
      <w:pPr>
        <w:rPr>
          <w:rFonts w:ascii="Arial" w:hAnsi="Arial" w:cs="Arial"/>
          <w:sz w:val="16"/>
          <w:szCs w:val="16"/>
        </w:rPr>
      </w:pPr>
      <w:r>
        <w:rPr>
          <w:rFonts w:ascii="Arial" w:hAnsi="Arial" w:cs="Arial"/>
          <w:sz w:val="16"/>
          <w:szCs w:val="16"/>
        </w:rPr>
        <w:t>** Springs Initiative–monitored spring with e</w:t>
      </w:r>
      <w:r w:rsidRPr="00D92A27">
        <w:rPr>
          <w:rFonts w:ascii="Arial" w:hAnsi="Arial" w:cs="Arial"/>
          <w:sz w:val="16"/>
          <w:szCs w:val="16"/>
        </w:rPr>
        <w:t xml:space="preserve">levated </w:t>
      </w:r>
      <w:r>
        <w:rPr>
          <w:rFonts w:ascii="Arial" w:hAnsi="Arial" w:cs="Arial"/>
          <w:sz w:val="16"/>
          <w:szCs w:val="16"/>
        </w:rPr>
        <w:t xml:space="preserve">nitrate </w:t>
      </w:r>
      <w:r w:rsidRPr="00D92A27">
        <w:rPr>
          <w:rFonts w:ascii="Arial" w:hAnsi="Arial" w:cs="Arial"/>
          <w:sz w:val="16"/>
          <w:szCs w:val="16"/>
        </w:rPr>
        <w:t xml:space="preserve">and </w:t>
      </w:r>
      <w:r>
        <w:rPr>
          <w:rFonts w:ascii="Arial" w:hAnsi="Arial" w:cs="Arial"/>
          <w:sz w:val="16"/>
          <w:szCs w:val="16"/>
        </w:rPr>
        <w:t>an increasing t</w:t>
      </w:r>
      <w:r w:rsidRPr="00D92A27">
        <w:rPr>
          <w:rFonts w:ascii="Arial" w:hAnsi="Arial" w:cs="Arial"/>
          <w:sz w:val="16"/>
          <w:szCs w:val="16"/>
        </w:rPr>
        <w:t>rend</w:t>
      </w:r>
      <w:r>
        <w:rPr>
          <w:rFonts w:ascii="Arial" w:hAnsi="Arial" w:cs="Arial"/>
          <w:sz w:val="16"/>
          <w:szCs w:val="16"/>
        </w:rPr>
        <w:t>.</w:t>
      </w:r>
    </w:p>
    <w:p w:rsidR="004B3323" w:rsidRPr="00D92A27" w:rsidRDefault="004B3323" w:rsidP="004B3323">
      <w:pPr>
        <w:rPr>
          <w:rFonts w:ascii="Arial" w:hAnsi="Arial" w:cs="Arial"/>
          <w:sz w:val="16"/>
          <w:szCs w:val="16"/>
        </w:rPr>
      </w:pPr>
      <w:r w:rsidRPr="00D92A27">
        <w:rPr>
          <w:rFonts w:ascii="Arial" w:hAnsi="Arial" w:cs="Arial"/>
          <w:sz w:val="16"/>
          <w:szCs w:val="16"/>
        </w:rPr>
        <w:t xml:space="preserve">*  </w:t>
      </w:r>
      <w:r>
        <w:rPr>
          <w:rFonts w:ascii="Arial" w:hAnsi="Arial" w:cs="Arial"/>
          <w:sz w:val="16"/>
          <w:szCs w:val="16"/>
        </w:rPr>
        <w:t>Springs Initiative–monitored spring with e</w:t>
      </w:r>
      <w:r w:rsidRPr="00D92A27">
        <w:rPr>
          <w:rFonts w:ascii="Arial" w:hAnsi="Arial" w:cs="Arial"/>
          <w:sz w:val="16"/>
          <w:szCs w:val="16"/>
        </w:rPr>
        <w:t xml:space="preserve">levated </w:t>
      </w:r>
      <w:r>
        <w:rPr>
          <w:rFonts w:ascii="Arial" w:hAnsi="Arial" w:cs="Arial"/>
          <w:sz w:val="16"/>
          <w:szCs w:val="16"/>
        </w:rPr>
        <w:t>nitrate and a decreasing t</w:t>
      </w:r>
      <w:r w:rsidRPr="00D92A27">
        <w:rPr>
          <w:rFonts w:ascii="Arial" w:hAnsi="Arial" w:cs="Arial"/>
          <w:sz w:val="16"/>
          <w:szCs w:val="16"/>
        </w:rPr>
        <w:t>rend</w:t>
      </w:r>
      <w:r>
        <w:rPr>
          <w:rFonts w:ascii="Arial" w:hAnsi="Arial" w:cs="Arial"/>
          <w:sz w:val="16"/>
          <w:szCs w:val="16"/>
        </w:rPr>
        <w:t>.</w:t>
      </w:r>
      <w:r w:rsidRPr="00D92A27">
        <w:rPr>
          <w:rFonts w:ascii="Arial" w:hAnsi="Arial" w:cs="Arial"/>
          <w:sz w:val="16"/>
          <w:szCs w:val="16"/>
        </w:rPr>
        <w:t xml:space="preserve"> </w:t>
      </w:r>
    </w:p>
    <w:p w:rsidR="004B3323" w:rsidRPr="00D92A27" w:rsidRDefault="004B3323" w:rsidP="004B3323">
      <w:pPr>
        <w:rPr>
          <w:rFonts w:ascii="Arial" w:hAnsi="Arial" w:cs="Arial"/>
          <w:sz w:val="16"/>
          <w:szCs w:val="16"/>
        </w:rPr>
      </w:pPr>
      <w:r>
        <w:rPr>
          <w:rFonts w:ascii="Arial" w:hAnsi="Arial" w:cs="Arial"/>
          <w:sz w:val="16"/>
          <w:szCs w:val="16"/>
        </w:rPr>
        <w:t>- Springs Initiative–monitored spring with e</w:t>
      </w:r>
      <w:r w:rsidRPr="00D92A27">
        <w:rPr>
          <w:rFonts w:ascii="Arial" w:hAnsi="Arial" w:cs="Arial"/>
          <w:sz w:val="16"/>
          <w:szCs w:val="16"/>
        </w:rPr>
        <w:t xml:space="preserve">levated </w:t>
      </w:r>
      <w:r>
        <w:rPr>
          <w:rFonts w:ascii="Arial" w:hAnsi="Arial" w:cs="Arial"/>
          <w:sz w:val="16"/>
          <w:szCs w:val="16"/>
        </w:rPr>
        <w:t>nitrate and no discernable t</w:t>
      </w:r>
      <w:r w:rsidRPr="00D92A27">
        <w:rPr>
          <w:rFonts w:ascii="Arial" w:hAnsi="Arial" w:cs="Arial"/>
          <w:sz w:val="16"/>
          <w:szCs w:val="16"/>
        </w:rPr>
        <w:t>rend</w:t>
      </w:r>
      <w:r>
        <w:rPr>
          <w:rFonts w:ascii="Arial" w:hAnsi="Arial" w:cs="Arial"/>
          <w:sz w:val="16"/>
          <w:szCs w:val="16"/>
        </w:rPr>
        <w:t>.</w:t>
      </w:r>
      <w:r w:rsidRPr="00D92A27">
        <w:rPr>
          <w:rFonts w:ascii="Arial" w:hAnsi="Arial" w:cs="Arial"/>
          <w:sz w:val="16"/>
          <w:szCs w:val="16"/>
        </w:rPr>
        <w:t xml:space="preserve"> </w:t>
      </w:r>
    </w:p>
    <w:p w:rsidR="004B3323" w:rsidRDefault="004B3323" w:rsidP="004B3323">
      <w:pPr>
        <w:rPr>
          <w:rFonts w:ascii="Arial" w:hAnsi="Arial" w:cs="Arial"/>
          <w:sz w:val="16"/>
          <w:szCs w:val="16"/>
        </w:rPr>
      </w:pPr>
    </w:p>
    <w:p w:rsidR="004B3323" w:rsidRPr="00D92A27" w:rsidRDefault="004B3323" w:rsidP="004B3323">
      <w:pPr>
        <w:rPr>
          <w:rFonts w:ascii="Arial" w:hAnsi="Arial" w:cs="Arial"/>
          <w:sz w:val="16"/>
          <w:szCs w:val="16"/>
        </w:rPr>
      </w:pPr>
      <w:r w:rsidRPr="00D92A27">
        <w:rPr>
          <w:rFonts w:ascii="Arial" w:hAnsi="Arial" w:cs="Arial"/>
          <w:sz w:val="16"/>
          <w:szCs w:val="16"/>
        </w:rPr>
        <w:t xml:space="preserve">The data used for this assessment </w:t>
      </w:r>
      <w:r>
        <w:rPr>
          <w:rFonts w:ascii="Arial" w:hAnsi="Arial" w:cs="Arial"/>
          <w:sz w:val="16"/>
          <w:szCs w:val="16"/>
        </w:rPr>
        <w:t>were</w:t>
      </w:r>
      <w:r w:rsidRPr="00D92A27">
        <w:rPr>
          <w:rFonts w:ascii="Arial" w:hAnsi="Arial" w:cs="Arial"/>
          <w:sz w:val="16"/>
          <w:szCs w:val="16"/>
        </w:rPr>
        <w:t xml:space="preserve"> partly from special projects and quarterly monitoring for the Springs Initiative (2000</w:t>
      </w:r>
      <w:r>
        <w:rPr>
          <w:rFonts w:ascii="Arial" w:hAnsi="Arial" w:cs="Arial"/>
          <w:sz w:val="16"/>
          <w:szCs w:val="16"/>
        </w:rPr>
        <w:t>–</w:t>
      </w:r>
      <w:r w:rsidRPr="00D92A27">
        <w:rPr>
          <w:rFonts w:ascii="Arial" w:hAnsi="Arial" w:cs="Arial"/>
          <w:sz w:val="16"/>
          <w:szCs w:val="16"/>
        </w:rPr>
        <w:t>0</w:t>
      </w:r>
      <w:r>
        <w:rPr>
          <w:rFonts w:ascii="Arial" w:hAnsi="Arial" w:cs="Arial"/>
          <w:sz w:val="16"/>
          <w:szCs w:val="16"/>
        </w:rPr>
        <w:t>6</w:t>
      </w:r>
      <w:r w:rsidRPr="00D92A27">
        <w:rPr>
          <w:rFonts w:ascii="Arial" w:hAnsi="Arial" w:cs="Arial"/>
          <w:sz w:val="16"/>
          <w:szCs w:val="16"/>
        </w:rPr>
        <w:t xml:space="preserve">).  Some springs not routinely sampled in the quarterly monitoring may have issues with data sufficiency and were not included in the trend analyses.  </w:t>
      </w:r>
    </w:p>
    <w:p w:rsidR="004B3323" w:rsidRDefault="004B3323" w:rsidP="004B3323">
      <w:pPr>
        <w:rPr>
          <w:rFonts w:ascii="Arial" w:hAnsi="Arial" w:cs="Arial"/>
          <w:sz w:val="22"/>
          <w:szCs w:val="22"/>
        </w:rPr>
      </w:pPr>
    </w:p>
    <w:p w:rsidR="004B3323" w:rsidRDefault="004B3323" w:rsidP="004B3323">
      <w:pPr>
        <w:rPr>
          <w:rFonts w:ascii="Arial" w:hAnsi="Arial" w:cs="Arial"/>
          <w:sz w:val="22"/>
          <w:szCs w:val="22"/>
        </w:rPr>
      </w:pPr>
    </w:p>
    <w:p w:rsidR="004B3323" w:rsidRPr="0001060D" w:rsidRDefault="004B3323" w:rsidP="004B3323">
      <w:pPr>
        <w:rPr>
          <w:rFonts w:ascii="Arial" w:hAnsi="Arial" w:cs="Arial"/>
          <w:bCs/>
          <w:sz w:val="22"/>
          <w:szCs w:val="22"/>
        </w:rPr>
      </w:pPr>
      <w:r w:rsidRPr="0001060D">
        <w:rPr>
          <w:rFonts w:ascii="Arial" w:hAnsi="Arial" w:cs="Arial"/>
          <w:sz w:val="22"/>
          <w:szCs w:val="22"/>
        </w:rPr>
        <w:t>A group of 36 springs was used to compare historical</w:t>
      </w:r>
      <w:r>
        <w:rPr>
          <w:rFonts w:ascii="Arial" w:hAnsi="Arial" w:cs="Arial"/>
          <w:sz w:val="22"/>
          <w:szCs w:val="22"/>
        </w:rPr>
        <w:t>,</w:t>
      </w:r>
      <w:r w:rsidRPr="0001060D">
        <w:rPr>
          <w:rFonts w:ascii="Arial" w:hAnsi="Arial" w:cs="Arial"/>
          <w:sz w:val="22"/>
          <w:szCs w:val="22"/>
        </w:rPr>
        <w:t xml:space="preserve"> 30-year-old nitrate data with recent quarterly sampling data.  Median values were calculated for the comparison.  Thirty years ago, nitrates were already a concern in </w:t>
      </w:r>
      <w:smartTag w:uri="urn:schemas-microsoft-com:office:smarttags" w:element="place">
        <w:smartTag w:uri="urn:schemas-microsoft-com:office:smarttags" w:element="State">
          <w:r w:rsidRPr="0001060D">
            <w:rPr>
              <w:rFonts w:ascii="Arial" w:hAnsi="Arial" w:cs="Arial"/>
              <w:sz w:val="22"/>
              <w:szCs w:val="22"/>
            </w:rPr>
            <w:t>Florida</w:t>
          </w:r>
        </w:smartTag>
      </w:smartTag>
      <w:r w:rsidRPr="0001060D">
        <w:rPr>
          <w:rFonts w:ascii="Arial" w:hAnsi="Arial" w:cs="Arial"/>
          <w:sz w:val="22"/>
          <w:szCs w:val="22"/>
        </w:rPr>
        <w:t xml:space="preserve">’s springs, </w:t>
      </w:r>
      <w:r>
        <w:rPr>
          <w:rFonts w:ascii="Arial" w:hAnsi="Arial" w:cs="Arial"/>
          <w:sz w:val="22"/>
          <w:szCs w:val="22"/>
        </w:rPr>
        <w:t>with the majority of the springs with nitrate concentrations higher than background and proposed thresholds.  The more current</w:t>
      </w:r>
      <w:r w:rsidRPr="0001060D">
        <w:rPr>
          <w:rFonts w:ascii="Arial" w:hAnsi="Arial" w:cs="Arial"/>
          <w:sz w:val="22"/>
          <w:szCs w:val="22"/>
        </w:rPr>
        <w:t xml:space="preserve"> data for the same springs show </w:t>
      </w:r>
      <w:r>
        <w:rPr>
          <w:rFonts w:ascii="Arial" w:hAnsi="Arial" w:cs="Arial"/>
          <w:sz w:val="22"/>
          <w:szCs w:val="22"/>
        </w:rPr>
        <w:t>that nitrate levels have increased in most of the springs originally having nitrate</w:t>
      </w:r>
      <w:r w:rsidRPr="0001060D">
        <w:rPr>
          <w:rFonts w:ascii="Arial" w:hAnsi="Arial" w:cs="Arial"/>
          <w:sz w:val="22"/>
          <w:szCs w:val="22"/>
        </w:rPr>
        <w:t xml:space="preserve">.  </w:t>
      </w:r>
      <w:r w:rsidRPr="0001060D">
        <w:rPr>
          <w:rFonts w:ascii="Arial" w:hAnsi="Arial" w:cs="Arial"/>
          <w:bCs/>
          <w:sz w:val="22"/>
          <w:szCs w:val="22"/>
        </w:rPr>
        <w:t xml:space="preserve">Also, during this 30-year period, the combined median value for nitrate </w:t>
      </w:r>
      <w:r>
        <w:rPr>
          <w:rFonts w:ascii="Arial" w:hAnsi="Arial" w:cs="Arial"/>
          <w:bCs/>
          <w:sz w:val="22"/>
          <w:szCs w:val="22"/>
        </w:rPr>
        <w:t xml:space="preserve">has </w:t>
      </w:r>
      <w:r w:rsidRPr="0001060D">
        <w:rPr>
          <w:rFonts w:ascii="Arial" w:hAnsi="Arial" w:cs="Arial"/>
          <w:bCs/>
          <w:sz w:val="22"/>
          <w:szCs w:val="22"/>
        </w:rPr>
        <w:t xml:space="preserve">more than doubled for these springs. </w:t>
      </w:r>
      <w:r>
        <w:rPr>
          <w:rFonts w:ascii="Arial" w:hAnsi="Arial" w:cs="Arial"/>
          <w:bCs/>
          <w:sz w:val="22"/>
          <w:szCs w:val="22"/>
        </w:rPr>
        <w:t xml:space="preserve"> </w:t>
      </w:r>
      <w:r w:rsidRPr="00970645">
        <w:rPr>
          <w:rFonts w:ascii="Arial" w:hAnsi="Arial" w:cs="Arial"/>
          <w:b/>
          <w:i/>
          <w:sz w:val="22"/>
          <w:szCs w:val="22"/>
        </w:rPr>
        <w:t xml:space="preserve">Figure </w:t>
      </w:r>
      <w:r>
        <w:rPr>
          <w:rFonts w:ascii="Arial" w:hAnsi="Arial" w:cs="Arial"/>
          <w:b/>
          <w:i/>
          <w:sz w:val="22"/>
          <w:szCs w:val="22"/>
        </w:rPr>
        <w:t>9</w:t>
      </w:r>
      <w:r>
        <w:rPr>
          <w:rFonts w:ascii="Arial" w:hAnsi="Arial" w:cs="Arial"/>
          <w:sz w:val="22"/>
          <w:szCs w:val="22"/>
        </w:rPr>
        <w:t xml:space="preserve"> shows the historical and recent median nitrate levels in representative springs in </w:t>
      </w:r>
      <w:smartTag w:uri="urn:schemas-microsoft-com:office:smarttags" w:element="place">
        <w:smartTag w:uri="urn:schemas-microsoft-com:office:smarttags" w:element="State">
          <w:r>
            <w:rPr>
              <w:rFonts w:ascii="Arial" w:hAnsi="Arial" w:cs="Arial"/>
              <w:sz w:val="22"/>
              <w:szCs w:val="22"/>
            </w:rPr>
            <w:t>Florida</w:t>
          </w:r>
        </w:smartTag>
      </w:smartTag>
      <w:r>
        <w:rPr>
          <w:rFonts w:ascii="Arial" w:hAnsi="Arial" w:cs="Arial"/>
          <w:sz w:val="22"/>
          <w:szCs w:val="22"/>
        </w:rPr>
        <w:t>.</w:t>
      </w:r>
    </w:p>
    <w:p w:rsidR="004B3323" w:rsidRDefault="004B3323" w:rsidP="004B3323"/>
    <w:p w:rsidR="004B3323" w:rsidRDefault="004B3323" w:rsidP="004B3323">
      <w:r>
        <w:br w:type="page"/>
      </w:r>
    </w:p>
    <w:p w:rsidR="004B3323" w:rsidRDefault="004B3323" w:rsidP="004B3323">
      <w:pPr>
        <w:pStyle w:val="Caption"/>
      </w:pPr>
      <w:bookmarkStart w:id="67" w:name="_Toc190005302"/>
      <w:bookmarkStart w:id="68" w:name="_Toc209240684"/>
      <w:r>
        <w:rPr>
          <w:noProof/>
        </w:rPr>
        <w:lastRenderedPageBreak/>
        <w:drawing>
          <wp:anchor distT="0" distB="0" distL="114300" distR="114300" simplePos="0" relativeHeight="251661312" behindDoc="0" locked="0" layoutInCell="1" allowOverlap="1">
            <wp:simplePos x="0" y="0"/>
            <wp:positionH relativeFrom="column">
              <wp:align>center</wp:align>
            </wp:positionH>
            <wp:positionV relativeFrom="paragraph">
              <wp:posOffset>180975</wp:posOffset>
            </wp:positionV>
            <wp:extent cx="5348605" cy="741934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348605" cy="7419340"/>
                    </a:xfrm>
                    <a:prstGeom prst="rect">
                      <a:avLst/>
                    </a:prstGeom>
                    <a:noFill/>
                    <a:ln w="9525">
                      <a:noFill/>
                      <a:miter lim="800000"/>
                      <a:headEnd/>
                      <a:tailEnd/>
                    </a:ln>
                  </pic:spPr>
                </pic:pic>
              </a:graphicData>
            </a:graphic>
          </wp:anchor>
        </w:drawing>
      </w:r>
      <w:r>
        <w:t>Figure 9.  Comparison of Recent and Historical Nitrate Concentrations in Florida Springs</w:t>
      </w:r>
      <w:bookmarkEnd w:id="67"/>
      <w:bookmarkEnd w:id="68"/>
    </w:p>
    <w:p w:rsidR="004B3323" w:rsidRPr="00073C69" w:rsidRDefault="004B3323" w:rsidP="004B3323">
      <w:pPr>
        <w:pStyle w:val="Bodytextreduced"/>
        <w:ind w:left="561"/>
      </w:pPr>
    </w:p>
    <w:p w:rsidR="004B3323" w:rsidRPr="002950C3" w:rsidRDefault="004B3323" w:rsidP="004B3323">
      <w:pPr>
        <w:ind w:left="561"/>
        <w:rPr>
          <w:rFonts w:ascii="Arial" w:hAnsi="Arial" w:cs="Arial"/>
          <w:sz w:val="16"/>
          <w:szCs w:val="16"/>
        </w:rPr>
      </w:pPr>
      <w:r w:rsidRPr="002950C3">
        <w:rPr>
          <w:rFonts w:ascii="Arial" w:hAnsi="Arial" w:cs="Arial"/>
          <w:sz w:val="16"/>
          <w:szCs w:val="16"/>
        </w:rPr>
        <w:t xml:space="preserve">Note:  </w:t>
      </w:r>
      <w:r>
        <w:rPr>
          <w:rFonts w:ascii="Arial" w:hAnsi="Arial" w:cs="Arial"/>
          <w:sz w:val="16"/>
          <w:szCs w:val="16"/>
        </w:rPr>
        <w:t>Historical data are pre-1970; r</w:t>
      </w:r>
      <w:r w:rsidRPr="002950C3">
        <w:rPr>
          <w:rFonts w:ascii="Arial" w:hAnsi="Arial" w:cs="Arial"/>
          <w:sz w:val="16"/>
          <w:szCs w:val="16"/>
        </w:rPr>
        <w:t xml:space="preserve">ecent </w:t>
      </w:r>
      <w:r>
        <w:rPr>
          <w:rFonts w:ascii="Arial" w:hAnsi="Arial" w:cs="Arial"/>
          <w:sz w:val="16"/>
          <w:szCs w:val="16"/>
        </w:rPr>
        <w:t>data are</w:t>
      </w:r>
      <w:r w:rsidRPr="002950C3">
        <w:rPr>
          <w:rFonts w:ascii="Arial" w:hAnsi="Arial" w:cs="Arial"/>
          <w:sz w:val="16"/>
          <w:szCs w:val="16"/>
        </w:rPr>
        <w:t xml:space="preserve"> from 2000</w:t>
      </w:r>
      <w:r>
        <w:rPr>
          <w:rFonts w:ascii="Arial" w:hAnsi="Arial" w:cs="Arial"/>
          <w:sz w:val="16"/>
          <w:szCs w:val="16"/>
        </w:rPr>
        <w:t>–</w:t>
      </w:r>
      <w:r w:rsidRPr="002950C3">
        <w:rPr>
          <w:rFonts w:ascii="Arial" w:hAnsi="Arial" w:cs="Arial"/>
          <w:sz w:val="16"/>
          <w:szCs w:val="16"/>
        </w:rPr>
        <w:t>06 sampling.</w:t>
      </w:r>
    </w:p>
    <w:p w:rsidR="004B3323" w:rsidRDefault="004B3323" w:rsidP="004B3323">
      <w:pPr>
        <w:rPr>
          <w:rFonts w:ascii="Arial" w:hAnsi="Arial" w:cs="Arial"/>
          <w:sz w:val="22"/>
          <w:szCs w:val="22"/>
        </w:rPr>
      </w:pPr>
      <w:r>
        <w:br w:type="page"/>
      </w:r>
    </w:p>
    <w:p w:rsidR="004B3323" w:rsidRDefault="004B3323" w:rsidP="004B3323">
      <w:pPr>
        <w:rPr>
          <w:rFonts w:ascii="Arial" w:hAnsi="Arial" w:cs="Arial"/>
          <w:sz w:val="22"/>
          <w:szCs w:val="22"/>
        </w:rPr>
      </w:pPr>
      <w:r w:rsidRPr="00080B72">
        <w:rPr>
          <w:rFonts w:ascii="Arial" w:hAnsi="Arial" w:cs="Arial"/>
          <w:b/>
          <w:i/>
          <w:sz w:val="22"/>
          <w:szCs w:val="22"/>
        </w:rPr>
        <w:lastRenderedPageBreak/>
        <w:t xml:space="preserve">Figure </w:t>
      </w:r>
      <w:r>
        <w:rPr>
          <w:rFonts w:ascii="Arial" w:hAnsi="Arial" w:cs="Arial"/>
          <w:b/>
          <w:i/>
          <w:sz w:val="22"/>
          <w:szCs w:val="22"/>
        </w:rPr>
        <w:t>10</w:t>
      </w:r>
      <w:r>
        <w:rPr>
          <w:rFonts w:ascii="Arial" w:hAnsi="Arial" w:cs="Arial"/>
          <w:sz w:val="22"/>
          <w:szCs w:val="22"/>
        </w:rPr>
        <w:t xml:space="preserve"> shows the distribution of nitrate concentrations in individual springs and spring clusters.  The water quality evidence indicates that elevated nitrate concentrations are often associated with relatively near-field sources that lie within spring recharge areas (or </w:t>
      </w:r>
      <w:r w:rsidRPr="005977FA">
        <w:rPr>
          <w:rFonts w:ascii="Arial" w:hAnsi="Arial" w:cs="Arial"/>
          <w:i/>
          <w:sz w:val="22"/>
          <w:szCs w:val="22"/>
        </w:rPr>
        <w:t>springsheds</w:t>
      </w:r>
      <w:r>
        <w:rPr>
          <w:rFonts w:ascii="Arial" w:hAnsi="Arial" w:cs="Arial"/>
          <w:sz w:val="22"/>
          <w:szCs w:val="22"/>
        </w:rPr>
        <w:t xml:space="preserve">).  Typical sources include chemical fertilizers associated with agriculture, lawns, and turfgrass, and organic sources such as domestic wastewater and animal waste.  </w:t>
      </w:r>
    </w:p>
    <w:p w:rsidR="004B3323" w:rsidRDefault="004B3323" w:rsidP="004B3323">
      <w:pPr>
        <w:rPr>
          <w:rFonts w:ascii="Arial" w:hAnsi="Arial" w:cs="Arial"/>
          <w:sz w:val="22"/>
          <w:szCs w:val="22"/>
        </w:rPr>
      </w:pPr>
    </w:p>
    <w:p w:rsidR="004B3323" w:rsidRDefault="004B3323" w:rsidP="004B3323">
      <w:pPr>
        <w:rPr>
          <w:rFonts w:ascii="Arial" w:hAnsi="Arial" w:cs="Arial"/>
          <w:sz w:val="22"/>
          <w:szCs w:val="22"/>
        </w:rPr>
      </w:pPr>
    </w:p>
    <w:p w:rsidR="004B3323" w:rsidRPr="008F65AF" w:rsidRDefault="004B3323" w:rsidP="004B3323">
      <w:pPr>
        <w:pStyle w:val="Caption"/>
      </w:pPr>
      <w:bookmarkStart w:id="69" w:name="_Toc190005304"/>
      <w:bookmarkStart w:id="70" w:name="_Toc209240685"/>
      <w:r w:rsidRPr="008F65AF">
        <w:t xml:space="preserve">Figure </w:t>
      </w:r>
      <w:r>
        <w:t xml:space="preserve">10. </w:t>
      </w:r>
      <w:r w:rsidRPr="008F65AF">
        <w:t xml:space="preserve"> Distribution of Nitrate Concentrations in Springs </w:t>
      </w:r>
      <w:bookmarkEnd w:id="69"/>
      <w:r>
        <w:t>Monitored by FDEP</w:t>
      </w:r>
      <w:bookmarkEnd w:id="70"/>
    </w:p>
    <w:p w:rsidR="004B3323" w:rsidRDefault="004B3323" w:rsidP="004B3323">
      <w:r>
        <w:rPr>
          <w:noProof/>
        </w:rPr>
        <w:drawing>
          <wp:anchor distT="0" distB="0" distL="114300" distR="114300" simplePos="0" relativeHeight="251662336" behindDoc="0" locked="0" layoutInCell="1" allowOverlap="1">
            <wp:simplePos x="0" y="0"/>
            <wp:positionH relativeFrom="column">
              <wp:align>center</wp:align>
            </wp:positionH>
            <wp:positionV relativeFrom="paragraph">
              <wp:posOffset>4445</wp:posOffset>
            </wp:positionV>
            <wp:extent cx="5826760" cy="4975860"/>
            <wp:effectExtent l="19050" t="0" r="2540" b="0"/>
            <wp:wrapTopAndBottom/>
            <wp:docPr id="4" name="Picture 4" descr="Springs_ClusterMaster_DH2_Figure10_ExportDraft_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prings_ClusterMaster_DH2_Figure10_ExportDraft_final"/>
                    <pic:cNvPicPr>
                      <a:picLocks noChangeAspect="1" noChangeArrowheads="1"/>
                    </pic:cNvPicPr>
                  </pic:nvPicPr>
                  <pic:blipFill>
                    <a:blip r:embed="rId9"/>
                    <a:srcRect l="6261" t="11290" r="1913" b="28226"/>
                    <a:stretch>
                      <a:fillRect/>
                    </a:stretch>
                  </pic:blipFill>
                  <pic:spPr bwMode="auto">
                    <a:xfrm>
                      <a:off x="0" y="0"/>
                      <a:ext cx="5826760" cy="4975860"/>
                    </a:xfrm>
                    <a:prstGeom prst="rect">
                      <a:avLst/>
                    </a:prstGeom>
                    <a:noFill/>
                    <a:ln w="9525">
                      <a:noFill/>
                      <a:miter lim="800000"/>
                      <a:headEnd/>
                      <a:tailEnd/>
                    </a:ln>
                  </pic:spPr>
                </pic:pic>
              </a:graphicData>
            </a:graphic>
          </wp:anchor>
        </w:drawing>
      </w:r>
    </w:p>
    <w:p w:rsidR="00EF6613" w:rsidRDefault="00EF6613"/>
    <w:sectPr w:rsidR="00EF6613" w:rsidSect="00EF661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TimesNewRomanPSMT">
    <w:panose1 w:val="00000000000000000000"/>
    <w:charset w:val="00"/>
    <w:family w:val="roman"/>
    <w:notTrueType/>
    <w:pitch w:val="default"/>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D309F8E"/>
    <w:lvl w:ilvl="0">
      <w:start w:val="1"/>
      <w:numFmt w:val="bullet"/>
      <w:lvlText w:val=""/>
      <w:lvlJc w:val="left"/>
      <w:pPr>
        <w:tabs>
          <w:tab w:val="num" w:pos="720"/>
        </w:tabs>
        <w:ind w:left="720" w:hanging="360"/>
      </w:pPr>
      <w:rPr>
        <w:rFonts w:ascii="Symbol" w:hAnsi="Symbol" w:hint="default"/>
      </w:rPr>
    </w:lvl>
  </w:abstractNum>
  <w:abstractNum w:abstractNumId="1">
    <w:nsid w:val="04CF1DF0"/>
    <w:multiLevelType w:val="hybridMultilevel"/>
    <w:tmpl w:val="90C41DF2"/>
    <w:lvl w:ilvl="0" w:tplc="BF6E922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6D13798"/>
    <w:multiLevelType w:val="hybridMultilevel"/>
    <w:tmpl w:val="DFFA101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8386D1E"/>
    <w:multiLevelType w:val="hybridMultilevel"/>
    <w:tmpl w:val="88AE0D86"/>
    <w:lvl w:ilvl="0" w:tplc="FFFFFFFF">
      <w:start w:val="1"/>
      <w:numFmt w:val="bullet"/>
      <w:pStyle w:val="Listbulletsubhead"/>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F985F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0FE62F48"/>
    <w:multiLevelType w:val="hybridMultilevel"/>
    <w:tmpl w:val="D5E65A3A"/>
    <w:lvl w:ilvl="0" w:tplc="42564E46">
      <w:start w:val="1"/>
      <w:numFmt w:val="bullet"/>
      <w:lvlText w:val=""/>
      <w:lvlJc w:val="left"/>
      <w:pPr>
        <w:tabs>
          <w:tab w:val="num" w:pos="720"/>
        </w:tabs>
        <w:ind w:left="720" w:hanging="360"/>
      </w:pPr>
      <w:rPr>
        <w:rFonts w:ascii="Symbol" w:hAnsi="Symbol" w:hint="default"/>
      </w:rPr>
    </w:lvl>
    <w:lvl w:ilvl="1" w:tplc="3C7AA1E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8D1680"/>
    <w:multiLevelType w:val="hybridMultilevel"/>
    <w:tmpl w:val="F572AE50"/>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1CAD52B8"/>
    <w:multiLevelType w:val="multilevel"/>
    <w:tmpl w:val="23025ED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35370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24B0304E"/>
    <w:multiLevelType w:val="hybridMultilevel"/>
    <w:tmpl w:val="68340056"/>
    <w:lvl w:ilvl="0" w:tplc="C7D6E53A">
      <w:start w:val="1"/>
      <w:numFmt w:val="bullet"/>
      <w:lvlText w:val=""/>
      <w:lvlJc w:val="left"/>
      <w:pPr>
        <w:tabs>
          <w:tab w:val="num" w:pos="720"/>
        </w:tabs>
        <w:ind w:left="720" w:hanging="360"/>
      </w:pPr>
      <w:rPr>
        <w:rFonts w:ascii="Wingdings" w:hAnsi="Wingdings" w:hint="default"/>
      </w:rPr>
    </w:lvl>
    <w:lvl w:ilvl="1" w:tplc="3C7AA1E6"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65257E4"/>
    <w:multiLevelType w:val="hybridMultilevel"/>
    <w:tmpl w:val="1798746C"/>
    <w:lvl w:ilvl="0" w:tplc="FFFFFFFF">
      <w:start w:val="1"/>
      <w:numFmt w:val="bullet"/>
      <w:lvlText w:val=""/>
      <w:lvlJc w:val="left"/>
      <w:pPr>
        <w:tabs>
          <w:tab w:val="num" w:pos="1800"/>
        </w:tabs>
        <w:ind w:left="180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nsid w:val="275767D7"/>
    <w:multiLevelType w:val="hybridMultilevel"/>
    <w:tmpl w:val="67688E6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3">
    <w:nsid w:val="2B4B2031"/>
    <w:multiLevelType w:val="hybridMultilevel"/>
    <w:tmpl w:val="9794A682"/>
    <w:lvl w:ilvl="0" w:tplc="FFFFFFFF">
      <w:start w:val="1"/>
      <w:numFmt w:val="bullet"/>
      <w:pStyle w:val="ListBullet2"/>
      <w:lvlText w:val="−"/>
      <w:lvlJc w:val="left"/>
      <w:pPr>
        <w:tabs>
          <w:tab w:val="num" w:pos="720"/>
        </w:tabs>
        <w:ind w:left="720" w:hanging="360"/>
      </w:pPr>
      <w:rPr>
        <w:rFonts w:ascii="Arial" w:hAnsi="Arial" w:hint="default"/>
      </w:rPr>
    </w:lvl>
    <w:lvl w:ilvl="1" w:tplc="04090003">
      <w:start w:val="1"/>
      <w:numFmt w:val="bullet"/>
      <w:lvlText w:val=""/>
      <w:lvlJc w:val="left"/>
      <w:pPr>
        <w:tabs>
          <w:tab w:val="num" w:pos="1440"/>
        </w:tabs>
        <w:ind w:left="1440" w:hanging="360"/>
      </w:pPr>
      <w:rPr>
        <w:rFonts w:ascii="Symbol" w:hAnsi="Symbol"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nsid w:val="34013F7D"/>
    <w:multiLevelType w:val="hybridMultilevel"/>
    <w:tmpl w:val="F2041CF6"/>
    <w:lvl w:ilvl="0" w:tplc="FFFFFFFF">
      <w:start w:val="1"/>
      <w:numFmt w:val="bullet"/>
      <w:pStyle w:val="List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36157DA9"/>
    <w:multiLevelType w:val="singleLevel"/>
    <w:tmpl w:val="0409000F"/>
    <w:lvl w:ilvl="0">
      <w:start w:val="1"/>
      <w:numFmt w:val="decimal"/>
      <w:lvlText w:val="%1."/>
      <w:lvlJc w:val="left"/>
      <w:pPr>
        <w:tabs>
          <w:tab w:val="num" w:pos="360"/>
        </w:tabs>
        <w:ind w:left="360" w:hanging="360"/>
      </w:pPr>
    </w:lvl>
  </w:abstractNum>
  <w:abstractNum w:abstractNumId="16">
    <w:nsid w:val="366E5257"/>
    <w:multiLevelType w:val="singleLevel"/>
    <w:tmpl w:val="0409000F"/>
    <w:lvl w:ilvl="0">
      <w:start w:val="1"/>
      <w:numFmt w:val="decimal"/>
      <w:lvlText w:val="%1."/>
      <w:lvlJc w:val="left"/>
      <w:pPr>
        <w:tabs>
          <w:tab w:val="num" w:pos="360"/>
        </w:tabs>
        <w:ind w:left="360" w:hanging="360"/>
      </w:pPr>
    </w:lvl>
  </w:abstractNum>
  <w:abstractNum w:abstractNumId="17">
    <w:nsid w:val="39F472F6"/>
    <w:multiLevelType w:val="multilevel"/>
    <w:tmpl w:val="68340056"/>
    <w:lvl w:ilvl="0">
      <w:start w:val="1"/>
      <w:numFmt w:val="bullet"/>
      <w:lvlText w:val=""/>
      <w:lvlJc w:val="left"/>
      <w:pPr>
        <w:tabs>
          <w:tab w:val="num" w:pos="720"/>
        </w:tabs>
        <w:ind w:left="720" w:hanging="360"/>
      </w:pPr>
      <w:rPr>
        <w:rFonts w:ascii="Wingdings" w:hAnsi="Wingding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A0E6A7E"/>
    <w:multiLevelType w:val="hybridMultilevel"/>
    <w:tmpl w:val="A414458C"/>
    <w:lvl w:ilvl="0" w:tplc="9648C262">
      <w:start w:val="1"/>
      <w:numFmt w:val="decimal"/>
      <w:pStyle w:val="Listwithnumbers"/>
      <w:lvlText w:val="%1."/>
      <w:lvlJc w:val="left"/>
      <w:pPr>
        <w:tabs>
          <w:tab w:val="num" w:pos="720"/>
        </w:tabs>
        <w:ind w:left="72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9">
    <w:nsid w:val="4C7E37F6"/>
    <w:multiLevelType w:val="multilevel"/>
    <w:tmpl w:val="0B6ECD94"/>
    <w:lvl w:ilvl="0">
      <w:start w:val="7"/>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0">
    <w:nsid w:val="4FE267EE"/>
    <w:multiLevelType w:val="multilevel"/>
    <w:tmpl w:val="6FAA261E"/>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nsid w:val="50FF0B14"/>
    <w:multiLevelType w:val="hybridMultilevel"/>
    <w:tmpl w:val="8C981228"/>
    <w:lvl w:ilvl="0" w:tplc="068A229E">
      <w:start w:val="1"/>
      <w:numFmt w:val="bullet"/>
      <w:pStyle w:val="CommentSubjec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EC90ADA"/>
    <w:multiLevelType w:val="hybridMultilevel"/>
    <w:tmpl w:val="D8108E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F16AAC"/>
    <w:multiLevelType w:val="multilevel"/>
    <w:tmpl w:val="F2041CF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1066D13"/>
    <w:multiLevelType w:val="multilevel"/>
    <w:tmpl w:val="C4883C2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5">
    <w:nsid w:val="65D56B65"/>
    <w:multiLevelType w:val="hybridMultilevel"/>
    <w:tmpl w:val="C4CE9A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66FB7C0A"/>
    <w:multiLevelType w:val="hybridMultilevel"/>
    <w:tmpl w:val="C8E210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875DAA"/>
    <w:multiLevelType w:val="hybridMultilevel"/>
    <w:tmpl w:val="2BD2863C"/>
    <w:lvl w:ilvl="0" w:tplc="FFFFFFFF">
      <w:start w:val="1"/>
      <w:numFmt w:val="bullet"/>
      <w:pStyle w:val="BodyText3"/>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28">
    <w:nsid w:val="6F205F2F"/>
    <w:multiLevelType w:val="multilevel"/>
    <w:tmpl w:val="C714DAE8"/>
    <w:lvl w:ilvl="0">
      <w:start w:val="6"/>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nsid w:val="71232D3D"/>
    <w:multiLevelType w:val="hybridMultilevel"/>
    <w:tmpl w:val="90022DD6"/>
    <w:lvl w:ilvl="0" w:tplc="FFFFFFFF">
      <w:start w:val="4"/>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nsid w:val="758A761C"/>
    <w:multiLevelType w:val="multilevel"/>
    <w:tmpl w:val="0CB4DA86"/>
    <w:lvl w:ilvl="0">
      <w:start w:val="1"/>
      <w:numFmt w:val="decimal"/>
      <w:pStyle w:val="StylenumberedbodytextBold"/>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7B344294"/>
    <w:multiLevelType w:val="hybridMultilevel"/>
    <w:tmpl w:val="F12A790E"/>
    <w:lvl w:ilvl="0" w:tplc="42564E4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3"/>
  </w:num>
  <w:num w:numId="3">
    <w:abstractNumId w:val="6"/>
  </w:num>
  <w:num w:numId="4">
    <w:abstractNumId w:val="16"/>
  </w:num>
  <w:num w:numId="5">
    <w:abstractNumId w:val="15"/>
  </w:num>
  <w:num w:numId="6">
    <w:abstractNumId w:val="7"/>
  </w:num>
  <w:num w:numId="7">
    <w:abstractNumId w:val="19"/>
  </w:num>
  <w:num w:numId="8">
    <w:abstractNumId w:val="28"/>
  </w:num>
  <w:num w:numId="9">
    <w:abstractNumId w:val="12"/>
  </w:num>
  <w:num w:numId="10">
    <w:abstractNumId w:val="30"/>
  </w:num>
  <w:num w:numId="11">
    <w:abstractNumId w:val="25"/>
  </w:num>
  <w:num w:numId="12">
    <w:abstractNumId w:val="29"/>
  </w:num>
  <w:num w:numId="13">
    <w:abstractNumId w:val="27"/>
  </w:num>
  <w:num w:numId="14">
    <w:abstractNumId w:val="12"/>
    <w:lvlOverride w:ilvl="0">
      <w:startOverride w:val="1"/>
    </w:lvlOverride>
  </w:num>
  <w:num w:numId="15">
    <w:abstractNumId w:val="18"/>
  </w:num>
  <w:num w:numId="16">
    <w:abstractNumId w:val="20"/>
  </w:num>
  <w:num w:numId="17">
    <w:abstractNumId w:val="18"/>
    <w:lvlOverride w:ilvl="0">
      <w:startOverride w:val="1"/>
    </w:lvlOverride>
  </w:num>
  <w:num w:numId="18">
    <w:abstractNumId w:val="10"/>
  </w:num>
  <w:num w:numId="19">
    <w:abstractNumId w:val="4"/>
  </w:num>
  <w:num w:numId="20">
    <w:abstractNumId w:val="8"/>
  </w:num>
  <w:num w:numId="21">
    <w:abstractNumId w:val="14"/>
  </w:num>
  <w:num w:numId="22">
    <w:abstractNumId w:val="23"/>
  </w:num>
  <w:num w:numId="23">
    <w:abstractNumId w:val="9"/>
  </w:num>
  <w:num w:numId="24">
    <w:abstractNumId w:val="1"/>
  </w:num>
  <w:num w:numId="25">
    <w:abstractNumId w:val="0"/>
  </w:num>
  <w:num w:numId="26">
    <w:abstractNumId w:val="11"/>
  </w:num>
  <w:num w:numId="27">
    <w:abstractNumId w:val="2"/>
  </w:num>
  <w:num w:numId="28">
    <w:abstractNumId w:val="22"/>
  </w:num>
  <w:num w:numId="29">
    <w:abstractNumId w:val="24"/>
  </w:num>
  <w:num w:numId="30">
    <w:abstractNumId w:val="18"/>
    <w:lvlOverride w:ilvl="0">
      <w:startOverride w:val="1"/>
    </w:lvlOverride>
  </w:num>
  <w:num w:numId="31">
    <w:abstractNumId w:val="31"/>
  </w:num>
  <w:num w:numId="32">
    <w:abstractNumId w:val="26"/>
  </w:num>
  <w:num w:numId="33">
    <w:abstractNumId w:val="17"/>
  </w:num>
  <w:num w:numId="34">
    <w:abstractNumId w:val="5"/>
  </w:num>
  <w:num w:numId="35">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2"/>
  <w:proofState w:spelling="clean" w:grammar="clean"/>
  <w:defaultTabStop w:val="720"/>
  <w:characterSpacingControl w:val="doNotCompress"/>
  <w:compat/>
  <w:rsids>
    <w:rsidRoot w:val="004B3323"/>
    <w:rsid w:val="00121532"/>
    <w:rsid w:val="001A7DB3"/>
    <w:rsid w:val="004B3323"/>
    <w:rsid w:val="00812BAA"/>
    <w:rsid w:val="00815767"/>
    <w:rsid w:val="00AF2304"/>
    <w:rsid w:val="00EF661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ersonName"/>
  <w:smartTagType w:namespaceuri="urn:schemas-microsoft-com:office:smarttags" w:name="place"/>
  <w:smartTagType w:namespaceuri="urn:schemas-microsoft-com:office:smarttags" w:name="Stat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endnote reference" w:uiPriority="0"/>
    <w:lsdException w:name="toa heading" w:uiPriority="0"/>
    <w:lsdException w:name="List Bulle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annotation subject" w:uiPriority="0"/>
    <w:lsdException w:name="No List" w:uiPriority="0"/>
    <w:lsdException w:name="Table Elegant" w:uiPriority="0"/>
    <w:lsdException w:name="Table Professional"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332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B3323"/>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qFormat/>
    <w:rsid w:val="004B3323"/>
    <w:pPr>
      <w:keepNext/>
      <w:spacing w:before="360" w:after="240"/>
      <w:outlineLvl w:val="1"/>
    </w:pPr>
    <w:rPr>
      <w:rFonts w:ascii="Arial" w:hAnsi="Arial"/>
      <w:b/>
      <w:sz w:val="36"/>
      <w:szCs w:val="20"/>
    </w:rPr>
  </w:style>
  <w:style w:type="paragraph" w:styleId="Heading3">
    <w:name w:val="heading 3"/>
    <w:basedOn w:val="Normal"/>
    <w:next w:val="Normal"/>
    <w:link w:val="Heading3Char"/>
    <w:qFormat/>
    <w:rsid w:val="004B3323"/>
    <w:pPr>
      <w:keepNext/>
      <w:spacing w:before="240" w:after="120"/>
      <w:outlineLvl w:val="2"/>
    </w:pPr>
    <w:rPr>
      <w:rFonts w:ascii="Arial" w:hAnsi="Arial" w:cs="Arial"/>
      <w:b/>
      <w:bCs/>
      <w:i/>
      <w:sz w:val="28"/>
      <w:szCs w:val="26"/>
    </w:rPr>
  </w:style>
  <w:style w:type="paragraph" w:styleId="Heading4">
    <w:name w:val="heading 4"/>
    <w:basedOn w:val="Normal"/>
    <w:next w:val="Normal"/>
    <w:link w:val="Heading4Char1"/>
    <w:qFormat/>
    <w:rsid w:val="004B3323"/>
    <w:pPr>
      <w:keepNext/>
      <w:spacing w:before="120" w:after="120"/>
      <w:outlineLvl w:val="3"/>
    </w:pPr>
    <w:rPr>
      <w:rFonts w:ascii="Arial" w:hAnsi="Arial"/>
      <w:b/>
      <w:szCs w:val="20"/>
    </w:rPr>
  </w:style>
  <w:style w:type="paragraph" w:styleId="Heading5">
    <w:name w:val="heading 5"/>
    <w:basedOn w:val="Normal"/>
    <w:next w:val="Normal"/>
    <w:link w:val="Heading5Char"/>
    <w:qFormat/>
    <w:rsid w:val="004B3323"/>
    <w:pPr>
      <w:spacing w:before="240" w:after="60"/>
      <w:outlineLvl w:val="4"/>
    </w:pPr>
    <w:rPr>
      <w:rFonts w:ascii="Arial" w:hAnsi="Arial"/>
      <w:b/>
      <w:i/>
      <w:sz w:val="26"/>
      <w:szCs w:val="20"/>
    </w:rPr>
  </w:style>
  <w:style w:type="paragraph" w:styleId="Heading6">
    <w:name w:val="heading 6"/>
    <w:basedOn w:val="Normal"/>
    <w:next w:val="Normal"/>
    <w:link w:val="Heading6Char"/>
    <w:qFormat/>
    <w:rsid w:val="004B3323"/>
    <w:pPr>
      <w:keepNext/>
      <w:ind w:left="720"/>
      <w:jc w:val="center"/>
      <w:outlineLvl w:val="5"/>
    </w:pPr>
    <w:rPr>
      <w:rFonts w:ascii="Arial" w:hAnsi="Arial"/>
      <w:b/>
      <w:i/>
      <w:color w:val="000000"/>
      <w:sz w:val="20"/>
      <w:szCs w:val="20"/>
    </w:rPr>
  </w:style>
  <w:style w:type="paragraph" w:styleId="Heading7">
    <w:name w:val="heading 7"/>
    <w:basedOn w:val="Normal"/>
    <w:next w:val="Normal"/>
    <w:link w:val="Heading7Char"/>
    <w:qFormat/>
    <w:rsid w:val="004B3323"/>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qFormat/>
    <w:rsid w:val="004B3323"/>
    <w:pPr>
      <w:keepNext/>
      <w:ind w:left="2160" w:hanging="1440"/>
      <w:outlineLvl w:val="7"/>
    </w:pPr>
    <w:rPr>
      <w:rFonts w:ascii="Arial" w:hAnsi="Arial"/>
      <w:b/>
      <w:i/>
      <w:snapToGrid w:val="0"/>
      <w:szCs w:val="20"/>
    </w:rPr>
  </w:style>
  <w:style w:type="paragraph" w:styleId="Heading9">
    <w:name w:val="heading 9"/>
    <w:basedOn w:val="Normal"/>
    <w:next w:val="Normal"/>
    <w:link w:val="Heading9Char"/>
    <w:qFormat/>
    <w:rsid w:val="004B3323"/>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B3323"/>
    <w:rPr>
      <w:rFonts w:ascii="Arial" w:eastAsia="Times New Roman" w:hAnsi="Arial" w:cs="Times New Roman"/>
      <w:b/>
      <w:caps/>
      <w:kern w:val="32"/>
      <w:sz w:val="48"/>
      <w:szCs w:val="48"/>
    </w:rPr>
  </w:style>
  <w:style w:type="character" w:customStyle="1" w:styleId="Heading2Char">
    <w:name w:val="Heading 2 Char"/>
    <w:basedOn w:val="DefaultParagraphFont"/>
    <w:link w:val="Heading2"/>
    <w:rsid w:val="004B3323"/>
    <w:rPr>
      <w:rFonts w:ascii="Arial" w:eastAsia="Times New Roman" w:hAnsi="Arial" w:cs="Times New Roman"/>
      <w:b/>
      <w:sz w:val="36"/>
      <w:szCs w:val="20"/>
    </w:rPr>
  </w:style>
  <w:style w:type="character" w:customStyle="1" w:styleId="Heading3Char">
    <w:name w:val="Heading 3 Char"/>
    <w:basedOn w:val="DefaultParagraphFont"/>
    <w:link w:val="Heading3"/>
    <w:rsid w:val="004B3323"/>
    <w:rPr>
      <w:rFonts w:ascii="Arial" w:eastAsia="Times New Roman" w:hAnsi="Arial" w:cs="Arial"/>
      <w:b/>
      <w:bCs/>
      <w:i/>
      <w:sz w:val="28"/>
      <w:szCs w:val="26"/>
    </w:rPr>
  </w:style>
  <w:style w:type="character" w:customStyle="1" w:styleId="Heading4Char">
    <w:name w:val="Heading 4 Char"/>
    <w:basedOn w:val="DefaultParagraphFont"/>
    <w:link w:val="Heading4"/>
    <w:uiPriority w:val="9"/>
    <w:semiHidden/>
    <w:rsid w:val="004B3323"/>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rsid w:val="004B3323"/>
    <w:rPr>
      <w:rFonts w:ascii="Arial" w:eastAsia="Times New Roman" w:hAnsi="Arial" w:cs="Times New Roman"/>
      <w:b/>
      <w:i/>
      <w:sz w:val="26"/>
      <w:szCs w:val="20"/>
    </w:rPr>
  </w:style>
  <w:style w:type="character" w:customStyle="1" w:styleId="Heading6Char">
    <w:name w:val="Heading 6 Char"/>
    <w:basedOn w:val="DefaultParagraphFont"/>
    <w:link w:val="Heading6"/>
    <w:rsid w:val="004B3323"/>
    <w:rPr>
      <w:rFonts w:ascii="Arial" w:eastAsia="Times New Roman" w:hAnsi="Arial" w:cs="Times New Roman"/>
      <w:b/>
      <w:i/>
      <w:color w:val="000000"/>
      <w:sz w:val="20"/>
      <w:szCs w:val="20"/>
    </w:rPr>
  </w:style>
  <w:style w:type="character" w:customStyle="1" w:styleId="Heading7Char">
    <w:name w:val="Heading 7 Char"/>
    <w:basedOn w:val="DefaultParagraphFont"/>
    <w:link w:val="Heading7"/>
    <w:rsid w:val="004B3323"/>
    <w:rPr>
      <w:rFonts w:ascii="Arial" w:eastAsia="Times New Roman" w:hAnsi="Arial" w:cs="Times New Roman"/>
      <w:b/>
      <w:sz w:val="24"/>
      <w:szCs w:val="20"/>
    </w:rPr>
  </w:style>
  <w:style w:type="character" w:customStyle="1" w:styleId="Heading8Char">
    <w:name w:val="Heading 8 Char"/>
    <w:basedOn w:val="DefaultParagraphFont"/>
    <w:link w:val="Heading8"/>
    <w:rsid w:val="004B3323"/>
    <w:rPr>
      <w:rFonts w:ascii="Arial" w:eastAsia="Times New Roman" w:hAnsi="Arial" w:cs="Times New Roman"/>
      <w:b/>
      <w:i/>
      <w:snapToGrid w:val="0"/>
      <w:sz w:val="24"/>
      <w:szCs w:val="20"/>
    </w:rPr>
  </w:style>
  <w:style w:type="character" w:customStyle="1" w:styleId="Heading9Char">
    <w:name w:val="Heading 9 Char"/>
    <w:basedOn w:val="DefaultParagraphFont"/>
    <w:link w:val="Heading9"/>
    <w:rsid w:val="004B3323"/>
    <w:rPr>
      <w:rFonts w:ascii="Arial" w:eastAsia="Times New Roman" w:hAnsi="Arial" w:cs="Times New Roman"/>
      <w:b/>
      <w:i/>
      <w:sz w:val="20"/>
      <w:szCs w:val="20"/>
    </w:rPr>
  </w:style>
  <w:style w:type="paragraph" w:styleId="TOC2">
    <w:name w:val="toc 2"/>
    <w:basedOn w:val="Normal"/>
    <w:next w:val="Normal"/>
    <w:autoRedefine/>
    <w:rsid w:val="004B3323"/>
    <w:pPr>
      <w:tabs>
        <w:tab w:val="right" w:leader="dot" w:pos="9350"/>
      </w:tabs>
      <w:spacing w:before="120"/>
      <w:ind w:left="1008" w:right="1152" w:hanging="720"/>
    </w:pPr>
    <w:rPr>
      <w:rFonts w:ascii="Arial" w:hAnsi="Arial"/>
      <w:b/>
      <w:i/>
      <w:noProof/>
      <w:szCs w:val="20"/>
    </w:rPr>
  </w:style>
  <w:style w:type="paragraph" w:customStyle="1" w:styleId="Sidebartext">
    <w:name w:val="Sidebar text"/>
    <w:basedOn w:val="Normal"/>
    <w:autoRedefine/>
    <w:semiHidden/>
    <w:rsid w:val="004B3323"/>
    <w:rPr>
      <w:rFonts w:ascii="Arial" w:hAnsi="Arial"/>
      <w:i/>
      <w:color w:val="000000"/>
      <w:sz w:val="20"/>
      <w:szCs w:val="20"/>
    </w:rPr>
  </w:style>
  <w:style w:type="paragraph" w:styleId="ListBullet">
    <w:name w:val="List Bullet"/>
    <w:basedOn w:val="Normal"/>
    <w:link w:val="ListBulletChar"/>
    <w:rsid w:val="004B3323"/>
    <w:pPr>
      <w:numPr>
        <w:numId w:val="21"/>
      </w:numPr>
      <w:spacing w:after="120"/>
      <w:ind w:right="864"/>
    </w:pPr>
    <w:rPr>
      <w:rFonts w:ascii="Arial" w:hAnsi="Arial"/>
      <w:i/>
      <w:sz w:val="20"/>
    </w:rPr>
  </w:style>
  <w:style w:type="paragraph" w:customStyle="1" w:styleId="Listbulletsubhead">
    <w:name w:val="List bullet subhead"/>
    <w:basedOn w:val="Normal"/>
    <w:semiHidden/>
    <w:rsid w:val="004B3323"/>
    <w:pPr>
      <w:numPr>
        <w:numId w:val="2"/>
      </w:numPr>
    </w:pPr>
  </w:style>
  <w:style w:type="table" w:styleId="TableGrid">
    <w:name w:val="Table Grid"/>
    <w:basedOn w:val="TableNormal"/>
    <w:rsid w:val="004B332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semiHidden/>
    <w:rsid w:val="004B3323"/>
    <w:pPr>
      <w:numPr>
        <w:numId w:val="1"/>
      </w:numPr>
      <w:ind w:left="1728" w:hanging="1008"/>
    </w:pPr>
  </w:style>
  <w:style w:type="paragraph" w:styleId="Footer">
    <w:name w:val="footer"/>
    <w:basedOn w:val="Normal"/>
    <w:link w:val="FooterChar"/>
    <w:rsid w:val="004B3323"/>
    <w:pPr>
      <w:tabs>
        <w:tab w:val="center" w:pos="4320"/>
        <w:tab w:val="right" w:pos="8640"/>
      </w:tabs>
    </w:pPr>
  </w:style>
  <w:style w:type="character" w:customStyle="1" w:styleId="FooterChar">
    <w:name w:val="Footer Char"/>
    <w:basedOn w:val="DefaultParagraphFont"/>
    <w:link w:val="Footer"/>
    <w:rsid w:val="004B3323"/>
    <w:rPr>
      <w:rFonts w:ascii="Times New Roman" w:eastAsia="Times New Roman" w:hAnsi="Times New Roman" w:cs="Times New Roman"/>
      <w:sz w:val="24"/>
      <w:szCs w:val="24"/>
    </w:rPr>
  </w:style>
  <w:style w:type="character" w:styleId="PageNumber">
    <w:name w:val="page number"/>
    <w:basedOn w:val="DefaultParagraphFont"/>
    <w:rsid w:val="004B3323"/>
  </w:style>
  <w:style w:type="paragraph" w:styleId="Header">
    <w:name w:val="header"/>
    <w:basedOn w:val="Normal"/>
    <w:link w:val="HeaderChar"/>
    <w:rsid w:val="004B3323"/>
    <w:pPr>
      <w:tabs>
        <w:tab w:val="center" w:pos="4320"/>
        <w:tab w:val="right" w:pos="8640"/>
      </w:tabs>
    </w:pPr>
  </w:style>
  <w:style w:type="character" w:customStyle="1" w:styleId="HeaderChar">
    <w:name w:val="Header Char"/>
    <w:basedOn w:val="DefaultParagraphFont"/>
    <w:link w:val="Header"/>
    <w:rsid w:val="004B3323"/>
    <w:rPr>
      <w:rFonts w:ascii="Times New Roman" w:eastAsia="Times New Roman" w:hAnsi="Times New Roman" w:cs="Times New Roman"/>
      <w:sz w:val="24"/>
      <w:szCs w:val="24"/>
    </w:rPr>
  </w:style>
  <w:style w:type="character" w:customStyle="1" w:styleId="ListBulletChar">
    <w:name w:val="List Bullet Char"/>
    <w:basedOn w:val="DefaultParagraphFont"/>
    <w:link w:val="ListBullet"/>
    <w:rsid w:val="004B3323"/>
    <w:rPr>
      <w:rFonts w:ascii="Arial" w:eastAsia="Times New Roman" w:hAnsi="Arial" w:cs="Times New Roman"/>
      <w:i/>
      <w:sz w:val="20"/>
      <w:szCs w:val="24"/>
    </w:rPr>
  </w:style>
  <w:style w:type="character" w:styleId="Hyperlink">
    <w:name w:val="Hyperlink"/>
    <w:basedOn w:val="DefaultParagraphFont"/>
    <w:rsid w:val="004B3323"/>
    <w:rPr>
      <w:color w:val="0000FF"/>
      <w:u w:val="single"/>
    </w:rPr>
  </w:style>
  <w:style w:type="paragraph" w:styleId="FootnoteText">
    <w:name w:val="footnote text"/>
    <w:basedOn w:val="Normal"/>
    <w:link w:val="FootnoteTextChar"/>
    <w:rsid w:val="004B3323"/>
    <w:rPr>
      <w:sz w:val="20"/>
      <w:szCs w:val="20"/>
    </w:rPr>
  </w:style>
  <w:style w:type="character" w:customStyle="1" w:styleId="FootnoteTextChar">
    <w:name w:val="Footnote Text Char"/>
    <w:basedOn w:val="DefaultParagraphFont"/>
    <w:link w:val="FootnoteText"/>
    <w:rsid w:val="004B3323"/>
    <w:rPr>
      <w:rFonts w:ascii="Times New Roman" w:eastAsia="Times New Roman" w:hAnsi="Times New Roman" w:cs="Times New Roman"/>
      <w:sz w:val="20"/>
      <w:szCs w:val="20"/>
    </w:rPr>
  </w:style>
  <w:style w:type="character" w:styleId="FootnoteReference">
    <w:name w:val="footnote reference"/>
    <w:basedOn w:val="DefaultParagraphFont"/>
    <w:semiHidden/>
    <w:rsid w:val="004B3323"/>
    <w:rPr>
      <w:vertAlign w:val="superscript"/>
    </w:rPr>
  </w:style>
  <w:style w:type="paragraph" w:styleId="TOAHeading">
    <w:name w:val="toa heading"/>
    <w:basedOn w:val="Normal"/>
    <w:next w:val="Normal"/>
    <w:semiHidden/>
    <w:rsid w:val="004B3323"/>
    <w:pPr>
      <w:spacing w:before="120"/>
    </w:pPr>
    <w:rPr>
      <w:rFonts w:ascii="Arial" w:hAnsi="Arial"/>
      <w:b/>
      <w:szCs w:val="20"/>
    </w:rPr>
  </w:style>
  <w:style w:type="paragraph" w:customStyle="1" w:styleId="Bodytext">
    <w:name w:val="Body text"/>
    <w:basedOn w:val="BodyTextIndent"/>
    <w:link w:val="BodytextChar1"/>
    <w:rsid w:val="004B3323"/>
    <w:pPr>
      <w:spacing w:after="0"/>
      <w:ind w:left="0"/>
    </w:pPr>
    <w:rPr>
      <w:rFonts w:ascii="Arial" w:hAnsi="Arial"/>
      <w:szCs w:val="20"/>
    </w:rPr>
  </w:style>
  <w:style w:type="paragraph" w:styleId="BodyTextIndent">
    <w:name w:val="Body Text Indent"/>
    <w:basedOn w:val="Normal"/>
    <w:link w:val="BodyTextIndentChar"/>
    <w:semiHidden/>
    <w:rsid w:val="004B3323"/>
    <w:pPr>
      <w:spacing w:after="120"/>
      <w:ind w:left="360"/>
    </w:pPr>
  </w:style>
  <w:style w:type="character" w:customStyle="1" w:styleId="BodyTextIndentChar">
    <w:name w:val="Body Text Indent Char"/>
    <w:basedOn w:val="DefaultParagraphFont"/>
    <w:link w:val="BodyTextIndent"/>
    <w:semiHidden/>
    <w:rsid w:val="004B3323"/>
    <w:rPr>
      <w:rFonts w:ascii="Times New Roman" w:eastAsia="Times New Roman" w:hAnsi="Times New Roman" w:cs="Times New Roman"/>
      <w:sz w:val="24"/>
      <w:szCs w:val="24"/>
    </w:rPr>
  </w:style>
  <w:style w:type="paragraph" w:styleId="TableofFigures">
    <w:name w:val="table of figures"/>
    <w:basedOn w:val="Caption"/>
    <w:next w:val="Normal"/>
    <w:autoRedefine/>
    <w:rsid w:val="004B3323"/>
    <w:pPr>
      <w:tabs>
        <w:tab w:val="right" w:leader="dot" w:pos="9360"/>
      </w:tabs>
      <w:spacing w:after="80"/>
      <w:ind w:left="1440" w:right="1440" w:hanging="1440"/>
      <w:jc w:val="left"/>
    </w:pPr>
    <w:rPr>
      <w:bCs/>
      <w:i w:val="0"/>
      <w:noProof/>
      <w:snapToGrid w:val="0"/>
      <w:sz w:val="22"/>
      <w:szCs w:val="22"/>
    </w:rPr>
  </w:style>
  <w:style w:type="paragraph" w:styleId="NormalWeb">
    <w:name w:val="Normal (Web)"/>
    <w:basedOn w:val="Normal"/>
    <w:semiHidden/>
    <w:rsid w:val="004B3323"/>
    <w:pPr>
      <w:spacing w:before="100" w:after="100"/>
    </w:pPr>
    <w:rPr>
      <w:szCs w:val="20"/>
    </w:rPr>
  </w:style>
  <w:style w:type="paragraph" w:styleId="BodyText0">
    <w:name w:val="Body Text"/>
    <w:aliases w:val="Body Text Char Char Char Char,Body Text Char Char Char"/>
    <w:basedOn w:val="Normal"/>
    <w:link w:val="BodyTextChar10"/>
    <w:semiHidden/>
    <w:rsid w:val="004B3323"/>
    <w:pPr>
      <w:tabs>
        <w:tab w:val="left" w:pos="720"/>
      </w:tabs>
    </w:pPr>
    <w:rPr>
      <w:rFonts w:ascii="Arial" w:hAnsi="Arial"/>
      <w:sz w:val="20"/>
      <w:szCs w:val="20"/>
    </w:rPr>
  </w:style>
  <w:style w:type="character" w:customStyle="1" w:styleId="BodyTextChar">
    <w:name w:val="Body Text Char"/>
    <w:basedOn w:val="DefaultParagraphFont"/>
    <w:link w:val="BodyText0"/>
    <w:uiPriority w:val="99"/>
    <w:semiHidden/>
    <w:rsid w:val="004B3323"/>
    <w:rPr>
      <w:rFonts w:ascii="Times New Roman" w:eastAsia="Times New Roman" w:hAnsi="Times New Roman" w:cs="Times New Roman"/>
      <w:sz w:val="24"/>
      <w:szCs w:val="24"/>
    </w:rPr>
  </w:style>
  <w:style w:type="paragraph" w:styleId="Caption">
    <w:name w:val="caption"/>
    <w:basedOn w:val="Normal"/>
    <w:next w:val="Normal"/>
    <w:qFormat/>
    <w:rsid w:val="004B3323"/>
    <w:pPr>
      <w:jc w:val="center"/>
    </w:pPr>
    <w:rPr>
      <w:rFonts w:ascii="Arial" w:hAnsi="Arial"/>
      <w:b/>
      <w:i/>
      <w:sz w:val="20"/>
      <w:szCs w:val="20"/>
    </w:rPr>
  </w:style>
  <w:style w:type="paragraph" w:styleId="PlainText">
    <w:name w:val="Plain Text"/>
    <w:basedOn w:val="Normal"/>
    <w:link w:val="PlainTextChar"/>
    <w:semiHidden/>
    <w:rsid w:val="004B3323"/>
    <w:rPr>
      <w:rFonts w:ascii="Courier New" w:hAnsi="Courier New"/>
      <w:sz w:val="20"/>
      <w:szCs w:val="20"/>
    </w:rPr>
  </w:style>
  <w:style w:type="character" w:customStyle="1" w:styleId="PlainTextChar">
    <w:name w:val="Plain Text Char"/>
    <w:basedOn w:val="DefaultParagraphFont"/>
    <w:link w:val="PlainText"/>
    <w:semiHidden/>
    <w:rsid w:val="004B3323"/>
    <w:rPr>
      <w:rFonts w:ascii="Courier New" w:eastAsia="Times New Roman" w:hAnsi="Courier New" w:cs="Times New Roman"/>
      <w:sz w:val="20"/>
      <w:szCs w:val="20"/>
    </w:rPr>
  </w:style>
  <w:style w:type="character" w:styleId="EndnoteReference">
    <w:name w:val="endnote reference"/>
    <w:basedOn w:val="DefaultParagraphFont"/>
    <w:semiHidden/>
    <w:rsid w:val="004B3323"/>
    <w:rPr>
      <w:vertAlign w:val="superscript"/>
    </w:rPr>
  </w:style>
  <w:style w:type="paragraph" w:styleId="BlockText">
    <w:name w:val="Block Text"/>
    <w:basedOn w:val="Normal"/>
    <w:semiHidden/>
    <w:rsid w:val="004B3323"/>
    <w:pPr>
      <w:ind w:left="990" w:right="1080"/>
    </w:pPr>
    <w:rPr>
      <w:rFonts w:ascii="Comic Sans MS" w:hAnsi="Comic Sans MS"/>
      <w:i/>
      <w:snapToGrid w:val="0"/>
      <w:sz w:val="16"/>
      <w:szCs w:val="20"/>
    </w:rPr>
  </w:style>
  <w:style w:type="paragraph" w:customStyle="1" w:styleId="SIDEBARhead">
    <w:name w:val="SIDEBAR head"/>
    <w:basedOn w:val="BodyText2"/>
    <w:semiHidden/>
    <w:rsid w:val="004B3323"/>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semiHidden/>
    <w:rsid w:val="004B3323"/>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semiHidden/>
    <w:rsid w:val="004B3323"/>
    <w:rPr>
      <w:rFonts w:ascii="Arial" w:eastAsia="Times New Roman" w:hAnsi="Arial" w:cs="Times New Roman"/>
      <w:i/>
      <w:sz w:val="18"/>
      <w:szCs w:val="18"/>
    </w:rPr>
  </w:style>
  <w:style w:type="paragraph" w:styleId="BodyText3">
    <w:name w:val="Body Text 3"/>
    <w:aliases w:val="sidebar bullet,sidebar bullet Char"/>
    <w:basedOn w:val="Normal"/>
    <w:link w:val="BodyText3Char1"/>
    <w:semiHidden/>
    <w:rsid w:val="004B3323"/>
    <w:pPr>
      <w:numPr>
        <w:numId w:val="13"/>
      </w:numPr>
      <w:spacing w:after="120"/>
    </w:pPr>
    <w:rPr>
      <w:rFonts w:ascii="Arial" w:hAnsi="Arial"/>
      <w:i/>
      <w:sz w:val="20"/>
      <w:szCs w:val="20"/>
    </w:rPr>
  </w:style>
  <w:style w:type="character" w:customStyle="1" w:styleId="BodyText3Char">
    <w:name w:val="Body Text 3 Char"/>
    <w:basedOn w:val="DefaultParagraphFont"/>
    <w:link w:val="BodyText3"/>
    <w:uiPriority w:val="99"/>
    <w:semiHidden/>
    <w:rsid w:val="004B3323"/>
    <w:rPr>
      <w:rFonts w:ascii="Times New Roman" w:eastAsia="Times New Roman" w:hAnsi="Times New Roman" w:cs="Times New Roman"/>
      <w:sz w:val="16"/>
      <w:szCs w:val="16"/>
    </w:rPr>
  </w:style>
  <w:style w:type="paragraph" w:customStyle="1" w:styleId="Bullet">
    <w:name w:val="Bullet"/>
    <w:basedOn w:val="Normal"/>
    <w:rsid w:val="004B3323"/>
    <w:pPr>
      <w:numPr>
        <w:numId w:val="9"/>
      </w:numPr>
      <w:spacing w:after="120"/>
    </w:pPr>
    <w:rPr>
      <w:rFonts w:ascii="Arial" w:hAnsi="Arial" w:cs="Arial"/>
      <w:i/>
      <w:sz w:val="20"/>
      <w:szCs w:val="20"/>
    </w:rPr>
  </w:style>
  <w:style w:type="paragraph" w:customStyle="1" w:styleId="Level1">
    <w:name w:val="Level 1"/>
    <w:basedOn w:val="Normal"/>
    <w:semiHidden/>
    <w:rsid w:val="004B3323"/>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semiHidden/>
    <w:rsid w:val="004B3323"/>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semiHidden/>
    <w:rsid w:val="004B3323"/>
    <w:rPr>
      <w:rFonts w:ascii="Arial" w:eastAsia="Times New Roman" w:hAnsi="Arial" w:cs="Times New Roman"/>
      <w:b/>
      <w:i/>
      <w:sz w:val="24"/>
      <w:szCs w:val="20"/>
    </w:rPr>
  </w:style>
  <w:style w:type="paragraph" w:styleId="TOC1">
    <w:name w:val="toc 1"/>
    <w:basedOn w:val="Normal"/>
    <w:next w:val="Normal"/>
    <w:autoRedefine/>
    <w:rsid w:val="004B3323"/>
    <w:pPr>
      <w:tabs>
        <w:tab w:val="right" w:leader="dot" w:pos="9350"/>
      </w:tabs>
      <w:spacing w:before="120"/>
    </w:pPr>
    <w:rPr>
      <w:rFonts w:ascii="Arial" w:hAnsi="Arial"/>
      <w:b/>
      <w:bCs/>
      <w:iCs/>
      <w:sz w:val="28"/>
    </w:rPr>
  </w:style>
  <w:style w:type="paragraph" w:styleId="TOC3">
    <w:name w:val="toc 3"/>
    <w:basedOn w:val="Normal"/>
    <w:next w:val="Normal"/>
    <w:autoRedefine/>
    <w:rsid w:val="004B3323"/>
    <w:pPr>
      <w:tabs>
        <w:tab w:val="right" w:leader="dot" w:pos="9350"/>
      </w:tabs>
      <w:spacing w:before="120" w:after="120"/>
      <w:ind w:left="1032" w:right="1440" w:hanging="432"/>
    </w:pPr>
    <w:rPr>
      <w:rFonts w:ascii="Arial" w:hAnsi="Arial"/>
      <w:b/>
      <w:noProof/>
      <w:sz w:val="22"/>
      <w:szCs w:val="20"/>
    </w:rPr>
  </w:style>
  <w:style w:type="paragraph" w:styleId="TOC4">
    <w:name w:val="toc 4"/>
    <w:basedOn w:val="Normal"/>
    <w:next w:val="Normal"/>
    <w:autoRedefine/>
    <w:rsid w:val="004B3323"/>
    <w:pPr>
      <w:tabs>
        <w:tab w:val="right" w:leader="dot" w:pos="9350"/>
      </w:tabs>
      <w:ind w:left="1532" w:right="900" w:hanging="432"/>
    </w:pPr>
    <w:rPr>
      <w:rFonts w:ascii="Arial" w:hAnsi="Arial"/>
      <w:noProof/>
      <w:sz w:val="22"/>
      <w:szCs w:val="20"/>
    </w:rPr>
  </w:style>
  <w:style w:type="paragraph" w:styleId="TOC5">
    <w:name w:val="toc 5"/>
    <w:basedOn w:val="Normal"/>
    <w:next w:val="Normal"/>
    <w:autoRedefine/>
    <w:rsid w:val="004B3323"/>
    <w:pPr>
      <w:ind w:left="800"/>
    </w:pPr>
    <w:rPr>
      <w:sz w:val="20"/>
      <w:szCs w:val="20"/>
    </w:rPr>
  </w:style>
  <w:style w:type="paragraph" w:styleId="TOC6">
    <w:name w:val="toc 6"/>
    <w:basedOn w:val="Normal"/>
    <w:next w:val="Normal"/>
    <w:autoRedefine/>
    <w:semiHidden/>
    <w:rsid w:val="004B3323"/>
    <w:pPr>
      <w:ind w:left="1000"/>
    </w:pPr>
    <w:rPr>
      <w:sz w:val="20"/>
      <w:szCs w:val="20"/>
    </w:rPr>
  </w:style>
  <w:style w:type="paragraph" w:styleId="TOC7">
    <w:name w:val="toc 7"/>
    <w:basedOn w:val="Normal"/>
    <w:next w:val="Normal"/>
    <w:autoRedefine/>
    <w:semiHidden/>
    <w:rsid w:val="004B3323"/>
    <w:pPr>
      <w:ind w:left="1200"/>
    </w:pPr>
    <w:rPr>
      <w:sz w:val="20"/>
      <w:szCs w:val="20"/>
    </w:rPr>
  </w:style>
  <w:style w:type="paragraph" w:styleId="TOC8">
    <w:name w:val="toc 8"/>
    <w:basedOn w:val="Normal"/>
    <w:next w:val="Normal"/>
    <w:autoRedefine/>
    <w:semiHidden/>
    <w:rsid w:val="004B3323"/>
    <w:pPr>
      <w:ind w:left="1400"/>
    </w:pPr>
    <w:rPr>
      <w:sz w:val="20"/>
      <w:szCs w:val="20"/>
    </w:rPr>
  </w:style>
  <w:style w:type="paragraph" w:styleId="TOC9">
    <w:name w:val="toc 9"/>
    <w:basedOn w:val="Normal"/>
    <w:next w:val="Normal"/>
    <w:autoRedefine/>
    <w:semiHidden/>
    <w:rsid w:val="004B3323"/>
    <w:pPr>
      <w:ind w:left="1600"/>
    </w:pPr>
    <w:rPr>
      <w:sz w:val="20"/>
      <w:szCs w:val="20"/>
    </w:rPr>
  </w:style>
  <w:style w:type="character" w:styleId="FollowedHyperlink">
    <w:name w:val="FollowedHyperlink"/>
    <w:basedOn w:val="DefaultParagraphFont"/>
    <w:rsid w:val="004B3323"/>
    <w:rPr>
      <w:color w:val="800080"/>
      <w:u w:val="single"/>
    </w:rPr>
  </w:style>
  <w:style w:type="paragraph" w:styleId="BalloonText">
    <w:name w:val="Balloon Text"/>
    <w:basedOn w:val="Normal"/>
    <w:link w:val="BalloonTextChar"/>
    <w:semiHidden/>
    <w:rsid w:val="004B3323"/>
    <w:rPr>
      <w:rFonts w:ascii="Tahoma" w:hAnsi="Tahoma" w:cs="Tahoma"/>
      <w:sz w:val="16"/>
      <w:szCs w:val="16"/>
    </w:rPr>
  </w:style>
  <w:style w:type="character" w:customStyle="1" w:styleId="BalloonTextChar">
    <w:name w:val="Balloon Text Char"/>
    <w:basedOn w:val="DefaultParagraphFont"/>
    <w:link w:val="BalloonText"/>
    <w:semiHidden/>
    <w:rsid w:val="004B3323"/>
    <w:rPr>
      <w:rFonts w:ascii="Tahoma" w:eastAsia="Times New Roman" w:hAnsi="Tahoma" w:cs="Tahoma"/>
      <w:sz w:val="16"/>
      <w:szCs w:val="16"/>
    </w:rPr>
  </w:style>
  <w:style w:type="paragraph" w:customStyle="1" w:styleId="StyleHeading1Italic">
    <w:name w:val="Style Heading 1 + Italic"/>
    <w:basedOn w:val="Heading1"/>
    <w:semiHidden/>
    <w:rsid w:val="004B3323"/>
    <w:rPr>
      <w:bCs/>
      <w:iCs/>
    </w:rPr>
  </w:style>
  <w:style w:type="paragraph" w:customStyle="1" w:styleId="StylenumberedbodytextBold">
    <w:name w:val="Style numbered body text + Bold"/>
    <w:basedOn w:val="Normal"/>
    <w:semiHidden/>
    <w:rsid w:val="004B3323"/>
    <w:pPr>
      <w:numPr>
        <w:numId w:val="10"/>
      </w:numPr>
    </w:pPr>
    <w:rPr>
      <w:sz w:val="20"/>
      <w:szCs w:val="20"/>
    </w:rPr>
  </w:style>
  <w:style w:type="paragraph" w:customStyle="1" w:styleId="StyleHeading3NotBoldItalic">
    <w:name w:val="Style Heading 3 + Not Bold Italic"/>
    <w:basedOn w:val="Heading3"/>
    <w:semiHidden/>
    <w:rsid w:val="004B3323"/>
    <w:pPr>
      <w:spacing w:after="180"/>
    </w:pPr>
    <w:rPr>
      <w:rFonts w:cs="Times New Roman"/>
      <w:bCs w:val="0"/>
      <w:iCs/>
      <w:szCs w:val="20"/>
    </w:rPr>
  </w:style>
  <w:style w:type="paragraph" w:customStyle="1" w:styleId="StyleHeading3NotBoldItalic1">
    <w:name w:val="Style Heading 3 + Not Bold Italic1"/>
    <w:basedOn w:val="Heading3"/>
    <w:semiHidden/>
    <w:rsid w:val="004B3323"/>
    <w:pPr>
      <w:spacing w:after="180"/>
    </w:pPr>
    <w:rPr>
      <w:rFonts w:cs="Times New Roman"/>
      <w:bCs w:val="0"/>
      <w:iCs/>
      <w:szCs w:val="20"/>
    </w:rPr>
  </w:style>
  <w:style w:type="paragraph" w:customStyle="1" w:styleId="StyleHeading3NotItalic">
    <w:name w:val="Style Heading 3 + Not Italic"/>
    <w:basedOn w:val="Heading3"/>
    <w:semiHidden/>
    <w:rsid w:val="004B3323"/>
    <w:pPr>
      <w:spacing w:after="180"/>
    </w:pPr>
    <w:rPr>
      <w:rFonts w:cs="Times New Roman"/>
      <w:b w:val="0"/>
      <w:bCs w:val="0"/>
      <w:i w:val="0"/>
      <w:sz w:val="32"/>
      <w:szCs w:val="20"/>
    </w:rPr>
  </w:style>
  <w:style w:type="character" w:customStyle="1" w:styleId="BodytextChar0">
    <w:name w:val="Body text Char"/>
    <w:basedOn w:val="DefaultParagraphFont"/>
    <w:semiHidden/>
    <w:rsid w:val="004B3323"/>
    <w:rPr>
      <w:rFonts w:ascii="Arial" w:hAnsi="Arial"/>
      <w:noProof w:val="0"/>
      <w:lang w:val="en-US" w:eastAsia="en-US" w:bidi="ar-SA"/>
    </w:rPr>
  </w:style>
  <w:style w:type="paragraph" w:customStyle="1" w:styleId="Tableheading">
    <w:name w:val="Table heading"/>
    <w:basedOn w:val="Heading3"/>
    <w:link w:val="TableheadingChar"/>
    <w:rsid w:val="004B3323"/>
    <w:pPr>
      <w:spacing w:before="0" w:after="0"/>
      <w:jc w:val="center"/>
    </w:pPr>
    <w:rPr>
      <w:rFonts w:cs="Times New Roman"/>
      <w:bCs w:val="0"/>
      <w:sz w:val="20"/>
      <w:szCs w:val="20"/>
    </w:rPr>
  </w:style>
  <w:style w:type="paragraph" w:customStyle="1" w:styleId="TableText">
    <w:name w:val="Table Text"/>
    <w:basedOn w:val="Header"/>
    <w:link w:val="TableTextChar"/>
    <w:rsid w:val="004B3323"/>
    <w:pPr>
      <w:tabs>
        <w:tab w:val="clear" w:pos="4320"/>
        <w:tab w:val="clear" w:pos="8640"/>
      </w:tabs>
    </w:pPr>
    <w:rPr>
      <w:rFonts w:ascii="Arial" w:hAnsi="Arial"/>
      <w:sz w:val="18"/>
      <w:szCs w:val="20"/>
    </w:rPr>
  </w:style>
  <w:style w:type="character" w:customStyle="1" w:styleId="BodyTextCharChar">
    <w:name w:val="Body Text Char Char"/>
    <w:basedOn w:val="DefaultParagraphFont"/>
    <w:semiHidden/>
    <w:rsid w:val="004B3323"/>
    <w:rPr>
      <w:rFonts w:ascii="Arial" w:hAnsi="Arial"/>
      <w:noProof w:val="0"/>
      <w:lang w:val="en-US" w:eastAsia="en-US" w:bidi="ar-SA"/>
    </w:rPr>
  </w:style>
  <w:style w:type="paragraph" w:customStyle="1" w:styleId="StyleBodyText2SidebarTextBoldLeft0Hanging1">
    <w:name w:val="Style Body Text 2Sidebar Text + Bold Left:  0&quot; Hanging:  1&quot;"/>
    <w:basedOn w:val="BodyText2"/>
    <w:semiHidden/>
    <w:rsid w:val="004B3323"/>
    <w:pPr>
      <w:autoSpaceDE/>
      <w:autoSpaceDN/>
      <w:adjustRightInd/>
    </w:pPr>
    <w:rPr>
      <w:bCs/>
      <w:iCs/>
      <w:sz w:val="20"/>
      <w:szCs w:val="20"/>
    </w:rPr>
  </w:style>
  <w:style w:type="paragraph" w:styleId="BodyTextIndent2">
    <w:name w:val="Body Text Indent 2"/>
    <w:basedOn w:val="Normal"/>
    <w:link w:val="BodyTextIndent2Char"/>
    <w:semiHidden/>
    <w:rsid w:val="004B3323"/>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semiHidden/>
    <w:rsid w:val="004B3323"/>
    <w:rPr>
      <w:rFonts w:ascii="Arial" w:eastAsia="Times New Roman" w:hAnsi="Arial" w:cs="Times New Roman"/>
      <w:b/>
      <w:color w:val="000000"/>
      <w:sz w:val="20"/>
      <w:szCs w:val="20"/>
    </w:rPr>
  </w:style>
  <w:style w:type="paragraph" w:customStyle="1" w:styleId="References">
    <w:name w:val="References"/>
    <w:basedOn w:val="Normal"/>
    <w:link w:val="ReferencesChar"/>
    <w:rsid w:val="004B3323"/>
    <w:pPr>
      <w:spacing w:after="120"/>
      <w:ind w:left="432" w:hanging="432"/>
    </w:pPr>
    <w:rPr>
      <w:rFonts w:ascii="Arial" w:hAnsi="Arial"/>
      <w:sz w:val="22"/>
      <w:szCs w:val="20"/>
    </w:rPr>
  </w:style>
  <w:style w:type="character" w:styleId="CommentReference">
    <w:name w:val="annotation reference"/>
    <w:basedOn w:val="DefaultParagraphFont"/>
    <w:semiHidden/>
    <w:rsid w:val="004B3323"/>
    <w:rPr>
      <w:sz w:val="16"/>
      <w:szCs w:val="16"/>
    </w:rPr>
  </w:style>
  <w:style w:type="paragraph" w:styleId="CommentText">
    <w:name w:val="annotation text"/>
    <w:basedOn w:val="Normal"/>
    <w:link w:val="CommentTextChar"/>
    <w:semiHidden/>
    <w:rsid w:val="004B3323"/>
    <w:rPr>
      <w:szCs w:val="20"/>
    </w:rPr>
  </w:style>
  <w:style w:type="character" w:customStyle="1" w:styleId="CommentTextChar">
    <w:name w:val="Comment Text Char"/>
    <w:basedOn w:val="DefaultParagraphFont"/>
    <w:link w:val="CommentText"/>
    <w:semiHidden/>
    <w:rsid w:val="004B3323"/>
    <w:rPr>
      <w:rFonts w:ascii="Times New Roman" w:eastAsia="Times New Roman" w:hAnsi="Times New Roman" w:cs="Times New Roman"/>
      <w:sz w:val="24"/>
      <w:szCs w:val="20"/>
    </w:rPr>
  </w:style>
  <w:style w:type="paragraph" w:customStyle="1" w:styleId="StyleCaption9ptLeft0Hanging05">
    <w:name w:val="Style Caption + 9 pt Left:  0&quot; Hanging:  0.5&quot;"/>
    <w:basedOn w:val="Caption"/>
    <w:semiHidden/>
    <w:rsid w:val="004B3323"/>
    <w:rPr>
      <w:bCs/>
      <w:iCs/>
      <w:sz w:val="18"/>
    </w:rPr>
  </w:style>
  <w:style w:type="character" w:customStyle="1" w:styleId="BodyTextChar10">
    <w:name w:val="Body Text Char1"/>
    <w:aliases w:val="Body Text Char Char Char Char Char,Body Text Char Char Char Char1"/>
    <w:basedOn w:val="DefaultParagraphFont"/>
    <w:link w:val="BodyText0"/>
    <w:semiHidden/>
    <w:rsid w:val="004B3323"/>
    <w:rPr>
      <w:rFonts w:ascii="Arial" w:eastAsia="Times New Roman" w:hAnsi="Arial" w:cs="Times New Roman"/>
      <w:sz w:val="20"/>
      <w:szCs w:val="20"/>
    </w:rPr>
  </w:style>
  <w:style w:type="character" w:styleId="Strong">
    <w:name w:val="Strong"/>
    <w:basedOn w:val="DefaultParagraphFont"/>
    <w:qFormat/>
    <w:rsid w:val="004B3323"/>
    <w:rPr>
      <w:b/>
    </w:rPr>
  </w:style>
  <w:style w:type="table" w:customStyle="1" w:styleId="Tabletext0">
    <w:name w:val="Table text"/>
    <w:basedOn w:val="TableProfessional"/>
    <w:rsid w:val="004B3323"/>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vAlign w:val="center"/>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rsid w:val="004B3323"/>
    <w:pPr>
      <w:numPr>
        <w:numId w:val="15"/>
      </w:numPr>
      <w:ind w:right="720"/>
    </w:pPr>
  </w:style>
  <w:style w:type="character" w:customStyle="1" w:styleId="TableheadingChar">
    <w:name w:val="Table heading Char"/>
    <w:basedOn w:val="DefaultParagraphFont"/>
    <w:link w:val="Tableheading"/>
    <w:rsid w:val="004B3323"/>
    <w:rPr>
      <w:rFonts w:ascii="Arial" w:eastAsia="Times New Roman" w:hAnsi="Arial" w:cs="Times New Roman"/>
      <w:b/>
      <w:i/>
      <w:sz w:val="20"/>
      <w:szCs w:val="20"/>
    </w:rPr>
  </w:style>
  <w:style w:type="character" w:customStyle="1" w:styleId="Heading4Char1">
    <w:name w:val="Heading 4 Char1"/>
    <w:basedOn w:val="DefaultParagraphFont"/>
    <w:link w:val="Heading4"/>
    <w:rsid w:val="004B3323"/>
    <w:rPr>
      <w:rFonts w:ascii="Arial" w:eastAsia="Times New Roman" w:hAnsi="Arial" w:cs="Times New Roman"/>
      <w:b/>
      <w:sz w:val="24"/>
      <w:szCs w:val="20"/>
    </w:rPr>
  </w:style>
  <w:style w:type="table" w:styleId="TableProfessional">
    <w:name w:val="Table Professional"/>
    <w:basedOn w:val="TableNormal"/>
    <w:rsid w:val="004B3323"/>
    <w:pPr>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rsid w:val="004B3323"/>
    <w:rPr>
      <w:b/>
      <w:sz w:val="26"/>
      <w:lang w:val="en-US" w:eastAsia="en-US" w:bidi="ar-SA"/>
    </w:rPr>
  </w:style>
  <w:style w:type="character" w:customStyle="1" w:styleId="CharChar1">
    <w:name w:val="Char Char1"/>
    <w:basedOn w:val="DefaultParagraphFont"/>
    <w:rsid w:val="004B3323"/>
    <w:rPr>
      <w:b/>
      <w:i/>
      <w:sz w:val="24"/>
      <w:lang w:val="en-US" w:eastAsia="en-US" w:bidi="ar-SA"/>
    </w:rPr>
  </w:style>
  <w:style w:type="character" w:customStyle="1" w:styleId="BodyText3Char1">
    <w:name w:val="Body Text 3 Char1"/>
    <w:aliases w:val="sidebar bullet Char1,sidebar bullet Char Char"/>
    <w:basedOn w:val="DefaultParagraphFont"/>
    <w:link w:val="BodyText3"/>
    <w:semiHidden/>
    <w:rsid w:val="004B3323"/>
    <w:rPr>
      <w:rFonts w:ascii="Arial" w:eastAsia="Times New Roman" w:hAnsi="Arial" w:cs="Times New Roman"/>
      <w:i/>
      <w:sz w:val="20"/>
      <w:szCs w:val="20"/>
    </w:rPr>
  </w:style>
  <w:style w:type="character" w:customStyle="1" w:styleId="BodytextChar1">
    <w:name w:val="Body text Char1"/>
    <w:basedOn w:val="BodyTextIndentChar"/>
    <w:link w:val="Bodytext"/>
    <w:rsid w:val="004B3323"/>
    <w:rPr>
      <w:rFonts w:ascii="Arial" w:hAnsi="Arial"/>
      <w:szCs w:val="20"/>
    </w:rPr>
  </w:style>
  <w:style w:type="paragraph" w:customStyle="1" w:styleId="StyleBodytext11pt">
    <w:name w:val="Style Body text + 11 pt"/>
    <w:basedOn w:val="Bodytext"/>
    <w:link w:val="StyleBodytext11ptChar"/>
    <w:rsid w:val="004B3323"/>
  </w:style>
  <w:style w:type="character" w:customStyle="1" w:styleId="StyleBodytext11ptChar">
    <w:name w:val="Style Body text + 11 pt Char"/>
    <w:basedOn w:val="BodytextChar1"/>
    <w:link w:val="StyleBodytext11pt"/>
    <w:rsid w:val="004B3323"/>
  </w:style>
  <w:style w:type="paragraph" w:customStyle="1" w:styleId="Heading1A">
    <w:name w:val="Heading 1A"/>
    <w:basedOn w:val="Heading1"/>
    <w:rsid w:val="004B3323"/>
    <w:rPr>
      <w:rFonts w:cs="Arial"/>
      <w:sz w:val="32"/>
      <w:szCs w:val="22"/>
    </w:rPr>
  </w:style>
  <w:style w:type="paragraph" w:customStyle="1" w:styleId="StyleListBulletPatternClearTan">
    <w:name w:val="Style List Bullet + Pattern: Clear (Tan)"/>
    <w:basedOn w:val="ListBullet"/>
    <w:rsid w:val="004B3323"/>
    <w:pPr>
      <w:shd w:val="clear" w:color="auto" w:fill="FFCC99"/>
    </w:pPr>
    <w:rPr>
      <w:iCs/>
      <w:sz w:val="22"/>
      <w:szCs w:val="20"/>
    </w:rPr>
  </w:style>
  <w:style w:type="paragraph" w:customStyle="1" w:styleId="StyleListBulletPatternClearTan1">
    <w:name w:val="Style List Bullet + Pattern: Clear (Tan)1"/>
    <w:basedOn w:val="ListBullet"/>
    <w:rsid w:val="004B3323"/>
    <w:pPr>
      <w:shd w:val="clear" w:color="auto" w:fill="FFCC99"/>
    </w:pPr>
    <w:rPr>
      <w:iCs/>
      <w:sz w:val="22"/>
      <w:szCs w:val="20"/>
    </w:rPr>
  </w:style>
  <w:style w:type="paragraph" w:customStyle="1" w:styleId="StyleListBulletPatternClearTan2">
    <w:name w:val="Style List Bullet + Pattern: Clear (Tan)2"/>
    <w:basedOn w:val="ListBullet"/>
    <w:rsid w:val="004B3323"/>
    <w:pPr>
      <w:shd w:val="clear" w:color="auto" w:fill="FFCC99"/>
    </w:pPr>
    <w:rPr>
      <w:iCs/>
      <w:sz w:val="22"/>
      <w:szCs w:val="20"/>
    </w:rPr>
  </w:style>
  <w:style w:type="paragraph" w:customStyle="1" w:styleId="Listbulletadditional">
    <w:name w:val="List bullet additional"/>
    <w:basedOn w:val="ListBullet"/>
    <w:rsid w:val="004B3323"/>
    <w:pPr>
      <w:numPr>
        <w:numId w:val="0"/>
      </w:numPr>
      <w:ind w:left="648"/>
    </w:pPr>
    <w:rPr>
      <w:sz w:val="22"/>
      <w:szCs w:val="22"/>
    </w:rPr>
  </w:style>
  <w:style w:type="paragraph" w:customStyle="1" w:styleId="StyleListBulletBold">
    <w:name w:val="Style List Bullet + Bold"/>
    <w:basedOn w:val="ListBullet"/>
    <w:link w:val="StyleListBulletBoldChar"/>
    <w:rsid w:val="004B3323"/>
    <w:rPr>
      <w:b/>
      <w:bCs/>
      <w:iCs/>
      <w:sz w:val="22"/>
    </w:rPr>
  </w:style>
  <w:style w:type="character" w:customStyle="1" w:styleId="StyleListBulletBoldChar">
    <w:name w:val="Style List Bullet + Bold Char"/>
    <w:basedOn w:val="ListBulletChar"/>
    <w:link w:val="StyleListBulletBold"/>
    <w:rsid w:val="004B3323"/>
    <w:rPr>
      <w:b/>
      <w:bCs/>
      <w:iCs/>
    </w:rPr>
  </w:style>
  <w:style w:type="paragraph" w:customStyle="1" w:styleId="first">
    <w:name w:val="first"/>
    <w:basedOn w:val="Normal"/>
    <w:rsid w:val="004B3323"/>
    <w:pPr>
      <w:spacing w:after="160"/>
      <w:ind w:firstLine="160"/>
      <w:textAlignment w:val="top"/>
    </w:pPr>
    <w:rPr>
      <w:sz w:val="19"/>
      <w:szCs w:val="19"/>
    </w:rPr>
  </w:style>
  <w:style w:type="paragraph" w:customStyle="1" w:styleId="noindent">
    <w:name w:val="noindent"/>
    <w:basedOn w:val="Normal"/>
    <w:rsid w:val="004B3323"/>
    <w:pPr>
      <w:spacing w:after="160"/>
      <w:textAlignment w:val="top"/>
    </w:pPr>
    <w:rPr>
      <w:sz w:val="19"/>
      <w:szCs w:val="19"/>
    </w:rPr>
  </w:style>
  <w:style w:type="paragraph" w:customStyle="1" w:styleId="body">
    <w:name w:val="body"/>
    <w:basedOn w:val="Normal"/>
    <w:rsid w:val="004B3323"/>
    <w:pPr>
      <w:spacing w:before="160"/>
      <w:ind w:left="80" w:right="80" w:firstLine="160"/>
      <w:textAlignment w:val="top"/>
    </w:pPr>
    <w:rPr>
      <w:sz w:val="19"/>
      <w:szCs w:val="19"/>
    </w:rPr>
  </w:style>
  <w:style w:type="table" w:styleId="TableElegant">
    <w:name w:val="Table Elegant"/>
    <w:basedOn w:val="TableNormal"/>
    <w:rsid w:val="004B3323"/>
    <w:pPr>
      <w:spacing w:after="0" w:line="24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1">
    <w:name w:val="bodytext"/>
    <w:basedOn w:val="Normal"/>
    <w:rsid w:val="004B3323"/>
    <w:pPr>
      <w:spacing w:before="100" w:beforeAutospacing="1" w:after="100" w:afterAutospacing="1"/>
    </w:pPr>
  </w:style>
  <w:style w:type="character" w:customStyle="1" w:styleId="ReferencesChar">
    <w:name w:val="References Char"/>
    <w:basedOn w:val="DefaultParagraphFont"/>
    <w:link w:val="References"/>
    <w:rsid w:val="004B3323"/>
    <w:rPr>
      <w:rFonts w:ascii="Arial" w:eastAsia="Times New Roman" w:hAnsi="Arial" w:cs="Times New Roman"/>
      <w:szCs w:val="20"/>
    </w:rPr>
  </w:style>
  <w:style w:type="character" w:customStyle="1" w:styleId="msoins0">
    <w:name w:val="msoins"/>
    <w:basedOn w:val="DefaultParagraphFont"/>
    <w:rsid w:val="004B3323"/>
  </w:style>
  <w:style w:type="paragraph" w:customStyle="1" w:styleId="Listbulletsub">
    <w:name w:val="List bullet sub"/>
    <w:basedOn w:val="Listbulletadditional"/>
    <w:rsid w:val="004B3323"/>
    <w:pPr>
      <w:ind w:left="936" w:right="720" w:hanging="288"/>
    </w:pPr>
    <w:rPr>
      <w:snapToGrid w:val="0"/>
    </w:rPr>
  </w:style>
  <w:style w:type="character" w:customStyle="1" w:styleId="TableTextChar">
    <w:name w:val="Table Text Char"/>
    <w:basedOn w:val="HeaderChar"/>
    <w:link w:val="TableText"/>
    <w:rsid w:val="004B3323"/>
    <w:rPr>
      <w:rFonts w:ascii="Arial" w:hAnsi="Arial"/>
      <w:sz w:val="18"/>
      <w:szCs w:val="20"/>
    </w:rPr>
  </w:style>
  <w:style w:type="character" w:styleId="Emphasis">
    <w:name w:val="Emphasis"/>
    <w:basedOn w:val="DefaultParagraphFont"/>
    <w:qFormat/>
    <w:rsid w:val="004B3323"/>
    <w:rPr>
      <w:i/>
      <w:iCs/>
    </w:rPr>
  </w:style>
  <w:style w:type="paragraph" w:customStyle="1" w:styleId="StyleListBullet11pt">
    <w:name w:val="Style List Bullet + 11 pt"/>
    <w:basedOn w:val="ListBullet"/>
    <w:link w:val="StyleListBullet11ptChar"/>
    <w:rsid w:val="004B3323"/>
    <w:rPr>
      <w:iCs/>
      <w:sz w:val="22"/>
    </w:rPr>
  </w:style>
  <w:style w:type="character" w:customStyle="1" w:styleId="StyleListBullet11ptChar">
    <w:name w:val="Style List Bullet + 11 pt Char"/>
    <w:basedOn w:val="ListBulletChar"/>
    <w:link w:val="StyleListBullet11pt"/>
    <w:rsid w:val="004B3323"/>
    <w:rPr>
      <w:iCs/>
    </w:rPr>
  </w:style>
  <w:style w:type="paragraph" w:customStyle="1" w:styleId="StyleListBullet11pt1">
    <w:name w:val="Style List Bullet + 11 pt1"/>
    <w:basedOn w:val="ListBullet"/>
    <w:rsid w:val="004B3323"/>
    <w:rPr>
      <w:iCs/>
      <w:sz w:val="22"/>
    </w:rPr>
  </w:style>
  <w:style w:type="paragraph" w:styleId="CommentSubject">
    <w:name w:val="annotation subject"/>
    <w:basedOn w:val="CommentText"/>
    <w:next w:val="CommentText"/>
    <w:link w:val="CommentSubjectChar"/>
    <w:semiHidden/>
    <w:rsid w:val="004B3323"/>
    <w:pPr>
      <w:numPr>
        <w:numId w:val="35"/>
      </w:numPr>
      <w:tabs>
        <w:tab w:val="clear" w:pos="720"/>
      </w:tabs>
      <w:ind w:left="0" w:firstLine="0"/>
    </w:pPr>
    <w:rPr>
      <w:b/>
      <w:bCs/>
      <w:sz w:val="20"/>
    </w:rPr>
  </w:style>
  <w:style w:type="character" w:customStyle="1" w:styleId="CommentSubjectChar">
    <w:name w:val="Comment Subject Char"/>
    <w:basedOn w:val="CommentTextChar"/>
    <w:link w:val="CommentSubject"/>
    <w:semiHidden/>
    <w:rsid w:val="004B3323"/>
    <w:rPr>
      <w:b/>
      <w:bCs/>
      <w:sz w:val="20"/>
    </w:rPr>
  </w:style>
  <w:style w:type="paragraph" w:customStyle="1" w:styleId="Bodytextreduced">
    <w:name w:val="Body text reduced"/>
    <w:basedOn w:val="TableText"/>
    <w:rsid w:val="004B3323"/>
    <w:rPr>
      <w:sz w:val="16"/>
    </w:rPr>
  </w:style>
  <w:style w:type="paragraph" w:customStyle="1" w:styleId="Default">
    <w:name w:val="Default"/>
    <w:rsid w:val="004B332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tableheading0">
    <w:name w:val="tableheading"/>
    <w:basedOn w:val="Normal"/>
    <w:rsid w:val="004B3323"/>
    <w:pPr>
      <w:spacing w:before="100" w:beforeAutospacing="1" w:after="100" w:afterAutospacing="1"/>
    </w:pPr>
  </w:style>
  <w:style w:type="paragraph" w:customStyle="1" w:styleId="tabletext1">
    <w:name w:val="tabletext"/>
    <w:basedOn w:val="Normal"/>
    <w:rsid w:val="004B3323"/>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oleObject" Target="embeddings/Microsoft_Office_Excel_97-2003_Worksheet1.xls"/><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theme" Target="theme/theme1.xml"/><Relationship Id="rId5" Type="http://schemas.openxmlformats.org/officeDocument/2006/relationships/image" Target="media/image1.em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25</Pages>
  <Words>8728</Words>
  <Characters>49754</Characters>
  <Application>Microsoft Office Word</Application>
  <DocSecurity>0</DocSecurity>
  <Lines>414</Lines>
  <Paragraphs>116</Paragraphs>
  <ScaleCrop>false</ScaleCrop>
  <Company> </Company>
  <LinksUpToDate>false</LinksUpToDate>
  <CharactersWithSpaces>58366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harrington_d</cp:lastModifiedBy>
  <cp:revision>2</cp:revision>
  <cp:lastPrinted>2010-01-04T16:43:00Z</cp:lastPrinted>
  <dcterms:created xsi:type="dcterms:W3CDTF">2010-01-04T16:47:00Z</dcterms:created>
  <dcterms:modified xsi:type="dcterms:W3CDTF">2010-01-04T16:47:00Z</dcterms:modified>
</cp:coreProperties>
</file>