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A84" w:rsidRDefault="0040738E" w:rsidP="005B3A84">
      <w:pPr>
        <w:spacing w:after="0"/>
        <w:jc w:val="center"/>
        <w:rPr>
          <w:b/>
          <w:sz w:val="48"/>
          <w:szCs w:val="48"/>
        </w:rPr>
      </w:pPr>
      <w:r w:rsidRPr="0040738E">
        <w:rPr>
          <w:b/>
          <w:sz w:val="48"/>
          <w:szCs w:val="48"/>
        </w:rPr>
        <w:t>SPRINGS ATLAS</w:t>
      </w:r>
    </w:p>
    <w:p w:rsidR="0040738E" w:rsidRPr="0040738E" w:rsidRDefault="00E22986" w:rsidP="005B3A84">
      <w:pPr>
        <w:spacing w:after="0"/>
        <w:jc w:val="center"/>
        <w:rPr>
          <w:i/>
          <w:color w:val="0070C0"/>
          <w:sz w:val="40"/>
          <w:szCs w:val="40"/>
        </w:rPr>
      </w:pPr>
      <w:r>
        <w:rPr>
          <w:i/>
          <w:color w:val="0070C0"/>
          <w:sz w:val="40"/>
          <w:szCs w:val="40"/>
        </w:rPr>
        <w:t xml:space="preserve">Jackson </w:t>
      </w:r>
      <w:r w:rsidR="0040738E" w:rsidRPr="0040738E">
        <w:rPr>
          <w:i/>
          <w:color w:val="0070C0"/>
          <w:sz w:val="40"/>
          <w:szCs w:val="40"/>
        </w:rPr>
        <w:t>Blue Spring – Jackson County, Florida</w:t>
      </w:r>
    </w:p>
    <w:p w:rsidR="0040738E" w:rsidRDefault="0040738E" w:rsidP="005B3A84">
      <w:pPr>
        <w:spacing w:after="0"/>
        <w:jc w:val="center"/>
        <w:rPr>
          <w:sz w:val="32"/>
          <w:szCs w:val="32"/>
        </w:rPr>
      </w:pPr>
      <w:r w:rsidRPr="0040738E">
        <w:rPr>
          <w:sz w:val="32"/>
          <w:szCs w:val="32"/>
        </w:rPr>
        <w:t>October, 2012</w:t>
      </w:r>
    </w:p>
    <w:p w:rsidR="00747DD7" w:rsidRDefault="00747DD7" w:rsidP="0040738E">
      <w:pPr>
        <w:jc w:val="center"/>
        <w:rPr>
          <w:sz w:val="32"/>
          <w:szCs w:val="32"/>
        </w:rPr>
        <w:sectPr w:rsidR="00747DD7" w:rsidSect="00612DFC">
          <w:headerReference w:type="default" r:id="rId6"/>
          <w:pgSz w:w="12240" w:h="15840"/>
          <w:pgMar w:top="1440" w:right="1440" w:bottom="1440" w:left="1440" w:header="720" w:footer="720" w:gutter="0"/>
          <w:cols w:space="720"/>
          <w:docGrid w:linePitch="360"/>
        </w:sectPr>
      </w:pPr>
    </w:p>
    <w:p w:rsidR="0040738E" w:rsidRPr="0040738E" w:rsidRDefault="0040738E" w:rsidP="0040738E">
      <w:pPr>
        <w:jc w:val="center"/>
        <w:rPr>
          <w:sz w:val="32"/>
          <w:szCs w:val="32"/>
        </w:rPr>
      </w:pPr>
      <w:r>
        <w:rPr>
          <w:sz w:val="32"/>
          <w:szCs w:val="32"/>
        </w:rPr>
        <w:lastRenderedPageBreak/>
        <w:t>-----------------------------------------------------------------------------------------------</w:t>
      </w:r>
    </w:p>
    <w:p w:rsidR="0040738E" w:rsidRDefault="0040738E">
      <w:pPr>
        <w:sectPr w:rsidR="0040738E" w:rsidSect="00612DFC">
          <w:type w:val="continuous"/>
          <w:pgSz w:w="12240" w:h="15840"/>
          <w:pgMar w:top="1440" w:right="1440" w:bottom="1440" w:left="1440" w:header="720" w:footer="720" w:gutter="0"/>
          <w:cols w:space="720"/>
          <w:docGrid w:linePitch="360"/>
        </w:sectPr>
      </w:pPr>
    </w:p>
    <w:p w:rsidR="005B3A84" w:rsidRPr="004E7928" w:rsidRDefault="005B3A84"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lastRenderedPageBreak/>
        <w:t>Background</w:t>
      </w:r>
    </w:p>
    <w:p w:rsidR="005B3A84" w:rsidRPr="004E7928" w:rsidRDefault="005B3A84" w:rsidP="000E37B4">
      <w:pPr>
        <w:autoSpaceDE w:val="0"/>
        <w:autoSpaceDN w:val="0"/>
        <w:adjustRightInd w:val="0"/>
        <w:spacing w:after="0" w:line="240" w:lineRule="auto"/>
        <w:rPr>
          <w:rFonts w:ascii="Arial" w:hAnsi="Arial" w:cs="Arial"/>
        </w:rPr>
      </w:pPr>
    </w:p>
    <w:p w:rsidR="00E22986" w:rsidRPr="004E7928" w:rsidRDefault="00E22986" w:rsidP="000E37B4">
      <w:pPr>
        <w:pStyle w:val="Bodytext"/>
        <w:spacing w:after="0"/>
        <w:rPr>
          <w:rFonts w:cs="Arial"/>
        </w:rPr>
      </w:pPr>
      <w:r w:rsidRPr="004E7928">
        <w:rPr>
          <w:rFonts w:cs="Arial"/>
        </w:rPr>
        <w:t xml:space="preserve">Jackson </w:t>
      </w:r>
      <w:r w:rsidR="005B6FC7" w:rsidRPr="004E7928">
        <w:rPr>
          <w:rFonts w:cs="Arial"/>
        </w:rPr>
        <w:t xml:space="preserve">Blue Spring </w:t>
      </w:r>
      <w:r w:rsidR="00836AEE" w:rsidRPr="004E7928">
        <w:rPr>
          <w:rFonts w:cs="Arial"/>
        </w:rPr>
        <w:t xml:space="preserve">(aka Blue Spring) </w:t>
      </w:r>
      <w:r w:rsidR="005B6FC7" w:rsidRPr="004E7928">
        <w:rPr>
          <w:rFonts w:cs="Arial"/>
        </w:rPr>
        <w:t xml:space="preserve">is located </w:t>
      </w:r>
      <w:r w:rsidR="00222399" w:rsidRPr="004E7928">
        <w:rPr>
          <w:rFonts w:cs="Arial"/>
        </w:rPr>
        <w:t xml:space="preserve">within the southwestern portion of the Dougherty Karst Plain geomorphic region, </w:t>
      </w:r>
      <w:r w:rsidR="005B3A84" w:rsidRPr="004E7928">
        <w:rPr>
          <w:rFonts w:cs="Arial"/>
        </w:rPr>
        <w:t>at the head of Merritts Mill Pond</w:t>
      </w:r>
      <w:r w:rsidRPr="004E7928">
        <w:rPr>
          <w:rFonts w:cs="Arial"/>
        </w:rPr>
        <w:t>, about 4.2 mi</w:t>
      </w:r>
      <w:r w:rsidR="00F04A87" w:rsidRPr="004E7928">
        <w:rPr>
          <w:rFonts w:cs="Arial"/>
        </w:rPr>
        <w:t>l</w:t>
      </w:r>
      <w:r w:rsidRPr="004E7928">
        <w:rPr>
          <w:rFonts w:cs="Arial"/>
        </w:rPr>
        <w:t>es east of the city of Marianna</w:t>
      </w:r>
      <w:r w:rsidR="005B3A84" w:rsidRPr="004E7928">
        <w:rPr>
          <w:rFonts w:cs="Arial"/>
        </w:rPr>
        <w:t xml:space="preserve"> </w:t>
      </w:r>
      <w:r w:rsidR="005B6FC7" w:rsidRPr="004E7928">
        <w:rPr>
          <w:rFonts w:cs="Arial"/>
        </w:rPr>
        <w:t xml:space="preserve">in </w:t>
      </w:r>
      <w:r w:rsidR="005B3A84" w:rsidRPr="004E7928">
        <w:rPr>
          <w:rFonts w:cs="Arial"/>
        </w:rPr>
        <w:t xml:space="preserve">east-central </w:t>
      </w:r>
      <w:r w:rsidR="005B6FC7" w:rsidRPr="004E7928">
        <w:rPr>
          <w:rFonts w:cs="Arial"/>
        </w:rPr>
        <w:t>Jackson County,</w:t>
      </w:r>
      <w:r w:rsidR="005B3A84" w:rsidRPr="004E7928">
        <w:rPr>
          <w:rFonts w:cs="Arial"/>
        </w:rPr>
        <w:t xml:space="preserve"> </w:t>
      </w:r>
      <w:r w:rsidR="005B6FC7" w:rsidRPr="004E7928">
        <w:rPr>
          <w:rFonts w:cs="Arial"/>
        </w:rPr>
        <w:t>Florida</w:t>
      </w:r>
      <w:r w:rsidR="005B3A84" w:rsidRPr="004E7928">
        <w:rPr>
          <w:rFonts w:cs="Arial"/>
        </w:rPr>
        <w:t xml:space="preserve">. </w:t>
      </w:r>
      <w:r w:rsidRPr="004E7928">
        <w:rPr>
          <w:rFonts w:cs="Arial"/>
        </w:rPr>
        <w:t>Jackson Blue Spring forms the headwaters of the 270-acre Merritts Mill Pond</w:t>
      </w:r>
      <w:r w:rsidR="00110C8D" w:rsidRPr="004E7928">
        <w:rPr>
          <w:rFonts w:cs="Arial"/>
        </w:rPr>
        <w:t xml:space="preserve"> (Figure 1)</w:t>
      </w:r>
      <w:r w:rsidRPr="004E7928">
        <w:rPr>
          <w:rFonts w:cs="Arial"/>
        </w:rPr>
        <w:t>, which was once the upper portion of a free-flowing spring run (Spring Creek)</w:t>
      </w:r>
      <w:r w:rsidR="00751CD9" w:rsidRPr="004E7928">
        <w:rPr>
          <w:rFonts w:cs="Arial"/>
        </w:rPr>
        <w:t>,</w:t>
      </w:r>
      <w:r w:rsidRPr="004E7928">
        <w:rPr>
          <w:rFonts w:cs="Arial"/>
        </w:rPr>
        <w:t xml:space="preserve"> prior to 1860.  In the 1920s, Merritts Mill Pond was expanded to its current extent with the construction of a dam and weir structure at U.S. Highway 90.  Merritts Mill Pond now forms the headwaters of Spring Creek, a tributary to the Chipola River (designated as an Outstanding Florida Water).  Jackson Blue Spring and Merritts Mill Pond support a complex aquatic ecosystem and together are an important cultural and economic resource for the </w:t>
      </w:r>
      <w:r w:rsidR="00751CD9" w:rsidRPr="004E7928">
        <w:rPr>
          <w:rFonts w:cs="Arial"/>
        </w:rPr>
        <w:t xml:space="preserve">region and </w:t>
      </w:r>
      <w:r w:rsidRPr="004E7928">
        <w:rPr>
          <w:rFonts w:cs="Arial"/>
        </w:rPr>
        <w:t>state.</w:t>
      </w:r>
    </w:p>
    <w:p w:rsidR="00383C10" w:rsidRPr="004E7928" w:rsidRDefault="00383C10" w:rsidP="000E37B4">
      <w:pPr>
        <w:pStyle w:val="Bodytext"/>
        <w:spacing w:after="0"/>
        <w:rPr>
          <w:rFonts w:cs="Arial"/>
        </w:rPr>
      </w:pPr>
    </w:p>
    <w:p w:rsidR="003A4F10" w:rsidRPr="004E7928" w:rsidRDefault="003A4F10" w:rsidP="000E37B4">
      <w:pPr>
        <w:pStyle w:val="Bodytext"/>
        <w:spacing w:after="0"/>
        <w:rPr>
          <w:rFonts w:cs="Arial"/>
        </w:rPr>
      </w:pPr>
      <w:r w:rsidRPr="004E7928">
        <w:rPr>
          <w:rFonts w:cs="Arial"/>
        </w:rPr>
        <w:t xml:space="preserve">In addition to Jackson Blue Spring, there are seven additional named springs which discharge directly into the upper half of Merritts Mill Pond (Figure 2). </w:t>
      </w:r>
    </w:p>
    <w:p w:rsidR="00383C10" w:rsidRPr="004E7928" w:rsidRDefault="00383C10" w:rsidP="000E37B4">
      <w:pPr>
        <w:pStyle w:val="Bodytext"/>
        <w:spacing w:after="0"/>
        <w:rPr>
          <w:rFonts w:cs="Arial"/>
        </w:rPr>
      </w:pPr>
    </w:p>
    <w:p w:rsidR="00263970" w:rsidRPr="004E7928" w:rsidRDefault="00F04A87" w:rsidP="000E37B4">
      <w:pPr>
        <w:autoSpaceDE w:val="0"/>
        <w:autoSpaceDN w:val="0"/>
        <w:adjustRightInd w:val="0"/>
        <w:spacing w:after="0" w:line="240" w:lineRule="auto"/>
        <w:rPr>
          <w:rFonts w:ascii="Arial" w:hAnsi="Arial" w:cs="Arial"/>
        </w:rPr>
      </w:pPr>
      <w:r w:rsidRPr="004E7928">
        <w:rPr>
          <w:rFonts w:ascii="Arial" w:hAnsi="Arial" w:cs="Arial"/>
        </w:rPr>
        <w:t>Based on measurements made in 2007</w:t>
      </w:r>
      <w:r w:rsidR="00222399" w:rsidRPr="004E7928">
        <w:rPr>
          <w:rFonts w:ascii="Arial" w:hAnsi="Arial" w:cs="Arial"/>
        </w:rPr>
        <w:t xml:space="preserve"> by the Northwest Florida Water Management District (NWFWMD)</w:t>
      </w:r>
      <w:r w:rsidRPr="004E7928">
        <w:rPr>
          <w:rFonts w:ascii="Arial" w:hAnsi="Arial" w:cs="Arial"/>
        </w:rPr>
        <w:t xml:space="preserve">, </w:t>
      </w:r>
      <w:r w:rsidR="00263970" w:rsidRPr="004E7928">
        <w:rPr>
          <w:rFonts w:ascii="Arial" w:hAnsi="Arial" w:cs="Arial"/>
        </w:rPr>
        <w:t>t</w:t>
      </w:r>
      <w:r w:rsidR="00751CD9" w:rsidRPr="004E7928">
        <w:rPr>
          <w:rFonts w:ascii="Arial" w:hAnsi="Arial" w:cs="Arial"/>
        </w:rPr>
        <w:t xml:space="preserve">he combined surface watershed and ground water catchment basin (springshed) for Merritts Mill Pond (including Jackson Blue and </w:t>
      </w:r>
      <w:r w:rsidR="00A2346D" w:rsidRPr="004E7928">
        <w:rPr>
          <w:rFonts w:ascii="Arial" w:hAnsi="Arial" w:cs="Arial"/>
        </w:rPr>
        <w:t xml:space="preserve">the </w:t>
      </w:r>
      <w:r w:rsidR="00751CD9" w:rsidRPr="004E7928">
        <w:rPr>
          <w:rFonts w:ascii="Arial" w:hAnsi="Arial" w:cs="Arial"/>
        </w:rPr>
        <w:t xml:space="preserve">other springs within the Mill Pond) extends </w:t>
      </w:r>
      <w:r w:rsidR="003A4F10" w:rsidRPr="004E7928">
        <w:rPr>
          <w:rFonts w:ascii="Arial" w:hAnsi="Arial" w:cs="Arial"/>
        </w:rPr>
        <w:t xml:space="preserve">north and </w:t>
      </w:r>
      <w:r w:rsidR="00751CD9" w:rsidRPr="004E7928">
        <w:rPr>
          <w:rFonts w:ascii="Arial" w:hAnsi="Arial" w:cs="Arial"/>
        </w:rPr>
        <w:t xml:space="preserve">eastward into </w:t>
      </w:r>
      <w:r w:rsidR="00263970" w:rsidRPr="004E7928">
        <w:rPr>
          <w:rFonts w:ascii="Arial" w:hAnsi="Arial" w:cs="Arial"/>
        </w:rPr>
        <w:t xml:space="preserve">northeastern Jackson County and </w:t>
      </w:r>
      <w:r w:rsidR="00751CD9" w:rsidRPr="004E7928">
        <w:rPr>
          <w:rFonts w:ascii="Arial" w:hAnsi="Arial" w:cs="Arial"/>
        </w:rPr>
        <w:t xml:space="preserve">extreme southeastern Alabama, </w:t>
      </w:r>
      <w:r w:rsidR="00263970" w:rsidRPr="004E7928">
        <w:rPr>
          <w:rFonts w:ascii="Arial" w:hAnsi="Arial" w:cs="Arial"/>
        </w:rPr>
        <w:t xml:space="preserve">comprising </w:t>
      </w:r>
      <w:r w:rsidR="00263970" w:rsidRPr="004E7928">
        <w:rPr>
          <w:rFonts w:ascii="Arial" w:hAnsi="Arial" w:cs="Arial"/>
          <w:highlight w:val="yellow"/>
        </w:rPr>
        <w:t>153.6 mi</w:t>
      </w:r>
      <w:r w:rsidR="00263970" w:rsidRPr="004E7928">
        <w:rPr>
          <w:rFonts w:ascii="Arial" w:hAnsi="Arial" w:cs="Arial"/>
          <w:highlight w:val="yellow"/>
          <w:vertAlign w:val="superscript"/>
        </w:rPr>
        <w:t>2</w:t>
      </w:r>
      <w:r w:rsidR="00263970" w:rsidRPr="004E7928">
        <w:rPr>
          <w:rFonts w:ascii="Arial" w:hAnsi="Arial" w:cs="Arial"/>
          <w:highlight w:val="yellow"/>
        </w:rPr>
        <w:t xml:space="preserve"> (397.8 km</w:t>
      </w:r>
      <w:r w:rsidR="00263970" w:rsidRPr="004E7928">
        <w:rPr>
          <w:rFonts w:ascii="Arial" w:hAnsi="Arial" w:cs="Arial"/>
          <w:highlight w:val="yellow"/>
          <w:vertAlign w:val="superscript"/>
        </w:rPr>
        <w:t>2</w:t>
      </w:r>
      <w:r w:rsidR="00263970" w:rsidRPr="004E7928">
        <w:rPr>
          <w:rFonts w:ascii="Arial" w:hAnsi="Arial" w:cs="Arial"/>
          <w:highlight w:val="yellow"/>
        </w:rPr>
        <w:t>)</w:t>
      </w:r>
      <w:r w:rsidR="00263970" w:rsidRPr="004E7928">
        <w:rPr>
          <w:rFonts w:ascii="Arial" w:hAnsi="Arial" w:cs="Arial"/>
        </w:rPr>
        <w:t xml:space="preserve"> in aerial extent. Over 91% of this combined watershed/springshed lies within </w:t>
      </w:r>
      <w:r w:rsidR="006B7722" w:rsidRPr="004E7928">
        <w:rPr>
          <w:rFonts w:ascii="Arial" w:hAnsi="Arial" w:cs="Arial"/>
        </w:rPr>
        <w:t xml:space="preserve">the confines of </w:t>
      </w:r>
      <w:r w:rsidR="00263970" w:rsidRPr="004E7928">
        <w:rPr>
          <w:rFonts w:ascii="Arial" w:hAnsi="Arial" w:cs="Arial"/>
        </w:rPr>
        <w:t>Jackson County</w:t>
      </w:r>
      <w:r w:rsidR="00A2346D" w:rsidRPr="004E7928">
        <w:rPr>
          <w:rFonts w:ascii="Arial" w:hAnsi="Arial" w:cs="Arial"/>
        </w:rPr>
        <w:t xml:space="preserve"> (Barrios, 2011)</w:t>
      </w:r>
      <w:r w:rsidR="00263970" w:rsidRPr="004E7928">
        <w:rPr>
          <w:rFonts w:ascii="Arial" w:hAnsi="Arial" w:cs="Arial"/>
        </w:rPr>
        <w:t xml:space="preserve">. </w:t>
      </w:r>
    </w:p>
    <w:p w:rsidR="00263970" w:rsidRPr="004E7928" w:rsidRDefault="00263970" w:rsidP="000E37B4">
      <w:pPr>
        <w:autoSpaceDE w:val="0"/>
        <w:autoSpaceDN w:val="0"/>
        <w:adjustRightInd w:val="0"/>
        <w:spacing w:after="0" w:line="240" w:lineRule="auto"/>
        <w:rPr>
          <w:rFonts w:ascii="Arial" w:hAnsi="Arial" w:cs="Arial"/>
        </w:rPr>
      </w:pPr>
    </w:p>
    <w:p w:rsidR="00263970" w:rsidRPr="004E7928" w:rsidRDefault="00751CD9" w:rsidP="000E37B4">
      <w:pPr>
        <w:autoSpaceDE w:val="0"/>
        <w:autoSpaceDN w:val="0"/>
        <w:adjustRightInd w:val="0"/>
        <w:spacing w:after="0" w:line="240" w:lineRule="auto"/>
        <w:rPr>
          <w:rFonts w:ascii="Arial" w:hAnsi="Arial" w:cs="Arial"/>
        </w:rPr>
      </w:pPr>
      <w:r w:rsidRPr="004E7928">
        <w:rPr>
          <w:rFonts w:ascii="Arial" w:hAnsi="Arial" w:cs="Arial"/>
        </w:rPr>
        <w:t xml:space="preserve">Predominant land use </w:t>
      </w:r>
      <w:r w:rsidR="007511CD" w:rsidRPr="004E7928">
        <w:rPr>
          <w:rFonts w:ascii="Arial" w:hAnsi="Arial" w:cs="Arial"/>
        </w:rPr>
        <w:t xml:space="preserve">within the </w:t>
      </w:r>
      <w:r w:rsidRPr="004E7928">
        <w:rPr>
          <w:rFonts w:ascii="Arial" w:hAnsi="Arial" w:cs="Arial"/>
        </w:rPr>
        <w:t>Merritts Mill Pond / Jackson Blue Spring watershed/springshed</w:t>
      </w:r>
      <w:r w:rsidR="007511CD" w:rsidRPr="004E7928">
        <w:rPr>
          <w:rFonts w:ascii="Arial" w:hAnsi="Arial" w:cs="Arial"/>
        </w:rPr>
        <w:t xml:space="preserve"> consists of a roughly equal mix of forest</w:t>
      </w:r>
      <w:r w:rsidR="003A4F10" w:rsidRPr="004E7928">
        <w:rPr>
          <w:rFonts w:ascii="Arial" w:hAnsi="Arial" w:cs="Arial"/>
        </w:rPr>
        <w:t xml:space="preserve">ed and </w:t>
      </w:r>
      <w:r w:rsidRPr="004E7928">
        <w:rPr>
          <w:rFonts w:ascii="Arial" w:hAnsi="Arial" w:cs="Arial"/>
        </w:rPr>
        <w:t>rural open lands</w:t>
      </w:r>
      <w:r w:rsidR="007511CD" w:rsidRPr="004E7928">
        <w:rPr>
          <w:rFonts w:ascii="Arial" w:hAnsi="Arial" w:cs="Arial"/>
        </w:rPr>
        <w:t xml:space="preserve"> </w:t>
      </w:r>
      <w:r w:rsidRPr="004E7928">
        <w:rPr>
          <w:rFonts w:ascii="Arial" w:hAnsi="Arial" w:cs="Arial"/>
        </w:rPr>
        <w:t xml:space="preserve">(42%) </w:t>
      </w:r>
      <w:r w:rsidR="007511CD" w:rsidRPr="004E7928">
        <w:rPr>
          <w:rFonts w:ascii="Arial" w:hAnsi="Arial" w:cs="Arial"/>
        </w:rPr>
        <w:t xml:space="preserve">and agricultural </w:t>
      </w:r>
      <w:r w:rsidR="00747DD7" w:rsidRPr="004E7928">
        <w:rPr>
          <w:rFonts w:ascii="Arial" w:hAnsi="Arial" w:cs="Arial"/>
        </w:rPr>
        <w:t>crop</w:t>
      </w:r>
      <w:r w:rsidR="007511CD" w:rsidRPr="004E7928">
        <w:rPr>
          <w:rFonts w:ascii="Arial" w:hAnsi="Arial" w:cs="Arial"/>
        </w:rPr>
        <w:t>lands</w:t>
      </w:r>
      <w:r w:rsidRPr="004E7928">
        <w:rPr>
          <w:rFonts w:ascii="Arial" w:hAnsi="Arial" w:cs="Arial"/>
        </w:rPr>
        <w:t xml:space="preserve"> (~43%), based on 2009 NWFWMD data</w:t>
      </w:r>
      <w:r w:rsidR="00CD5D9F" w:rsidRPr="004E7928">
        <w:rPr>
          <w:rFonts w:ascii="Arial" w:hAnsi="Arial" w:cs="Arial"/>
        </w:rPr>
        <w:t xml:space="preserve">. Urban land use </w:t>
      </w:r>
      <w:r w:rsidR="00891830">
        <w:rPr>
          <w:rFonts w:ascii="Arial" w:hAnsi="Arial" w:cs="Arial"/>
        </w:rPr>
        <w:t xml:space="preserve">only </w:t>
      </w:r>
      <w:r w:rsidR="00CD5D9F" w:rsidRPr="004E7928">
        <w:rPr>
          <w:rFonts w:ascii="Arial" w:hAnsi="Arial" w:cs="Arial"/>
        </w:rPr>
        <w:t xml:space="preserve">accounts for about 10% </w:t>
      </w:r>
      <w:r w:rsidRPr="004E7928">
        <w:rPr>
          <w:rFonts w:ascii="Arial" w:hAnsi="Arial" w:cs="Arial"/>
        </w:rPr>
        <w:t>(Barrios</w:t>
      </w:r>
      <w:r w:rsidR="00A2346D" w:rsidRPr="004E7928">
        <w:rPr>
          <w:rFonts w:ascii="Arial" w:hAnsi="Arial" w:cs="Arial"/>
        </w:rPr>
        <w:t>,</w:t>
      </w:r>
      <w:r w:rsidRPr="004E7928">
        <w:rPr>
          <w:rFonts w:ascii="Arial" w:hAnsi="Arial" w:cs="Arial"/>
        </w:rPr>
        <w:t xml:space="preserve"> 2011).</w:t>
      </w:r>
    </w:p>
    <w:p w:rsidR="003A4F10" w:rsidRPr="004E7928" w:rsidRDefault="003A4F10"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p>
    <w:p w:rsidR="003A4F10" w:rsidRPr="004E7928" w:rsidRDefault="003A4F10"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Water Quality</w:t>
      </w:r>
    </w:p>
    <w:p w:rsidR="003A4F10" w:rsidRPr="004E7928" w:rsidRDefault="003A4F10" w:rsidP="000E37B4">
      <w:pPr>
        <w:autoSpaceDE w:val="0"/>
        <w:autoSpaceDN w:val="0"/>
        <w:adjustRightInd w:val="0"/>
        <w:spacing w:after="0" w:line="240" w:lineRule="auto"/>
        <w:rPr>
          <w:rFonts w:ascii="Arial" w:hAnsi="Arial" w:cs="Arial"/>
        </w:rPr>
      </w:pPr>
    </w:p>
    <w:p w:rsidR="003A4F10" w:rsidRPr="004E7928" w:rsidRDefault="003A4F10" w:rsidP="000E37B4">
      <w:pPr>
        <w:spacing w:after="0"/>
        <w:rPr>
          <w:rFonts w:ascii="Arial" w:hAnsi="Arial" w:cs="Arial"/>
        </w:rPr>
      </w:pPr>
      <w:r w:rsidRPr="004E7928">
        <w:rPr>
          <w:rFonts w:ascii="Arial" w:hAnsi="Arial" w:cs="Arial"/>
        </w:rPr>
        <w:t>Blue Spring has been sampled for major ions and nutrients as far back as 1924 and quarterly since 2002 for a larger number of analytes, including major ions, nutrients, saline indicators and field analytes. Table 1 summarizes these results for selected analytes.</w:t>
      </w:r>
    </w:p>
    <w:p w:rsidR="00383C10" w:rsidRPr="004E7928" w:rsidRDefault="00383C10" w:rsidP="000E37B4">
      <w:pPr>
        <w:spacing w:after="0"/>
        <w:rPr>
          <w:rFonts w:ascii="Arial" w:hAnsi="Arial" w:cs="Arial"/>
        </w:rPr>
      </w:pPr>
    </w:p>
    <w:p w:rsidR="003A4F10" w:rsidRDefault="003A4F10" w:rsidP="000E37B4">
      <w:pPr>
        <w:spacing w:after="0"/>
        <w:rPr>
          <w:rFonts w:ascii="Arial" w:hAnsi="Arial" w:cs="Arial"/>
        </w:rPr>
      </w:pPr>
      <w:r w:rsidRPr="004E7928">
        <w:rPr>
          <w:rFonts w:ascii="Arial" w:hAnsi="Arial" w:cs="Arial"/>
        </w:rPr>
        <w:t>Nutrients are of major concern in Jackson Blue Spring. Nitrate levels are relatively high</w:t>
      </w:r>
      <w:r w:rsidR="006E0C02">
        <w:rPr>
          <w:rFonts w:ascii="Arial" w:hAnsi="Arial" w:cs="Arial"/>
        </w:rPr>
        <w:t xml:space="preserve"> (over 3 mg/L NO</w:t>
      </w:r>
      <w:r w:rsidR="006E0C02" w:rsidRPr="006E0C02">
        <w:rPr>
          <w:rFonts w:ascii="Arial" w:hAnsi="Arial" w:cs="Arial"/>
          <w:vertAlign w:val="subscript"/>
        </w:rPr>
        <w:t>2</w:t>
      </w:r>
      <w:r w:rsidR="006E0C02">
        <w:rPr>
          <w:rFonts w:ascii="Arial" w:hAnsi="Arial" w:cs="Arial"/>
        </w:rPr>
        <w:t>+NO</w:t>
      </w:r>
      <w:r w:rsidR="006E0C02" w:rsidRPr="006E0C02">
        <w:rPr>
          <w:rFonts w:ascii="Arial" w:hAnsi="Arial" w:cs="Arial"/>
          <w:vertAlign w:val="subscript"/>
        </w:rPr>
        <w:t>3</w:t>
      </w:r>
      <w:r w:rsidR="006E0C02">
        <w:rPr>
          <w:rFonts w:ascii="Arial" w:hAnsi="Arial" w:cs="Arial"/>
        </w:rPr>
        <w:t>, measured as N)</w:t>
      </w:r>
      <w:r w:rsidRPr="004E7928">
        <w:rPr>
          <w:rFonts w:ascii="Arial" w:hAnsi="Arial" w:cs="Arial"/>
        </w:rPr>
        <w:t>, and are in fact the second-highest measured among Florida’s first-magnitude springs. Figure 3 shows the historic nitrate plus nitrite concentrations from Jackson Blue Spring. The upward trend shown in this graph depicts a greater than eightfold increase in nitrate plus nitrite concentrations from 1960 to 2011.</w:t>
      </w:r>
      <w:r w:rsidR="001C7E11" w:rsidRPr="004E7928">
        <w:rPr>
          <w:rFonts w:ascii="Arial" w:hAnsi="Arial" w:cs="Arial"/>
        </w:rPr>
        <w:t xml:space="preserve"> Figure 4 shows nitrate plus </w:t>
      </w:r>
      <w:r w:rsidR="001C7E11" w:rsidRPr="004E7928">
        <w:rPr>
          <w:rFonts w:ascii="Arial" w:hAnsi="Arial" w:cs="Arial"/>
        </w:rPr>
        <w:lastRenderedPageBreak/>
        <w:t>nitrite values for the eight named spring vents discharging into Merritts Mill Pond, measured over a five-year period from 2007 – 2011. Based on similar nitrate-nitrite values and trends, Jackson Blue and Shangri-La springs appear to discharge ground water from similar sources and produce the highest nitrate-nitrite values.</w:t>
      </w:r>
    </w:p>
    <w:p w:rsidR="00B435D1" w:rsidRDefault="00B435D1" w:rsidP="000E37B4">
      <w:pPr>
        <w:spacing w:after="0"/>
        <w:rPr>
          <w:rFonts w:ascii="Arial" w:hAnsi="Arial" w:cs="Arial"/>
        </w:rPr>
      </w:pPr>
    </w:p>
    <w:p w:rsidR="000E37B4" w:rsidRDefault="00010DD5" w:rsidP="00B55073">
      <w:pPr>
        <w:spacing w:after="0"/>
        <w:rPr>
          <w:rFonts w:ascii="Arial" w:hAnsi="Arial" w:cs="Arial"/>
        </w:rPr>
      </w:pPr>
      <w:r>
        <w:rPr>
          <w:rFonts w:ascii="Arial" w:hAnsi="Arial" w:cs="Arial"/>
        </w:rPr>
        <w:t xml:space="preserve">Stable isotopic analyses were utilized to </w:t>
      </w:r>
      <w:r w:rsidR="00B55073">
        <w:rPr>
          <w:rFonts w:ascii="Arial" w:hAnsi="Arial" w:cs="Arial"/>
        </w:rPr>
        <w:t xml:space="preserve">help determine possible sources for the elevated nitrate concentrations found in spring waters discharging into the Mill Pond. </w:t>
      </w:r>
      <w:r w:rsidR="00B435D1" w:rsidRPr="00B435D1">
        <w:rPr>
          <w:rFonts w:ascii="Arial" w:hAnsi="Arial" w:cs="Arial"/>
        </w:rPr>
        <w:t xml:space="preserve">Nitrogen and oxygen isotopes were measured from </w:t>
      </w:r>
      <w:r w:rsidR="00B435D1">
        <w:rPr>
          <w:rFonts w:ascii="Arial" w:hAnsi="Arial" w:cs="Arial"/>
        </w:rPr>
        <w:t xml:space="preserve">six </w:t>
      </w:r>
      <w:r w:rsidR="00B435D1" w:rsidRPr="00B435D1">
        <w:rPr>
          <w:rFonts w:ascii="Arial" w:hAnsi="Arial" w:cs="Arial"/>
        </w:rPr>
        <w:t xml:space="preserve">Merritts Mill Pond springs sampled in </w:t>
      </w:r>
      <w:r>
        <w:rPr>
          <w:rFonts w:ascii="Arial" w:hAnsi="Arial" w:cs="Arial"/>
        </w:rPr>
        <w:t xml:space="preserve">April-May, </w:t>
      </w:r>
      <w:r w:rsidR="00B435D1" w:rsidRPr="00B435D1">
        <w:rPr>
          <w:rFonts w:ascii="Arial" w:hAnsi="Arial" w:cs="Arial"/>
        </w:rPr>
        <w:t>20</w:t>
      </w:r>
      <w:r w:rsidR="00B435D1">
        <w:rPr>
          <w:rFonts w:ascii="Arial" w:hAnsi="Arial" w:cs="Arial"/>
        </w:rPr>
        <w:t>1</w:t>
      </w:r>
      <w:r w:rsidR="00B435D1" w:rsidRPr="00B435D1">
        <w:rPr>
          <w:rFonts w:ascii="Arial" w:hAnsi="Arial" w:cs="Arial"/>
        </w:rPr>
        <w:t xml:space="preserve">1 and </w:t>
      </w:r>
      <w:r>
        <w:rPr>
          <w:rFonts w:ascii="Arial" w:hAnsi="Arial" w:cs="Arial"/>
        </w:rPr>
        <w:t xml:space="preserve">February, </w:t>
      </w:r>
      <w:r w:rsidR="00B435D1" w:rsidRPr="00B435D1">
        <w:rPr>
          <w:rFonts w:ascii="Arial" w:hAnsi="Arial" w:cs="Arial"/>
        </w:rPr>
        <w:t>2012. Results of δ</w:t>
      </w:r>
      <w:r w:rsidR="00B435D1" w:rsidRPr="00B435D1">
        <w:rPr>
          <w:rFonts w:ascii="Arial" w:hAnsi="Arial" w:cs="Arial"/>
          <w:vertAlign w:val="superscript"/>
        </w:rPr>
        <w:t>15</w:t>
      </w:r>
      <w:r w:rsidR="00B435D1" w:rsidRPr="00B435D1">
        <w:rPr>
          <w:rFonts w:ascii="Arial" w:hAnsi="Arial" w:cs="Arial"/>
        </w:rPr>
        <w:t>N plotted against δ</w:t>
      </w:r>
      <w:r w:rsidR="00B435D1" w:rsidRPr="00B435D1">
        <w:rPr>
          <w:rFonts w:ascii="Arial" w:hAnsi="Arial" w:cs="Arial"/>
          <w:vertAlign w:val="superscript"/>
        </w:rPr>
        <w:t>18</w:t>
      </w:r>
      <w:r w:rsidR="00B435D1" w:rsidRPr="00B435D1">
        <w:rPr>
          <w:rFonts w:ascii="Arial" w:hAnsi="Arial" w:cs="Arial"/>
        </w:rPr>
        <w:t xml:space="preserve">O </w:t>
      </w:r>
      <w:r w:rsidR="00B435D1">
        <w:rPr>
          <w:rFonts w:ascii="Arial" w:hAnsi="Arial" w:cs="Arial"/>
        </w:rPr>
        <w:t xml:space="preserve">(Figure 5) show </w:t>
      </w:r>
      <w:r>
        <w:rPr>
          <w:rFonts w:ascii="Arial" w:hAnsi="Arial" w:cs="Arial"/>
        </w:rPr>
        <w:t xml:space="preserve">relatively </w:t>
      </w:r>
      <w:r w:rsidR="00B435D1">
        <w:rPr>
          <w:rFonts w:ascii="Arial" w:hAnsi="Arial" w:cs="Arial"/>
        </w:rPr>
        <w:t xml:space="preserve">low </w:t>
      </w:r>
      <w:r w:rsidRPr="00010DD5">
        <w:rPr>
          <w:rFonts w:ascii="Arial" w:hAnsi="Arial" w:cs="Arial"/>
          <w:vertAlign w:val="superscript"/>
        </w:rPr>
        <w:t>15</w:t>
      </w:r>
      <w:r>
        <w:rPr>
          <w:rFonts w:ascii="Arial" w:hAnsi="Arial" w:cs="Arial"/>
        </w:rPr>
        <w:t>N/</w:t>
      </w:r>
      <w:r w:rsidRPr="00010DD5">
        <w:rPr>
          <w:rFonts w:ascii="Arial" w:hAnsi="Arial" w:cs="Arial"/>
          <w:vertAlign w:val="superscript"/>
        </w:rPr>
        <w:t>1</w:t>
      </w:r>
      <w:r>
        <w:rPr>
          <w:rFonts w:ascii="Arial" w:hAnsi="Arial" w:cs="Arial"/>
          <w:vertAlign w:val="superscript"/>
        </w:rPr>
        <w:t>4</w:t>
      </w:r>
      <w:r>
        <w:rPr>
          <w:rFonts w:ascii="Arial" w:hAnsi="Arial" w:cs="Arial"/>
        </w:rPr>
        <w:t xml:space="preserve">N and </w:t>
      </w:r>
      <w:r w:rsidRPr="00010DD5">
        <w:rPr>
          <w:rFonts w:ascii="Arial" w:hAnsi="Arial" w:cs="Arial"/>
          <w:vertAlign w:val="superscript"/>
        </w:rPr>
        <w:t>18</w:t>
      </w:r>
      <w:r>
        <w:rPr>
          <w:rFonts w:ascii="Arial" w:hAnsi="Arial" w:cs="Arial"/>
        </w:rPr>
        <w:t>O/</w:t>
      </w:r>
      <w:r w:rsidRPr="00010DD5">
        <w:rPr>
          <w:rFonts w:ascii="Arial" w:hAnsi="Arial" w:cs="Arial"/>
          <w:vertAlign w:val="superscript"/>
        </w:rPr>
        <w:t>16</w:t>
      </w:r>
      <w:r>
        <w:rPr>
          <w:rFonts w:ascii="Arial" w:hAnsi="Arial" w:cs="Arial"/>
        </w:rPr>
        <w:t xml:space="preserve">O </w:t>
      </w:r>
      <w:r w:rsidR="00B435D1">
        <w:rPr>
          <w:rFonts w:ascii="Arial" w:hAnsi="Arial" w:cs="Arial"/>
        </w:rPr>
        <w:t>enrichment</w:t>
      </w:r>
      <w:r>
        <w:rPr>
          <w:rFonts w:ascii="Arial" w:hAnsi="Arial" w:cs="Arial"/>
        </w:rPr>
        <w:t xml:space="preserve">, indicative of </w:t>
      </w:r>
      <w:r w:rsidR="00B435D1">
        <w:rPr>
          <w:rFonts w:ascii="Arial" w:hAnsi="Arial" w:cs="Arial"/>
        </w:rPr>
        <w:t xml:space="preserve">possible nitrate sources </w:t>
      </w:r>
      <w:r>
        <w:rPr>
          <w:rFonts w:ascii="Arial" w:hAnsi="Arial" w:cs="Arial"/>
        </w:rPr>
        <w:t xml:space="preserve">which </w:t>
      </w:r>
      <w:r w:rsidR="00B435D1">
        <w:rPr>
          <w:rFonts w:ascii="Arial" w:hAnsi="Arial" w:cs="Arial"/>
        </w:rPr>
        <w:t xml:space="preserve">include mineralized </w:t>
      </w:r>
      <w:r w:rsidR="00B55073">
        <w:rPr>
          <w:rFonts w:ascii="Arial" w:hAnsi="Arial" w:cs="Arial"/>
        </w:rPr>
        <w:t xml:space="preserve">(inorganic) </w:t>
      </w:r>
      <w:r w:rsidR="00B435D1">
        <w:rPr>
          <w:rFonts w:ascii="Arial" w:hAnsi="Arial" w:cs="Arial"/>
        </w:rPr>
        <w:t>reduced nitrate fertilizers and/or soil organic matter (Roadcap et al, 2002).</w:t>
      </w:r>
      <w:r w:rsidR="00B55073">
        <w:rPr>
          <w:rFonts w:ascii="Arial" w:hAnsi="Arial" w:cs="Arial"/>
        </w:rPr>
        <w:t xml:space="preserve"> These values do not indicate the prevalence of organic nitrate sources, such as animal waste or wastewater from human sources.</w:t>
      </w:r>
      <w:r w:rsidR="00AE1FF9" w:rsidRPr="004E7928">
        <w:rPr>
          <w:rFonts w:ascii="Arial" w:hAnsi="Arial" w:cs="Arial"/>
        </w:rPr>
        <w:t xml:space="preserve"> </w:t>
      </w:r>
    </w:p>
    <w:p w:rsidR="00A5402D" w:rsidRDefault="00A5402D" w:rsidP="000E37B4">
      <w:pPr>
        <w:spacing w:after="0"/>
        <w:rPr>
          <w:rFonts w:ascii="Arial" w:hAnsi="Arial" w:cs="Arial"/>
          <w:color w:val="FF0000"/>
        </w:rPr>
      </w:pPr>
    </w:p>
    <w:p w:rsidR="006E0C02" w:rsidRDefault="001141FB" w:rsidP="000E37B4">
      <w:pPr>
        <w:spacing w:after="0"/>
        <w:rPr>
          <w:rFonts w:ascii="Arial" w:hAnsi="Arial" w:cs="Arial"/>
        </w:rPr>
      </w:pPr>
      <w:r>
        <w:rPr>
          <w:rFonts w:ascii="Arial" w:hAnsi="Arial" w:cs="Arial"/>
        </w:rPr>
        <w:t xml:space="preserve">With regard to other nutrients, orthophosphate concentrations </w:t>
      </w:r>
      <w:r w:rsidRPr="004E7928">
        <w:rPr>
          <w:rFonts w:ascii="Arial" w:hAnsi="Arial" w:cs="Arial"/>
        </w:rPr>
        <w:t>are within the expected normal ranges for Floridan aquifer system ground water</w:t>
      </w:r>
      <w:r>
        <w:rPr>
          <w:rFonts w:ascii="Arial" w:hAnsi="Arial" w:cs="Arial"/>
        </w:rPr>
        <w:t>, and neither orthophosphate nor total phosphorus display increasing temporal trends.</w:t>
      </w:r>
    </w:p>
    <w:p w:rsidR="0008426A" w:rsidRDefault="0008426A" w:rsidP="000E37B4">
      <w:pPr>
        <w:spacing w:after="0"/>
        <w:rPr>
          <w:rFonts w:ascii="Arial" w:hAnsi="Arial" w:cs="Arial"/>
        </w:rPr>
      </w:pPr>
    </w:p>
    <w:p w:rsidR="0008426A" w:rsidRDefault="0008426A" w:rsidP="000E37B4">
      <w:pPr>
        <w:spacing w:after="0"/>
        <w:rPr>
          <w:rFonts w:ascii="Arial" w:hAnsi="Arial" w:cs="Arial"/>
          <w:color w:val="FF0000"/>
        </w:rPr>
      </w:pPr>
      <w:r>
        <w:rPr>
          <w:rFonts w:ascii="Arial" w:hAnsi="Arial" w:cs="Arial"/>
        </w:rPr>
        <w:t xml:space="preserve">Saline indicators (Sodium, chloride – Table 1) </w:t>
      </w:r>
      <w:r w:rsidR="001E716C">
        <w:rPr>
          <w:rFonts w:ascii="Arial" w:hAnsi="Arial" w:cs="Arial"/>
        </w:rPr>
        <w:t>reflect potential upconing of deeper, more saline ground water due to excessive pumping or drought conditions. The median sodium and chloride values measured from Jackson Blue Spring fall well below the median background values for these analytes measured in Floridan aquifer system wells and springs (Maddox et al, 1992).</w:t>
      </w:r>
    </w:p>
    <w:p w:rsidR="006E0C02" w:rsidRPr="004E7928" w:rsidRDefault="006E0C02" w:rsidP="000E37B4">
      <w:pPr>
        <w:spacing w:after="0"/>
        <w:rPr>
          <w:rFonts w:ascii="Arial" w:hAnsi="Arial" w:cs="Arial"/>
          <w:color w:val="FF0000"/>
        </w:rPr>
      </w:pPr>
    </w:p>
    <w:p w:rsidR="006B7722" w:rsidRPr="004E7928" w:rsidRDefault="00E14E24" w:rsidP="000E37B4">
      <w:pPr>
        <w:spacing w:after="0"/>
        <w:rPr>
          <w:rFonts w:ascii="Arial" w:hAnsi="Arial" w:cs="Arial"/>
        </w:rPr>
      </w:pPr>
      <w:r>
        <w:rPr>
          <w:rFonts w:ascii="Arial" w:hAnsi="Arial" w:cs="Arial"/>
        </w:rPr>
        <w:t>A full pesticide scan of water and sediment samples from Jackson Blue Spring and a</w:t>
      </w:r>
      <w:r w:rsidR="00A426E1">
        <w:rPr>
          <w:rFonts w:ascii="Arial" w:hAnsi="Arial" w:cs="Arial"/>
        </w:rPr>
        <w:t xml:space="preserve"> second</w:t>
      </w:r>
      <w:r>
        <w:rPr>
          <w:rFonts w:ascii="Arial" w:hAnsi="Arial" w:cs="Arial"/>
        </w:rPr>
        <w:t xml:space="preserve"> site </w:t>
      </w:r>
      <w:r w:rsidR="00A426E1">
        <w:rPr>
          <w:rFonts w:ascii="Arial" w:hAnsi="Arial" w:cs="Arial"/>
        </w:rPr>
        <w:t xml:space="preserve">approximately 50m </w:t>
      </w:r>
      <w:r>
        <w:rPr>
          <w:rFonts w:ascii="Arial" w:hAnsi="Arial" w:cs="Arial"/>
        </w:rPr>
        <w:t xml:space="preserve">downstream </w:t>
      </w:r>
      <w:r w:rsidR="00A426E1">
        <w:rPr>
          <w:rFonts w:ascii="Arial" w:hAnsi="Arial" w:cs="Arial"/>
        </w:rPr>
        <w:t xml:space="preserve">was </w:t>
      </w:r>
      <w:r>
        <w:rPr>
          <w:rFonts w:ascii="Arial" w:hAnsi="Arial" w:cs="Arial"/>
        </w:rPr>
        <w:t>conducted in April, 2002</w:t>
      </w:r>
      <w:r w:rsidR="00A426E1">
        <w:rPr>
          <w:rFonts w:ascii="Arial" w:hAnsi="Arial" w:cs="Arial"/>
        </w:rPr>
        <w:t>. H</w:t>
      </w:r>
      <w:r w:rsidR="006B7722" w:rsidRPr="004E7928">
        <w:rPr>
          <w:rFonts w:ascii="Arial" w:hAnsi="Arial" w:cs="Arial"/>
        </w:rPr>
        <w:t>exazinone</w:t>
      </w:r>
      <w:r w:rsidR="00A426E1">
        <w:rPr>
          <w:rFonts w:ascii="Arial" w:hAnsi="Arial" w:cs="Arial"/>
        </w:rPr>
        <w:t xml:space="preserve"> was detected in both water samples</w:t>
      </w:r>
      <w:r>
        <w:rPr>
          <w:rFonts w:ascii="Arial" w:hAnsi="Arial" w:cs="Arial"/>
        </w:rPr>
        <w:t xml:space="preserve">, </w:t>
      </w:r>
      <w:r w:rsidR="006B7722" w:rsidRPr="004E7928">
        <w:rPr>
          <w:rFonts w:ascii="Arial" w:hAnsi="Arial" w:cs="Arial"/>
        </w:rPr>
        <w:t>but concentrations were very low - below the practical quantitation limits set by the analytical lab</w:t>
      </w:r>
      <w:r w:rsidR="00A426E1">
        <w:rPr>
          <w:rFonts w:ascii="Arial" w:hAnsi="Arial" w:cs="Arial"/>
        </w:rPr>
        <w:t>.</w:t>
      </w:r>
      <w:r w:rsidR="001C7E11" w:rsidRPr="004E7928">
        <w:rPr>
          <w:rFonts w:ascii="Arial" w:hAnsi="Arial" w:cs="Arial"/>
        </w:rPr>
        <w:t xml:space="preserve"> </w:t>
      </w:r>
      <w:r>
        <w:rPr>
          <w:rFonts w:ascii="Arial" w:hAnsi="Arial" w:cs="Arial"/>
        </w:rPr>
        <w:t xml:space="preserve">No other </w:t>
      </w:r>
      <w:r w:rsidR="00A426E1">
        <w:rPr>
          <w:rFonts w:ascii="Arial" w:hAnsi="Arial" w:cs="Arial"/>
        </w:rPr>
        <w:t xml:space="preserve">pesticides were detected in either water or sediment samples </w:t>
      </w:r>
      <w:r w:rsidR="00A426E1" w:rsidRPr="004E7928">
        <w:rPr>
          <w:rFonts w:ascii="Arial" w:hAnsi="Arial" w:cs="Arial"/>
        </w:rPr>
        <w:t>(FDEP, 2002).</w:t>
      </w:r>
    </w:p>
    <w:p w:rsidR="001C7E11" w:rsidRDefault="001C7E11" w:rsidP="000E37B4">
      <w:pPr>
        <w:autoSpaceDE w:val="0"/>
        <w:autoSpaceDN w:val="0"/>
        <w:adjustRightInd w:val="0"/>
        <w:spacing w:after="0" w:line="240" w:lineRule="auto"/>
        <w:rPr>
          <w:rFonts w:ascii="Arial" w:hAnsi="Arial" w:cs="Arial"/>
          <w:b/>
          <w:sz w:val="26"/>
          <w:szCs w:val="26"/>
        </w:rPr>
      </w:pPr>
    </w:p>
    <w:p w:rsidR="00E14E24" w:rsidRPr="004E7928" w:rsidRDefault="00E14E24" w:rsidP="000E37B4">
      <w:pPr>
        <w:autoSpaceDE w:val="0"/>
        <w:autoSpaceDN w:val="0"/>
        <w:adjustRightInd w:val="0"/>
        <w:spacing w:after="0" w:line="240" w:lineRule="auto"/>
        <w:rPr>
          <w:rFonts w:ascii="Arial" w:hAnsi="Arial" w:cs="Arial"/>
          <w:b/>
          <w:sz w:val="26"/>
          <w:szCs w:val="26"/>
        </w:rPr>
      </w:pPr>
    </w:p>
    <w:p w:rsidR="006B7722" w:rsidRPr="004E7928" w:rsidRDefault="000E37B4"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Di</w:t>
      </w:r>
      <w:r w:rsidR="006B7722" w:rsidRPr="004E7928">
        <w:rPr>
          <w:rFonts w:ascii="Arial" w:hAnsi="Arial" w:cs="Arial"/>
          <w:b/>
          <w:sz w:val="26"/>
          <w:szCs w:val="26"/>
        </w:rPr>
        <w:t>scharge</w:t>
      </w:r>
    </w:p>
    <w:p w:rsidR="006B7722" w:rsidRPr="004E7928" w:rsidRDefault="006B7722" w:rsidP="000E37B4">
      <w:pPr>
        <w:autoSpaceDE w:val="0"/>
        <w:autoSpaceDN w:val="0"/>
        <w:adjustRightInd w:val="0"/>
        <w:spacing w:after="0" w:line="240" w:lineRule="auto"/>
        <w:rPr>
          <w:rFonts w:ascii="Arial" w:hAnsi="Arial" w:cs="Arial"/>
        </w:rPr>
      </w:pPr>
    </w:p>
    <w:p w:rsidR="006B7722" w:rsidRPr="004E7928" w:rsidRDefault="006B7722" w:rsidP="000E37B4">
      <w:pPr>
        <w:autoSpaceDE w:val="0"/>
        <w:autoSpaceDN w:val="0"/>
        <w:adjustRightInd w:val="0"/>
        <w:spacing w:after="0" w:line="240" w:lineRule="auto"/>
        <w:rPr>
          <w:rFonts w:ascii="Arial" w:hAnsi="Arial" w:cs="Arial"/>
        </w:rPr>
      </w:pPr>
      <w:r w:rsidRPr="004E7928">
        <w:rPr>
          <w:rFonts w:ascii="Arial" w:hAnsi="Arial" w:cs="Arial"/>
        </w:rPr>
        <w:t xml:space="preserve">Jackson Blue Spring is an historic first-magnitude spring, with an average discharge of </w:t>
      </w:r>
      <w:r w:rsidR="000B1A71">
        <w:rPr>
          <w:rFonts w:ascii="Arial" w:hAnsi="Arial" w:cs="Arial"/>
        </w:rPr>
        <w:t>75</w:t>
      </w:r>
      <w:r w:rsidRPr="004E7928">
        <w:rPr>
          <w:rFonts w:ascii="Arial" w:hAnsi="Arial" w:cs="Arial"/>
        </w:rPr>
        <w:t xml:space="preserve"> mgd </w:t>
      </w:r>
      <w:proofErr w:type="gramStart"/>
      <w:r w:rsidRPr="004E7928">
        <w:rPr>
          <w:rFonts w:ascii="Arial" w:hAnsi="Arial" w:cs="Arial"/>
        </w:rPr>
        <w:t>(1</w:t>
      </w:r>
      <w:r w:rsidR="000B1A71">
        <w:rPr>
          <w:rFonts w:ascii="Arial" w:hAnsi="Arial" w:cs="Arial"/>
        </w:rPr>
        <w:t>16</w:t>
      </w:r>
      <w:r w:rsidRPr="004E7928">
        <w:rPr>
          <w:rFonts w:ascii="Arial" w:hAnsi="Arial" w:cs="Arial"/>
        </w:rPr>
        <w:t xml:space="preserve"> ft</w:t>
      </w:r>
      <w:r w:rsidRPr="004E7928">
        <w:rPr>
          <w:rFonts w:ascii="Arial" w:hAnsi="Arial" w:cs="Arial"/>
          <w:vertAlign w:val="superscript"/>
        </w:rPr>
        <w:t>3</w:t>
      </w:r>
      <w:r w:rsidRPr="004E7928">
        <w:rPr>
          <w:rFonts w:ascii="Arial" w:hAnsi="Arial" w:cs="Arial"/>
        </w:rPr>
        <w:t>/second)</w:t>
      </w:r>
      <w:proofErr w:type="gramEnd"/>
      <w:r w:rsidRPr="004E7928">
        <w:rPr>
          <w:rFonts w:ascii="Arial" w:hAnsi="Arial" w:cs="Arial"/>
        </w:rPr>
        <w:t xml:space="preserve">. However, during the drought years of 2006 and 2007, discharge dropped to a low of about 18.2 mgd </w:t>
      </w:r>
      <w:proofErr w:type="gramStart"/>
      <w:r w:rsidRPr="004E7928">
        <w:rPr>
          <w:rFonts w:ascii="Arial" w:hAnsi="Arial" w:cs="Arial"/>
        </w:rPr>
        <w:t>(28 ft</w:t>
      </w:r>
      <w:r w:rsidRPr="004E7928">
        <w:rPr>
          <w:rFonts w:ascii="Arial" w:hAnsi="Arial" w:cs="Arial"/>
          <w:vertAlign w:val="superscript"/>
        </w:rPr>
        <w:t>3</w:t>
      </w:r>
      <w:r w:rsidRPr="004E7928">
        <w:rPr>
          <w:rFonts w:ascii="Arial" w:hAnsi="Arial" w:cs="Arial"/>
        </w:rPr>
        <w:t>/second)</w:t>
      </w:r>
      <w:proofErr w:type="gramEnd"/>
      <w:r w:rsidRPr="004E7928">
        <w:rPr>
          <w:rFonts w:ascii="Arial" w:hAnsi="Arial" w:cs="Arial"/>
        </w:rPr>
        <w:t>. These low discharge values reflect a combination of below normal precipitation (and resulting low aquifer recharge levels) combined with large agricultural withdrawals within the springshed area.</w:t>
      </w:r>
      <w:r w:rsidR="000B1A71">
        <w:rPr>
          <w:rFonts w:ascii="Arial" w:hAnsi="Arial" w:cs="Arial"/>
        </w:rPr>
        <w:t xml:space="preserve"> Figure 6 shows the discharge from Jackson Blue Spring measured from 2004 – 2009. </w:t>
      </w:r>
    </w:p>
    <w:p w:rsidR="006B7722" w:rsidRPr="004E7928" w:rsidRDefault="006B7722" w:rsidP="000E37B4">
      <w:pPr>
        <w:autoSpaceDE w:val="0"/>
        <w:autoSpaceDN w:val="0"/>
        <w:adjustRightInd w:val="0"/>
        <w:spacing w:after="0" w:line="240" w:lineRule="auto"/>
        <w:rPr>
          <w:rFonts w:ascii="Arial" w:hAnsi="Arial" w:cs="Arial"/>
        </w:rPr>
      </w:pPr>
    </w:p>
    <w:p w:rsidR="006B7722" w:rsidRPr="004E7928" w:rsidRDefault="006B7722" w:rsidP="000E37B4">
      <w:pPr>
        <w:pStyle w:val="Bodytext"/>
        <w:spacing w:after="0"/>
      </w:pPr>
      <w:r w:rsidRPr="004E7928">
        <w:t xml:space="preserve">In addition to Jackson Blue Spring, 7 named springs are associated with Merritts Mill Pond:  Shangri-La, Twin Caves, Hole-in-the-Wall, Heidi Hole, Gator Hole, Indian Washtub, and Lamar’s Landing.  In June 2007, NWFWMD measured the discharge of the exit conduits of the 6 springs that were currently discharging and found that Jackson Blue Spring has by far the largest discharge of the 8 springs.  Jackson Blue Spring contributed approximately 69% of the total flow of Merritts Mill Pond (as measured at the </w:t>
      </w:r>
      <w:r w:rsidR="00CD5D9F" w:rsidRPr="004E7928">
        <w:t>Mill P</w:t>
      </w:r>
      <w:r w:rsidRPr="004E7928">
        <w:t xml:space="preserve">ond outfall), the 7 minor springs contributed 14%, and the remaining 17% was from other unmeasured sources.  Using historical data, the </w:t>
      </w:r>
      <w:r w:rsidRPr="004E7928">
        <w:lastRenderedPageBreak/>
        <w:t>NWFWMD has calculated that from 2006 to 2010, Jackson Blue Spring accounted</w:t>
      </w:r>
      <w:r w:rsidRPr="004E7928">
        <w:rPr>
          <w:b/>
        </w:rPr>
        <w:t xml:space="preserve"> </w:t>
      </w:r>
      <w:r w:rsidRPr="004E7928">
        <w:t>for</w:t>
      </w:r>
      <w:r w:rsidRPr="004E7928">
        <w:rPr>
          <w:b/>
        </w:rPr>
        <w:t xml:space="preserve"> </w:t>
      </w:r>
      <w:r w:rsidRPr="004E7928">
        <w:t>70% of the pond outflow on average</w:t>
      </w:r>
      <w:r w:rsidR="00D40B62">
        <w:t xml:space="preserve"> (Barrios, 2011)</w:t>
      </w:r>
      <w:r w:rsidRPr="004E7928">
        <w:t>.</w:t>
      </w:r>
    </w:p>
    <w:p w:rsidR="00CD5D9F" w:rsidRPr="004E7928" w:rsidRDefault="00CD5D9F" w:rsidP="000E37B4">
      <w:pPr>
        <w:pStyle w:val="Bodytext"/>
        <w:spacing w:after="0"/>
      </w:pPr>
    </w:p>
    <w:p w:rsidR="006B7722" w:rsidRPr="007461DE" w:rsidRDefault="006B7722" w:rsidP="000E37B4">
      <w:pPr>
        <w:autoSpaceDE w:val="0"/>
        <w:autoSpaceDN w:val="0"/>
        <w:adjustRightInd w:val="0"/>
        <w:spacing w:after="0" w:line="240" w:lineRule="auto"/>
        <w:rPr>
          <w:rFonts w:ascii="Arial" w:hAnsi="Arial" w:cs="Arial"/>
          <w:color w:val="FF0000"/>
        </w:rPr>
      </w:pPr>
      <w:r w:rsidRPr="000B1A71">
        <w:rPr>
          <w:rFonts w:ascii="Arial" w:hAnsi="Arial" w:cs="Arial"/>
          <w:highlight w:val="yellow"/>
        </w:rPr>
        <w:t xml:space="preserve">Quarterly discharge measurements were made by Northwest Florida Water Management District (NWFWMD), the Florida Geological Survey, and the U.S. Geological Survey from 2004 – 2009 (Figure </w:t>
      </w:r>
      <w:r w:rsidR="00453052" w:rsidRPr="000B1A71">
        <w:rPr>
          <w:rFonts w:ascii="Arial" w:hAnsi="Arial" w:cs="Arial"/>
          <w:highlight w:val="yellow"/>
        </w:rPr>
        <w:t>6</w:t>
      </w:r>
      <w:r w:rsidRPr="000B1A71">
        <w:rPr>
          <w:rFonts w:ascii="Arial" w:hAnsi="Arial" w:cs="Arial"/>
          <w:highlight w:val="yellow"/>
        </w:rPr>
        <w:t>). A USGS gaging station (02358975) was established in Merritts Millpond just below Blue Spring, and collected real-time discharge data from 2002 through 2010</w:t>
      </w:r>
      <w:r w:rsidRPr="007461DE">
        <w:rPr>
          <w:rFonts w:ascii="Arial" w:hAnsi="Arial" w:cs="Arial"/>
          <w:highlight w:val="yellow"/>
        </w:rPr>
        <w:t xml:space="preserve">. </w:t>
      </w:r>
      <w:r w:rsidR="007461DE" w:rsidRPr="007461DE">
        <w:rPr>
          <w:rFonts w:ascii="Arial" w:hAnsi="Arial" w:cs="Arial"/>
          <w:color w:val="FF0000"/>
          <w:highlight w:val="yellow"/>
        </w:rPr>
        <w:t>Include?</w:t>
      </w:r>
    </w:p>
    <w:p w:rsidR="00E14E24" w:rsidRPr="004E7928" w:rsidRDefault="00E14E24" w:rsidP="000E37B4">
      <w:pPr>
        <w:autoSpaceDE w:val="0"/>
        <w:autoSpaceDN w:val="0"/>
        <w:adjustRightInd w:val="0"/>
        <w:spacing w:after="0" w:line="240" w:lineRule="auto"/>
        <w:rPr>
          <w:rFonts w:ascii="Arial" w:hAnsi="Arial" w:cs="Arial"/>
        </w:rPr>
      </w:pPr>
    </w:p>
    <w:p w:rsidR="00CD5D9F" w:rsidRPr="004E7928" w:rsidRDefault="00CD5D9F" w:rsidP="000E37B4">
      <w:pPr>
        <w:autoSpaceDE w:val="0"/>
        <w:autoSpaceDN w:val="0"/>
        <w:adjustRightInd w:val="0"/>
        <w:spacing w:after="0" w:line="240" w:lineRule="auto"/>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Ecological Balance</w:t>
      </w:r>
    </w:p>
    <w:p w:rsidR="004E7928" w:rsidRPr="004E7928" w:rsidRDefault="004E7928" w:rsidP="004E7928">
      <w:pPr>
        <w:autoSpaceDE w:val="0"/>
        <w:autoSpaceDN w:val="0"/>
        <w:adjustRightInd w:val="0"/>
        <w:spacing w:after="0" w:line="240" w:lineRule="auto"/>
        <w:rPr>
          <w:rFonts w:ascii="Arial" w:hAnsi="Arial" w:cs="Arial"/>
        </w:rPr>
      </w:pPr>
    </w:p>
    <w:p w:rsidR="004E7928" w:rsidRPr="004E7928" w:rsidRDefault="004E7928" w:rsidP="004E7928">
      <w:pPr>
        <w:spacing w:after="0"/>
        <w:rPr>
          <w:rFonts w:ascii="Arial" w:hAnsi="Arial" w:cs="Arial"/>
        </w:rPr>
      </w:pPr>
      <w:r w:rsidRPr="004E7928">
        <w:rPr>
          <w:rFonts w:ascii="Arial" w:hAnsi="Arial" w:cs="Arial"/>
        </w:rPr>
        <w:t xml:space="preserve">Merritts Mill Pond is an artificial reservoir, and no data exists on biological conditions within the spring run prior to impoundment. An FDEP </w:t>
      </w:r>
      <w:r w:rsidR="00E14E24">
        <w:rPr>
          <w:rFonts w:ascii="Arial" w:hAnsi="Arial" w:cs="Arial"/>
        </w:rPr>
        <w:t>E</w:t>
      </w:r>
      <w:r w:rsidRPr="004E7928">
        <w:rPr>
          <w:rFonts w:ascii="Arial" w:hAnsi="Arial" w:cs="Arial"/>
        </w:rPr>
        <w:t>co</w:t>
      </w:r>
      <w:r w:rsidR="00E14E24">
        <w:rPr>
          <w:rFonts w:ascii="Arial" w:hAnsi="Arial" w:cs="Arial"/>
        </w:rPr>
        <w:t>S</w:t>
      </w:r>
      <w:r w:rsidRPr="004E7928">
        <w:rPr>
          <w:rFonts w:ascii="Arial" w:hAnsi="Arial" w:cs="Arial"/>
        </w:rPr>
        <w:t xml:space="preserve">ummary </w:t>
      </w:r>
      <w:r w:rsidR="00E14E24">
        <w:rPr>
          <w:rFonts w:ascii="Arial" w:hAnsi="Arial" w:cs="Arial"/>
        </w:rPr>
        <w:t xml:space="preserve">report published </w:t>
      </w:r>
      <w:r w:rsidRPr="004E7928">
        <w:rPr>
          <w:rFonts w:ascii="Arial" w:hAnsi="Arial" w:cs="Arial"/>
        </w:rPr>
        <w:t xml:space="preserve">in April, 2002 listed the spring as impaired due to elevated nitrate concentrations. </w:t>
      </w:r>
    </w:p>
    <w:p w:rsidR="004E7928" w:rsidRPr="004E7928" w:rsidRDefault="004E7928" w:rsidP="004E7928">
      <w:pPr>
        <w:spacing w:after="0"/>
        <w:rPr>
          <w:rFonts w:ascii="Arial" w:hAnsi="Arial" w:cs="Arial"/>
        </w:rPr>
      </w:pPr>
    </w:p>
    <w:p w:rsidR="000B1A71" w:rsidRDefault="004E7928" w:rsidP="004E7928">
      <w:pPr>
        <w:spacing w:after="0"/>
        <w:rPr>
          <w:rFonts w:ascii="Arial" w:hAnsi="Arial" w:cs="Arial"/>
        </w:rPr>
      </w:pPr>
      <w:r w:rsidRPr="004E7928">
        <w:rPr>
          <w:rFonts w:ascii="Arial" w:hAnsi="Arial" w:cs="Arial"/>
        </w:rPr>
        <w:t>Floating algal mats</w:t>
      </w:r>
      <w:r w:rsidR="00A426E1">
        <w:rPr>
          <w:rFonts w:ascii="Arial" w:hAnsi="Arial" w:cs="Arial"/>
        </w:rPr>
        <w:t>, benthic algae</w:t>
      </w:r>
      <w:r w:rsidRPr="004E7928">
        <w:rPr>
          <w:rFonts w:ascii="Arial" w:hAnsi="Arial" w:cs="Arial"/>
        </w:rPr>
        <w:t xml:space="preserve"> and the invasive plant species </w:t>
      </w:r>
      <w:r w:rsidRPr="004E7928">
        <w:rPr>
          <w:rFonts w:ascii="Arial" w:hAnsi="Arial" w:cs="Arial"/>
          <w:i/>
        </w:rPr>
        <w:t>Hydrilla verticillata</w:t>
      </w:r>
      <w:r w:rsidRPr="004E7928">
        <w:rPr>
          <w:rFonts w:ascii="Arial" w:hAnsi="Arial" w:cs="Arial"/>
        </w:rPr>
        <w:t xml:space="preserve"> have been documented within Merritts Mill Pond</w:t>
      </w:r>
      <w:r w:rsidR="00D163F3">
        <w:rPr>
          <w:rFonts w:ascii="Arial" w:hAnsi="Arial" w:cs="Arial"/>
        </w:rPr>
        <w:t xml:space="preserve"> (Figure 7)</w:t>
      </w:r>
      <w:r w:rsidRPr="004E7928">
        <w:rPr>
          <w:rFonts w:ascii="Arial" w:hAnsi="Arial" w:cs="Arial"/>
        </w:rPr>
        <w:t xml:space="preserve">, but </w:t>
      </w:r>
      <w:r w:rsidR="00A426E1">
        <w:rPr>
          <w:rFonts w:ascii="Arial" w:hAnsi="Arial" w:cs="Arial"/>
        </w:rPr>
        <w:t xml:space="preserve">isolated </w:t>
      </w:r>
      <w:r w:rsidRPr="004E7928">
        <w:rPr>
          <w:rFonts w:ascii="Arial" w:hAnsi="Arial" w:cs="Arial"/>
        </w:rPr>
        <w:t xml:space="preserve">patches of native </w:t>
      </w:r>
      <w:r w:rsidRPr="004E7928">
        <w:rPr>
          <w:rFonts w:ascii="Arial" w:hAnsi="Arial" w:cs="Arial"/>
          <w:i/>
        </w:rPr>
        <w:t>Vallisnaria</w:t>
      </w:r>
      <w:r w:rsidRPr="004E7928">
        <w:rPr>
          <w:rFonts w:ascii="Arial" w:hAnsi="Arial" w:cs="Arial"/>
        </w:rPr>
        <w:t xml:space="preserve"> can still be found in the vicinity of Blue Spring. </w:t>
      </w:r>
      <w:r w:rsidR="00846A1E">
        <w:rPr>
          <w:rFonts w:ascii="Arial" w:hAnsi="Arial" w:cs="Arial"/>
        </w:rPr>
        <w:t xml:space="preserve">In the upper portions of the Mill Pond just below Jackson Blue Spring, </w:t>
      </w:r>
      <w:proofErr w:type="gramStart"/>
      <w:r w:rsidR="00846A1E">
        <w:rPr>
          <w:rFonts w:ascii="Arial" w:hAnsi="Arial" w:cs="Arial"/>
        </w:rPr>
        <w:t>benthic algae has</w:t>
      </w:r>
      <w:proofErr w:type="gramEnd"/>
      <w:r w:rsidR="00846A1E">
        <w:rPr>
          <w:rFonts w:ascii="Arial" w:hAnsi="Arial" w:cs="Arial"/>
        </w:rPr>
        <w:t xml:space="preserve"> been observed covering about 40% of bottom substrate </w:t>
      </w:r>
      <w:r w:rsidR="00D163F3">
        <w:rPr>
          <w:rFonts w:ascii="Arial" w:hAnsi="Arial" w:cs="Arial"/>
        </w:rPr>
        <w:t>(Figure 8)</w:t>
      </w:r>
      <w:r w:rsidR="00A426E1">
        <w:rPr>
          <w:rFonts w:ascii="Arial" w:hAnsi="Arial" w:cs="Arial"/>
        </w:rPr>
        <w:t xml:space="preserve">. </w:t>
      </w:r>
      <w:proofErr w:type="gramStart"/>
      <w:r w:rsidR="00846A1E">
        <w:rPr>
          <w:rFonts w:ascii="Arial" w:hAnsi="Arial" w:cs="Arial"/>
        </w:rPr>
        <w:t>Benthic algae is</w:t>
      </w:r>
      <w:proofErr w:type="gramEnd"/>
      <w:r w:rsidR="00846A1E">
        <w:rPr>
          <w:rFonts w:ascii="Arial" w:hAnsi="Arial" w:cs="Arial"/>
        </w:rPr>
        <w:t xml:space="preserve"> also present in the swimming area adjacent to Jackson Blue Spring, but human disturbance by swimmers in the summer months dislodges much of this. Floating algal mats are more commonly observed in the middle and southern portions of Merritts Mill Pond, likely due to lower flow rates and the downstream accumulation of floating biomass at the downstream terminus of the Mill Pond (Figure 9). </w:t>
      </w:r>
    </w:p>
    <w:p w:rsidR="00891830" w:rsidRDefault="00891830" w:rsidP="004E7928">
      <w:pPr>
        <w:spacing w:after="0"/>
        <w:rPr>
          <w:rFonts w:ascii="Arial" w:hAnsi="Arial" w:cs="Arial"/>
        </w:rPr>
      </w:pPr>
    </w:p>
    <w:p w:rsidR="004E7928" w:rsidRPr="004E7928" w:rsidRDefault="004E7928" w:rsidP="004E7928">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Actions</w:t>
      </w:r>
    </w:p>
    <w:p w:rsidR="006B7722" w:rsidRPr="004E7928" w:rsidRDefault="006B7722" w:rsidP="000E37B4">
      <w:pPr>
        <w:autoSpaceDE w:val="0"/>
        <w:autoSpaceDN w:val="0"/>
        <w:adjustRightInd w:val="0"/>
        <w:spacing w:after="0" w:line="240" w:lineRule="auto"/>
        <w:rPr>
          <w:rFonts w:ascii="Arial" w:hAnsi="Arial" w:cs="Arial"/>
        </w:rPr>
      </w:pPr>
    </w:p>
    <w:p w:rsidR="006B7722" w:rsidRDefault="00453052" w:rsidP="000E37B4">
      <w:pPr>
        <w:spacing w:after="0"/>
        <w:rPr>
          <w:rFonts w:ascii="Arial" w:hAnsi="Arial" w:cs="Arial"/>
        </w:rPr>
      </w:pPr>
      <w:r>
        <w:rPr>
          <w:rFonts w:ascii="Arial" w:hAnsi="Arial" w:cs="Arial"/>
        </w:rPr>
        <w:t xml:space="preserve">In October, 2012, a </w:t>
      </w:r>
      <w:r w:rsidRPr="0008426A">
        <w:rPr>
          <w:rFonts w:ascii="Arial" w:hAnsi="Arial" w:cs="Arial"/>
        </w:rPr>
        <w:t>TMDL</w:t>
      </w:r>
      <w:r>
        <w:rPr>
          <w:rFonts w:ascii="Arial" w:hAnsi="Arial" w:cs="Arial"/>
        </w:rPr>
        <w:t xml:space="preserve"> was </w:t>
      </w:r>
      <w:r w:rsidRPr="0008426A">
        <w:rPr>
          <w:rFonts w:ascii="Arial" w:hAnsi="Arial" w:cs="Arial"/>
        </w:rPr>
        <w:t xml:space="preserve">established for Jackson Blue Spring and Merritts Mill Pond, based on </w:t>
      </w:r>
      <w:r w:rsidR="006E0C02" w:rsidRPr="0008426A">
        <w:rPr>
          <w:rFonts w:ascii="Arial" w:hAnsi="Arial" w:cs="Arial"/>
        </w:rPr>
        <w:t xml:space="preserve">persistent </w:t>
      </w:r>
      <w:r w:rsidRPr="0008426A">
        <w:rPr>
          <w:rFonts w:ascii="Arial" w:hAnsi="Arial" w:cs="Arial"/>
        </w:rPr>
        <w:t xml:space="preserve">elevated nitrate concentrations and biological impairment due to algal </w:t>
      </w:r>
      <w:r w:rsidR="006E0C02" w:rsidRPr="0008426A">
        <w:rPr>
          <w:rFonts w:ascii="Arial" w:hAnsi="Arial" w:cs="Arial"/>
        </w:rPr>
        <w:t xml:space="preserve">smothering </w:t>
      </w:r>
      <w:r w:rsidRPr="0008426A">
        <w:rPr>
          <w:rFonts w:ascii="Arial" w:hAnsi="Arial" w:cs="Arial"/>
        </w:rPr>
        <w:t>in the Mill Pond</w:t>
      </w:r>
      <w:r w:rsidR="00A426E1" w:rsidRPr="0008426A">
        <w:rPr>
          <w:rFonts w:ascii="Arial" w:hAnsi="Arial" w:cs="Arial"/>
        </w:rPr>
        <w:t xml:space="preserve"> (Dodson, 2012)</w:t>
      </w:r>
      <w:r w:rsidRPr="0008426A">
        <w:rPr>
          <w:rFonts w:ascii="Arial" w:hAnsi="Arial" w:cs="Arial"/>
        </w:rPr>
        <w:t>.</w:t>
      </w:r>
      <w:r w:rsidR="00A426E1" w:rsidRPr="0008426A">
        <w:rPr>
          <w:rFonts w:ascii="Arial" w:hAnsi="Arial" w:cs="Arial"/>
        </w:rPr>
        <w:t xml:space="preserve"> </w:t>
      </w:r>
      <w:r w:rsidR="0008426A" w:rsidRPr="0008426A">
        <w:rPr>
          <w:rFonts w:ascii="Arial" w:hAnsi="Arial" w:cs="Arial"/>
        </w:rPr>
        <w:t xml:space="preserve">A TMDL </w:t>
      </w:r>
      <w:r w:rsidR="0008426A">
        <w:rPr>
          <w:rFonts w:ascii="Arial" w:hAnsi="Arial" w:cs="Arial"/>
        </w:rPr>
        <w:t xml:space="preserve">(Total Maximum Daily Load) </w:t>
      </w:r>
      <w:r w:rsidR="0008426A" w:rsidRPr="0008426A">
        <w:rPr>
          <w:rFonts w:ascii="Arial" w:hAnsi="Arial" w:cs="Arial"/>
        </w:rPr>
        <w:t xml:space="preserve">represents the maximum amount of a given pollutant that a waterbody can assimilate and still meet water quality standards, including its applicable water quality criteria and its designated uses.  TMDLs are developed for waterbodies that are verified as not meeting their water quality standards.  </w:t>
      </w:r>
    </w:p>
    <w:p w:rsidR="0008426A" w:rsidRDefault="0008426A" w:rsidP="000E37B4">
      <w:pPr>
        <w:spacing w:after="0"/>
        <w:rPr>
          <w:rFonts w:ascii="Arial" w:hAnsi="Arial" w:cs="Arial"/>
        </w:rPr>
      </w:pPr>
    </w:p>
    <w:p w:rsidR="0008426A" w:rsidRPr="0008426A" w:rsidRDefault="0008426A" w:rsidP="000E37B4">
      <w:pPr>
        <w:spacing w:after="0"/>
        <w:rPr>
          <w:rFonts w:ascii="Arial" w:hAnsi="Arial" w:cs="Arial"/>
        </w:rPr>
      </w:pPr>
      <w:r>
        <w:rPr>
          <w:rFonts w:ascii="Arial" w:hAnsi="Arial" w:cs="Arial"/>
        </w:rPr>
        <w:t xml:space="preserve">Following the establishment of a TMDL, a Basin </w:t>
      </w:r>
      <w:r w:rsidRPr="0008426A">
        <w:rPr>
          <w:rFonts w:ascii="Arial" w:hAnsi="Arial" w:cs="Arial"/>
        </w:rPr>
        <w:t xml:space="preserve">Management Action Plan (BMAP) will be developed for Jackson Blue Spring and Merritts Mill Pond. A BMAP is a </w:t>
      </w:r>
      <w:r w:rsidRPr="0008426A">
        <w:rPr>
          <w:rFonts w:ascii="Arial" w:hAnsi="Arial" w:cs="Arial"/>
          <w:color w:val="000000"/>
        </w:rPr>
        <w:t>"blueprint" for restoring impaired waters by reducing pollutant loadings to meet the allowable loadings established in a TMDL. It represents a comprehensive set of strategies</w:t>
      </w:r>
      <w:r>
        <w:rPr>
          <w:rFonts w:ascii="Arial" w:hAnsi="Arial" w:cs="Arial"/>
          <w:color w:val="000000"/>
        </w:rPr>
        <w:t xml:space="preserve"> - </w:t>
      </w:r>
      <w:r w:rsidRPr="0008426A">
        <w:rPr>
          <w:rFonts w:ascii="Arial" w:hAnsi="Arial" w:cs="Arial"/>
          <w:color w:val="000000"/>
        </w:rPr>
        <w:t>permit limits on wastewater facilities, urban and agricultural best management practices, conservation programs, financial assistance and revenue generating activities, etc.</w:t>
      </w:r>
      <w:r>
        <w:rPr>
          <w:rFonts w:ascii="Arial" w:hAnsi="Arial" w:cs="Arial"/>
          <w:color w:val="000000"/>
        </w:rPr>
        <w:t xml:space="preserve">, </w:t>
      </w:r>
      <w:r w:rsidRPr="0008426A">
        <w:rPr>
          <w:rFonts w:ascii="Arial" w:hAnsi="Arial" w:cs="Arial"/>
          <w:color w:val="000000"/>
        </w:rPr>
        <w:t>designed to implement the pollutant reductions established by the TMDL. These broad-based plans are developed with local stakeholders</w:t>
      </w:r>
      <w:r>
        <w:rPr>
          <w:rFonts w:ascii="Arial" w:hAnsi="Arial" w:cs="Arial"/>
          <w:color w:val="000000"/>
        </w:rPr>
        <w:t xml:space="preserve"> - </w:t>
      </w:r>
      <w:r w:rsidRPr="0008426A">
        <w:rPr>
          <w:rFonts w:ascii="Arial" w:hAnsi="Arial" w:cs="Arial"/>
          <w:color w:val="000000"/>
        </w:rPr>
        <w:t>they rely on local input and local commitment</w:t>
      </w:r>
      <w:r>
        <w:rPr>
          <w:rFonts w:ascii="Arial" w:hAnsi="Arial" w:cs="Arial"/>
          <w:color w:val="000000"/>
        </w:rPr>
        <w:t xml:space="preserve">, </w:t>
      </w:r>
      <w:r w:rsidRPr="0008426A">
        <w:rPr>
          <w:rFonts w:ascii="Arial" w:hAnsi="Arial" w:cs="Arial"/>
          <w:color w:val="000000"/>
        </w:rPr>
        <w:t>and they are adopted by Secretarial Order to be enforceable</w:t>
      </w:r>
      <w:r>
        <w:rPr>
          <w:rFonts w:ascii="Arial" w:hAnsi="Arial" w:cs="Arial"/>
          <w:color w:val="000000"/>
        </w:rPr>
        <w:t xml:space="preserve"> (FDEP, 2012)</w:t>
      </w:r>
      <w:r w:rsidRPr="0008426A">
        <w:rPr>
          <w:rFonts w:ascii="Arial" w:hAnsi="Arial" w:cs="Arial"/>
          <w:color w:val="000000"/>
        </w:rPr>
        <w:t>.</w:t>
      </w:r>
    </w:p>
    <w:p w:rsidR="0008426A" w:rsidRPr="0008426A" w:rsidRDefault="0008426A" w:rsidP="000E37B4">
      <w:pPr>
        <w:spacing w:after="0"/>
        <w:rPr>
          <w:rFonts w:ascii="Arial" w:hAnsi="Arial" w:cs="Arial"/>
        </w:rPr>
      </w:pPr>
    </w:p>
    <w:p w:rsidR="006B7722" w:rsidRDefault="006B7722" w:rsidP="000E37B4">
      <w:pPr>
        <w:autoSpaceDE w:val="0"/>
        <w:autoSpaceDN w:val="0"/>
        <w:adjustRightInd w:val="0"/>
        <w:spacing w:after="0" w:line="240" w:lineRule="auto"/>
        <w:rPr>
          <w:rFonts w:ascii="Arial" w:hAnsi="Arial" w:cs="Arial"/>
          <w:b/>
          <w:sz w:val="26"/>
          <w:szCs w:val="26"/>
        </w:rPr>
      </w:pPr>
    </w:p>
    <w:p w:rsidR="000B1A71" w:rsidRDefault="000B1A71" w:rsidP="000E37B4">
      <w:pPr>
        <w:autoSpaceDE w:val="0"/>
        <w:autoSpaceDN w:val="0"/>
        <w:adjustRightInd w:val="0"/>
        <w:spacing w:after="0" w:line="240" w:lineRule="auto"/>
        <w:rPr>
          <w:rFonts w:ascii="Arial" w:hAnsi="Arial" w:cs="Arial"/>
          <w:b/>
          <w:sz w:val="26"/>
          <w:szCs w:val="26"/>
        </w:rPr>
      </w:pPr>
    </w:p>
    <w:p w:rsidR="000B1A71" w:rsidRPr="0008426A" w:rsidRDefault="000B1A71" w:rsidP="000E37B4">
      <w:pPr>
        <w:autoSpaceDE w:val="0"/>
        <w:autoSpaceDN w:val="0"/>
        <w:adjustRightInd w:val="0"/>
        <w:spacing w:after="0" w:line="240" w:lineRule="auto"/>
        <w:rPr>
          <w:rFonts w:ascii="Arial" w:hAnsi="Arial" w:cs="Arial"/>
          <w:b/>
          <w:sz w:val="26"/>
          <w:szCs w:val="26"/>
        </w:rPr>
      </w:pPr>
    </w:p>
    <w:p w:rsidR="006B7722" w:rsidRPr="004E7928" w:rsidRDefault="006B7722" w:rsidP="000E37B4">
      <w:pPr>
        <w:autoSpaceDE w:val="0"/>
        <w:autoSpaceDN w:val="0"/>
        <w:adjustRightInd w:val="0"/>
        <w:spacing w:after="0" w:line="240" w:lineRule="auto"/>
        <w:rPr>
          <w:rFonts w:ascii="Arial" w:hAnsi="Arial" w:cs="Arial"/>
          <w:b/>
          <w:sz w:val="26"/>
          <w:szCs w:val="26"/>
        </w:rPr>
      </w:pPr>
      <w:r w:rsidRPr="004E7928">
        <w:rPr>
          <w:rFonts w:ascii="Arial" w:hAnsi="Arial" w:cs="Arial"/>
          <w:b/>
          <w:sz w:val="26"/>
          <w:szCs w:val="26"/>
        </w:rPr>
        <w:t>Selected References:</w:t>
      </w:r>
    </w:p>
    <w:p w:rsidR="006B7722" w:rsidRPr="004E7928"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4E7928">
        <w:rPr>
          <w:rFonts w:ascii="Arial" w:hAnsi="Arial" w:cs="Arial"/>
        </w:rPr>
        <w:t>Barrios, Kristopher and Kevin DeFosset, 2005, Ground water chemical characterization of Jackson Blue Spring and Wakulla Springs, Florida; NWFWMD Water Resources Special report 05-01; 54 p.</w:t>
      </w:r>
      <w:proofErr w:type="gramEnd"/>
    </w:p>
    <w:p w:rsidR="00891830" w:rsidRPr="004E7928" w:rsidRDefault="00891830" w:rsidP="000E37B4">
      <w:pPr>
        <w:spacing w:after="0"/>
        <w:rPr>
          <w:rFonts w:ascii="Arial" w:hAnsi="Arial" w:cs="Arial"/>
        </w:rPr>
      </w:pPr>
    </w:p>
    <w:p w:rsidR="006B7722" w:rsidRPr="004E7928" w:rsidRDefault="006B7722" w:rsidP="000E37B4">
      <w:pPr>
        <w:autoSpaceDE w:val="0"/>
        <w:autoSpaceDN w:val="0"/>
        <w:adjustRightInd w:val="0"/>
        <w:spacing w:after="0" w:line="240" w:lineRule="auto"/>
        <w:rPr>
          <w:rFonts w:ascii="Arial" w:hAnsi="Arial" w:cs="Arial"/>
        </w:rPr>
      </w:pPr>
      <w:proofErr w:type="gramStart"/>
      <w:r w:rsidRPr="004E7928">
        <w:rPr>
          <w:rFonts w:ascii="Arial" w:hAnsi="Arial" w:cs="Arial"/>
        </w:rPr>
        <w:t>Barrios, K.F., 2011, Nitrogen Sources in the Jackson Blue Spring Basin, Jackson County, FL; NWFWMD Technical File Report 2011</w:t>
      </w:r>
      <w:r w:rsidRPr="004E7928">
        <w:rPr>
          <w:rFonts w:ascii="Calibri" w:hAnsi="Calibri" w:cs="Arial"/>
        </w:rPr>
        <w:t>‐</w:t>
      </w:r>
      <w:r w:rsidRPr="004E7928">
        <w:rPr>
          <w:rFonts w:ascii="Arial" w:hAnsi="Arial" w:cs="Arial"/>
        </w:rPr>
        <w:t>01</w:t>
      </w:r>
      <w:r w:rsidR="00891830">
        <w:rPr>
          <w:rFonts w:ascii="Arial" w:hAnsi="Arial" w:cs="Arial"/>
        </w:rPr>
        <w:t>.</w:t>
      </w:r>
      <w:proofErr w:type="gramEnd"/>
    </w:p>
    <w:p w:rsidR="006B7722" w:rsidRPr="004E7928" w:rsidRDefault="006B7722" w:rsidP="000E37B4">
      <w:pPr>
        <w:autoSpaceDE w:val="0"/>
        <w:autoSpaceDN w:val="0"/>
        <w:adjustRightInd w:val="0"/>
        <w:spacing w:after="0" w:line="240" w:lineRule="auto"/>
        <w:rPr>
          <w:rFonts w:ascii="Arial" w:hAnsi="Arial" w:cs="Arial"/>
        </w:rPr>
      </w:pPr>
    </w:p>
    <w:p w:rsidR="006B7722" w:rsidRPr="0034052A" w:rsidRDefault="006B7722" w:rsidP="000E37B4">
      <w:pPr>
        <w:autoSpaceDE w:val="0"/>
        <w:autoSpaceDN w:val="0"/>
        <w:adjustRightInd w:val="0"/>
        <w:spacing w:after="0" w:line="240" w:lineRule="auto"/>
        <w:rPr>
          <w:rFonts w:ascii="Arial" w:hAnsi="Arial" w:cs="Arial"/>
        </w:rPr>
      </w:pPr>
      <w:proofErr w:type="gramStart"/>
      <w:r w:rsidRPr="0034052A">
        <w:rPr>
          <w:rFonts w:ascii="Arial" w:hAnsi="Arial" w:cs="Arial"/>
        </w:rPr>
        <w:t>Dodson, James, 2012, Final report – Nutrient TMDL for Jackson Blue spring and Merritts Mill Pond (WBIDs 180z and 180A); FDEP, 87p.</w:t>
      </w:r>
      <w:proofErr w:type="gramEnd"/>
      <w:r w:rsidRPr="0034052A">
        <w:rPr>
          <w:rFonts w:ascii="Arial" w:hAnsi="Arial" w:cs="Arial"/>
        </w:rPr>
        <w:t xml:space="preserve"> </w:t>
      </w:r>
    </w:p>
    <w:p w:rsidR="006B7722" w:rsidRPr="0034052A" w:rsidRDefault="006B7722" w:rsidP="000E37B4">
      <w:pPr>
        <w:autoSpaceDE w:val="0"/>
        <w:autoSpaceDN w:val="0"/>
        <w:adjustRightInd w:val="0"/>
        <w:spacing w:after="0" w:line="240" w:lineRule="auto"/>
        <w:rPr>
          <w:rFonts w:ascii="Arial" w:hAnsi="Arial" w:cs="Arial"/>
        </w:rPr>
      </w:pPr>
    </w:p>
    <w:p w:rsidR="006B7722" w:rsidRDefault="006B7722" w:rsidP="000E37B4">
      <w:pPr>
        <w:spacing w:after="0"/>
        <w:rPr>
          <w:rFonts w:ascii="Arial" w:hAnsi="Arial" w:cs="Arial"/>
        </w:rPr>
      </w:pPr>
      <w:proofErr w:type="gramStart"/>
      <w:r w:rsidRPr="0034052A">
        <w:rPr>
          <w:rFonts w:ascii="Arial" w:hAnsi="Arial" w:cs="Arial"/>
        </w:rPr>
        <w:t>FDEP, April, 2002, Ecosummary – Jackson Blue Spring; 1 p.</w:t>
      </w:r>
      <w:proofErr w:type="gramEnd"/>
    </w:p>
    <w:p w:rsidR="0008426A" w:rsidRDefault="0008426A" w:rsidP="000E37B4">
      <w:pPr>
        <w:spacing w:after="0"/>
        <w:rPr>
          <w:rFonts w:ascii="Arial" w:hAnsi="Arial" w:cs="Arial"/>
        </w:rPr>
      </w:pPr>
    </w:p>
    <w:p w:rsidR="0008426A" w:rsidRDefault="0008426A" w:rsidP="000E37B4">
      <w:pPr>
        <w:spacing w:after="0"/>
        <w:rPr>
          <w:rFonts w:ascii="Arial" w:hAnsi="Arial" w:cs="Arial"/>
        </w:rPr>
      </w:pPr>
      <w:r>
        <w:rPr>
          <w:rFonts w:ascii="Arial" w:hAnsi="Arial" w:cs="Arial"/>
        </w:rPr>
        <w:t>FDEP</w:t>
      </w:r>
      <w:proofErr w:type="gramStart"/>
      <w:r>
        <w:rPr>
          <w:rFonts w:ascii="Arial" w:hAnsi="Arial" w:cs="Arial"/>
        </w:rPr>
        <w:t>,  2012</w:t>
      </w:r>
      <w:proofErr w:type="gramEnd"/>
      <w:r>
        <w:rPr>
          <w:rFonts w:ascii="Arial" w:hAnsi="Arial" w:cs="Arial"/>
        </w:rPr>
        <w:t xml:space="preserve">: Total Maximum Daily Loads website: </w:t>
      </w:r>
      <w:hyperlink r:id="rId7" w:history="1">
        <w:r w:rsidRPr="0041680B">
          <w:rPr>
            <w:rStyle w:val="Hyperlink"/>
            <w:rFonts w:ascii="Arial" w:hAnsi="Arial" w:cs="Arial"/>
          </w:rPr>
          <w:t>http://www.dep.state.fl.us/water/tmdl/index.htm</w:t>
        </w:r>
      </w:hyperlink>
    </w:p>
    <w:p w:rsidR="00150D3A" w:rsidRDefault="00150D3A" w:rsidP="000E37B4">
      <w:pPr>
        <w:spacing w:after="0"/>
        <w:rPr>
          <w:rFonts w:ascii="Arial" w:hAnsi="Arial" w:cs="Arial"/>
        </w:rPr>
      </w:pPr>
    </w:p>
    <w:p w:rsidR="00150D3A" w:rsidRDefault="00150D3A" w:rsidP="000E37B4">
      <w:pPr>
        <w:spacing w:after="0"/>
        <w:rPr>
          <w:rFonts w:ascii="Arial" w:hAnsi="Arial" w:cs="Arial"/>
        </w:rPr>
      </w:pPr>
      <w:r>
        <w:rPr>
          <w:rFonts w:ascii="Arial" w:hAnsi="Arial" w:cs="Arial"/>
        </w:rPr>
        <w:t>Maddox, G.L., J.M. Lloyd, T.M. Sacott, S.B. Upchurch and R.E Copeland, 1992, Florida’s Ground Water Quality Monitoring program – Backgrouind hydrogeochemistry: Florida Geological Survey Special Publication No. 34; 364 p.</w:t>
      </w:r>
    </w:p>
    <w:p w:rsidR="00B435D1" w:rsidRDefault="00B435D1" w:rsidP="000E37B4">
      <w:pPr>
        <w:spacing w:after="0"/>
        <w:rPr>
          <w:rFonts w:ascii="Arial" w:hAnsi="Arial" w:cs="Arial"/>
        </w:rPr>
      </w:pPr>
    </w:p>
    <w:p w:rsidR="00B435D1" w:rsidRDefault="00B435D1" w:rsidP="000E37B4">
      <w:pPr>
        <w:spacing w:after="0"/>
        <w:rPr>
          <w:rFonts w:ascii="Arial" w:hAnsi="Arial" w:cs="Arial"/>
        </w:rPr>
      </w:pPr>
      <w:r>
        <w:rPr>
          <w:rFonts w:ascii="Arial" w:hAnsi="Arial" w:cs="Arial"/>
        </w:rPr>
        <w:t>Roadcap, George S., K.C. Hackley, and H. Hwang, 2002, Application of nitrogen and oxygen isotopes to identify sources of nitrate: Report to the Illinois Groundwater Consortium, Southern Illinois University; 30 p.</w:t>
      </w:r>
    </w:p>
    <w:p w:rsidR="0034052A" w:rsidRPr="0034052A" w:rsidRDefault="0034052A" w:rsidP="000E37B4">
      <w:pPr>
        <w:spacing w:after="0"/>
        <w:rPr>
          <w:rFonts w:ascii="Arial" w:hAnsi="Arial" w:cs="Arial"/>
        </w:rPr>
      </w:pPr>
    </w:p>
    <w:p w:rsidR="0034052A" w:rsidRDefault="0034052A" w:rsidP="0034052A">
      <w:pPr>
        <w:pStyle w:val="References"/>
        <w:rPr>
          <w:sz w:val="22"/>
          <w:szCs w:val="22"/>
        </w:rPr>
      </w:pPr>
      <w:r w:rsidRPr="0034052A">
        <w:rPr>
          <w:sz w:val="22"/>
          <w:szCs w:val="22"/>
        </w:rPr>
        <w:t>Scott, T.M., et al</w:t>
      </w:r>
      <w:proofErr w:type="gramStart"/>
      <w:r w:rsidRPr="0034052A">
        <w:rPr>
          <w:i/>
          <w:sz w:val="22"/>
          <w:szCs w:val="22"/>
        </w:rPr>
        <w:t>,</w:t>
      </w:r>
      <w:r w:rsidRPr="0034052A">
        <w:rPr>
          <w:sz w:val="22"/>
          <w:szCs w:val="22"/>
        </w:rPr>
        <w:t xml:space="preserve">  2004</w:t>
      </w:r>
      <w:proofErr w:type="gramEnd"/>
      <w:r w:rsidRPr="0034052A">
        <w:rPr>
          <w:sz w:val="22"/>
          <w:szCs w:val="22"/>
        </w:rPr>
        <w:t xml:space="preserve">, Springs of Florida; Florida Geological Survey Bulletin No. 66; 377 p.  </w:t>
      </w:r>
    </w:p>
    <w:p w:rsidR="0008426A" w:rsidRDefault="0008426A" w:rsidP="0034052A">
      <w:pPr>
        <w:pStyle w:val="References"/>
        <w:rPr>
          <w:sz w:val="22"/>
          <w:szCs w:val="22"/>
        </w:rPr>
      </w:pPr>
    </w:p>
    <w:p w:rsidR="0008426A" w:rsidRPr="0034052A" w:rsidRDefault="0008426A" w:rsidP="0034052A">
      <w:pPr>
        <w:pStyle w:val="References"/>
        <w:rPr>
          <w:sz w:val="22"/>
          <w:szCs w:val="22"/>
        </w:rPr>
      </w:pPr>
    </w:p>
    <w:p w:rsidR="006B7722" w:rsidRPr="0034052A" w:rsidRDefault="006B7722" w:rsidP="000E37B4">
      <w:pPr>
        <w:spacing w:after="0"/>
        <w:rPr>
          <w:rFonts w:ascii="Arial" w:hAnsi="Arial" w:cs="Arial"/>
        </w:rPr>
      </w:pPr>
    </w:p>
    <w:p w:rsidR="006B7722" w:rsidRPr="004E7928" w:rsidRDefault="006B7722" w:rsidP="000E37B4">
      <w:pPr>
        <w:spacing w:after="0"/>
        <w:rPr>
          <w:rFonts w:ascii="Arial" w:hAnsi="Arial" w:cs="Arial"/>
          <w:b/>
        </w:rPr>
      </w:pPr>
      <w:r w:rsidRPr="004E7928">
        <w:rPr>
          <w:rFonts w:ascii="Arial" w:hAnsi="Arial" w:cs="Arial"/>
          <w:b/>
        </w:rPr>
        <w:t>For more information, contact:</w:t>
      </w:r>
    </w:p>
    <w:p w:rsidR="006B7722" w:rsidRDefault="006B7722" w:rsidP="000E37B4">
      <w:pPr>
        <w:spacing w:after="0"/>
        <w:rPr>
          <w:rFonts w:ascii="Arial" w:hAnsi="Arial" w:cs="Arial"/>
          <w:sz w:val="20"/>
          <w:szCs w:val="20"/>
        </w:rPr>
      </w:pPr>
      <w:r w:rsidRPr="004E7928">
        <w:rPr>
          <w:rFonts w:ascii="Arial" w:hAnsi="Arial" w:cs="Arial"/>
          <w:sz w:val="20"/>
          <w:szCs w:val="20"/>
        </w:rPr>
        <w:t xml:space="preserve">Gary Maddox, FDEP Ground Water Management Section, 2600 Blair Stone Rd; Tallahassee, FL 32399; (850)245-8511; </w:t>
      </w:r>
      <w:hyperlink r:id="rId8" w:history="1">
        <w:r w:rsidR="0034052A" w:rsidRPr="0041680B">
          <w:rPr>
            <w:rStyle w:val="Hyperlink"/>
            <w:rFonts w:ascii="Arial" w:hAnsi="Arial" w:cs="Arial"/>
            <w:sz w:val="20"/>
            <w:szCs w:val="20"/>
          </w:rPr>
          <w:t>Gary.Maddox@dep.state.fl.us</w:t>
        </w:r>
      </w:hyperlink>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Default="0034052A" w:rsidP="000E37B4">
      <w:pPr>
        <w:spacing w:after="0"/>
        <w:rPr>
          <w:rFonts w:ascii="Arial" w:hAnsi="Arial" w:cs="Arial"/>
          <w:sz w:val="20"/>
          <w:szCs w:val="20"/>
        </w:rPr>
      </w:pPr>
    </w:p>
    <w:p w:rsidR="0034052A" w:rsidRPr="004E7928" w:rsidRDefault="0034052A" w:rsidP="0034052A">
      <w:pPr>
        <w:spacing w:after="0"/>
        <w:jc w:val="center"/>
        <w:rPr>
          <w:rFonts w:ascii="Arial" w:hAnsi="Arial" w:cs="Arial"/>
          <w:sz w:val="20"/>
          <w:szCs w:val="20"/>
        </w:rPr>
      </w:pPr>
    </w:p>
    <w:p w:rsidR="005B3A84" w:rsidRDefault="00560FBC" w:rsidP="0034052A">
      <w:pPr>
        <w:autoSpaceDE w:val="0"/>
        <w:autoSpaceDN w:val="0"/>
        <w:adjustRightInd w:val="0"/>
        <w:spacing w:after="0" w:line="240" w:lineRule="auto"/>
        <w:jc w:val="center"/>
        <w:rPr>
          <w:rFonts w:ascii="Arial" w:hAnsi="Arial" w:cs="Arial"/>
        </w:rPr>
      </w:pPr>
      <w:r>
        <w:rPr>
          <w:rFonts w:ascii="Arial" w:hAnsi="Arial" w:cs="Arial"/>
          <w:noProof/>
        </w:rPr>
        <w:drawing>
          <wp:inline distT="0" distB="0" distL="0" distR="0">
            <wp:extent cx="5153226" cy="3028950"/>
            <wp:effectExtent l="19050" t="0" r="9324" b="0"/>
            <wp:docPr id="3" name="Picture 2" descr="2006-05-18 06x Jackson Blue Spring 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6-05-18 06x Jackson Blue Spring cropped.jpg"/>
                    <pic:cNvPicPr/>
                  </pic:nvPicPr>
                  <pic:blipFill>
                    <a:blip r:embed="rId9" cstate="print"/>
                    <a:stretch>
                      <a:fillRect/>
                    </a:stretch>
                  </pic:blipFill>
                  <pic:spPr>
                    <a:xfrm>
                      <a:off x="0" y="0"/>
                      <a:ext cx="5165758" cy="3036316"/>
                    </a:xfrm>
                    <a:prstGeom prst="rect">
                      <a:avLst/>
                    </a:prstGeom>
                  </pic:spPr>
                </pic:pic>
              </a:graphicData>
            </a:graphic>
          </wp:inline>
        </w:drawing>
      </w:r>
    </w:p>
    <w:p w:rsidR="0034052A" w:rsidRDefault="0034052A" w:rsidP="0034052A">
      <w:pPr>
        <w:autoSpaceDE w:val="0"/>
        <w:autoSpaceDN w:val="0"/>
        <w:adjustRightInd w:val="0"/>
        <w:spacing w:after="0" w:line="240" w:lineRule="auto"/>
        <w:jc w:val="center"/>
        <w:rPr>
          <w:rFonts w:ascii="Arial" w:hAnsi="Arial" w:cs="Arial"/>
          <w:sz w:val="20"/>
          <w:szCs w:val="20"/>
        </w:rPr>
      </w:pPr>
    </w:p>
    <w:p w:rsidR="00560FBC" w:rsidRDefault="00560FBC" w:rsidP="0034052A">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1</w:t>
      </w:r>
      <w:r w:rsidRPr="000B4EAA">
        <w:rPr>
          <w:rFonts w:ascii="Arial" w:hAnsi="Arial" w:cs="Arial"/>
          <w:sz w:val="20"/>
          <w:szCs w:val="20"/>
        </w:rPr>
        <w:t xml:space="preserve">: </w:t>
      </w:r>
      <w:r w:rsidR="00E22986">
        <w:rPr>
          <w:rFonts w:ascii="Arial" w:hAnsi="Arial" w:cs="Arial"/>
          <w:sz w:val="20"/>
          <w:szCs w:val="20"/>
        </w:rPr>
        <w:t xml:space="preserve">Jackson </w:t>
      </w:r>
      <w:r>
        <w:rPr>
          <w:rFonts w:ascii="Arial" w:hAnsi="Arial" w:cs="Arial"/>
          <w:sz w:val="20"/>
          <w:szCs w:val="20"/>
        </w:rPr>
        <w:t>Blue Spring – view southwest</w:t>
      </w:r>
      <w:r w:rsidR="0034052A">
        <w:rPr>
          <w:rFonts w:ascii="Arial" w:hAnsi="Arial" w:cs="Arial"/>
          <w:sz w:val="20"/>
          <w:szCs w:val="20"/>
        </w:rPr>
        <w:t xml:space="preserve"> from above spring vent</w:t>
      </w: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A2346D" w:rsidP="0034052A">
      <w:pPr>
        <w:autoSpaceDE w:val="0"/>
        <w:autoSpaceDN w:val="0"/>
        <w:adjustRightInd w:val="0"/>
        <w:spacing w:after="0" w:line="240" w:lineRule="auto"/>
        <w:jc w:val="center"/>
        <w:rPr>
          <w:rFonts w:ascii="Arial" w:hAnsi="Arial" w:cs="Arial"/>
          <w:sz w:val="20"/>
          <w:szCs w:val="20"/>
        </w:rPr>
      </w:pPr>
    </w:p>
    <w:p w:rsidR="00A2346D" w:rsidRDefault="00110C8D" w:rsidP="00560FBC">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drawing>
          <wp:inline distT="0" distB="0" distL="0" distR="0">
            <wp:extent cx="5943600" cy="4060825"/>
            <wp:effectExtent l="19050" t="0" r="0" b="0"/>
            <wp:docPr id="1" name="Picture 0" descr="Vent Map - G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 Map - GPS.jpg"/>
                    <pic:cNvPicPr/>
                  </pic:nvPicPr>
                  <pic:blipFill>
                    <a:blip r:embed="rId10" cstate="print"/>
                    <a:stretch>
                      <a:fillRect/>
                    </a:stretch>
                  </pic:blipFill>
                  <pic:spPr>
                    <a:xfrm>
                      <a:off x="0" y="0"/>
                      <a:ext cx="5948251" cy="4064002"/>
                    </a:xfrm>
                    <a:prstGeom prst="rect">
                      <a:avLst/>
                    </a:prstGeom>
                  </pic:spPr>
                </pic:pic>
              </a:graphicData>
            </a:graphic>
          </wp:inline>
        </w:drawing>
      </w:r>
    </w:p>
    <w:p w:rsidR="004A25F2" w:rsidRDefault="004A25F2" w:rsidP="00110C8D">
      <w:pPr>
        <w:autoSpaceDE w:val="0"/>
        <w:autoSpaceDN w:val="0"/>
        <w:adjustRightInd w:val="0"/>
        <w:spacing w:after="0" w:line="240" w:lineRule="auto"/>
        <w:jc w:val="center"/>
        <w:rPr>
          <w:rFonts w:ascii="Arial" w:hAnsi="Arial" w:cs="Arial"/>
          <w:sz w:val="20"/>
          <w:szCs w:val="20"/>
        </w:rPr>
      </w:pPr>
    </w:p>
    <w:p w:rsidR="00110C8D" w:rsidRDefault="00110C8D" w:rsidP="00110C8D">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2</w:t>
      </w:r>
      <w:r w:rsidRPr="000B4EAA">
        <w:rPr>
          <w:rFonts w:ascii="Arial" w:hAnsi="Arial" w:cs="Arial"/>
          <w:sz w:val="20"/>
          <w:szCs w:val="20"/>
        </w:rPr>
        <w:t xml:space="preserve">: </w:t>
      </w:r>
      <w:r>
        <w:rPr>
          <w:rFonts w:ascii="Arial" w:hAnsi="Arial" w:cs="Arial"/>
          <w:sz w:val="20"/>
          <w:szCs w:val="20"/>
        </w:rPr>
        <w:t>Location of named spring vents in the upper portion of Merritts Mill Pond</w:t>
      </w:r>
    </w:p>
    <w:p w:rsidR="006B7722" w:rsidRDefault="006B772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4A25F2" w:rsidRDefault="004A25F2" w:rsidP="00110C8D">
      <w:pPr>
        <w:autoSpaceDE w:val="0"/>
        <w:autoSpaceDN w:val="0"/>
        <w:adjustRightInd w:val="0"/>
        <w:spacing w:after="0" w:line="240" w:lineRule="auto"/>
        <w:jc w:val="center"/>
        <w:rPr>
          <w:rFonts w:ascii="Arial" w:hAnsi="Arial" w:cs="Arial"/>
          <w:sz w:val="20"/>
          <w:szCs w:val="20"/>
        </w:rPr>
      </w:pPr>
    </w:p>
    <w:p w:rsidR="00747DD7" w:rsidRDefault="00747DD7" w:rsidP="005B3A84">
      <w:pPr>
        <w:autoSpaceDE w:val="0"/>
        <w:autoSpaceDN w:val="0"/>
        <w:adjustRightInd w:val="0"/>
        <w:spacing w:after="0" w:line="240" w:lineRule="auto"/>
        <w:jc w:val="both"/>
        <w:rPr>
          <w:rFonts w:ascii="Arial" w:hAnsi="Arial" w:cs="Arial"/>
        </w:rPr>
      </w:pPr>
    </w:p>
    <w:tbl>
      <w:tblPr>
        <w:tblW w:w="9285" w:type="dxa"/>
        <w:tblInd w:w="93" w:type="dxa"/>
        <w:tblLook w:val="04A0"/>
      </w:tblPr>
      <w:tblGrid>
        <w:gridCol w:w="1800"/>
        <w:gridCol w:w="1185"/>
        <w:gridCol w:w="900"/>
        <w:gridCol w:w="990"/>
        <w:gridCol w:w="990"/>
        <w:gridCol w:w="990"/>
        <w:gridCol w:w="1170"/>
        <w:gridCol w:w="1260"/>
      </w:tblGrid>
      <w:tr w:rsidR="00D21688" w:rsidRPr="00D21688" w:rsidTr="00CF26A2">
        <w:trPr>
          <w:trHeight w:val="615"/>
        </w:trPr>
        <w:tc>
          <w:tcPr>
            <w:tcW w:w="1800" w:type="dxa"/>
            <w:tcBorders>
              <w:top w:val="single" w:sz="12" w:space="0" w:color="auto"/>
              <w:left w:val="single" w:sz="12"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ANALYTE</w:t>
            </w:r>
          </w:p>
        </w:tc>
        <w:tc>
          <w:tcPr>
            <w:tcW w:w="1185"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PERIOD OF RECORD</w:t>
            </w:r>
          </w:p>
        </w:tc>
        <w:tc>
          <w:tcPr>
            <w:tcW w:w="90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UNITS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CF26A2" w:rsidP="00D21688">
            <w:pPr>
              <w:spacing w:after="0" w:line="240" w:lineRule="auto"/>
              <w:jc w:val="center"/>
              <w:rPr>
                <w:rFonts w:ascii="Calibri" w:eastAsia="Times New Roman" w:hAnsi="Calibri" w:cs="Calibri"/>
                <w:color w:val="000000"/>
                <w:sz w:val="18"/>
                <w:szCs w:val="18"/>
              </w:rPr>
            </w:pPr>
            <w:r>
              <w:rPr>
                <w:rFonts w:ascii="Calibri" w:eastAsia="Times New Roman" w:hAnsi="Calibri" w:cs="Calibri"/>
                <w:color w:val="000000"/>
                <w:sz w:val="18"/>
                <w:szCs w:val="18"/>
              </w:rPr>
              <w:t xml:space="preserve">NUMBER OF </w:t>
            </w:r>
            <w:r w:rsidR="00D21688" w:rsidRPr="00D21688">
              <w:rPr>
                <w:rFonts w:ascii="Calibri" w:eastAsia="Times New Roman" w:hAnsi="Calibri" w:cs="Calibri"/>
                <w:color w:val="000000"/>
                <w:sz w:val="18"/>
                <w:szCs w:val="18"/>
              </w:rPr>
              <w:t>SAMPLES</w:t>
            </w:r>
          </w:p>
        </w:tc>
        <w:tc>
          <w:tcPr>
            <w:tcW w:w="990" w:type="dxa"/>
            <w:tcBorders>
              <w:top w:val="single" w:sz="12" w:space="0" w:color="auto"/>
              <w:left w:val="nil"/>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MEAN</w:t>
            </w:r>
          </w:p>
        </w:tc>
        <w:tc>
          <w:tcPr>
            <w:tcW w:w="990" w:type="dxa"/>
            <w:tcBorders>
              <w:top w:val="single" w:sz="12" w:space="0" w:color="auto"/>
              <w:left w:val="nil"/>
              <w:bottom w:val="single" w:sz="4" w:space="0" w:color="auto"/>
              <w:right w:val="nil"/>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HISTORIC MEDIAN</w:t>
            </w:r>
          </w:p>
        </w:tc>
        <w:tc>
          <w:tcPr>
            <w:tcW w:w="1170" w:type="dxa"/>
            <w:tcBorders>
              <w:top w:val="single" w:sz="12" w:space="0" w:color="auto"/>
              <w:left w:val="single" w:sz="4" w:space="0" w:color="auto"/>
              <w:bottom w:val="single" w:sz="4" w:space="0" w:color="auto"/>
              <w:right w:val="single" w:sz="4"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MEAN (LAST 4 QTRS)</w:t>
            </w:r>
          </w:p>
        </w:tc>
        <w:tc>
          <w:tcPr>
            <w:tcW w:w="1260" w:type="dxa"/>
            <w:tcBorders>
              <w:top w:val="single" w:sz="12" w:space="0" w:color="auto"/>
              <w:left w:val="nil"/>
              <w:bottom w:val="single" w:sz="4" w:space="0" w:color="auto"/>
              <w:right w:val="single" w:sz="12" w:space="0" w:color="auto"/>
            </w:tcBorders>
            <w:shd w:val="clear" w:color="000000" w:fill="8DB4E3"/>
            <w:vAlign w:val="center"/>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RECENT MEDIAN (LAST 4 QTRS)</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NO2+NO3 (as N)</w:t>
            </w:r>
          </w:p>
        </w:tc>
        <w:tc>
          <w:tcPr>
            <w:tcW w:w="1185"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sidRPr="00EF7438">
              <w:rPr>
                <w:rFonts w:ascii="Calibri" w:eastAsia="Times New Roman" w:hAnsi="Calibri" w:cs="Calibri"/>
                <w:color w:val="FF0000"/>
                <w:sz w:val="18"/>
                <w:szCs w:val="18"/>
              </w:rPr>
              <w:t>1924</w:t>
            </w:r>
            <w:r w:rsidR="00CF26A2">
              <w:rPr>
                <w:rFonts w:ascii="Calibri" w:eastAsia="Times New Roman" w:hAnsi="Calibri" w:cs="Calibri"/>
                <w:color w:val="000000"/>
                <w:sz w:val="18"/>
                <w:szCs w:val="18"/>
              </w:rPr>
              <w:t xml:space="preserve"> - </w:t>
            </w:r>
            <w:r w:rsidR="00CF26A2" w:rsidRPr="00CF26A2">
              <w:rPr>
                <w:rFonts w:ascii="Calibri" w:eastAsia="Times New Roman" w:hAnsi="Calibri" w:cs="Calibri"/>
                <w:color w:val="FF0000"/>
                <w:sz w:val="18"/>
                <w:szCs w:val="18"/>
              </w:rPr>
              <w:t>2011</w:t>
            </w:r>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F40FAB" w:rsidRDefault="00CD5D9F" w:rsidP="00D21688">
            <w:pPr>
              <w:spacing w:after="0" w:line="240" w:lineRule="auto"/>
              <w:jc w:val="center"/>
              <w:rPr>
                <w:rFonts w:ascii="Calibri" w:eastAsia="Times New Roman" w:hAnsi="Calibri" w:cs="Calibri"/>
                <w:color w:val="FF0000"/>
                <w:sz w:val="18"/>
                <w:szCs w:val="18"/>
              </w:rPr>
            </w:pPr>
            <w:r>
              <w:rPr>
                <w:rFonts w:ascii="Calibri" w:eastAsia="Times New Roman" w:hAnsi="Calibri" w:cs="Calibri"/>
                <w:color w:val="FF0000"/>
                <w:sz w:val="18"/>
                <w:szCs w:val="18"/>
              </w:rPr>
              <w:t>30</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2.55</w:t>
            </w:r>
          </w:p>
        </w:tc>
        <w:tc>
          <w:tcPr>
            <w:tcW w:w="990" w:type="dxa"/>
            <w:tcBorders>
              <w:top w:val="nil"/>
              <w:left w:val="nil"/>
              <w:bottom w:val="single" w:sz="4" w:space="0" w:color="auto"/>
              <w:right w:val="nil"/>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2.4</w:t>
            </w:r>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3.3</w:t>
            </w:r>
          </w:p>
        </w:tc>
        <w:tc>
          <w:tcPr>
            <w:tcW w:w="1260" w:type="dxa"/>
            <w:tcBorders>
              <w:top w:val="nil"/>
              <w:left w:val="nil"/>
              <w:bottom w:val="single" w:sz="4" w:space="0" w:color="auto"/>
              <w:right w:val="single" w:sz="12" w:space="0" w:color="auto"/>
            </w:tcBorders>
            <w:shd w:val="clear" w:color="000000" w:fill="FCD5B4"/>
            <w:noWrap/>
            <w:vAlign w:val="bottom"/>
            <w:hideMark/>
          </w:tcPr>
          <w:p w:rsidR="00D21688" w:rsidRPr="00CD5D9F" w:rsidRDefault="00D21688" w:rsidP="00D21688">
            <w:pPr>
              <w:spacing w:after="0" w:line="240" w:lineRule="auto"/>
              <w:jc w:val="center"/>
              <w:rPr>
                <w:rFonts w:ascii="Calibri" w:eastAsia="Times New Roman" w:hAnsi="Calibri" w:cs="Calibri"/>
                <w:color w:val="FF0000"/>
                <w:sz w:val="18"/>
                <w:szCs w:val="18"/>
              </w:rPr>
            </w:pPr>
            <w:r w:rsidRPr="00CD5D9F">
              <w:rPr>
                <w:rFonts w:ascii="Calibri" w:eastAsia="Times New Roman" w:hAnsi="Calibri" w:cs="Calibri"/>
                <w:color w:val="FF0000"/>
                <w:sz w:val="18"/>
                <w:szCs w:val="18"/>
              </w:rPr>
              <w:t>3.3</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Phosphorus (total)</w:t>
            </w:r>
          </w:p>
        </w:tc>
        <w:tc>
          <w:tcPr>
            <w:tcW w:w="1185"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Pr>
                <w:rFonts w:ascii="Calibri" w:eastAsia="Times New Roman" w:hAnsi="Calibri" w:cs="Calibri"/>
                <w:color w:val="000000"/>
                <w:sz w:val="18"/>
                <w:szCs w:val="18"/>
              </w:rPr>
              <w:t>1960 -</w:t>
            </w:r>
          </w:p>
        </w:tc>
        <w:tc>
          <w:tcPr>
            <w:tcW w:w="90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0.021</w:t>
            </w:r>
          </w:p>
        </w:tc>
        <w:tc>
          <w:tcPr>
            <w:tcW w:w="990" w:type="dxa"/>
            <w:tcBorders>
              <w:top w:val="nil"/>
              <w:left w:val="nil"/>
              <w:bottom w:val="single" w:sz="4" w:space="0" w:color="auto"/>
              <w:right w:val="nil"/>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0.016</w:t>
            </w:r>
          </w:p>
        </w:tc>
        <w:tc>
          <w:tcPr>
            <w:tcW w:w="1170" w:type="dxa"/>
            <w:tcBorders>
              <w:top w:val="nil"/>
              <w:left w:val="single" w:sz="4" w:space="0" w:color="auto"/>
              <w:bottom w:val="single" w:sz="4" w:space="0" w:color="auto"/>
              <w:right w:val="single" w:sz="4"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FCD5B4"/>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Sodium</w:t>
            </w:r>
          </w:p>
        </w:tc>
        <w:tc>
          <w:tcPr>
            <w:tcW w:w="1185"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Pr>
                <w:rFonts w:ascii="Calibri" w:eastAsia="Times New Roman" w:hAnsi="Calibri" w:cs="Calibri"/>
                <w:color w:val="000000"/>
                <w:sz w:val="18"/>
                <w:szCs w:val="18"/>
              </w:rPr>
              <w:t>1960</w:t>
            </w:r>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1.82</w:t>
            </w:r>
          </w:p>
        </w:tc>
        <w:tc>
          <w:tcPr>
            <w:tcW w:w="990" w:type="dxa"/>
            <w:tcBorders>
              <w:top w:val="nil"/>
              <w:left w:val="nil"/>
              <w:bottom w:val="single" w:sz="4" w:space="0" w:color="auto"/>
              <w:right w:val="nil"/>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1.76</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Chloride</w:t>
            </w:r>
          </w:p>
        </w:tc>
        <w:tc>
          <w:tcPr>
            <w:tcW w:w="1185"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Pr>
                <w:rFonts w:ascii="Calibri" w:eastAsia="Times New Roman" w:hAnsi="Calibri" w:cs="Calibri"/>
                <w:color w:val="000000"/>
                <w:sz w:val="18"/>
                <w:szCs w:val="18"/>
              </w:rPr>
              <w:t>1924 -</w:t>
            </w:r>
          </w:p>
        </w:tc>
        <w:tc>
          <w:tcPr>
            <w:tcW w:w="90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3.8</w:t>
            </w:r>
          </w:p>
        </w:tc>
        <w:tc>
          <w:tcPr>
            <w:tcW w:w="990" w:type="dxa"/>
            <w:tcBorders>
              <w:top w:val="nil"/>
              <w:left w:val="nil"/>
              <w:bottom w:val="single" w:sz="4" w:space="0" w:color="auto"/>
              <w:right w:val="nil"/>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3.5</w:t>
            </w:r>
          </w:p>
        </w:tc>
        <w:tc>
          <w:tcPr>
            <w:tcW w:w="1170" w:type="dxa"/>
            <w:tcBorders>
              <w:top w:val="nil"/>
              <w:left w:val="single" w:sz="4" w:space="0" w:color="auto"/>
              <w:bottom w:val="single" w:sz="4" w:space="0" w:color="auto"/>
              <w:right w:val="single" w:sz="4"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FFFF99"/>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Specific Conductance</w:t>
            </w:r>
          </w:p>
        </w:tc>
        <w:tc>
          <w:tcPr>
            <w:tcW w:w="1185"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CF26A2" w:rsidRPr="00CF26A2">
              <w:rPr>
                <w:rFonts w:ascii="Calibri" w:eastAsia="Times New Roman" w:hAnsi="Calibri" w:cs="Calibri"/>
                <w:color w:val="FF0000"/>
                <w:sz w:val="18"/>
                <w:szCs w:val="18"/>
              </w:rPr>
              <w:t>1946</w:t>
            </w:r>
            <w:r w:rsidR="00CF26A2">
              <w:rPr>
                <w:rFonts w:ascii="Calibri" w:eastAsia="Times New Roman" w:hAnsi="Calibri" w:cs="Calibri"/>
                <w:color w:val="000000"/>
                <w:sz w:val="18"/>
                <w:szCs w:val="18"/>
              </w:rPr>
              <w:t xml:space="preserve"> -</w:t>
            </w:r>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µS/cm</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237</w:t>
            </w:r>
          </w:p>
        </w:tc>
        <w:tc>
          <w:tcPr>
            <w:tcW w:w="990" w:type="dxa"/>
            <w:tcBorders>
              <w:top w:val="nil"/>
              <w:left w:val="nil"/>
              <w:bottom w:val="single" w:sz="4" w:space="0" w:color="auto"/>
              <w:right w:val="nil"/>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231</w:t>
            </w:r>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Dissolved Oxygen</w:t>
            </w:r>
          </w:p>
        </w:tc>
        <w:tc>
          <w:tcPr>
            <w:tcW w:w="1185"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0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F40FAB" w:rsidRDefault="00D21688" w:rsidP="00D21688">
            <w:pPr>
              <w:spacing w:after="0" w:line="240" w:lineRule="auto"/>
              <w:jc w:val="center"/>
              <w:rPr>
                <w:rFonts w:ascii="Calibri" w:eastAsia="Times New Roman" w:hAnsi="Calibri" w:cs="Calibri"/>
                <w:color w:val="FF0000"/>
                <w:sz w:val="18"/>
                <w:szCs w:val="18"/>
              </w:rPr>
            </w:pPr>
            <w:r w:rsidRPr="00F40FAB">
              <w:rPr>
                <w:rFonts w:ascii="Calibri" w:eastAsia="Times New Roman" w:hAnsi="Calibri" w:cs="Calibri"/>
                <w:color w:val="FF0000"/>
                <w:sz w:val="18"/>
                <w:szCs w:val="18"/>
              </w:rPr>
              <w:t>29</w:t>
            </w:r>
          </w:p>
        </w:tc>
        <w:tc>
          <w:tcPr>
            <w:tcW w:w="990" w:type="dxa"/>
            <w:tcBorders>
              <w:top w:val="nil"/>
              <w:left w:val="nil"/>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7.41</w:t>
            </w:r>
          </w:p>
        </w:tc>
        <w:tc>
          <w:tcPr>
            <w:tcW w:w="990" w:type="dxa"/>
            <w:tcBorders>
              <w:top w:val="nil"/>
              <w:left w:val="nil"/>
              <w:bottom w:val="single" w:sz="4" w:space="0" w:color="auto"/>
              <w:right w:val="nil"/>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8.3</w:t>
            </w:r>
          </w:p>
        </w:tc>
        <w:tc>
          <w:tcPr>
            <w:tcW w:w="1170" w:type="dxa"/>
            <w:tcBorders>
              <w:top w:val="nil"/>
              <w:left w:val="single" w:sz="4" w:space="0" w:color="auto"/>
              <w:bottom w:val="single" w:sz="4" w:space="0" w:color="auto"/>
              <w:right w:val="single" w:sz="4"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D7E4BC"/>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00"/>
        </w:trPr>
        <w:tc>
          <w:tcPr>
            <w:tcW w:w="1800" w:type="dxa"/>
            <w:tcBorders>
              <w:top w:val="nil"/>
              <w:left w:val="single" w:sz="12" w:space="0" w:color="auto"/>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Boron</w:t>
            </w:r>
          </w:p>
        </w:tc>
        <w:tc>
          <w:tcPr>
            <w:tcW w:w="1185"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r w:rsidR="00EF7438">
              <w:rPr>
                <w:rFonts w:ascii="Calibri" w:eastAsia="Times New Roman" w:hAnsi="Calibri" w:cs="Calibri"/>
                <w:color w:val="000000"/>
                <w:sz w:val="18"/>
                <w:szCs w:val="18"/>
              </w:rPr>
              <w:t>1972 -</w:t>
            </w:r>
          </w:p>
        </w:tc>
        <w:tc>
          <w:tcPr>
            <w:tcW w:w="900"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4" w:space="0" w:color="auto"/>
              <w:right w:val="nil"/>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170" w:type="dxa"/>
            <w:tcBorders>
              <w:top w:val="nil"/>
              <w:left w:val="single" w:sz="4" w:space="0" w:color="auto"/>
              <w:bottom w:val="single" w:sz="4"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4" w:space="0" w:color="auto"/>
              <w:right w:val="single" w:sz="12"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r w:rsidR="00D21688" w:rsidRPr="00D21688" w:rsidTr="00CF26A2">
        <w:trPr>
          <w:trHeight w:val="315"/>
        </w:trPr>
        <w:tc>
          <w:tcPr>
            <w:tcW w:w="1800" w:type="dxa"/>
            <w:tcBorders>
              <w:top w:val="nil"/>
              <w:left w:val="single" w:sz="12" w:space="0" w:color="auto"/>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Sucralose</w:t>
            </w:r>
          </w:p>
        </w:tc>
        <w:tc>
          <w:tcPr>
            <w:tcW w:w="1185"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0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mg/L</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990" w:type="dxa"/>
            <w:tcBorders>
              <w:top w:val="nil"/>
              <w:left w:val="nil"/>
              <w:bottom w:val="single" w:sz="12" w:space="0" w:color="auto"/>
              <w:right w:val="nil"/>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170" w:type="dxa"/>
            <w:tcBorders>
              <w:top w:val="nil"/>
              <w:left w:val="single" w:sz="4" w:space="0" w:color="auto"/>
              <w:bottom w:val="single" w:sz="12" w:space="0" w:color="auto"/>
              <w:right w:val="single" w:sz="4"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c>
          <w:tcPr>
            <w:tcW w:w="1260" w:type="dxa"/>
            <w:tcBorders>
              <w:top w:val="nil"/>
              <w:left w:val="nil"/>
              <w:bottom w:val="single" w:sz="12" w:space="0" w:color="auto"/>
              <w:right w:val="single" w:sz="12" w:space="0" w:color="auto"/>
            </w:tcBorders>
            <w:shd w:val="clear" w:color="000000" w:fill="DBE5F1"/>
            <w:noWrap/>
            <w:vAlign w:val="bottom"/>
            <w:hideMark/>
          </w:tcPr>
          <w:p w:rsidR="00D21688" w:rsidRPr="00D21688" w:rsidRDefault="00D21688" w:rsidP="00D21688">
            <w:pPr>
              <w:spacing w:after="0" w:line="240" w:lineRule="auto"/>
              <w:jc w:val="center"/>
              <w:rPr>
                <w:rFonts w:ascii="Calibri" w:eastAsia="Times New Roman" w:hAnsi="Calibri" w:cs="Calibri"/>
                <w:color w:val="000000"/>
                <w:sz w:val="18"/>
                <w:szCs w:val="18"/>
              </w:rPr>
            </w:pPr>
            <w:r w:rsidRPr="00D21688">
              <w:rPr>
                <w:rFonts w:ascii="Calibri" w:eastAsia="Times New Roman" w:hAnsi="Calibri" w:cs="Calibri"/>
                <w:color w:val="000000"/>
                <w:sz w:val="18"/>
                <w:szCs w:val="18"/>
              </w:rPr>
              <w:t> </w:t>
            </w:r>
          </w:p>
        </w:tc>
      </w:tr>
    </w:tbl>
    <w:p w:rsidR="004A25F2" w:rsidRDefault="004A25F2" w:rsidP="00D21688">
      <w:pPr>
        <w:autoSpaceDE w:val="0"/>
        <w:autoSpaceDN w:val="0"/>
        <w:adjustRightInd w:val="0"/>
        <w:spacing w:after="0" w:line="240" w:lineRule="auto"/>
        <w:jc w:val="center"/>
        <w:rPr>
          <w:rFonts w:ascii="Arial" w:hAnsi="Arial" w:cs="Arial"/>
          <w:sz w:val="20"/>
          <w:szCs w:val="20"/>
        </w:rPr>
      </w:pPr>
    </w:p>
    <w:p w:rsidR="00D21688" w:rsidRDefault="00E22986" w:rsidP="00D2168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Table</w:t>
      </w:r>
      <w:r w:rsidR="00D21688" w:rsidRPr="000B4EAA">
        <w:rPr>
          <w:rFonts w:ascii="Arial" w:hAnsi="Arial" w:cs="Arial"/>
          <w:sz w:val="20"/>
          <w:szCs w:val="20"/>
        </w:rPr>
        <w:t xml:space="preserve"> </w:t>
      </w:r>
      <w:r>
        <w:rPr>
          <w:rFonts w:ascii="Arial" w:hAnsi="Arial" w:cs="Arial"/>
          <w:sz w:val="20"/>
          <w:szCs w:val="20"/>
        </w:rPr>
        <w:t>1</w:t>
      </w:r>
      <w:r w:rsidR="00D21688" w:rsidRPr="000B4EAA">
        <w:rPr>
          <w:rFonts w:ascii="Arial" w:hAnsi="Arial" w:cs="Arial"/>
          <w:sz w:val="20"/>
          <w:szCs w:val="20"/>
        </w:rPr>
        <w:t xml:space="preserve">: </w:t>
      </w:r>
      <w:r w:rsidR="00D21688">
        <w:rPr>
          <w:rFonts w:ascii="Arial" w:hAnsi="Arial" w:cs="Arial"/>
          <w:sz w:val="20"/>
          <w:szCs w:val="20"/>
        </w:rPr>
        <w:t>Summary of Water Quality results 2002-2011</w:t>
      </w:r>
      <w:r w:rsidR="004A25F2">
        <w:rPr>
          <w:rFonts w:ascii="Arial" w:hAnsi="Arial" w:cs="Arial"/>
          <w:sz w:val="20"/>
          <w:szCs w:val="20"/>
        </w:rPr>
        <w:t xml:space="preserve"> </w:t>
      </w:r>
      <w:r w:rsidR="004A25F2" w:rsidRPr="004A25F2">
        <w:rPr>
          <w:rFonts w:ascii="Arial" w:hAnsi="Arial" w:cs="Arial"/>
          <w:color w:val="FF0000"/>
          <w:sz w:val="20"/>
          <w:szCs w:val="20"/>
          <w:highlight w:val="yellow"/>
        </w:rPr>
        <w:t>Placeholder - incomplete</w:t>
      </w:r>
    </w:p>
    <w:p w:rsidR="00D21688" w:rsidRDefault="00D21688" w:rsidP="00D21688">
      <w:pPr>
        <w:autoSpaceDE w:val="0"/>
        <w:autoSpaceDN w:val="0"/>
        <w:adjustRightInd w:val="0"/>
        <w:spacing w:after="0" w:line="240" w:lineRule="auto"/>
        <w:jc w:val="center"/>
        <w:rPr>
          <w:rFonts w:ascii="Arial" w:hAnsi="Arial" w:cs="Arial"/>
          <w:sz w:val="20"/>
          <w:szCs w:val="20"/>
        </w:rPr>
      </w:pPr>
    </w:p>
    <w:p w:rsidR="00F57672" w:rsidRDefault="00D21688" w:rsidP="004A25F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 </w:t>
      </w:r>
    </w:p>
    <w:p w:rsidR="00F57672" w:rsidRDefault="00F57672" w:rsidP="004A25F2">
      <w:pPr>
        <w:autoSpaceDE w:val="0"/>
        <w:autoSpaceDN w:val="0"/>
        <w:adjustRightInd w:val="0"/>
        <w:spacing w:after="0" w:line="240" w:lineRule="auto"/>
        <w:jc w:val="both"/>
        <w:rPr>
          <w:rFonts w:ascii="Arial" w:hAnsi="Arial" w:cs="Arial"/>
          <w:sz w:val="20"/>
          <w:szCs w:val="20"/>
        </w:rPr>
      </w:pPr>
    </w:p>
    <w:p w:rsidR="00F57672" w:rsidRDefault="00F57672" w:rsidP="004A25F2">
      <w:pPr>
        <w:autoSpaceDE w:val="0"/>
        <w:autoSpaceDN w:val="0"/>
        <w:adjustRightInd w:val="0"/>
        <w:spacing w:after="0" w:line="240" w:lineRule="auto"/>
        <w:jc w:val="both"/>
        <w:rPr>
          <w:rFonts w:ascii="Arial" w:hAnsi="Arial" w:cs="Arial"/>
          <w:sz w:val="20"/>
          <w:szCs w:val="20"/>
        </w:rPr>
      </w:pPr>
    </w:p>
    <w:p w:rsidR="00D21688" w:rsidRDefault="00D21688" w:rsidP="004A25F2">
      <w:pPr>
        <w:autoSpaceDE w:val="0"/>
        <w:autoSpaceDN w:val="0"/>
        <w:adjustRightInd w:val="0"/>
        <w:spacing w:after="0" w:line="240" w:lineRule="auto"/>
        <w:jc w:val="both"/>
        <w:rPr>
          <w:rFonts w:ascii="Arial" w:hAnsi="Arial" w:cs="Arial"/>
        </w:rPr>
      </w:pPr>
      <w:r>
        <w:rPr>
          <w:rFonts w:ascii="Arial" w:hAnsi="Arial" w:cs="Arial"/>
          <w:noProof/>
        </w:rPr>
        <w:drawing>
          <wp:inline distT="0" distB="0" distL="0" distR="0">
            <wp:extent cx="5943600" cy="3089275"/>
            <wp:effectExtent l="19050" t="0" r="0" b="0"/>
            <wp:docPr id="8" name="Picture 6" descr="Blue Spg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NO2+NO3 Graph - Barrios 2011.jpg"/>
                    <pic:cNvPicPr/>
                  </pic:nvPicPr>
                  <pic:blipFill>
                    <a:blip r:embed="rId11" cstate="print"/>
                    <a:stretch>
                      <a:fillRect/>
                    </a:stretch>
                  </pic:blipFill>
                  <pic:spPr>
                    <a:xfrm>
                      <a:off x="0" y="0"/>
                      <a:ext cx="5943600" cy="3089275"/>
                    </a:xfrm>
                    <a:prstGeom prst="rect">
                      <a:avLst/>
                    </a:prstGeom>
                  </pic:spPr>
                </pic:pic>
              </a:graphicData>
            </a:graphic>
          </wp:inline>
        </w:drawing>
      </w:r>
    </w:p>
    <w:p w:rsidR="00D21688" w:rsidRDefault="00D21688" w:rsidP="00D21688">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3A4F10">
        <w:rPr>
          <w:rFonts w:ascii="Arial" w:hAnsi="Arial" w:cs="Arial"/>
          <w:sz w:val="20"/>
          <w:szCs w:val="20"/>
        </w:rPr>
        <w:t>3</w:t>
      </w:r>
      <w:r w:rsidRPr="000B4EAA">
        <w:rPr>
          <w:rFonts w:ascii="Arial" w:hAnsi="Arial" w:cs="Arial"/>
          <w:sz w:val="20"/>
          <w:szCs w:val="20"/>
        </w:rPr>
        <w:t xml:space="preserve">: </w:t>
      </w:r>
      <w:r>
        <w:rPr>
          <w:rFonts w:ascii="Arial" w:hAnsi="Arial" w:cs="Arial"/>
          <w:sz w:val="20"/>
          <w:szCs w:val="20"/>
        </w:rPr>
        <w:t xml:space="preserve">Historic Nitrate + Nitrite (as N) concentrations in </w:t>
      </w:r>
      <w:r w:rsidR="0034052A">
        <w:rPr>
          <w:rFonts w:ascii="Arial" w:hAnsi="Arial" w:cs="Arial"/>
          <w:sz w:val="20"/>
          <w:szCs w:val="20"/>
        </w:rPr>
        <w:t xml:space="preserve">Jackson </w:t>
      </w:r>
      <w:r>
        <w:rPr>
          <w:rFonts w:ascii="Arial" w:hAnsi="Arial" w:cs="Arial"/>
          <w:sz w:val="20"/>
          <w:szCs w:val="20"/>
        </w:rPr>
        <w:t>Blue Spring 1960-2011 (Barrios, 2011)</w:t>
      </w:r>
    </w:p>
    <w:p w:rsidR="004A25F2" w:rsidRDefault="004A25F2" w:rsidP="00D21688">
      <w:pPr>
        <w:autoSpaceDE w:val="0"/>
        <w:autoSpaceDN w:val="0"/>
        <w:adjustRightInd w:val="0"/>
        <w:spacing w:after="0" w:line="240" w:lineRule="auto"/>
        <w:jc w:val="center"/>
        <w:rPr>
          <w:rFonts w:ascii="Arial" w:hAnsi="Arial" w:cs="Arial"/>
          <w:color w:val="FF0000"/>
          <w:sz w:val="20"/>
          <w:szCs w:val="20"/>
        </w:rPr>
      </w:pPr>
      <w:r w:rsidRPr="004A25F2">
        <w:rPr>
          <w:rFonts w:ascii="Arial" w:hAnsi="Arial" w:cs="Arial"/>
          <w:color w:val="FF0000"/>
          <w:sz w:val="20"/>
          <w:szCs w:val="20"/>
          <w:highlight w:val="yellow"/>
        </w:rPr>
        <w:t>Re-do with data points from 1924 &amp; 1946?</w:t>
      </w:r>
    </w:p>
    <w:p w:rsidR="004A25F2" w:rsidRPr="0034052A" w:rsidRDefault="004A25F2" w:rsidP="00D21688">
      <w:pPr>
        <w:autoSpaceDE w:val="0"/>
        <w:autoSpaceDN w:val="0"/>
        <w:adjustRightInd w:val="0"/>
        <w:spacing w:after="0" w:line="240" w:lineRule="auto"/>
        <w:jc w:val="center"/>
        <w:rPr>
          <w:rFonts w:ascii="Arial" w:hAnsi="Arial" w:cs="Arial"/>
          <w:color w:val="FF0000"/>
          <w:sz w:val="20"/>
          <w:szCs w:val="20"/>
          <w:highlight w:val="yellow"/>
        </w:rPr>
      </w:pPr>
      <w:r w:rsidRPr="0034052A">
        <w:rPr>
          <w:rFonts w:ascii="Arial" w:hAnsi="Arial" w:cs="Arial"/>
          <w:color w:val="FF0000"/>
          <w:sz w:val="20"/>
          <w:szCs w:val="20"/>
          <w:highlight w:val="yellow"/>
        </w:rPr>
        <w:t>1924: NO</w:t>
      </w:r>
      <w:r w:rsidRPr="0034052A">
        <w:rPr>
          <w:rFonts w:ascii="Arial" w:hAnsi="Arial" w:cs="Arial"/>
          <w:color w:val="FF0000"/>
          <w:sz w:val="20"/>
          <w:szCs w:val="20"/>
          <w:highlight w:val="yellow"/>
          <w:vertAlign w:val="subscript"/>
        </w:rPr>
        <w:t>3</w:t>
      </w:r>
      <w:r w:rsidRPr="0034052A">
        <w:rPr>
          <w:rFonts w:ascii="Arial" w:hAnsi="Arial" w:cs="Arial"/>
          <w:color w:val="FF0000"/>
          <w:sz w:val="20"/>
          <w:szCs w:val="20"/>
          <w:highlight w:val="yellow"/>
        </w:rPr>
        <w:t xml:space="preserve"> (as N) = 0.36 mg/L</w:t>
      </w:r>
    </w:p>
    <w:p w:rsidR="004A25F2" w:rsidRPr="004A25F2" w:rsidRDefault="004A25F2" w:rsidP="00D21688">
      <w:pPr>
        <w:autoSpaceDE w:val="0"/>
        <w:autoSpaceDN w:val="0"/>
        <w:adjustRightInd w:val="0"/>
        <w:spacing w:after="0" w:line="240" w:lineRule="auto"/>
        <w:jc w:val="center"/>
        <w:rPr>
          <w:rFonts w:ascii="Arial" w:hAnsi="Arial" w:cs="Arial"/>
          <w:color w:val="FF0000"/>
          <w:sz w:val="20"/>
          <w:szCs w:val="20"/>
        </w:rPr>
      </w:pPr>
      <w:r w:rsidRPr="0034052A">
        <w:rPr>
          <w:rFonts w:ascii="Arial" w:hAnsi="Arial" w:cs="Arial"/>
          <w:color w:val="FF0000"/>
          <w:sz w:val="20"/>
          <w:szCs w:val="20"/>
          <w:highlight w:val="yellow"/>
        </w:rPr>
        <w:t>1946: NO</w:t>
      </w:r>
      <w:r w:rsidRPr="0034052A">
        <w:rPr>
          <w:rFonts w:ascii="Arial" w:hAnsi="Arial" w:cs="Arial"/>
          <w:color w:val="FF0000"/>
          <w:sz w:val="20"/>
          <w:szCs w:val="20"/>
          <w:highlight w:val="yellow"/>
          <w:vertAlign w:val="subscript"/>
        </w:rPr>
        <w:t>3</w:t>
      </w:r>
      <w:r w:rsidRPr="0034052A">
        <w:rPr>
          <w:rFonts w:ascii="Arial" w:hAnsi="Arial" w:cs="Arial"/>
          <w:color w:val="FF0000"/>
          <w:sz w:val="20"/>
          <w:szCs w:val="20"/>
          <w:highlight w:val="yellow"/>
        </w:rPr>
        <w:t xml:space="preserve"> (as N) = 1.29 mg/L</w:t>
      </w:r>
    </w:p>
    <w:p w:rsidR="00D21688" w:rsidRDefault="00D21688" w:rsidP="00D21688">
      <w:pPr>
        <w:jc w:val="both"/>
        <w:rPr>
          <w:rFonts w:ascii="Arial" w:hAnsi="Arial" w:cs="Arial"/>
        </w:rPr>
      </w:pPr>
    </w:p>
    <w:p w:rsidR="00453052" w:rsidRDefault="00453052" w:rsidP="00D21688">
      <w:pPr>
        <w:jc w:val="both"/>
        <w:rPr>
          <w:rFonts w:ascii="Arial" w:hAnsi="Arial" w:cs="Arial"/>
        </w:rPr>
      </w:pPr>
    </w:p>
    <w:p w:rsidR="006B7722" w:rsidRDefault="006B7722" w:rsidP="00D21688">
      <w:pPr>
        <w:jc w:val="both"/>
        <w:rPr>
          <w:rFonts w:ascii="Arial" w:hAnsi="Arial" w:cs="Arial"/>
        </w:rPr>
      </w:pPr>
      <w:r w:rsidRPr="006B7722">
        <w:rPr>
          <w:rFonts w:ascii="Arial" w:hAnsi="Arial" w:cs="Arial"/>
          <w:noProof/>
        </w:rPr>
        <w:lastRenderedPageBreak/>
        <w:drawing>
          <wp:inline distT="0" distB="0" distL="0" distR="0">
            <wp:extent cx="5937260" cy="2952750"/>
            <wp:effectExtent l="19050" t="0" r="6340" b="0"/>
            <wp:docPr id="2" name="Picture 0" descr="MMP Springs NO2+NO3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 Springs NO2+NO3 Graph - Barrios 2011.jpg"/>
                    <pic:cNvPicPr/>
                  </pic:nvPicPr>
                  <pic:blipFill>
                    <a:blip r:embed="rId12" cstate="print"/>
                    <a:stretch>
                      <a:fillRect/>
                    </a:stretch>
                  </pic:blipFill>
                  <pic:spPr>
                    <a:xfrm>
                      <a:off x="0" y="0"/>
                      <a:ext cx="5943600" cy="2955903"/>
                    </a:xfrm>
                    <a:prstGeom prst="rect">
                      <a:avLst/>
                    </a:prstGeom>
                  </pic:spPr>
                </pic:pic>
              </a:graphicData>
            </a:graphic>
          </wp:inline>
        </w:drawing>
      </w:r>
    </w:p>
    <w:p w:rsidR="006B7722" w:rsidRDefault="006B7722" w:rsidP="006B7722">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1C7E11">
        <w:rPr>
          <w:rFonts w:ascii="Arial" w:hAnsi="Arial" w:cs="Arial"/>
          <w:sz w:val="20"/>
          <w:szCs w:val="20"/>
        </w:rPr>
        <w:t>4</w:t>
      </w:r>
      <w:r w:rsidRPr="000B4EAA">
        <w:rPr>
          <w:rFonts w:ascii="Arial" w:hAnsi="Arial" w:cs="Arial"/>
          <w:sz w:val="20"/>
          <w:szCs w:val="20"/>
        </w:rPr>
        <w:t xml:space="preserve">: </w:t>
      </w:r>
      <w:r>
        <w:rPr>
          <w:rFonts w:ascii="Arial" w:hAnsi="Arial" w:cs="Arial"/>
          <w:sz w:val="20"/>
          <w:szCs w:val="20"/>
        </w:rPr>
        <w:t>Summary of nitrate plus nitrite (as N) results for Merritts Mill Pond springs from 2007-2011 (Barrios, 2011)</w:t>
      </w:r>
    </w:p>
    <w:p w:rsidR="006B7722" w:rsidRDefault="006B7722" w:rsidP="00D21688">
      <w:pPr>
        <w:jc w:val="both"/>
        <w:rPr>
          <w:rFonts w:ascii="Arial" w:hAnsi="Arial" w:cs="Arial"/>
        </w:rPr>
      </w:pPr>
    </w:p>
    <w:p w:rsidR="00D21688" w:rsidRDefault="00376499" w:rsidP="00D21688">
      <w:pPr>
        <w:jc w:val="both"/>
        <w:rPr>
          <w:rFonts w:ascii="Arial" w:hAnsi="Arial" w:cs="Arial"/>
        </w:rPr>
      </w:pPr>
      <w:r w:rsidRPr="00376499">
        <w:rPr>
          <w:rFonts w:ascii="Arial" w:hAnsi="Arial" w:cs="Arial"/>
          <w:noProof/>
        </w:rPr>
        <w:drawing>
          <wp:inline distT="0" distB="0" distL="0" distR="0">
            <wp:extent cx="5943600" cy="3739515"/>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92B0D" w:rsidRDefault="00892B0D" w:rsidP="00892B0D">
      <w:pPr>
        <w:autoSpaceDE w:val="0"/>
        <w:autoSpaceDN w:val="0"/>
        <w:adjustRightInd w:val="0"/>
        <w:spacing w:after="0" w:line="240" w:lineRule="auto"/>
        <w:jc w:val="center"/>
        <w:rPr>
          <w:rFonts w:ascii="Arial" w:hAnsi="Arial" w:cs="Arial"/>
          <w:sz w:val="20"/>
          <w:szCs w:val="20"/>
        </w:rPr>
      </w:pPr>
      <w:r w:rsidRPr="00AE1FF9">
        <w:rPr>
          <w:rFonts w:ascii="Arial" w:hAnsi="Arial" w:cs="Arial"/>
          <w:sz w:val="20"/>
          <w:szCs w:val="20"/>
        </w:rPr>
        <w:t xml:space="preserve">Figure </w:t>
      </w:r>
      <w:r w:rsidR="00AE1FF9" w:rsidRPr="00AE1FF9">
        <w:rPr>
          <w:rFonts w:ascii="Arial" w:hAnsi="Arial" w:cs="Arial"/>
          <w:sz w:val="20"/>
          <w:szCs w:val="20"/>
        </w:rPr>
        <w:t>5</w:t>
      </w:r>
      <w:r w:rsidRPr="00AE1FF9">
        <w:rPr>
          <w:rFonts w:ascii="Arial" w:hAnsi="Arial" w:cs="Arial"/>
          <w:sz w:val="20"/>
          <w:szCs w:val="20"/>
        </w:rPr>
        <w:t xml:space="preserve">: </w:t>
      </w:r>
      <w:r w:rsidR="00376499">
        <w:rPr>
          <w:rFonts w:cstheme="minorHAnsi"/>
        </w:rPr>
        <w:t>δ</w:t>
      </w:r>
      <w:r w:rsidR="00376499" w:rsidRPr="00376499">
        <w:rPr>
          <w:rFonts w:cstheme="minorHAnsi"/>
          <w:vertAlign w:val="superscript"/>
        </w:rPr>
        <w:t>15</w:t>
      </w:r>
      <w:r w:rsidR="00376499">
        <w:rPr>
          <w:rFonts w:cstheme="minorHAnsi"/>
        </w:rPr>
        <w:t>N vs. δ</w:t>
      </w:r>
      <w:r w:rsidR="00376499" w:rsidRPr="00376499">
        <w:rPr>
          <w:rFonts w:cstheme="minorHAnsi"/>
          <w:vertAlign w:val="superscript"/>
        </w:rPr>
        <w:t>18</w:t>
      </w:r>
      <w:r w:rsidR="00376499">
        <w:rPr>
          <w:rFonts w:cstheme="minorHAnsi"/>
        </w:rPr>
        <w:t>O</w:t>
      </w:r>
      <w:r w:rsidR="00376499">
        <w:rPr>
          <w:rFonts w:ascii="Arial" w:hAnsi="Arial" w:cs="Arial"/>
          <w:sz w:val="20"/>
          <w:szCs w:val="20"/>
        </w:rPr>
        <w:t xml:space="preserve"> for Merritts Mill Pond springs sampled April-May, 2011 and February, 2012</w:t>
      </w:r>
    </w:p>
    <w:p w:rsidR="00010DD5" w:rsidRDefault="00010DD5" w:rsidP="00892B0D">
      <w:pPr>
        <w:autoSpaceDE w:val="0"/>
        <w:autoSpaceDN w:val="0"/>
        <w:adjustRightInd w:val="0"/>
        <w:spacing w:after="0" w:line="240" w:lineRule="auto"/>
        <w:jc w:val="center"/>
        <w:rPr>
          <w:rFonts w:ascii="Arial" w:hAnsi="Arial" w:cs="Arial"/>
          <w:sz w:val="20"/>
          <w:szCs w:val="20"/>
        </w:rPr>
      </w:pPr>
    </w:p>
    <w:p w:rsidR="00010DD5" w:rsidRPr="00AE1FF9" w:rsidRDefault="00010DD5" w:rsidP="00892B0D">
      <w:pPr>
        <w:autoSpaceDE w:val="0"/>
        <w:autoSpaceDN w:val="0"/>
        <w:adjustRightInd w:val="0"/>
        <w:spacing w:after="0" w:line="240" w:lineRule="auto"/>
        <w:jc w:val="center"/>
        <w:rPr>
          <w:rFonts w:ascii="Arial" w:hAnsi="Arial" w:cs="Arial"/>
          <w:sz w:val="20"/>
          <w:szCs w:val="20"/>
        </w:rPr>
      </w:pPr>
    </w:p>
    <w:p w:rsidR="00D21688" w:rsidRDefault="00453052" w:rsidP="00D21688">
      <w:pPr>
        <w:spacing w:after="120"/>
        <w:jc w:val="both"/>
        <w:rPr>
          <w:rFonts w:ascii="Arial" w:hAnsi="Arial" w:cs="Arial"/>
        </w:rPr>
      </w:pPr>
      <w:r w:rsidRPr="00453052">
        <w:rPr>
          <w:rFonts w:ascii="Arial" w:hAnsi="Arial" w:cs="Arial"/>
          <w:noProof/>
        </w:rPr>
        <w:lastRenderedPageBreak/>
        <w:drawing>
          <wp:inline distT="0" distB="0" distL="0" distR="0">
            <wp:extent cx="5943600" cy="3463290"/>
            <wp:effectExtent l="19050" t="0" r="0" b="0"/>
            <wp:docPr id="4" name="Picture 3" descr="Blue Spg Discharge Graph - Barrios 2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Spg Discharge Graph - Barrios 2011.jpg"/>
                    <pic:cNvPicPr/>
                  </pic:nvPicPr>
                  <pic:blipFill>
                    <a:blip r:embed="rId14" cstate="print"/>
                    <a:stretch>
                      <a:fillRect/>
                    </a:stretch>
                  </pic:blipFill>
                  <pic:spPr>
                    <a:xfrm>
                      <a:off x="0" y="0"/>
                      <a:ext cx="5943600" cy="3463290"/>
                    </a:xfrm>
                    <a:prstGeom prst="rect">
                      <a:avLst/>
                    </a:prstGeom>
                  </pic:spPr>
                </pic:pic>
              </a:graphicData>
            </a:graphic>
          </wp:inline>
        </w:drawing>
      </w:r>
    </w:p>
    <w:p w:rsidR="00453052" w:rsidRPr="000B4EAA" w:rsidRDefault="00453052" w:rsidP="00453052">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Pr>
          <w:rFonts w:ascii="Arial" w:hAnsi="Arial" w:cs="Arial"/>
          <w:sz w:val="20"/>
          <w:szCs w:val="20"/>
        </w:rPr>
        <w:t>6</w:t>
      </w:r>
      <w:r w:rsidRPr="000B4EAA">
        <w:rPr>
          <w:rFonts w:ascii="Arial" w:hAnsi="Arial" w:cs="Arial"/>
          <w:sz w:val="20"/>
          <w:szCs w:val="20"/>
        </w:rPr>
        <w:t xml:space="preserve">: </w:t>
      </w:r>
      <w:r w:rsidR="000B1A71">
        <w:rPr>
          <w:rFonts w:ascii="Arial" w:hAnsi="Arial" w:cs="Arial"/>
          <w:sz w:val="20"/>
          <w:szCs w:val="20"/>
        </w:rPr>
        <w:t xml:space="preserve">Jackson </w:t>
      </w:r>
      <w:r w:rsidRPr="000B4EAA">
        <w:rPr>
          <w:rFonts w:ascii="Arial" w:hAnsi="Arial" w:cs="Arial"/>
          <w:sz w:val="20"/>
          <w:szCs w:val="20"/>
        </w:rPr>
        <w:t xml:space="preserve">Blue Spring </w:t>
      </w:r>
      <w:r>
        <w:rPr>
          <w:rFonts w:ascii="Arial" w:hAnsi="Arial" w:cs="Arial"/>
          <w:sz w:val="20"/>
          <w:szCs w:val="20"/>
        </w:rPr>
        <w:t>discharge 2004-2009 (Barrios, 2011)</w:t>
      </w:r>
    </w:p>
    <w:p w:rsidR="00D21688" w:rsidRDefault="00D21688" w:rsidP="00D163F3">
      <w:pPr>
        <w:spacing w:after="120"/>
        <w:jc w:val="center"/>
        <w:rPr>
          <w:rFonts w:ascii="Arial" w:hAnsi="Arial" w:cs="Arial"/>
        </w:rPr>
      </w:pPr>
    </w:p>
    <w:p w:rsidR="00A426E1" w:rsidRDefault="00A426E1" w:rsidP="00D163F3">
      <w:pPr>
        <w:spacing w:after="120"/>
        <w:jc w:val="center"/>
        <w:rPr>
          <w:rFonts w:ascii="Arial" w:hAnsi="Arial" w:cs="Arial"/>
        </w:rPr>
      </w:pPr>
      <w:r w:rsidRPr="00A426E1">
        <w:rPr>
          <w:rFonts w:ascii="Arial" w:hAnsi="Arial" w:cs="Arial"/>
          <w:noProof/>
        </w:rPr>
        <w:drawing>
          <wp:inline distT="0" distB="0" distL="0" distR="0">
            <wp:extent cx="4947393" cy="3695925"/>
            <wp:effectExtent l="19050" t="0" r="5607" b="0"/>
            <wp:docPr id="7" name="Picture 9" descr="Figure 2.2.  Floating Hydrilla verticillata Mats at Merritts Mill Pond Just Below Jackson Blue Spring in May 2004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2.2.  Floating Hydrilla verticillata Mats at Merritts Mill Pond Just Below Jackson Blue Spring in May 2004 (Source:  Florida Geological Survey)"/>
                    <pic:cNvPicPr>
                      <a:picLocks noChangeAspect="1" noChangeArrowheads="1"/>
                    </pic:cNvPicPr>
                  </pic:nvPicPr>
                  <pic:blipFill>
                    <a:blip r:embed="rId15" cstate="print"/>
                    <a:srcRect/>
                    <a:stretch>
                      <a:fillRect/>
                    </a:stretch>
                  </pic:blipFill>
                  <pic:spPr bwMode="auto">
                    <a:xfrm>
                      <a:off x="0" y="0"/>
                      <a:ext cx="4955207" cy="3701762"/>
                    </a:xfrm>
                    <a:prstGeom prst="rect">
                      <a:avLst/>
                    </a:prstGeom>
                    <a:noFill/>
                    <a:ln w="9525">
                      <a:noFill/>
                      <a:miter lim="800000"/>
                      <a:headEnd/>
                      <a:tailEnd/>
                    </a:ln>
                  </pic:spPr>
                </pic:pic>
              </a:graphicData>
            </a:graphic>
          </wp:inline>
        </w:drawing>
      </w:r>
    </w:p>
    <w:p w:rsidR="00A426E1" w:rsidRDefault="00A426E1" w:rsidP="00A426E1">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r>
        <w:rPr>
          <w:rFonts w:ascii="Arial" w:hAnsi="Arial" w:cs="Arial"/>
          <w:sz w:val="20"/>
          <w:szCs w:val="20"/>
        </w:rPr>
        <w:t>7</w:t>
      </w:r>
      <w:r w:rsidRPr="000B4EAA">
        <w:rPr>
          <w:rFonts w:ascii="Arial" w:hAnsi="Arial" w:cs="Arial"/>
          <w:sz w:val="20"/>
          <w:szCs w:val="20"/>
        </w:rPr>
        <w:t xml:space="preserve">: </w:t>
      </w:r>
      <w:r w:rsidRPr="00612DFC">
        <w:rPr>
          <w:rFonts w:ascii="Arial" w:hAnsi="Arial" w:cs="Arial"/>
          <w:i/>
          <w:sz w:val="20"/>
          <w:szCs w:val="20"/>
        </w:rPr>
        <w:t>Hydrilla verticillata</w:t>
      </w:r>
      <w:r>
        <w:rPr>
          <w:rFonts w:ascii="Arial" w:hAnsi="Arial" w:cs="Arial"/>
          <w:sz w:val="20"/>
          <w:szCs w:val="20"/>
        </w:rPr>
        <w:t xml:space="preserve"> in Merritts Mill Pond just below Jackson Blue Spring (FGS, 2004)</w:t>
      </w:r>
      <w:r>
        <w:rPr>
          <w:rFonts w:ascii="Arial" w:hAnsi="Arial" w:cs="Arial"/>
        </w:rPr>
        <w:t xml:space="preserve"> </w:t>
      </w:r>
    </w:p>
    <w:p w:rsidR="00A426E1" w:rsidRDefault="00A426E1" w:rsidP="00D163F3">
      <w:pPr>
        <w:spacing w:after="120"/>
        <w:jc w:val="center"/>
        <w:rPr>
          <w:rFonts w:ascii="Arial" w:hAnsi="Arial" w:cs="Arial"/>
        </w:rPr>
      </w:pPr>
    </w:p>
    <w:p w:rsidR="00D163F3" w:rsidRDefault="00D163F3" w:rsidP="00D163F3">
      <w:pPr>
        <w:spacing w:after="120"/>
        <w:jc w:val="center"/>
        <w:rPr>
          <w:rFonts w:ascii="Arial" w:hAnsi="Arial" w:cs="Arial"/>
        </w:rPr>
      </w:pPr>
      <w:r>
        <w:rPr>
          <w:rFonts w:cs="Arial"/>
          <w:noProof/>
        </w:rPr>
        <w:lastRenderedPageBreak/>
        <w:drawing>
          <wp:inline distT="0" distB="0" distL="0" distR="0">
            <wp:extent cx="4747552" cy="3578765"/>
            <wp:effectExtent l="19050" t="0" r="0" b="0"/>
            <wp:docPr id="6" name="Picture 10" descr="Figure 2.3.  Merritts Mill Pond Below Jackson Blue Head Spring in May 2004 (Green Algae and Hydrilla verticillata on Bottom) (Source:  Florida Geological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2.3.  Merritts Mill Pond Below Jackson Blue Head Spring in May 2004 (Green Algae and Hydrilla verticillata on Bottom) (Source:  Florida Geological Survey)"/>
                    <pic:cNvPicPr>
                      <a:picLocks noChangeAspect="1" noChangeArrowheads="1"/>
                    </pic:cNvPicPr>
                  </pic:nvPicPr>
                  <pic:blipFill>
                    <a:blip r:embed="rId16" cstate="print"/>
                    <a:srcRect/>
                    <a:stretch>
                      <a:fillRect/>
                    </a:stretch>
                  </pic:blipFill>
                  <pic:spPr bwMode="auto">
                    <a:xfrm>
                      <a:off x="0" y="0"/>
                      <a:ext cx="4748673" cy="3579610"/>
                    </a:xfrm>
                    <a:prstGeom prst="rect">
                      <a:avLst/>
                    </a:prstGeom>
                    <a:noFill/>
                    <a:ln w="9525">
                      <a:noFill/>
                      <a:miter lim="800000"/>
                      <a:headEnd/>
                      <a:tailEnd/>
                    </a:ln>
                  </pic:spPr>
                </pic:pic>
              </a:graphicData>
            </a:graphic>
          </wp:inline>
        </w:drawing>
      </w:r>
    </w:p>
    <w:p w:rsidR="00D163F3" w:rsidRPr="00584A41" w:rsidRDefault="00D163F3" w:rsidP="00D163F3">
      <w:pPr>
        <w:autoSpaceDE w:val="0"/>
        <w:autoSpaceDN w:val="0"/>
        <w:adjustRightInd w:val="0"/>
        <w:spacing w:after="0" w:line="240" w:lineRule="auto"/>
        <w:jc w:val="center"/>
        <w:rPr>
          <w:rFonts w:ascii="Arial" w:hAnsi="Arial" w:cs="Arial"/>
          <w:sz w:val="20"/>
          <w:szCs w:val="20"/>
        </w:rPr>
      </w:pPr>
      <w:r w:rsidRPr="000B4EAA">
        <w:rPr>
          <w:rFonts w:ascii="Arial" w:hAnsi="Arial" w:cs="Arial"/>
          <w:sz w:val="20"/>
          <w:szCs w:val="20"/>
        </w:rPr>
        <w:t xml:space="preserve">Figure </w:t>
      </w:r>
      <w:r w:rsidR="00A426E1">
        <w:rPr>
          <w:rFonts w:ascii="Arial" w:hAnsi="Arial" w:cs="Arial"/>
          <w:sz w:val="20"/>
          <w:szCs w:val="20"/>
        </w:rPr>
        <w:t>8</w:t>
      </w:r>
      <w:r w:rsidRPr="000B4EAA">
        <w:rPr>
          <w:rFonts w:ascii="Arial" w:hAnsi="Arial" w:cs="Arial"/>
          <w:sz w:val="20"/>
          <w:szCs w:val="20"/>
        </w:rPr>
        <w:t xml:space="preserve">: </w:t>
      </w:r>
      <w:r>
        <w:rPr>
          <w:rFonts w:ascii="Arial" w:hAnsi="Arial" w:cs="Arial"/>
          <w:sz w:val="20"/>
          <w:szCs w:val="20"/>
        </w:rPr>
        <w:t xml:space="preserve">Benthic algae and </w:t>
      </w:r>
      <w:r w:rsidRPr="00612DFC">
        <w:rPr>
          <w:rFonts w:ascii="Arial" w:hAnsi="Arial" w:cs="Arial"/>
          <w:i/>
          <w:sz w:val="20"/>
          <w:szCs w:val="20"/>
        </w:rPr>
        <w:t>Hydrilla verticillata</w:t>
      </w:r>
      <w:r>
        <w:rPr>
          <w:rFonts w:ascii="Arial" w:hAnsi="Arial" w:cs="Arial"/>
          <w:sz w:val="20"/>
          <w:szCs w:val="20"/>
        </w:rPr>
        <w:t xml:space="preserve"> in Merritts Mill Pond just below </w:t>
      </w:r>
      <w:r w:rsidR="00157356">
        <w:rPr>
          <w:rFonts w:ascii="Arial" w:hAnsi="Arial" w:cs="Arial"/>
          <w:sz w:val="20"/>
          <w:szCs w:val="20"/>
        </w:rPr>
        <w:t xml:space="preserve">Jackson </w:t>
      </w:r>
      <w:r>
        <w:rPr>
          <w:rFonts w:ascii="Arial" w:hAnsi="Arial" w:cs="Arial"/>
          <w:sz w:val="20"/>
          <w:szCs w:val="20"/>
        </w:rPr>
        <w:t>Blue Spring (FGS)</w:t>
      </w:r>
    </w:p>
    <w:p w:rsidR="00D163F3" w:rsidRDefault="00D163F3" w:rsidP="00D163F3">
      <w:pPr>
        <w:spacing w:after="120"/>
        <w:jc w:val="center"/>
        <w:rPr>
          <w:rFonts w:ascii="Arial" w:hAnsi="Arial" w:cs="Arial"/>
        </w:rPr>
      </w:pPr>
    </w:p>
    <w:p w:rsidR="00D21688" w:rsidRDefault="00D21688" w:rsidP="00D163F3">
      <w:pPr>
        <w:jc w:val="center"/>
        <w:rPr>
          <w:rFonts w:ascii="Arial" w:hAnsi="Arial" w:cs="Arial"/>
        </w:rPr>
      </w:pPr>
      <w:r>
        <w:rPr>
          <w:rFonts w:cs="Arial"/>
          <w:noProof/>
        </w:rPr>
        <w:drawing>
          <wp:inline distT="0" distB="0" distL="0" distR="0">
            <wp:extent cx="4680468" cy="3524250"/>
            <wp:effectExtent l="19050" t="0" r="5832" b="0"/>
            <wp:docPr id="10" name="Picture 8" descr="Figure 2.1.  Algal Bloom at the Southern End of Merritts Mill Pond Just North of the Weir at U.S. Highway 90 in 2003 (Source:  J. Van Dyk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2.1.  Algal Bloom at the Southern End of Merritts Mill Pond Just North of the Weir at U.S. Highway 90 in 2003 (Source:  J. Van Dyke, Department)"/>
                    <pic:cNvPicPr>
                      <a:picLocks noChangeAspect="1" noChangeArrowheads="1"/>
                    </pic:cNvPicPr>
                  </pic:nvPicPr>
                  <pic:blipFill>
                    <a:blip r:embed="rId17" cstate="print"/>
                    <a:srcRect/>
                    <a:stretch>
                      <a:fillRect/>
                    </a:stretch>
                  </pic:blipFill>
                  <pic:spPr bwMode="auto">
                    <a:xfrm>
                      <a:off x="0" y="0"/>
                      <a:ext cx="4691953" cy="3532898"/>
                    </a:xfrm>
                    <a:prstGeom prst="rect">
                      <a:avLst/>
                    </a:prstGeom>
                    <a:noFill/>
                    <a:ln w="9525">
                      <a:noFill/>
                      <a:miter lim="800000"/>
                      <a:headEnd/>
                      <a:tailEnd/>
                    </a:ln>
                  </pic:spPr>
                </pic:pic>
              </a:graphicData>
            </a:graphic>
          </wp:inline>
        </w:drawing>
      </w:r>
    </w:p>
    <w:p w:rsidR="00D21688" w:rsidRDefault="00D21688" w:rsidP="00D40B62">
      <w:pPr>
        <w:autoSpaceDE w:val="0"/>
        <w:autoSpaceDN w:val="0"/>
        <w:adjustRightInd w:val="0"/>
        <w:spacing w:after="0" w:line="240" w:lineRule="auto"/>
        <w:jc w:val="center"/>
        <w:rPr>
          <w:rFonts w:ascii="Arial" w:hAnsi="Arial" w:cs="Arial"/>
        </w:rPr>
      </w:pPr>
      <w:r w:rsidRPr="000B4EAA">
        <w:rPr>
          <w:rFonts w:ascii="Arial" w:hAnsi="Arial" w:cs="Arial"/>
          <w:sz w:val="20"/>
          <w:szCs w:val="20"/>
        </w:rPr>
        <w:t xml:space="preserve">Figure </w:t>
      </w:r>
      <w:r w:rsidR="00D163F3">
        <w:rPr>
          <w:rFonts w:ascii="Arial" w:hAnsi="Arial" w:cs="Arial"/>
          <w:sz w:val="20"/>
          <w:szCs w:val="20"/>
        </w:rPr>
        <w:t>9</w:t>
      </w:r>
      <w:r w:rsidRPr="000B4EAA">
        <w:rPr>
          <w:rFonts w:ascii="Arial" w:hAnsi="Arial" w:cs="Arial"/>
          <w:sz w:val="20"/>
          <w:szCs w:val="20"/>
        </w:rPr>
        <w:t xml:space="preserve">: </w:t>
      </w:r>
      <w:r>
        <w:rPr>
          <w:rFonts w:ascii="Arial" w:hAnsi="Arial" w:cs="Arial"/>
          <w:sz w:val="20"/>
          <w:szCs w:val="20"/>
        </w:rPr>
        <w:t>Algal bloom at southwestern end of Merritts Mill Pond in 2003 (Jess Van Dyke, FDEP)</w:t>
      </w:r>
      <w:r w:rsidR="00D40B62">
        <w:rPr>
          <w:rFonts w:ascii="Arial" w:hAnsi="Arial" w:cs="Arial"/>
        </w:rPr>
        <w:t xml:space="preserve"> </w:t>
      </w:r>
    </w:p>
    <w:p w:rsidR="00D21688" w:rsidRDefault="00D21688" w:rsidP="00D21688">
      <w:pPr>
        <w:jc w:val="both"/>
        <w:rPr>
          <w:rFonts w:ascii="Arial" w:hAnsi="Arial" w:cs="Arial"/>
        </w:rPr>
      </w:pPr>
    </w:p>
    <w:sectPr w:rsidR="00D21688" w:rsidSect="00612DFC">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DAD" w:rsidRDefault="00D24DAD" w:rsidP="00883C40">
      <w:pPr>
        <w:spacing w:after="0" w:line="240" w:lineRule="auto"/>
      </w:pPr>
      <w:r>
        <w:separator/>
      </w:r>
    </w:p>
  </w:endnote>
  <w:endnote w:type="continuationSeparator" w:id="0">
    <w:p w:rsidR="00D24DAD" w:rsidRDefault="00D24DAD" w:rsidP="00883C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DAD" w:rsidRDefault="00D24DAD" w:rsidP="00883C40">
      <w:pPr>
        <w:spacing w:after="0" w:line="240" w:lineRule="auto"/>
      </w:pPr>
      <w:r>
        <w:separator/>
      </w:r>
    </w:p>
  </w:footnote>
  <w:footnote w:type="continuationSeparator" w:id="0">
    <w:p w:rsidR="00D24DAD" w:rsidRDefault="00D24DAD" w:rsidP="00883C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279052"/>
      <w:docPartObj>
        <w:docPartGallery w:val="Watermarks"/>
        <w:docPartUnique/>
      </w:docPartObj>
    </w:sdtPr>
    <w:sdtContent>
      <w:p w:rsidR="00883C40" w:rsidRDefault="002F0464">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9458"/>
    <o:shapelayout v:ext="edit">
      <o:idmap v:ext="edit" data="2"/>
    </o:shapelayout>
  </w:hdrShapeDefaults>
  <w:footnotePr>
    <w:footnote w:id="-1"/>
    <w:footnote w:id="0"/>
  </w:footnotePr>
  <w:endnotePr>
    <w:endnote w:id="-1"/>
    <w:endnote w:id="0"/>
  </w:endnotePr>
  <w:compat/>
  <w:rsids>
    <w:rsidRoot w:val="0040738E"/>
    <w:rsid w:val="00010DD5"/>
    <w:rsid w:val="00052027"/>
    <w:rsid w:val="0008426A"/>
    <w:rsid w:val="000B1A71"/>
    <w:rsid w:val="000B4EAA"/>
    <w:rsid w:val="000E37B4"/>
    <w:rsid w:val="00110C8D"/>
    <w:rsid w:val="001141FB"/>
    <w:rsid w:val="00150D3A"/>
    <w:rsid w:val="00157356"/>
    <w:rsid w:val="00161C34"/>
    <w:rsid w:val="001C7E11"/>
    <w:rsid w:val="001E716C"/>
    <w:rsid w:val="00222399"/>
    <w:rsid w:val="00252C7E"/>
    <w:rsid w:val="00263970"/>
    <w:rsid w:val="002E0AF6"/>
    <w:rsid w:val="002F0464"/>
    <w:rsid w:val="002F051A"/>
    <w:rsid w:val="002F68AC"/>
    <w:rsid w:val="00306963"/>
    <w:rsid w:val="0034052A"/>
    <w:rsid w:val="00376499"/>
    <w:rsid w:val="00383C10"/>
    <w:rsid w:val="00392116"/>
    <w:rsid w:val="003A4330"/>
    <w:rsid w:val="003A4F10"/>
    <w:rsid w:val="003C5D93"/>
    <w:rsid w:val="0040738E"/>
    <w:rsid w:val="00412CF3"/>
    <w:rsid w:val="00432B2E"/>
    <w:rsid w:val="00453052"/>
    <w:rsid w:val="004A25F2"/>
    <w:rsid w:val="004E7928"/>
    <w:rsid w:val="005124D7"/>
    <w:rsid w:val="00522FBA"/>
    <w:rsid w:val="0055329B"/>
    <w:rsid w:val="00560FBC"/>
    <w:rsid w:val="00561311"/>
    <w:rsid w:val="00584A41"/>
    <w:rsid w:val="005B3A84"/>
    <w:rsid w:val="005B6FC7"/>
    <w:rsid w:val="00612DFC"/>
    <w:rsid w:val="006B7722"/>
    <w:rsid w:val="006E0C02"/>
    <w:rsid w:val="007256FD"/>
    <w:rsid w:val="007461DE"/>
    <w:rsid w:val="00747DD7"/>
    <w:rsid w:val="007511CD"/>
    <w:rsid w:val="00751CD9"/>
    <w:rsid w:val="00794006"/>
    <w:rsid w:val="007D0E8A"/>
    <w:rsid w:val="00836AEE"/>
    <w:rsid w:val="00846A1E"/>
    <w:rsid w:val="00883C40"/>
    <w:rsid w:val="00891830"/>
    <w:rsid w:val="00892B0D"/>
    <w:rsid w:val="009F360B"/>
    <w:rsid w:val="00A10076"/>
    <w:rsid w:val="00A2346D"/>
    <w:rsid w:val="00A426E1"/>
    <w:rsid w:val="00A44A6D"/>
    <w:rsid w:val="00A5375F"/>
    <w:rsid w:val="00A5402D"/>
    <w:rsid w:val="00A96601"/>
    <w:rsid w:val="00AA1151"/>
    <w:rsid w:val="00AC1C5F"/>
    <w:rsid w:val="00AE1FF9"/>
    <w:rsid w:val="00AF781A"/>
    <w:rsid w:val="00B37BFB"/>
    <w:rsid w:val="00B435D1"/>
    <w:rsid w:val="00B55073"/>
    <w:rsid w:val="00BA6C33"/>
    <w:rsid w:val="00BB4A3D"/>
    <w:rsid w:val="00C63D68"/>
    <w:rsid w:val="00C656AA"/>
    <w:rsid w:val="00CD5D9F"/>
    <w:rsid w:val="00CF26A2"/>
    <w:rsid w:val="00D059DE"/>
    <w:rsid w:val="00D15BA6"/>
    <w:rsid w:val="00D163F3"/>
    <w:rsid w:val="00D21688"/>
    <w:rsid w:val="00D24DAD"/>
    <w:rsid w:val="00D40B62"/>
    <w:rsid w:val="00DD05AE"/>
    <w:rsid w:val="00DF0748"/>
    <w:rsid w:val="00DF42C1"/>
    <w:rsid w:val="00DF4547"/>
    <w:rsid w:val="00E14E24"/>
    <w:rsid w:val="00E22986"/>
    <w:rsid w:val="00E71FF1"/>
    <w:rsid w:val="00E84C53"/>
    <w:rsid w:val="00EF44DE"/>
    <w:rsid w:val="00EF7438"/>
    <w:rsid w:val="00F04A87"/>
    <w:rsid w:val="00F40FAB"/>
    <w:rsid w:val="00F50200"/>
    <w:rsid w:val="00F57672"/>
    <w:rsid w:val="00F92DC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0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83C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83C40"/>
  </w:style>
  <w:style w:type="paragraph" w:styleId="Footer">
    <w:name w:val="footer"/>
    <w:basedOn w:val="Normal"/>
    <w:link w:val="FooterChar"/>
    <w:uiPriority w:val="99"/>
    <w:semiHidden/>
    <w:unhideWhenUsed/>
    <w:rsid w:val="00883C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83C40"/>
  </w:style>
  <w:style w:type="paragraph" w:styleId="BalloonText">
    <w:name w:val="Balloon Text"/>
    <w:basedOn w:val="Normal"/>
    <w:link w:val="BalloonTextChar"/>
    <w:uiPriority w:val="99"/>
    <w:semiHidden/>
    <w:unhideWhenUsed/>
    <w:rsid w:val="000B4E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EAA"/>
    <w:rPr>
      <w:rFonts w:ascii="Tahoma" w:hAnsi="Tahoma" w:cs="Tahoma"/>
      <w:sz w:val="16"/>
      <w:szCs w:val="16"/>
    </w:rPr>
  </w:style>
  <w:style w:type="paragraph" w:customStyle="1" w:styleId="Bodytext">
    <w:name w:val="Body text"/>
    <w:basedOn w:val="Normal"/>
    <w:link w:val="BodytextChar"/>
    <w:qFormat/>
    <w:rsid w:val="00E22986"/>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locked/>
    <w:rsid w:val="00E22986"/>
    <w:rPr>
      <w:rFonts w:ascii="Arial" w:eastAsia="Times New Roman" w:hAnsi="Arial" w:cs="Times New Roman"/>
      <w:szCs w:val="20"/>
    </w:rPr>
  </w:style>
  <w:style w:type="paragraph" w:customStyle="1" w:styleId="References">
    <w:name w:val="References"/>
    <w:basedOn w:val="Normal"/>
    <w:autoRedefine/>
    <w:qFormat/>
    <w:rsid w:val="0034052A"/>
    <w:pPr>
      <w:spacing w:after="240" w:line="240" w:lineRule="auto"/>
      <w:ind w:left="432" w:hanging="432"/>
    </w:pPr>
    <w:rPr>
      <w:rFonts w:ascii="Arial" w:eastAsia="Times New Roman" w:hAnsi="Arial" w:cs="Times New Roman"/>
      <w:sz w:val="20"/>
      <w:szCs w:val="24"/>
    </w:rPr>
  </w:style>
  <w:style w:type="character" w:styleId="Hyperlink">
    <w:name w:val="Hyperlink"/>
    <w:basedOn w:val="DefaultParagraphFont"/>
    <w:uiPriority w:val="99"/>
    <w:unhideWhenUsed/>
    <w:rsid w:val="0034052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3663860">
      <w:bodyDiv w:val="1"/>
      <w:marLeft w:val="0"/>
      <w:marRight w:val="0"/>
      <w:marTop w:val="0"/>
      <w:marBottom w:val="0"/>
      <w:divBdr>
        <w:top w:val="none" w:sz="0" w:space="0" w:color="auto"/>
        <w:left w:val="none" w:sz="0" w:space="0" w:color="auto"/>
        <w:bottom w:val="none" w:sz="0" w:space="0" w:color="auto"/>
        <w:right w:val="none" w:sz="0" w:space="0" w:color="auto"/>
      </w:divBdr>
    </w:div>
    <w:div w:id="641229263">
      <w:bodyDiv w:val="1"/>
      <w:marLeft w:val="0"/>
      <w:marRight w:val="0"/>
      <w:marTop w:val="0"/>
      <w:marBottom w:val="0"/>
      <w:divBdr>
        <w:top w:val="none" w:sz="0" w:space="0" w:color="auto"/>
        <w:left w:val="none" w:sz="0" w:space="0" w:color="auto"/>
        <w:bottom w:val="none" w:sz="0" w:space="0" w:color="auto"/>
        <w:right w:val="none" w:sz="0" w:space="0" w:color="auto"/>
      </w:divBdr>
    </w:div>
    <w:div w:id="819929447">
      <w:bodyDiv w:val="1"/>
      <w:marLeft w:val="0"/>
      <w:marRight w:val="0"/>
      <w:marTop w:val="0"/>
      <w:marBottom w:val="0"/>
      <w:divBdr>
        <w:top w:val="none" w:sz="0" w:space="0" w:color="auto"/>
        <w:left w:val="none" w:sz="0" w:space="0" w:color="auto"/>
        <w:bottom w:val="none" w:sz="0" w:space="0" w:color="auto"/>
        <w:right w:val="none" w:sz="0" w:space="0" w:color="auto"/>
      </w:divBdr>
    </w:div>
    <w:div w:id="920993701">
      <w:bodyDiv w:val="1"/>
      <w:marLeft w:val="0"/>
      <w:marRight w:val="0"/>
      <w:marTop w:val="0"/>
      <w:marBottom w:val="0"/>
      <w:divBdr>
        <w:top w:val="none" w:sz="0" w:space="0" w:color="auto"/>
        <w:left w:val="none" w:sz="0" w:space="0" w:color="auto"/>
        <w:bottom w:val="none" w:sz="0" w:space="0" w:color="auto"/>
        <w:right w:val="none" w:sz="0" w:space="0" w:color="auto"/>
      </w:divBdr>
    </w:div>
    <w:div w:id="1022635502">
      <w:bodyDiv w:val="1"/>
      <w:marLeft w:val="0"/>
      <w:marRight w:val="0"/>
      <w:marTop w:val="0"/>
      <w:marBottom w:val="0"/>
      <w:divBdr>
        <w:top w:val="none" w:sz="0" w:space="0" w:color="auto"/>
        <w:left w:val="none" w:sz="0" w:space="0" w:color="auto"/>
        <w:bottom w:val="none" w:sz="0" w:space="0" w:color="auto"/>
        <w:right w:val="none" w:sz="0" w:space="0" w:color="auto"/>
      </w:divBdr>
    </w:div>
    <w:div w:id="1315913983">
      <w:bodyDiv w:val="1"/>
      <w:marLeft w:val="0"/>
      <w:marRight w:val="0"/>
      <w:marTop w:val="0"/>
      <w:marBottom w:val="0"/>
      <w:divBdr>
        <w:top w:val="none" w:sz="0" w:space="0" w:color="auto"/>
        <w:left w:val="none" w:sz="0" w:space="0" w:color="auto"/>
        <w:bottom w:val="none" w:sz="0" w:space="0" w:color="auto"/>
        <w:right w:val="none" w:sz="0" w:space="0" w:color="auto"/>
      </w:divBdr>
    </w:div>
    <w:div w:id="189242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ry.Maddox@dep.state.fl.us" TargetMode="External"/><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ep.state.fl.us/water/tmdl/index.htm" TargetMode="External"/><Relationship Id="rId12" Type="http://schemas.openxmlformats.org/officeDocument/2006/relationships/image" Target="media/image4.jpeg"/><Relationship Id="rId17" Type="http://schemas.openxmlformats.org/officeDocument/2006/relationships/image" Target="media/image8.jpeg"/><Relationship Id="rId2" Type="http://schemas.openxmlformats.org/officeDocument/2006/relationships/settings" Target="settings.xml"/><Relationship Id="rId16" Type="http://schemas.openxmlformats.org/officeDocument/2006/relationships/image" Target="media/image7.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5.jpeg"/></Relationships>
</file>

<file path=word/charts/_rels/chart1.xml.rels><?xml version="1.0" encoding="UTF-8" standalone="yes"?>
<Relationships xmlns="http://schemas.openxmlformats.org/package/2006/relationships"><Relationship Id="rId1" Type="http://schemas.openxmlformats.org/officeDocument/2006/relationships/oleObject" Target="file:///C:\000%20Jackson%20Blue%20Springs%20Atlas\Jack%20Blue%20Isotope%20Data%20N%20&amp;%20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scatterChart>
        <c:scatterStyle val="lineMarker"/>
        <c:ser>
          <c:idx val="0"/>
          <c:order val="0"/>
          <c:tx>
            <c:v>Gator Hole</c:v>
          </c:tx>
          <c:spPr>
            <a:ln w="28575">
              <a:noFill/>
            </a:ln>
          </c:spPr>
          <c:xVal>
            <c:numRef>
              <c:f>'Isotope Data - SPGS'!$C$4:$C$5</c:f>
              <c:numCache>
                <c:formatCode>0.00</c:formatCode>
                <c:ptCount val="2"/>
                <c:pt idx="0">
                  <c:v>4.5532424479999998</c:v>
                </c:pt>
                <c:pt idx="1">
                  <c:v>2.8672763296077548</c:v>
                </c:pt>
              </c:numCache>
            </c:numRef>
          </c:xVal>
          <c:yVal>
            <c:numRef>
              <c:f>'Isotope Data - SPGS'!$E$4:$E$5</c:f>
              <c:numCache>
                <c:formatCode>0.00</c:formatCode>
                <c:ptCount val="2"/>
                <c:pt idx="0">
                  <c:v>2.6873642807920008</c:v>
                </c:pt>
                <c:pt idx="1">
                  <c:v>2.8007122230222228</c:v>
                </c:pt>
              </c:numCache>
            </c:numRef>
          </c:yVal>
        </c:ser>
        <c:ser>
          <c:idx val="1"/>
          <c:order val="1"/>
          <c:tx>
            <c:v>Heidi Hole</c:v>
          </c:tx>
          <c:spPr>
            <a:ln w="28575">
              <a:noFill/>
            </a:ln>
          </c:spPr>
          <c:xVal>
            <c:numRef>
              <c:f>'Isotope Data - SPGS'!$C$6</c:f>
              <c:numCache>
                <c:formatCode>0.00</c:formatCode>
                <c:ptCount val="1"/>
                <c:pt idx="0">
                  <c:v>4.3698599839999996</c:v>
                </c:pt>
              </c:numCache>
            </c:numRef>
          </c:xVal>
          <c:yVal>
            <c:numRef>
              <c:f>'Isotope Data - SPGS'!$E$6</c:f>
              <c:numCache>
                <c:formatCode>0.00</c:formatCode>
                <c:ptCount val="1"/>
                <c:pt idx="0">
                  <c:v>1.3641840709999995</c:v>
                </c:pt>
              </c:numCache>
            </c:numRef>
          </c:yVal>
        </c:ser>
        <c:ser>
          <c:idx val="2"/>
          <c:order val="2"/>
          <c:tx>
            <c:v>Hole-In-The-Wall</c:v>
          </c:tx>
          <c:spPr>
            <a:ln w="28575">
              <a:noFill/>
            </a:ln>
          </c:spPr>
          <c:xVal>
            <c:numRef>
              <c:f>'Isotope Data - SPGS'!$C$7:$C$9</c:f>
              <c:numCache>
                <c:formatCode>0.00</c:formatCode>
                <c:ptCount val="3"/>
                <c:pt idx="0">
                  <c:v>3.4247806880000002</c:v>
                </c:pt>
                <c:pt idx="1">
                  <c:v>4.0447889623919977</c:v>
                </c:pt>
                <c:pt idx="2">
                  <c:v>3.068428895347</c:v>
                </c:pt>
              </c:numCache>
            </c:numRef>
          </c:xVal>
          <c:yVal>
            <c:numRef>
              <c:f>'Isotope Data - SPGS'!$E$7:$E$9</c:f>
              <c:numCache>
                <c:formatCode>0.00</c:formatCode>
                <c:ptCount val="3"/>
                <c:pt idx="0">
                  <c:v>2.9132420473119991</c:v>
                </c:pt>
                <c:pt idx="1">
                  <c:v>5.1860364421049985</c:v>
                </c:pt>
                <c:pt idx="2">
                  <c:v>3.7299097575925018</c:v>
                </c:pt>
              </c:numCache>
            </c:numRef>
          </c:yVal>
        </c:ser>
        <c:ser>
          <c:idx val="3"/>
          <c:order val="3"/>
          <c:tx>
            <c:v>Jackson Blue</c:v>
          </c:tx>
          <c:spPr>
            <a:ln w="28575">
              <a:noFill/>
            </a:ln>
          </c:spPr>
          <c:xVal>
            <c:numRef>
              <c:f>'Isotope Data - SPGS'!$C$10:$C$11</c:f>
              <c:numCache>
                <c:formatCode>0.00</c:formatCode>
                <c:ptCount val="2"/>
                <c:pt idx="0">
                  <c:v>2.9282337440000012</c:v>
                </c:pt>
                <c:pt idx="1">
                  <c:v>2.6530213920000012</c:v>
                </c:pt>
              </c:numCache>
            </c:numRef>
          </c:xVal>
          <c:yVal>
            <c:numRef>
              <c:f>'Isotope Data - SPGS'!$E$10:$E$11</c:f>
              <c:numCache>
                <c:formatCode>0.00</c:formatCode>
                <c:ptCount val="2"/>
                <c:pt idx="0">
                  <c:v>3.1873685849900002</c:v>
                </c:pt>
                <c:pt idx="1">
                  <c:v>2.6412376573120007</c:v>
                </c:pt>
              </c:numCache>
            </c:numRef>
          </c:yVal>
        </c:ser>
        <c:ser>
          <c:idx val="4"/>
          <c:order val="4"/>
          <c:tx>
            <c:v>Shangri La</c:v>
          </c:tx>
          <c:spPr>
            <a:ln w="28575">
              <a:noFill/>
            </a:ln>
          </c:spPr>
          <c:xVal>
            <c:numRef>
              <c:f>'Isotope Data - SPGS'!$C$12:$C$14</c:f>
              <c:numCache>
                <c:formatCode>0.00</c:formatCode>
                <c:ptCount val="3"/>
                <c:pt idx="0">
                  <c:v>2.9310860959999987</c:v>
                </c:pt>
                <c:pt idx="1">
                  <c:v>2.6262172373260002</c:v>
                </c:pt>
                <c:pt idx="2">
                  <c:v>2.3691017196310002</c:v>
                </c:pt>
              </c:numCache>
            </c:numRef>
          </c:xVal>
          <c:yVal>
            <c:numRef>
              <c:f>'Isotope Data - SPGS'!$E$12:$E$14</c:f>
              <c:numCache>
                <c:formatCode>0.00</c:formatCode>
                <c:ptCount val="3"/>
                <c:pt idx="0">
                  <c:v>2.8291543931439986</c:v>
                </c:pt>
                <c:pt idx="1">
                  <c:v>3.404906014345499</c:v>
                </c:pt>
                <c:pt idx="2">
                  <c:v>3.4821358078650002</c:v>
                </c:pt>
              </c:numCache>
            </c:numRef>
          </c:yVal>
        </c:ser>
        <c:ser>
          <c:idx val="5"/>
          <c:order val="5"/>
          <c:tx>
            <c:v>Twin Caves</c:v>
          </c:tx>
          <c:spPr>
            <a:ln w="28575">
              <a:noFill/>
            </a:ln>
          </c:spPr>
          <c:xVal>
            <c:numRef>
              <c:f>'Isotope Data - SPGS'!$C$15:$C$17</c:f>
              <c:numCache>
                <c:formatCode>0.00</c:formatCode>
                <c:ptCount val="3"/>
                <c:pt idx="0">
                  <c:v>2.4681731360000003</c:v>
                </c:pt>
                <c:pt idx="1">
                  <c:v>2.925838495085999</c:v>
                </c:pt>
                <c:pt idx="2">
                  <c:v>3.3822907440289995</c:v>
                </c:pt>
              </c:numCache>
            </c:numRef>
          </c:xVal>
          <c:yVal>
            <c:numRef>
              <c:f>'Isotope Data - SPGS'!$E$15:$E$17</c:f>
              <c:numCache>
                <c:formatCode>0.00</c:formatCode>
                <c:ptCount val="3"/>
                <c:pt idx="0">
                  <c:v>0.83870876695399965</c:v>
                </c:pt>
                <c:pt idx="1">
                  <c:v>3.2197280668550001</c:v>
                </c:pt>
                <c:pt idx="2">
                  <c:v>3.4791649711744994</c:v>
                </c:pt>
              </c:numCache>
            </c:numRef>
          </c:yVal>
        </c:ser>
        <c:axId val="58294656"/>
        <c:axId val="58296576"/>
      </c:scatterChart>
      <c:valAx>
        <c:axId val="58294656"/>
        <c:scaling>
          <c:orientation val="minMax"/>
          <c:min val="2"/>
        </c:scaling>
        <c:axPos val="b"/>
        <c:title>
          <c:tx>
            <c:rich>
              <a:bodyPr/>
              <a:lstStyle/>
              <a:p>
                <a:pPr>
                  <a:defRPr/>
                </a:pPr>
                <a:r>
                  <a:rPr lang="en-US" sz="1000" b="1" i="0" baseline="0"/>
                  <a:t>δ</a:t>
                </a:r>
                <a:r>
                  <a:rPr lang="en-US" sz="1000" b="1" i="0" baseline="30000"/>
                  <a:t>15</a:t>
                </a:r>
                <a:r>
                  <a:rPr lang="en-US" sz="1000" b="1" i="0" baseline="0"/>
                  <a:t>N-NO</a:t>
                </a:r>
                <a:r>
                  <a:rPr lang="en-US" sz="1000" b="1" i="0" baseline="-25000"/>
                  <a:t>3</a:t>
                </a:r>
                <a:r>
                  <a:rPr lang="en-US" sz="1000" b="1" i="0" baseline="0"/>
                  <a:t>,  ‰ vs. Air</a:t>
                </a:r>
              </a:p>
            </c:rich>
          </c:tx>
        </c:title>
        <c:numFmt formatCode="0.00" sourceLinked="1"/>
        <c:tickLblPos val="nextTo"/>
        <c:crossAx val="58296576"/>
        <c:crosses val="autoZero"/>
        <c:crossBetween val="midCat"/>
      </c:valAx>
      <c:valAx>
        <c:axId val="58296576"/>
        <c:scaling>
          <c:orientation val="minMax"/>
        </c:scaling>
        <c:axPos val="l"/>
        <c:majorGridlines/>
        <c:title>
          <c:tx>
            <c:rich>
              <a:bodyPr rot="-5400000" vert="horz"/>
              <a:lstStyle/>
              <a:p>
                <a:pPr>
                  <a:defRPr/>
                </a:pPr>
                <a:r>
                  <a:rPr lang="en-US" sz="1000" b="1" i="0" baseline="0"/>
                  <a:t>δ</a:t>
                </a:r>
                <a:r>
                  <a:rPr lang="en-US" sz="1000" b="1" i="0" baseline="30000"/>
                  <a:t>18</a:t>
                </a:r>
                <a:r>
                  <a:rPr lang="en-US" sz="1000" b="1" i="0" baseline="0"/>
                  <a:t>O-NO</a:t>
                </a:r>
                <a:r>
                  <a:rPr lang="en-US" sz="1000" b="1" i="0" baseline="-25000"/>
                  <a:t>3</a:t>
                </a:r>
                <a:r>
                  <a:rPr lang="en-US" sz="1000" b="1" i="0" baseline="0"/>
                  <a:t>,  ‰vs. VSMOW</a:t>
                </a:r>
              </a:p>
            </c:rich>
          </c:tx>
        </c:title>
        <c:numFmt formatCode="0.00" sourceLinked="1"/>
        <c:tickLblPos val="nextTo"/>
        <c:crossAx val="58294656"/>
        <c:crosses val="autoZero"/>
        <c:crossBetween val="midCat"/>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363</TotalTime>
  <Pages>9</Pages>
  <Words>1766</Words>
  <Characters>10068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FloridaDep</Company>
  <LinksUpToDate>false</LinksUpToDate>
  <CharactersWithSpaces>11811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Maddox</dc:creator>
  <cp:lastModifiedBy>Gary Maddox</cp:lastModifiedBy>
  <cp:revision>13</cp:revision>
  <dcterms:created xsi:type="dcterms:W3CDTF">2012-10-22T21:55:00Z</dcterms:created>
  <dcterms:modified xsi:type="dcterms:W3CDTF">2012-11-02T17:11:00Z</dcterms:modified>
</cp:coreProperties>
</file>