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A84" w:rsidRDefault="0040738E" w:rsidP="005B3A84">
      <w:pPr>
        <w:spacing w:after="0"/>
        <w:jc w:val="center"/>
        <w:rPr>
          <w:b/>
          <w:sz w:val="48"/>
          <w:szCs w:val="48"/>
        </w:rPr>
      </w:pPr>
      <w:r w:rsidRPr="0040738E">
        <w:rPr>
          <w:b/>
          <w:sz w:val="48"/>
          <w:szCs w:val="48"/>
        </w:rPr>
        <w:t>SPRINGS ATLAS</w:t>
      </w:r>
    </w:p>
    <w:p w:rsidR="0040738E" w:rsidRPr="0040738E" w:rsidRDefault="0040738E" w:rsidP="005B3A84">
      <w:pPr>
        <w:spacing w:after="0"/>
        <w:jc w:val="center"/>
        <w:rPr>
          <w:i/>
          <w:color w:val="0070C0"/>
          <w:sz w:val="40"/>
          <w:szCs w:val="40"/>
        </w:rPr>
      </w:pPr>
      <w:r w:rsidRPr="0040738E">
        <w:rPr>
          <w:i/>
          <w:color w:val="0070C0"/>
          <w:sz w:val="40"/>
          <w:szCs w:val="40"/>
        </w:rPr>
        <w:t>Blue Spring – Jackson County, Florida</w:t>
      </w:r>
    </w:p>
    <w:p w:rsidR="0040738E" w:rsidRDefault="0040738E" w:rsidP="005B3A84">
      <w:pPr>
        <w:spacing w:after="0"/>
        <w:jc w:val="center"/>
        <w:rPr>
          <w:sz w:val="32"/>
          <w:szCs w:val="32"/>
        </w:rPr>
      </w:pPr>
      <w:r w:rsidRPr="0040738E">
        <w:rPr>
          <w:sz w:val="32"/>
          <w:szCs w:val="32"/>
        </w:rPr>
        <w:t>October, 2012</w:t>
      </w:r>
    </w:p>
    <w:p w:rsidR="0040738E" w:rsidRPr="0040738E" w:rsidRDefault="0040738E" w:rsidP="0040738E">
      <w:pPr>
        <w:jc w:val="center"/>
        <w:rPr>
          <w:sz w:val="32"/>
          <w:szCs w:val="32"/>
        </w:rPr>
      </w:pPr>
      <w:r>
        <w:rPr>
          <w:sz w:val="32"/>
          <w:szCs w:val="32"/>
        </w:rPr>
        <w:t>--------------------------------------------------------------------------------------------------------------</w:t>
      </w:r>
    </w:p>
    <w:p w:rsidR="0040738E" w:rsidRDefault="0040738E">
      <w:pPr>
        <w:sectPr w:rsidR="0040738E" w:rsidSect="0040738E">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pPr>
    </w:p>
    <w:p w:rsidR="005B3A84" w:rsidRPr="005B3A84" w:rsidRDefault="005B3A84" w:rsidP="005B6FC7">
      <w:pPr>
        <w:autoSpaceDE w:val="0"/>
        <w:autoSpaceDN w:val="0"/>
        <w:adjustRightInd w:val="0"/>
        <w:spacing w:after="0" w:line="240" w:lineRule="auto"/>
        <w:rPr>
          <w:rFonts w:ascii="Arial" w:hAnsi="Arial" w:cs="Arial"/>
          <w:b/>
          <w:sz w:val="26"/>
          <w:szCs w:val="26"/>
        </w:rPr>
      </w:pPr>
      <w:r w:rsidRPr="005B3A84">
        <w:rPr>
          <w:rFonts w:ascii="Arial" w:hAnsi="Arial" w:cs="Arial"/>
          <w:b/>
          <w:sz w:val="26"/>
          <w:szCs w:val="26"/>
        </w:rPr>
        <w:lastRenderedPageBreak/>
        <w:t>Background</w:t>
      </w:r>
    </w:p>
    <w:p w:rsidR="005B3A84" w:rsidRPr="005B3A84" w:rsidRDefault="005B3A84" w:rsidP="005B6FC7">
      <w:pPr>
        <w:autoSpaceDE w:val="0"/>
        <w:autoSpaceDN w:val="0"/>
        <w:adjustRightInd w:val="0"/>
        <w:spacing w:after="0" w:line="240" w:lineRule="auto"/>
        <w:rPr>
          <w:rFonts w:ascii="Arial" w:hAnsi="Arial" w:cs="Arial"/>
        </w:rPr>
      </w:pPr>
    </w:p>
    <w:p w:rsidR="005B3A84" w:rsidRDefault="005B6FC7" w:rsidP="005B3A84">
      <w:pPr>
        <w:autoSpaceDE w:val="0"/>
        <w:autoSpaceDN w:val="0"/>
        <w:adjustRightInd w:val="0"/>
        <w:spacing w:after="0" w:line="240" w:lineRule="auto"/>
        <w:jc w:val="both"/>
        <w:rPr>
          <w:rFonts w:ascii="Arial" w:hAnsi="Arial" w:cs="Arial"/>
        </w:rPr>
      </w:pPr>
      <w:r w:rsidRPr="005B3A84">
        <w:rPr>
          <w:rFonts w:ascii="Arial" w:hAnsi="Arial" w:cs="Arial"/>
        </w:rPr>
        <w:t xml:space="preserve">Blue Spring </w:t>
      </w:r>
      <w:r w:rsidR="00836AEE">
        <w:rPr>
          <w:rFonts w:ascii="Arial" w:hAnsi="Arial" w:cs="Arial"/>
        </w:rPr>
        <w:t xml:space="preserve">(aka Jackson Blue Spring) </w:t>
      </w:r>
      <w:r w:rsidRPr="005B3A84">
        <w:rPr>
          <w:rFonts w:ascii="Arial" w:hAnsi="Arial" w:cs="Arial"/>
        </w:rPr>
        <w:t xml:space="preserve">is located </w:t>
      </w:r>
      <w:r w:rsidR="005B3A84">
        <w:rPr>
          <w:rFonts w:ascii="Arial" w:hAnsi="Arial" w:cs="Arial"/>
        </w:rPr>
        <w:t xml:space="preserve">at the head of Merritts Mill Pond </w:t>
      </w:r>
      <w:r w:rsidRPr="005B3A84">
        <w:rPr>
          <w:rFonts w:ascii="Arial" w:hAnsi="Arial" w:cs="Arial"/>
        </w:rPr>
        <w:t xml:space="preserve">in </w:t>
      </w:r>
      <w:r w:rsidR="005B3A84">
        <w:rPr>
          <w:rFonts w:ascii="Arial" w:hAnsi="Arial" w:cs="Arial"/>
        </w:rPr>
        <w:t xml:space="preserve">east-central </w:t>
      </w:r>
      <w:r w:rsidRPr="005B3A84">
        <w:rPr>
          <w:rFonts w:ascii="Arial" w:hAnsi="Arial" w:cs="Arial"/>
        </w:rPr>
        <w:t>Jackson County,</w:t>
      </w:r>
      <w:r w:rsidR="005B3A84">
        <w:rPr>
          <w:rFonts w:ascii="Arial" w:hAnsi="Arial" w:cs="Arial"/>
        </w:rPr>
        <w:t xml:space="preserve"> </w:t>
      </w:r>
      <w:r w:rsidRPr="005B3A84">
        <w:rPr>
          <w:rFonts w:ascii="Arial" w:hAnsi="Arial" w:cs="Arial"/>
        </w:rPr>
        <w:t>Florida</w:t>
      </w:r>
      <w:r w:rsidR="005B3A84">
        <w:rPr>
          <w:rFonts w:ascii="Arial" w:hAnsi="Arial" w:cs="Arial"/>
        </w:rPr>
        <w:t xml:space="preserve">. It is a part of the greater Chipola River surface water basin. The ground water catchment basin (springshed) for Blue Spring comprises an area of approximately </w:t>
      </w:r>
      <w:r w:rsidR="007511CD">
        <w:rPr>
          <w:rFonts w:ascii="Arial" w:hAnsi="Arial" w:cs="Arial"/>
        </w:rPr>
        <w:t>300</w:t>
      </w:r>
      <w:r w:rsidR="005B3A84">
        <w:rPr>
          <w:rFonts w:ascii="Arial" w:hAnsi="Arial" w:cs="Arial"/>
        </w:rPr>
        <w:t xml:space="preserve"> km</w:t>
      </w:r>
      <w:r w:rsidR="005B3A84" w:rsidRPr="005B3A84">
        <w:rPr>
          <w:rFonts w:ascii="Arial" w:hAnsi="Arial" w:cs="Arial"/>
          <w:vertAlign w:val="superscript"/>
        </w:rPr>
        <w:t>2</w:t>
      </w:r>
      <w:r w:rsidR="007511CD">
        <w:rPr>
          <w:rFonts w:ascii="Arial" w:hAnsi="Arial" w:cs="Arial"/>
          <w:vertAlign w:val="superscript"/>
        </w:rPr>
        <w:t xml:space="preserve"> </w:t>
      </w:r>
      <w:r w:rsidR="007511CD" w:rsidRPr="007511CD">
        <w:rPr>
          <w:rFonts w:ascii="Arial" w:hAnsi="Arial" w:cs="Arial"/>
        </w:rPr>
        <w:t>wi</w:t>
      </w:r>
      <w:r w:rsidR="007511CD">
        <w:rPr>
          <w:rFonts w:ascii="Arial" w:hAnsi="Arial" w:cs="Arial"/>
        </w:rPr>
        <w:t>thin the Floridan aquifer system</w:t>
      </w:r>
      <w:r w:rsidR="005B3A84" w:rsidRPr="007511CD">
        <w:rPr>
          <w:rFonts w:ascii="Arial" w:hAnsi="Arial" w:cs="Arial"/>
        </w:rPr>
        <w:t>,</w:t>
      </w:r>
      <w:r w:rsidR="005B3A84">
        <w:rPr>
          <w:rFonts w:ascii="Arial" w:hAnsi="Arial" w:cs="Arial"/>
        </w:rPr>
        <w:t xml:space="preserve">  </w:t>
      </w:r>
      <w:r w:rsidR="00A10076">
        <w:rPr>
          <w:rFonts w:ascii="Arial" w:hAnsi="Arial" w:cs="Arial"/>
        </w:rPr>
        <w:t>tr</w:t>
      </w:r>
      <w:r w:rsidR="005B3A84">
        <w:rPr>
          <w:rFonts w:ascii="Arial" w:hAnsi="Arial" w:cs="Arial"/>
        </w:rPr>
        <w:t xml:space="preserve">ending generally </w:t>
      </w:r>
      <w:r w:rsidR="007511CD">
        <w:rPr>
          <w:rFonts w:ascii="Arial" w:hAnsi="Arial" w:cs="Arial"/>
        </w:rPr>
        <w:t xml:space="preserve">southeast and </w:t>
      </w:r>
      <w:r w:rsidR="005B3A84">
        <w:rPr>
          <w:rFonts w:ascii="Arial" w:hAnsi="Arial" w:cs="Arial"/>
        </w:rPr>
        <w:t>north</w:t>
      </w:r>
      <w:r w:rsidR="007511CD">
        <w:rPr>
          <w:rFonts w:ascii="Arial" w:hAnsi="Arial" w:cs="Arial"/>
        </w:rPr>
        <w:t xml:space="preserve"> </w:t>
      </w:r>
      <w:r w:rsidR="005B3A84">
        <w:rPr>
          <w:rFonts w:ascii="Arial" w:hAnsi="Arial" w:cs="Arial"/>
        </w:rPr>
        <w:t>from the head spring and extending into southeasatern Alabama.</w:t>
      </w:r>
      <w:r w:rsidR="007511CD">
        <w:rPr>
          <w:rFonts w:ascii="Arial" w:hAnsi="Arial" w:cs="Arial"/>
        </w:rPr>
        <w:t xml:space="preserve"> Land use within the springshed </w:t>
      </w:r>
      <w:r w:rsidR="00A10076">
        <w:rPr>
          <w:rFonts w:ascii="Arial" w:hAnsi="Arial" w:cs="Arial"/>
        </w:rPr>
        <w:t xml:space="preserve">primarily </w:t>
      </w:r>
      <w:r w:rsidR="007511CD">
        <w:rPr>
          <w:rFonts w:ascii="Arial" w:hAnsi="Arial" w:cs="Arial"/>
        </w:rPr>
        <w:t>consists of a roughly equal mix of upland forest and agricultural lands</w:t>
      </w:r>
      <w:r w:rsidR="000B4EAA">
        <w:rPr>
          <w:rFonts w:ascii="Arial" w:hAnsi="Arial" w:cs="Arial"/>
        </w:rPr>
        <w:t>.</w:t>
      </w:r>
    </w:p>
    <w:p w:rsidR="005B3A84" w:rsidRDefault="005B3A84" w:rsidP="005B3A84">
      <w:pPr>
        <w:autoSpaceDE w:val="0"/>
        <w:autoSpaceDN w:val="0"/>
        <w:adjustRightInd w:val="0"/>
        <w:spacing w:after="0" w:line="240" w:lineRule="auto"/>
        <w:jc w:val="both"/>
        <w:rPr>
          <w:rFonts w:ascii="Arial" w:hAnsi="Arial" w:cs="Arial"/>
        </w:rPr>
      </w:pPr>
    </w:p>
    <w:p w:rsidR="005B3A84" w:rsidRDefault="000B4EAA" w:rsidP="005B3A84">
      <w:pPr>
        <w:autoSpaceDE w:val="0"/>
        <w:autoSpaceDN w:val="0"/>
        <w:adjustRightInd w:val="0"/>
        <w:spacing w:after="0" w:line="240" w:lineRule="auto"/>
        <w:jc w:val="both"/>
        <w:rPr>
          <w:rFonts w:ascii="Arial" w:hAnsi="Arial" w:cs="Arial"/>
        </w:rPr>
      </w:pPr>
      <w:r>
        <w:rPr>
          <w:rFonts w:ascii="Arial" w:hAnsi="Arial" w:cs="Arial"/>
          <w:noProof/>
        </w:rPr>
        <w:drawing>
          <wp:inline distT="0" distB="0" distL="0" distR="0">
            <wp:extent cx="3200400" cy="2211705"/>
            <wp:effectExtent l="19050" t="0" r="0" b="0"/>
            <wp:docPr id="1" name="Picture 0" descr="Jackson Blue Locator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ckson Blue Locator map.jpg"/>
                    <pic:cNvPicPr/>
                  </pic:nvPicPr>
                  <pic:blipFill>
                    <a:blip r:embed="rId12" cstate="print"/>
                    <a:stretch>
                      <a:fillRect/>
                    </a:stretch>
                  </pic:blipFill>
                  <pic:spPr>
                    <a:xfrm>
                      <a:off x="0" y="0"/>
                      <a:ext cx="3200400" cy="2211705"/>
                    </a:xfrm>
                    <a:prstGeom prst="rect">
                      <a:avLst/>
                    </a:prstGeom>
                  </pic:spPr>
                </pic:pic>
              </a:graphicData>
            </a:graphic>
          </wp:inline>
        </w:drawing>
      </w:r>
    </w:p>
    <w:p w:rsidR="005B3A84" w:rsidRPr="000B4EAA" w:rsidRDefault="000B4EAA" w:rsidP="005B3A84">
      <w:pPr>
        <w:autoSpaceDE w:val="0"/>
        <w:autoSpaceDN w:val="0"/>
        <w:adjustRightInd w:val="0"/>
        <w:spacing w:after="0" w:line="240" w:lineRule="auto"/>
        <w:jc w:val="both"/>
        <w:rPr>
          <w:rFonts w:ascii="Arial" w:hAnsi="Arial" w:cs="Arial"/>
          <w:sz w:val="20"/>
          <w:szCs w:val="20"/>
        </w:rPr>
      </w:pPr>
      <w:r w:rsidRPr="000B4EAA">
        <w:rPr>
          <w:rFonts w:ascii="Arial" w:hAnsi="Arial" w:cs="Arial"/>
          <w:sz w:val="20"/>
          <w:szCs w:val="20"/>
        </w:rPr>
        <w:t>Figure 1: Location of Blue Spring in Jackson County, FL</w:t>
      </w:r>
    </w:p>
    <w:p w:rsidR="005B3A84" w:rsidRDefault="005B3A84" w:rsidP="005B3A84">
      <w:pPr>
        <w:autoSpaceDE w:val="0"/>
        <w:autoSpaceDN w:val="0"/>
        <w:adjustRightInd w:val="0"/>
        <w:spacing w:after="0" w:line="240" w:lineRule="auto"/>
        <w:jc w:val="both"/>
        <w:rPr>
          <w:rFonts w:ascii="Arial" w:hAnsi="Arial" w:cs="Arial"/>
        </w:rPr>
      </w:pPr>
    </w:p>
    <w:p w:rsidR="005B3A84" w:rsidRPr="000B4EAA" w:rsidRDefault="000B4EAA" w:rsidP="005B6FC7">
      <w:pPr>
        <w:autoSpaceDE w:val="0"/>
        <w:autoSpaceDN w:val="0"/>
        <w:adjustRightInd w:val="0"/>
        <w:spacing w:after="0" w:line="240" w:lineRule="auto"/>
        <w:rPr>
          <w:rFonts w:ascii="Arial" w:hAnsi="Arial" w:cs="Arial"/>
          <w:b/>
          <w:sz w:val="26"/>
          <w:szCs w:val="26"/>
        </w:rPr>
      </w:pPr>
      <w:r w:rsidRPr="000B4EAA">
        <w:rPr>
          <w:rFonts w:ascii="Arial" w:hAnsi="Arial" w:cs="Arial"/>
          <w:b/>
          <w:sz w:val="26"/>
          <w:szCs w:val="26"/>
        </w:rPr>
        <w:t>Water Quality</w:t>
      </w:r>
    </w:p>
    <w:p w:rsidR="005B3A84" w:rsidRDefault="005B3A84" w:rsidP="005B6FC7">
      <w:pPr>
        <w:autoSpaceDE w:val="0"/>
        <w:autoSpaceDN w:val="0"/>
        <w:adjustRightInd w:val="0"/>
        <w:spacing w:after="0" w:line="240" w:lineRule="auto"/>
        <w:rPr>
          <w:rFonts w:ascii="Arial" w:hAnsi="Arial" w:cs="Arial"/>
        </w:rPr>
      </w:pPr>
    </w:p>
    <w:p w:rsidR="00412CF3" w:rsidRDefault="00A10076" w:rsidP="00A10076">
      <w:pPr>
        <w:jc w:val="both"/>
        <w:rPr>
          <w:rFonts w:ascii="Arial" w:hAnsi="Arial" w:cs="Arial"/>
        </w:rPr>
      </w:pPr>
      <w:r>
        <w:rPr>
          <w:rFonts w:ascii="Arial" w:hAnsi="Arial" w:cs="Arial"/>
        </w:rPr>
        <w:t xml:space="preserve">Blue Spring has been sampled quarterly since 2002 for a large number of analytes, including major ions, nutrients, </w:t>
      </w:r>
      <w:r w:rsidR="00D15BA6">
        <w:rPr>
          <w:rFonts w:ascii="Arial" w:hAnsi="Arial" w:cs="Arial"/>
        </w:rPr>
        <w:t>saline indicators</w:t>
      </w:r>
      <w:r>
        <w:rPr>
          <w:rFonts w:ascii="Arial" w:hAnsi="Arial" w:cs="Arial"/>
        </w:rPr>
        <w:t xml:space="preserve"> and field analytes. Figure 2 summarizes these results</w:t>
      </w:r>
      <w:r w:rsidR="00D15BA6">
        <w:rPr>
          <w:rFonts w:ascii="Arial" w:hAnsi="Arial" w:cs="Arial"/>
        </w:rPr>
        <w:t xml:space="preserve"> for selected analytes</w:t>
      </w:r>
      <w:r>
        <w:rPr>
          <w:rFonts w:ascii="Arial" w:hAnsi="Arial" w:cs="Arial"/>
        </w:rPr>
        <w:t>.</w:t>
      </w:r>
    </w:p>
    <w:p w:rsidR="002F68AC" w:rsidRDefault="00D15BA6" w:rsidP="00A10076">
      <w:pPr>
        <w:jc w:val="both"/>
        <w:rPr>
          <w:rFonts w:ascii="Arial" w:hAnsi="Arial" w:cs="Arial"/>
        </w:rPr>
      </w:pPr>
      <w:r>
        <w:rPr>
          <w:rFonts w:ascii="Arial" w:hAnsi="Arial" w:cs="Arial"/>
        </w:rPr>
        <w:t xml:space="preserve">Nitrate levels are relatively high, and are in fact the second-highest measured among Florida’s first-magnitude springs. Phosphorus values are within the expected </w:t>
      </w:r>
      <w:r w:rsidR="003A4330">
        <w:rPr>
          <w:rFonts w:ascii="Arial" w:hAnsi="Arial" w:cs="Arial"/>
        </w:rPr>
        <w:t xml:space="preserve">normal </w:t>
      </w:r>
      <w:r>
        <w:rPr>
          <w:rFonts w:ascii="Arial" w:hAnsi="Arial" w:cs="Arial"/>
        </w:rPr>
        <w:t>range</w:t>
      </w:r>
      <w:r w:rsidR="003A4330">
        <w:rPr>
          <w:rFonts w:ascii="Arial" w:hAnsi="Arial" w:cs="Arial"/>
        </w:rPr>
        <w:t>s for Floridan aquifer system ground water</w:t>
      </w:r>
      <w:r>
        <w:rPr>
          <w:rFonts w:ascii="Arial" w:hAnsi="Arial" w:cs="Arial"/>
        </w:rPr>
        <w:t>. Figure 3 shows trend plots for both of these nutrients.</w:t>
      </w:r>
    </w:p>
    <w:p w:rsidR="00AC1C5F" w:rsidRDefault="00AC1C5F" w:rsidP="00A10076">
      <w:pPr>
        <w:jc w:val="both"/>
        <w:rPr>
          <w:rFonts w:ascii="Arial" w:hAnsi="Arial" w:cs="Arial"/>
        </w:rPr>
      </w:pPr>
    </w:p>
    <w:p w:rsidR="002E0AF6" w:rsidRDefault="002E0AF6" w:rsidP="00AC1C5F">
      <w:pPr>
        <w:autoSpaceDE w:val="0"/>
        <w:autoSpaceDN w:val="0"/>
        <w:adjustRightInd w:val="0"/>
        <w:spacing w:after="0" w:line="240" w:lineRule="auto"/>
        <w:jc w:val="center"/>
        <w:rPr>
          <w:rFonts w:ascii="Arial" w:hAnsi="Arial" w:cs="Arial"/>
          <w:sz w:val="20"/>
          <w:szCs w:val="20"/>
        </w:rPr>
      </w:pPr>
      <w:r>
        <w:rPr>
          <w:rFonts w:ascii="Arial" w:hAnsi="Arial" w:cs="Arial"/>
        </w:rPr>
        <w:object w:dxaOrig="5296" w:dyaOrig="29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75pt;height:147.75pt" o:ole="">
            <v:imagedata r:id="rId13" o:title=""/>
          </v:shape>
          <o:OLEObject Type="Embed" ProgID="Excel.Sheet.12" ShapeID="_x0000_i1025" DrawAspect="Content" ObjectID="_1410866778" r:id="rId14"/>
        </w:object>
      </w:r>
      <w:r w:rsidRPr="002E0AF6">
        <w:rPr>
          <w:rFonts w:ascii="Arial" w:hAnsi="Arial" w:cs="Arial"/>
          <w:sz w:val="20"/>
          <w:szCs w:val="20"/>
        </w:rPr>
        <w:t xml:space="preserve"> </w:t>
      </w:r>
      <w:r w:rsidRPr="000B4EAA">
        <w:rPr>
          <w:rFonts w:ascii="Arial" w:hAnsi="Arial" w:cs="Arial"/>
          <w:sz w:val="20"/>
          <w:szCs w:val="20"/>
        </w:rPr>
        <w:t xml:space="preserve">Figure </w:t>
      </w:r>
      <w:r>
        <w:rPr>
          <w:rFonts w:ascii="Arial" w:hAnsi="Arial" w:cs="Arial"/>
          <w:sz w:val="20"/>
          <w:szCs w:val="20"/>
        </w:rPr>
        <w:t>2</w:t>
      </w:r>
      <w:r w:rsidRPr="000B4EAA">
        <w:rPr>
          <w:rFonts w:ascii="Arial" w:hAnsi="Arial" w:cs="Arial"/>
          <w:sz w:val="20"/>
          <w:szCs w:val="20"/>
        </w:rPr>
        <w:t xml:space="preserve">: </w:t>
      </w:r>
      <w:r>
        <w:rPr>
          <w:rFonts w:ascii="Arial" w:hAnsi="Arial" w:cs="Arial"/>
          <w:sz w:val="20"/>
          <w:szCs w:val="20"/>
        </w:rPr>
        <w:t>Summary of Water Quality results 2002-2011</w:t>
      </w:r>
    </w:p>
    <w:p w:rsidR="002E0AF6" w:rsidRPr="000B4EAA" w:rsidRDefault="002E0AF6" w:rsidP="002E0AF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D15BA6" w:rsidRDefault="00D15BA6" w:rsidP="002E0AF6">
      <w:pPr>
        <w:spacing w:after="120"/>
        <w:jc w:val="both"/>
        <w:rPr>
          <w:rFonts w:ascii="Arial" w:hAnsi="Arial" w:cs="Arial"/>
        </w:rPr>
      </w:pPr>
      <w:r>
        <w:rPr>
          <w:rFonts w:ascii="Arial" w:hAnsi="Arial" w:cs="Arial"/>
        </w:rPr>
        <w:t xml:space="preserve">The pesticide hexazinone was detected in samples collected in 2002 by FDEP, but concentrations were </w:t>
      </w:r>
      <w:r w:rsidR="00522FBA">
        <w:rPr>
          <w:rFonts w:ascii="Arial" w:hAnsi="Arial" w:cs="Arial"/>
        </w:rPr>
        <w:t xml:space="preserve">very low - </w:t>
      </w:r>
      <w:r>
        <w:rPr>
          <w:rFonts w:ascii="Arial" w:hAnsi="Arial" w:cs="Arial"/>
        </w:rPr>
        <w:t xml:space="preserve">below the practical quantitation limits set by the </w:t>
      </w:r>
      <w:r w:rsidR="00522FBA">
        <w:rPr>
          <w:rFonts w:ascii="Arial" w:hAnsi="Arial" w:cs="Arial"/>
        </w:rPr>
        <w:t>analytical lab.</w:t>
      </w:r>
    </w:p>
    <w:p w:rsidR="002E0AF6" w:rsidRDefault="002E0AF6" w:rsidP="002E0AF6">
      <w:pPr>
        <w:spacing w:after="120"/>
        <w:jc w:val="both"/>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29" type="#_x0000_t202" style="position:absolute;left:0;text-align:left;margin-left:.75pt;margin-top:6.3pt;width:252pt;height:177pt;z-index:251661312">
            <v:textbox>
              <w:txbxContent>
                <w:p w:rsidR="002E0AF6" w:rsidRDefault="002E0AF6" w:rsidP="002E0AF6">
                  <w:r>
                    <w:t>(Placeholder for nutrient trend graph: NO</w:t>
                  </w:r>
                  <w:r w:rsidRPr="002E0AF6">
                    <w:rPr>
                      <w:vertAlign w:val="subscript"/>
                    </w:rPr>
                    <w:t>2</w:t>
                  </w:r>
                  <w:r>
                    <w:t>+NO</w:t>
                  </w:r>
                  <w:r w:rsidRPr="002E0AF6">
                    <w:rPr>
                      <w:vertAlign w:val="subscript"/>
                    </w:rPr>
                    <w:t>3</w:t>
                  </w:r>
                  <w:r>
                    <w:t xml:space="preserve"> &amp; </w:t>
                  </w:r>
                  <w:r w:rsidR="00252C7E">
                    <w:t>P</w:t>
                  </w:r>
                  <w:r>
                    <w:t>hosphorus 2002-2011)</w:t>
                  </w:r>
                </w:p>
                <w:p w:rsidR="002E0AF6" w:rsidRDefault="002E0AF6"/>
              </w:txbxContent>
            </v:textbox>
          </v:shape>
        </w:pict>
      </w:r>
    </w:p>
    <w:p w:rsidR="002E0AF6" w:rsidRDefault="002E0AF6" w:rsidP="002E0AF6">
      <w:pPr>
        <w:spacing w:after="120"/>
        <w:jc w:val="both"/>
        <w:rPr>
          <w:rFonts w:ascii="Arial" w:hAnsi="Arial" w:cs="Arial"/>
        </w:rPr>
      </w:pPr>
    </w:p>
    <w:p w:rsidR="002E0AF6" w:rsidRDefault="002E0AF6" w:rsidP="002E0AF6">
      <w:pPr>
        <w:spacing w:after="120"/>
        <w:jc w:val="both"/>
        <w:rPr>
          <w:rFonts w:ascii="Arial" w:hAnsi="Arial" w:cs="Arial"/>
        </w:rPr>
      </w:pPr>
    </w:p>
    <w:p w:rsidR="002E0AF6" w:rsidRDefault="002E0AF6" w:rsidP="002E0AF6">
      <w:pPr>
        <w:spacing w:after="120"/>
        <w:jc w:val="both"/>
        <w:rPr>
          <w:rFonts w:ascii="Arial" w:hAnsi="Arial" w:cs="Arial"/>
        </w:rPr>
      </w:pPr>
    </w:p>
    <w:p w:rsidR="002E0AF6" w:rsidRDefault="002E0AF6" w:rsidP="002E0AF6">
      <w:pPr>
        <w:spacing w:after="120"/>
        <w:jc w:val="both"/>
        <w:rPr>
          <w:rFonts w:ascii="Arial" w:hAnsi="Arial" w:cs="Arial"/>
        </w:rPr>
      </w:pPr>
    </w:p>
    <w:p w:rsidR="002E0AF6" w:rsidRDefault="002E0AF6" w:rsidP="002E0AF6">
      <w:pPr>
        <w:spacing w:after="120"/>
        <w:jc w:val="both"/>
        <w:rPr>
          <w:rFonts w:ascii="Arial" w:hAnsi="Arial" w:cs="Arial"/>
        </w:rPr>
      </w:pPr>
    </w:p>
    <w:p w:rsidR="002E0AF6" w:rsidRDefault="002E0AF6" w:rsidP="002E0AF6">
      <w:pPr>
        <w:spacing w:after="120"/>
        <w:jc w:val="both"/>
        <w:rPr>
          <w:rFonts w:ascii="Arial" w:hAnsi="Arial" w:cs="Arial"/>
        </w:rPr>
      </w:pPr>
    </w:p>
    <w:p w:rsidR="002E0AF6" w:rsidRDefault="002E0AF6" w:rsidP="002E0AF6">
      <w:pPr>
        <w:spacing w:after="120"/>
        <w:jc w:val="both"/>
        <w:rPr>
          <w:rFonts w:ascii="Arial" w:hAnsi="Arial" w:cs="Arial"/>
        </w:rPr>
      </w:pPr>
    </w:p>
    <w:p w:rsidR="002E0AF6" w:rsidRDefault="002E0AF6" w:rsidP="002E0AF6">
      <w:pPr>
        <w:spacing w:after="120"/>
        <w:jc w:val="both"/>
        <w:rPr>
          <w:rFonts w:ascii="Arial" w:hAnsi="Arial" w:cs="Arial"/>
        </w:rPr>
      </w:pPr>
    </w:p>
    <w:p w:rsidR="00AC1C5F" w:rsidRPr="000B4EAA" w:rsidRDefault="00AC1C5F" w:rsidP="00AC1C5F">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Pr>
          <w:rFonts w:ascii="Arial" w:hAnsi="Arial" w:cs="Arial"/>
          <w:sz w:val="20"/>
          <w:szCs w:val="20"/>
        </w:rPr>
        <w:t>3</w:t>
      </w:r>
      <w:r w:rsidRPr="000B4EAA">
        <w:rPr>
          <w:rFonts w:ascii="Arial" w:hAnsi="Arial" w:cs="Arial"/>
          <w:sz w:val="20"/>
          <w:szCs w:val="20"/>
        </w:rPr>
        <w:t xml:space="preserve">: </w:t>
      </w:r>
      <w:r>
        <w:rPr>
          <w:rFonts w:ascii="Arial" w:hAnsi="Arial" w:cs="Arial"/>
          <w:sz w:val="20"/>
          <w:szCs w:val="20"/>
        </w:rPr>
        <w:t>Nutrient trends 2002-2011</w:t>
      </w:r>
    </w:p>
    <w:p w:rsidR="002E0AF6" w:rsidRDefault="002E0AF6" w:rsidP="00412CF3">
      <w:pPr>
        <w:autoSpaceDE w:val="0"/>
        <w:autoSpaceDN w:val="0"/>
        <w:adjustRightInd w:val="0"/>
        <w:spacing w:after="0" w:line="240" w:lineRule="auto"/>
        <w:rPr>
          <w:rFonts w:ascii="Arial" w:hAnsi="Arial" w:cs="Arial"/>
          <w:b/>
          <w:sz w:val="26"/>
          <w:szCs w:val="26"/>
        </w:rPr>
      </w:pPr>
    </w:p>
    <w:p w:rsidR="00412CF3" w:rsidRPr="00412CF3" w:rsidRDefault="00412CF3" w:rsidP="00412CF3">
      <w:pPr>
        <w:autoSpaceDE w:val="0"/>
        <w:autoSpaceDN w:val="0"/>
        <w:adjustRightInd w:val="0"/>
        <w:spacing w:after="0" w:line="240" w:lineRule="auto"/>
        <w:rPr>
          <w:rFonts w:ascii="Arial" w:hAnsi="Arial" w:cs="Arial"/>
          <w:b/>
          <w:sz w:val="26"/>
          <w:szCs w:val="26"/>
        </w:rPr>
      </w:pPr>
      <w:r w:rsidRPr="00412CF3">
        <w:rPr>
          <w:rFonts w:ascii="Arial" w:hAnsi="Arial" w:cs="Arial"/>
          <w:b/>
          <w:sz w:val="26"/>
          <w:szCs w:val="26"/>
        </w:rPr>
        <w:t>Ecological Balance</w:t>
      </w:r>
    </w:p>
    <w:p w:rsidR="00412CF3" w:rsidRDefault="00412CF3" w:rsidP="00412CF3">
      <w:pPr>
        <w:autoSpaceDE w:val="0"/>
        <w:autoSpaceDN w:val="0"/>
        <w:adjustRightInd w:val="0"/>
        <w:spacing w:after="0" w:line="240" w:lineRule="auto"/>
        <w:rPr>
          <w:rFonts w:ascii="Arial" w:hAnsi="Arial" w:cs="Arial"/>
        </w:rPr>
      </w:pPr>
    </w:p>
    <w:p w:rsidR="0040738E" w:rsidRDefault="00522FBA" w:rsidP="00412CF3">
      <w:pPr>
        <w:jc w:val="both"/>
        <w:rPr>
          <w:rFonts w:ascii="Arial" w:hAnsi="Arial" w:cs="Arial"/>
        </w:rPr>
      </w:pPr>
      <w:r>
        <w:rPr>
          <w:rFonts w:ascii="Arial" w:hAnsi="Arial" w:cs="Arial"/>
        </w:rPr>
        <w:t xml:space="preserve">Despite elevated nitrate concentrations, bioassessments at </w:t>
      </w:r>
      <w:r w:rsidR="00412CF3">
        <w:rPr>
          <w:rFonts w:ascii="Arial" w:hAnsi="Arial" w:cs="Arial"/>
        </w:rPr>
        <w:t xml:space="preserve">Blue Spring </w:t>
      </w:r>
      <w:r>
        <w:rPr>
          <w:rFonts w:ascii="Arial" w:hAnsi="Arial" w:cs="Arial"/>
        </w:rPr>
        <w:t xml:space="preserve">have not shown an imbalance in submerged aquatic vegetation distribution; however, Merritts Mill Pond is an artificial reservoir, and no data exists on biological </w:t>
      </w:r>
      <w:r>
        <w:rPr>
          <w:rFonts w:ascii="Arial" w:hAnsi="Arial" w:cs="Arial"/>
        </w:rPr>
        <w:lastRenderedPageBreak/>
        <w:t xml:space="preserve">conditions within the spring run prior to impoundment. An FDEP </w:t>
      </w:r>
      <w:r w:rsidR="003A4330">
        <w:rPr>
          <w:rFonts w:ascii="Arial" w:hAnsi="Arial" w:cs="Arial"/>
        </w:rPr>
        <w:t>e</w:t>
      </w:r>
      <w:r>
        <w:rPr>
          <w:rFonts w:ascii="Arial" w:hAnsi="Arial" w:cs="Arial"/>
        </w:rPr>
        <w:t xml:space="preserve">cosummary conducted in April, 2002 listed the spring as impaired </w:t>
      </w:r>
      <w:r w:rsidR="003A4330">
        <w:rPr>
          <w:rFonts w:ascii="Arial" w:hAnsi="Arial" w:cs="Arial"/>
        </w:rPr>
        <w:t>due to</w:t>
      </w:r>
      <w:r>
        <w:rPr>
          <w:rFonts w:ascii="Arial" w:hAnsi="Arial" w:cs="Arial"/>
        </w:rPr>
        <w:t xml:space="preserve"> </w:t>
      </w:r>
      <w:r w:rsidR="00DF0748">
        <w:rPr>
          <w:rFonts w:ascii="Arial" w:hAnsi="Arial" w:cs="Arial"/>
        </w:rPr>
        <w:t>elevated</w:t>
      </w:r>
      <w:r>
        <w:rPr>
          <w:rFonts w:ascii="Arial" w:hAnsi="Arial" w:cs="Arial"/>
        </w:rPr>
        <w:t xml:space="preserve"> nitrate concentrations. </w:t>
      </w:r>
    </w:p>
    <w:p w:rsidR="00412CF3" w:rsidRPr="00836AEE" w:rsidRDefault="00412CF3" w:rsidP="00412CF3">
      <w:pPr>
        <w:autoSpaceDE w:val="0"/>
        <w:autoSpaceDN w:val="0"/>
        <w:adjustRightInd w:val="0"/>
        <w:spacing w:after="0" w:line="240" w:lineRule="auto"/>
        <w:rPr>
          <w:rFonts w:ascii="Arial" w:hAnsi="Arial" w:cs="Arial"/>
          <w:b/>
          <w:sz w:val="26"/>
          <w:szCs w:val="26"/>
        </w:rPr>
      </w:pPr>
      <w:r w:rsidRPr="00836AEE">
        <w:rPr>
          <w:rFonts w:ascii="Arial" w:hAnsi="Arial" w:cs="Arial"/>
          <w:b/>
          <w:sz w:val="26"/>
          <w:szCs w:val="26"/>
        </w:rPr>
        <w:t>Discharge</w:t>
      </w:r>
    </w:p>
    <w:p w:rsidR="00412CF3" w:rsidRPr="00836AEE" w:rsidRDefault="00412CF3" w:rsidP="00412CF3">
      <w:pPr>
        <w:autoSpaceDE w:val="0"/>
        <w:autoSpaceDN w:val="0"/>
        <w:adjustRightInd w:val="0"/>
        <w:spacing w:after="0" w:line="240" w:lineRule="auto"/>
        <w:rPr>
          <w:rFonts w:ascii="Arial" w:hAnsi="Arial" w:cs="Arial"/>
        </w:rPr>
      </w:pPr>
    </w:p>
    <w:p w:rsidR="00412CF3" w:rsidRPr="00836AEE" w:rsidRDefault="00412CF3" w:rsidP="0055329B">
      <w:pPr>
        <w:autoSpaceDE w:val="0"/>
        <w:autoSpaceDN w:val="0"/>
        <w:adjustRightInd w:val="0"/>
        <w:spacing w:after="0" w:line="240" w:lineRule="auto"/>
        <w:jc w:val="both"/>
        <w:rPr>
          <w:rFonts w:ascii="Arial" w:hAnsi="Arial" w:cs="Arial"/>
        </w:rPr>
      </w:pPr>
      <w:r w:rsidRPr="00836AEE">
        <w:rPr>
          <w:rFonts w:ascii="Arial" w:hAnsi="Arial" w:cs="Arial"/>
        </w:rPr>
        <w:t xml:space="preserve">Blue Spring </w:t>
      </w:r>
      <w:r w:rsidR="0055329B" w:rsidRPr="00836AEE">
        <w:rPr>
          <w:rFonts w:ascii="Arial" w:hAnsi="Arial" w:cs="Arial"/>
        </w:rPr>
        <w:t xml:space="preserve">is an historic first-magnitude spring, with an average discharge of </w:t>
      </w:r>
      <w:r w:rsidRPr="00836AEE">
        <w:rPr>
          <w:rFonts w:ascii="Arial" w:hAnsi="Arial" w:cs="Arial"/>
        </w:rPr>
        <w:t>86</w:t>
      </w:r>
      <w:r w:rsidR="0055329B" w:rsidRPr="00836AEE">
        <w:rPr>
          <w:rFonts w:ascii="Arial" w:hAnsi="Arial" w:cs="Arial"/>
        </w:rPr>
        <w:t xml:space="preserve"> </w:t>
      </w:r>
      <w:r w:rsidRPr="00836AEE">
        <w:rPr>
          <w:rFonts w:ascii="Arial" w:hAnsi="Arial" w:cs="Arial"/>
        </w:rPr>
        <w:t>mgd</w:t>
      </w:r>
      <w:r w:rsidR="0055329B" w:rsidRPr="00836AEE">
        <w:rPr>
          <w:rFonts w:ascii="Arial" w:hAnsi="Arial" w:cs="Arial"/>
        </w:rPr>
        <w:t xml:space="preserve"> </w:t>
      </w:r>
      <w:proofErr w:type="gramStart"/>
      <w:r w:rsidR="0055329B" w:rsidRPr="00836AEE">
        <w:rPr>
          <w:rFonts w:ascii="Arial" w:hAnsi="Arial" w:cs="Arial"/>
        </w:rPr>
        <w:t>(133 ft</w:t>
      </w:r>
      <w:r w:rsidR="0055329B" w:rsidRPr="00836AEE">
        <w:rPr>
          <w:rFonts w:ascii="Arial" w:hAnsi="Arial" w:cs="Arial"/>
          <w:vertAlign w:val="superscript"/>
        </w:rPr>
        <w:t>3</w:t>
      </w:r>
      <w:r w:rsidR="0055329B" w:rsidRPr="00836AEE">
        <w:rPr>
          <w:rFonts w:ascii="Arial" w:hAnsi="Arial" w:cs="Arial"/>
        </w:rPr>
        <w:t>/second)</w:t>
      </w:r>
      <w:proofErr w:type="gramEnd"/>
      <w:r w:rsidRPr="00836AEE">
        <w:rPr>
          <w:rFonts w:ascii="Arial" w:hAnsi="Arial" w:cs="Arial"/>
        </w:rPr>
        <w:t xml:space="preserve">. </w:t>
      </w:r>
      <w:r w:rsidR="0055329B" w:rsidRPr="00836AEE">
        <w:rPr>
          <w:rFonts w:ascii="Arial" w:hAnsi="Arial" w:cs="Arial"/>
        </w:rPr>
        <w:t>However, during</w:t>
      </w:r>
      <w:r w:rsidRPr="00836AEE">
        <w:rPr>
          <w:rFonts w:ascii="Arial" w:hAnsi="Arial" w:cs="Arial"/>
        </w:rPr>
        <w:t xml:space="preserve"> the drought </w:t>
      </w:r>
      <w:r w:rsidR="0055329B" w:rsidRPr="00836AEE">
        <w:rPr>
          <w:rFonts w:ascii="Arial" w:hAnsi="Arial" w:cs="Arial"/>
        </w:rPr>
        <w:t xml:space="preserve">years </w:t>
      </w:r>
      <w:r w:rsidRPr="00836AEE">
        <w:rPr>
          <w:rFonts w:ascii="Arial" w:hAnsi="Arial" w:cs="Arial"/>
        </w:rPr>
        <w:t>of 2006 and 2007</w:t>
      </w:r>
      <w:r w:rsidR="0055329B" w:rsidRPr="00836AEE">
        <w:rPr>
          <w:rFonts w:ascii="Arial" w:hAnsi="Arial" w:cs="Arial"/>
        </w:rPr>
        <w:t xml:space="preserve">, discharge dropped </w:t>
      </w:r>
      <w:r w:rsidRPr="00836AEE">
        <w:rPr>
          <w:rFonts w:ascii="Arial" w:hAnsi="Arial" w:cs="Arial"/>
        </w:rPr>
        <w:t>to a low of about 18.2 mgd</w:t>
      </w:r>
      <w:r w:rsidR="0055329B" w:rsidRPr="00836AEE">
        <w:rPr>
          <w:rFonts w:ascii="Arial" w:hAnsi="Arial" w:cs="Arial"/>
        </w:rPr>
        <w:t xml:space="preserve"> </w:t>
      </w:r>
      <w:proofErr w:type="gramStart"/>
      <w:r w:rsidR="0055329B" w:rsidRPr="00836AEE">
        <w:rPr>
          <w:rFonts w:ascii="Arial" w:hAnsi="Arial" w:cs="Arial"/>
        </w:rPr>
        <w:t>(28 ft</w:t>
      </w:r>
      <w:r w:rsidR="0055329B" w:rsidRPr="00836AEE">
        <w:rPr>
          <w:rFonts w:ascii="Arial" w:hAnsi="Arial" w:cs="Arial"/>
          <w:vertAlign w:val="superscript"/>
        </w:rPr>
        <w:t>3</w:t>
      </w:r>
      <w:r w:rsidR="0055329B" w:rsidRPr="00836AEE">
        <w:rPr>
          <w:rFonts w:ascii="Arial" w:hAnsi="Arial" w:cs="Arial"/>
        </w:rPr>
        <w:t>/second)</w:t>
      </w:r>
      <w:proofErr w:type="gramEnd"/>
      <w:r w:rsidRPr="00836AEE">
        <w:rPr>
          <w:rFonts w:ascii="Arial" w:hAnsi="Arial" w:cs="Arial"/>
        </w:rPr>
        <w:t xml:space="preserve">. </w:t>
      </w:r>
      <w:r w:rsidR="0055329B" w:rsidRPr="00836AEE">
        <w:rPr>
          <w:rFonts w:ascii="Arial" w:hAnsi="Arial" w:cs="Arial"/>
        </w:rPr>
        <w:t xml:space="preserve">These low discharge values reflect a combination of </w:t>
      </w:r>
      <w:r w:rsidR="007256FD" w:rsidRPr="00836AEE">
        <w:rPr>
          <w:rFonts w:ascii="Arial" w:hAnsi="Arial" w:cs="Arial"/>
        </w:rPr>
        <w:t>below normal</w:t>
      </w:r>
      <w:r w:rsidR="0055329B" w:rsidRPr="00836AEE">
        <w:rPr>
          <w:rFonts w:ascii="Arial" w:hAnsi="Arial" w:cs="Arial"/>
        </w:rPr>
        <w:t xml:space="preserve"> precipitation (and resulting low aquifer recharge levels) combined with large agricultural withdrawals within the springshed area.</w:t>
      </w:r>
    </w:p>
    <w:p w:rsidR="007256FD" w:rsidRPr="00836AEE" w:rsidRDefault="007256FD" w:rsidP="0055329B">
      <w:pPr>
        <w:autoSpaceDE w:val="0"/>
        <w:autoSpaceDN w:val="0"/>
        <w:adjustRightInd w:val="0"/>
        <w:spacing w:after="0" w:line="240" w:lineRule="auto"/>
        <w:jc w:val="both"/>
        <w:rPr>
          <w:rFonts w:ascii="Arial" w:hAnsi="Arial" w:cs="Arial"/>
        </w:rPr>
      </w:pPr>
    </w:p>
    <w:p w:rsidR="0055329B" w:rsidRDefault="00161C34" w:rsidP="0055329B">
      <w:pPr>
        <w:autoSpaceDE w:val="0"/>
        <w:autoSpaceDN w:val="0"/>
        <w:adjustRightInd w:val="0"/>
        <w:spacing w:after="0" w:line="240" w:lineRule="auto"/>
        <w:jc w:val="both"/>
        <w:rPr>
          <w:rFonts w:ascii="Arial" w:hAnsi="Arial" w:cs="Arial"/>
        </w:rPr>
      </w:pPr>
      <w:r>
        <w:rPr>
          <w:rFonts w:ascii="Arial" w:hAnsi="Arial" w:cs="Arial"/>
        </w:rPr>
        <w:t xml:space="preserve">Quarterly discharge measurements were made by </w:t>
      </w:r>
      <w:r w:rsidRPr="00836AEE">
        <w:rPr>
          <w:rFonts w:ascii="Arial" w:hAnsi="Arial" w:cs="Arial"/>
        </w:rPr>
        <w:t>Northwest Florida Water Management District</w:t>
      </w:r>
      <w:r>
        <w:rPr>
          <w:rFonts w:ascii="Arial" w:hAnsi="Arial" w:cs="Arial"/>
        </w:rPr>
        <w:t xml:space="preserve"> (NWFWMD), the Florida Geological Survey, and the U.S. Geological Survey from 2002 – 20</w:t>
      </w:r>
      <w:r w:rsidR="00B37BFB">
        <w:rPr>
          <w:rFonts w:ascii="Arial" w:hAnsi="Arial" w:cs="Arial"/>
        </w:rPr>
        <w:t>10</w:t>
      </w:r>
      <w:r>
        <w:rPr>
          <w:rFonts w:ascii="Arial" w:hAnsi="Arial" w:cs="Arial"/>
        </w:rPr>
        <w:t xml:space="preserve"> (Figure </w:t>
      </w:r>
      <w:r w:rsidR="00AC1C5F">
        <w:rPr>
          <w:rFonts w:ascii="Arial" w:hAnsi="Arial" w:cs="Arial"/>
        </w:rPr>
        <w:t>4</w:t>
      </w:r>
      <w:r>
        <w:rPr>
          <w:rFonts w:ascii="Arial" w:hAnsi="Arial" w:cs="Arial"/>
        </w:rPr>
        <w:t xml:space="preserve">). </w:t>
      </w:r>
      <w:r w:rsidR="007256FD" w:rsidRPr="00836AEE">
        <w:rPr>
          <w:rFonts w:ascii="Arial" w:hAnsi="Arial" w:cs="Arial"/>
        </w:rPr>
        <w:t>A U</w:t>
      </w:r>
      <w:r>
        <w:rPr>
          <w:rFonts w:ascii="Arial" w:hAnsi="Arial" w:cs="Arial"/>
        </w:rPr>
        <w:t>SGS</w:t>
      </w:r>
      <w:r w:rsidR="007256FD" w:rsidRPr="00836AEE">
        <w:rPr>
          <w:rFonts w:ascii="Arial" w:hAnsi="Arial" w:cs="Arial"/>
        </w:rPr>
        <w:t xml:space="preserve"> gaging station (02358</w:t>
      </w:r>
      <w:r w:rsidR="00EF44DE">
        <w:rPr>
          <w:rFonts w:ascii="Arial" w:hAnsi="Arial" w:cs="Arial"/>
        </w:rPr>
        <w:t>97</w:t>
      </w:r>
      <w:r w:rsidR="007256FD" w:rsidRPr="00836AEE">
        <w:rPr>
          <w:rFonts w:ascii="Arial" w:hAnsi="Arial" w:cs="Arial"/>
        </w:rPr>
        <w:t xml:space="preserve">5) was established in Merritts Millpond just below </w:t>
      </w:r>
      <w:r w:rsidR="007256FD" w:rsidRPr="00161C34">
        <w:rPr>
          <w:rFonts w:ascii="Arial" w:hAnsi="Arial" w:cs="Arial"/>
        </w:rPr>
        <w:t xml:space="preserve">Blue Spring, and collected </w:t>
      </w:r>
      <w:r w:rsidRPr="00161C34">
        <w:rPr>
          <w:rFonts w:ascii="Arial" w:hAnsi="Arial" w:cs="Arial"/>
        </w:rPr>
        <w:t xml:space="preserve">real-time </w:t>
      </w:r>
      <w:r w:rsidR="007256FD" w:rsidRPr="00161C34">
        <w:rPr>
          <w:rFonts w:ascii="Arial" w:hAnsi="Arial" w:cs="Arial"/>
        </w:rPr>
        <w:t xml:space="preserve">discharge data from </w:t>
      </w:r>
      <w:r w:rsidRPr="00161C34">
        <w:rPr>
          <w:rFonts w:ascii="Arial" w:hAnsi="Arial" w:cs="Arial"/>
        </w:rPr>
        <w:t>2002 through 20</w:t>
      </w:r>
      <w:r w:rsidR="00B37BFB">
        <w:rPr>
          <w:rFonts w:ascii="Arial" w:hAnsi="Arial" w:cs="Arial"/>
        </w:rPr>
        <w:t>10</w:t>
      </w:r>
      <w:r w:rsidRPr="00161C34">
        <w:rPr>
          <w:rFonts w:ascii="Arial" w:hAnsi="Arial" w:cs="Arial"/>
        </w:rPr>
        <w:t>.</w:t>
      </w:r>
      <w:r w:rsidR="007256FD" w:rsidRPr="00161C34">
        <w:rPr>
          <w:rFonts w:ascii="Arial" w:hAnsi="Arial" w:cs="Arial"/>
        </w:rPr>
        <w:t xml:space="preserve"> </w:t>
      </w:r>
    </w:p>
    <w:p w:rsidR="00161C34" w:rsidRDefault="00161C34" w:rsidP="0055329B">
      <w:pPr>
        <w:autoSpaceDE w:val="0"/>
        <w:autoSpaceDN w:val="0"/>
        <w:adjustRightInd w:val="0"/>
        <w:spacing w:after="0" w:line="240" w:lineRule="auto"/>
        <w:jc w:val="both"/>
        <w:rPr>
          <w:rFonts w:ascii="Arial" w:hAnsi="Arial" w:cs="Arial"/>
        </w:rPr>
      </w:pPr>
    </w:p>
    <w:p w:rsidR="00B37BFB" w:rsidRDefault="00B37BFB" w:rsidP="0055329B">
      <w:pPr>
        <w:autoSpaceDE w:val="0"/>
        <w:autoSpaceDN w:val="0"/>
        <w:adjustRightInd w:val="0"/>
        <w:spacing w:after="0" w:line="240" w:lineRule="auto"/>
        <w:jc w:val="both"/>
        <w:rPr>
          <w:rFonts w:ascii="Arial" w:hAnsi="Arial" w:cs="Arial"/>
        </w:rPr>
      </w:pPr>
      <w:r w:rsidRPr="00B37BFB">
        <w:rPr>
          <w:rFonts w:ascii="Arial" w:hAnsi="Arial" w:cs="Arial"/>
          <w:noProof/>
          <w:lang w:eastAsia="zh-TW"/>
        </w:rPr>
        <w:pict>
          <v:shape id="_x0000_s1026" type="#_x0000_t202" style="position:absolute;left:0;text-align:left;margin-left:0;margin-top:0;width:253.7pt;height:167.55pt;z-index:251660288;mso-position-horizontal:center;mso-width-relative:margin;mso-height-relative:margin">
            <v:textbox>
              <w:txbxContent>
                <w:p w:rsidR="00B37BFB" w:rsidRDefault="00B37BFB">
                  <w:r>
                    <w:t>(Placeholder for quarterly discharge graph 2002-2010)</w:t>
                  </w:r>
                </w:p>
              </w:txbxContent>
            </v:textbox>
          </v:shape>
        </w:pict>
      </w:r>
    </w:p>
    <w:p w:rsidR="00B37BFB" w:rsidRPr="00836AEE" w:rsidRDefault="00B37BFB" w:rsidP="0055329B">
      <w:pPr>
        <w:autoSpaceDE w:val="0"/>
        <w:autoSpaceDN w:val="0"/>
        <w:adjustRightInd w:val="0"/>
        <w:spacing w:after="0" w:line="240" w:lineRule="auto"/>
        <w:jc w:val="both"/>
        <w:rPr>
          <w:rFonts w:ascii="Arial" w:hAnsi="Arial" w:cs="Arial"/>
        </w:rPr>
      </w:pPr>
    </w:p>
    <w:p w:rsidR="00B37BFB" w:rsidRDefault="00B37BFB" w:rsidP="00412CF3">
      <w:pPr>
        <w:autoSpaceDE w:val="0"/>
        <w:autoSpaceDN w:val="0"/>
        <w:adjustRightInd w:val="0"/>
        <w:spacing w:after="0" w:line="240" w:lineRule="auto"/>
        <w:rPr>
          <w:rFonts w:ascii="Arial" w:hAnsi="Arial" w:cs="Arial"/>
          <w:b/>
          <w:sz w:val="26"/>
          <w:szCs w:val="26"/>
        </w:rPr>
      </w:pPr>
    </w:p>
    <w:p w:rsidR="00B37BFB" w:rsidRDefault="00B37BFB" w:rsidP="00412CF3">
      <w:pPr>
        <w:autoSpaceDE w:val="0"/>
        <w:autoSpaceDN w:val="0"/>
        <w:adjustRightInd w:val="0"/>
        <w:spacing w:after="0" w:line="240" w:lineRule="auto"/>
        <w:rPr>
          <w:rFonts w:ascii="Arial" w:hAnsi="Arial" w:cs="Arial"/>
          <w:b/>
          <w:sz w:val="26"/>
          <w:szCs w:val="26"/>
        </w:rPr>
      </w:pPr>
    </w:p>
    <w:p w:rsidR="00B37BFB" w:rsidRDefault="00B37BFB" w:rsidP="00412CF3">
      <w:pPr>
        <w:autoSpaceDE w:val="0"/>
        <w:autoSpaceDN w:val="0"/>
        <w:adjustRightInd w:val="0"/>
        <w:spacing w:after="0" w:line="240" w:lineRule="auto"/>
        <w:rPr>
          <w:rFonts w:ascii="Arial" w:hAnsi="Arial" w:cs="Arial"/>
          <w:b/>
          <w:sz w:val="26"/>
          <w:szCs w:val="26"/>
        </w:rPr>
      </w:pPr>
    </w:p>
    <w:p w:rsidR="00B37BFB" w:rsidRDefault="00B37BFB" w:rsidP="00412CF3">
      <w:pPr>
        <w:autoSpaceDE w:val="0"/>
        <w:autoSpaceDN w:val="0"/>
        <w:adjustRightInd w:val="0"/>
        <w:spacing w:after="0" w:line="240" w:lineRule="auto"/>
        <w:rPr>
          <w:rFonts w:ascii="Arial" w:hAnsi="Arial" w:cs="Arial"/>
          <w:b/>
          <w:sz w:val="26"/>
          <w:szCs w:val="26"/>
        </w:rPr>
      </w:pPr>
    </w:p>
    <w:p w:rsidR="00B37BFB" w:rsidRDefault="00B37BFB" w:rsidP="00412CF3">
      <w:pPr>
        <w:autoSpaceDE w:val="0"/>
        <w:autoSpaceDN w:val="0"/>
        <w:adjustRightInd w:val="0"/>
        <w:spacing w:after="0" w:line="240" w:lineRule="auto"/>
        <w:rPr>
          <w:rFonts w:ascii="Arial" w:hAnsi="Arial" w:cs="Arial"/>
          <w:b/>
          <w:sz w:val="26"/>
          <w:szCs w:val="26"/>
        </w:rPr>
      </w:pPr>
    </w:p>
    <w:p w:rsidR="00B37BFB" w:rsidRDefault="00B37BFB" w:rsidP="00412CF3">
      <w:pPr>
        <w:autoSpaceDE w:val="0"/>
        <w:autoSpaceDN w:val="0"/>
        <w:adjustRightInd w:val="0"/>
        <w:spacing w:after="0" w:line="240" w:lineRule="auto"/>
        <w:rPr>
          <w:rFonts w:ascii="Arial" w:hAnsi="Arial" w:cs="Arial"/>
          <w:b/>
          <w:sz w:val="26"/>
          <w:szCs w:val="26"/>
        </w:rPr>
      </w:pPr>
    </w:p>
    <w:p w:rsidR="00B37BFB" w:rsidRDefault="00B37BFB" w:rsidP="00412CF3">
      <w:pPr>
        <w:autoSpaceDE w:val="0"/>
        <w:autoSpaceDN w:val="0"/>
        <w:adjustRightInd w:val="0"/>
        <w:spacing w:after="0" w:line="240" w:lineRule="auto"/>
        <w:rPr>
          <w:rFonts w:ascii="Arial" w:hAnsi="Arial" w:cs="Arial"/>
          <w:b/>
          <w:sz w:val="26"/>
          <w:szCs w:val="26"/>
        </w:rPr>
      </w:pPr>
    </w:p>
    <w:p w:rsidR="00B37BFB" w:rsidRDefault="00B37BFB" w:rsidP="00412CF3">
      <w:pPr>
        <w:autoSpaceDE w:val="0"/>
        <w:autoSpaceDN w:val="0"/>
        <w:adjustRightInd w:val="0"/>
        <w:spacing w:after="0" w:line="240" w:lineRule="auto"/>
        <w:rPr>
          <w:rFonts w:ascii="Arial" w:hAnsi="Arial" w:cs="Arial"/>
          <w:b/>
          <w:sz w:val="26"/>
          <w:szCs w:val="26"/>
        </w:rPr>
      </w:pPr>
    </w:p>
    <w:p w:rsidR="00B37BFB" w:rsidRDefault="00B37BFB" w:rsidP="00412CF3">
      <w:pPr>
        <w:autoSpaceDE w:val="0"/>
        <w:autoSpaceDN w:val="0"/>
        <w:adjustRightInd w:val="0"/>
        <w:spacing w:after="0" w:line="240" w:lineRule="auto"/>
        <w:rPr>
          <w:rFonts w:ascii="Arial" w:hAnsi="Arial" w:cs="Arial"/>
          <w:b/>
          <w:sz w:val="26"/>
          <w:szCs w:val="26"/>
        </w:rPr>
      </w:pPr>
    </w:p>
    <w:p w:rsidR="00252C7E" w:rsidRDefault="00252C7E" w:rsidP="00AC1C5F">
      <w:pPr>
        <w:autoSpaceDE w:val="0"/>
        <w:autoSpaceDN w:val="0"/>
        <w:adjustRightInd w:val="0"/>
        <w:spacing w:after="0" w:line="240" w:lineRule="auto"/>
        <w:jc w:val="center"/>
        <w:rPr>
          <w:rFonts w:ascii="Arial" w:hAnsi="Arial" w:cs="Arial"/>
          <w:sz w:val="20"/>
          <w:szCs w:val="20"/>
        </w:rPr>
      </w:pPr>
    </w:p>
    <w:p w:rsidR="00AC1C5F" w:rsidRPr="000B4EAA" w:rsidRDefault="00AC1C5F" w:rsidP="00AC1C5F">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Pr>
          <w:rFonts w:ascii="Arial" w:hAnsi="Arial" w:cs="Arial"/>
          <w:sz w:val="20"/>
          <w:szCs w:val="20"/>
        </w:rPr>
        <w:t>4</w:t>
      </w:r>
      <w:r w:rsidRPr="000B4EAA">
        <w:rPr>
          <w:rFonts w:ascii="Arial" w:hAnsi="Arial" w:cs="Arial"/>
          <w:sz w:val="20"/>
          <w:szCs w:val="20"/>
        </w:rPr>
        <w:t xml:space="preserve">: Blue Spring </w:t>
      </w:r>
      <w:r>
        <w:rPr>
          <w:rFonts w:ascii="Arial" w:hAnsi="Arial" w:cs="Arial"/>
          <w:sz w:val="20"/>
          <w:szCs w:val="20"/>
        </w:rPr>
        <w:t>discharge 2002-2010</w:t>
      </w:r>
    </w:p>
    <w:p w:rsidR="003A4330" w:rsidRDefault="003A4330" w:rsidP="00412CF3">
      <w:pPr>
        <w:autoSpaceDE w:val="0"/>
        <w:autoSpaceDN w:val="0"/>
        <w:adjustRightInd w:val="0"/>
        <w:spacing w:after="0" w:line="240" w:lineRule="auto"/>
        <w:rPr>
          <w:rFonts w:ascii="Arial" w:hAnsi="Arial" w:cs="Arial"/>
          <w:b/>
          <w:sz w:val="26"/>
          <w:szCs w:val="26"/>
        </w:rPr>
      </w:pPr>
    </w:p>
    <w:p w:rsidR="00AC1C5F" w:rsidRDefault="00AC1C5F" w:rsidP="00412CF3">
      <w:pPr>
        <w:autoSpaceDE w:val="0"/>
        <w:autoSpaceDN w:val="0"/>
        <w:adjustRightInd w:val="0"/>
        <w:spacing w:after="0" w:line="240" w:lineRule="auto"/>
        <w:rPr>
          <w:rFonts w:ascii="Arial" w:hAnsi="Arial" w:cs="Arial"/>
          <w:b/>
          <w:sz w:val="26"/>
          <w:szCs w:val="26"/>
        </w:rPr>
      </w:pPr>
    </w:p>
    <w:p w:rsidR="00412CF3" w:rsidRPr="00836AEE" w:rsidRDefault="00412CF3" w:rsidP="00412CF3">
      <w:pPr>
        <w:autoSpaceDE w:val="0"/>
        <w:autoSpaceDN w:val="0"/>
        <w:adjustRightInd w:val="0"/>
        <w:spacing w:after="0" w:line="240" w:lineRule="auto"/>
        <w:rPr>
          <w:rFonts w:ascii="Arial" w:hAnsi="Arial" w:cs="Arial"/>
          <w:b/>
          <w:sz w:val="26"/>
          <w:szCs w:val="26"/>
        </w:rPr>
      </w:pPr>
      <w:r w:rsidRPr="00836AEE">
        <w:rPr>
          <w:rFonts w:ascii="Arial" w:hAnsi="Arial" w:cs="Arial"/>
          <w:b/>
          <w:sz w:val="26"/>
          <w:szCs w:val="26"/>
        </w:rPr>
        <w:t>Actions</w:t>
      </w:r>
    </w:p>
    <w:p w:rsidR="00412CF3" w:rsidRPr="00836AEE" w:rsidRDefault="00412CF3" w:rsidP="00412CF3">
      <w:pPr>
        <w:autoSpaceDE w:val="0"/>
        <w:autoSpaceDN w:val="0"/>
        <w:adjustRightInd w:val="0"/>
        <w:spacing w:after="0" w:line="240" w:lineRule="auto"/>
        <w:rPr>
          <w:rFonts w:ascii="Arial" w:hAnsi="Arial" w:cs="Arial"/>
        </w:rPr>
      </w:pPr>
    </w:p>
    <w:p w:rsidR="00412CF3" w:rsidRDefault="00412CF3" w:rsidP="00836AEE">
      <w:pPr>
        <w:jc w:val="both"/>
        <w:rPr>
          <w:rFonts w:ascii="Arial" w:hAnsi="Arial" w:cs="Arial"/>
        </w:rPr>
      </w:pPr>
      <w:r w:rsidRPr="00836AEE">
        <w:rPr>
          <w:rFonts w:ascii="Arial" w:hAnsi="Arial" w:cs="Arial"/>
        </w:rPr>
        <w:t xml:space="preserve">Blue Spring </w:t>
      </w:r>
      <w:r w:rsidR="00836AEE" w:rsidRPr="00836AEE">
        <w:rPr>
          <w:rFonts w:ascii="Arial" w:hAnsi="Arial" w:cs="Arial"/>
        </w:rPr>
        <w:t xml:space="preserve">is currently monitored quarterly by the Northwest Florida Water Management District for water quality. Although measured nitrate levels are very high relative to most other Florida springs of this magnitude, there is little evidence of significant impacts to aquatic vegetation or biota within Blue Spring and the receiving waters of Merritts Mill </w:t>
      </w:r>
      <w:r w:rsidR="00836AEE" w:rsidRPr="00836AEE">
        <w:rPr>
          <w:rFonts w:ascii="Arial" w:hAnsi="Arial" w:cs="Arial"/>
        </w:rPr>
        <w:lastRenderedPageBreak/>
        <w:t>Pond. There is currently no proposed TMDL for Blue Spring.</w:t>
      </w:r>
    </w:p>
    <w:p w:rsidR="003A4330" w:rsidRPr="00836AEE" w:rsidRDefault="003A4330" w:rsidP="003A4330">
      <w:pPr>
        <w:autoSpaceDE w:val="0"/>
        <w:autoSpaceDN w:val="0"/>
        <w:adjustRightInd w:val="0"/>
        <w:spacing w:after="0" w:line="240" w:lineRule="auto"/>
        <w:rPr>
          <w:rFonts w:ascii="Arial" w:hAnsi="Arial" w:cs="Arial"/>
          <w:b/>
          <w:sz w:val="26"/>
          <w:szCs w:val="26"/>
        </w:rPr>
      </w:pPr>
      <w:r>
        <w:rPr>
          <w:rFonts w:ascii="Arial" w:hAnsi="Arial" w:cs="Arial"/>
          <w:b/>
          <w:sz w:val="26"/>
          <w:szCs w:val="26"/>
        </w:rPr>
        <w:t>Selected References:</w:t>
      </w:r>
    </w:p>
    <w:p w:rsidR="003A4330" w:rsidRPr="00836AEE" w:rsidRDefault="003A4330" w:rsidP="003A4330">
      <w:pPr>
        <w:autoSpaceDE w:val="0"/>
        <w:autoSpaceDN w:val="0"/>
        <w:adjustRightInd w:val="0"/>
        <w:spacing w:after="0" w:line="240" w:lineRule="auto"/>
        <w:rPr>
          <w:rFonts w:ascii="Arial" w:hAnsi="Arial" w:cs="Arial"/>
        </w:rPr>
      </w:pPr>
    </w:p>
    <w:p w:rsidR="003A4330" w:rsidRDefault="003A4330" w:rsidP="003A4330">
      <w:pPr>
        <w:jc w:val="both"/>
        <w:rPr>
          <w:rFonts w:ascii="Arial" w:hAnsi="Arial" w:cs="Arial"/>
        </w:rPr>
      </w:pPr>
      <w:proofErr w:type="gramStart"/>
      <w:r>
        <w:rPr>
          <w:rFonts w:ascii="Arial" w:hAnsi="Arial" w:cs="Arial"/>
        </w:rPr>
        <w:t>Barrios, Kristopher and Kevin DeFosset, 2005, Ground water chemical characterization of Jackson Blue Spring and Wakulla Springs, Florida; NWFWMD Water Resources Special report 05-01; 54 p.</w:t>
      </w:r>
      <w:proofErr w:type="gramEnd"/>
    </w:p>
    <w:p w:rsidR="007256FD" w:rsidRDefault="003A4330" w:rsidP="003A4330">
      <w:pPr>
        <w:jc w:val="both"/>
        <w:rPr>
          <w:rFonts w:ascii="Arial" w:hAnsi="Arial" w:cs="Arial"/>
        </w:rPr>
      </w:pPr>
      <w:proofErr w:type="gramStart"/>
      <w:r>
        <w:rPr>
          <w:rFonts w:ascii="Arial" w:hAnsi="Arial" w:cs="Arial"/>
        </w:rPr>
        <w:t>FDEP, April, 2002, Ecosummary – Jackson Blue Spring; 1 p.</w:t>
      </w:r>
      <w:proofErr w:type="gramEnd"/>
    </w:p>
    <w:p w:rsidR="003A4330" w:rsidRPr="00836AEE" w:rsidRDefault="003A4330" w:rsidP="003A4330">
      <w:pPr>
        <w:rPr>
          <w:rFonts w:ascii="Arial" w:hAnsi="Arial" w:cs="Arial"/>
        </w:rPr>
      </w:pPr>
    </w:p>
    <w:p w:rsidR="00584A41" w:rsidRPr="00836AEE" w:rsidRDefault="00584A41" w:rsidP="0055329B">
      <w:pPr>
        <w:rPr>
          <w:rFonts w:ascii="Arial" w:hAnsi="Arial" w:cs="Arial"/>
        </w:rPr>
      </w:pPr>
    </w:p>
    <w:p w:rsidR="00584A41" w:rsidRPr="00836AEE" w:rsidRDefault="007256FD" w:rsidP="00584A41">
      <w:pPr>
        <w:spacing w:after="0"/>
        <w:jc w:val="center"/>
        <w:rPr>
          <w:rFonts w:ascii="Arial" w:hAnsi="Arial" w:cs="Arial"/>
          <w:b/>
        </w:rPr>
      </w:pPr>
      <w:r w:rsidRPr="00836AEE">
        <w:rPr>
          <w:rFonts w:ascii="Arial" w:hAnsi="Arial" w:cs="Arial"/>
          <w:b/>
        </w:rPr>
        <w:t>For more information, contact</w:t>
      </w:r>
      <w:r w:rsidR="00584A41" w:rsidRPr="00836AEE">
        <w:rPr>
          <w:rFonts w:ascii="Arial" w:hAnsi="Arial" w:cs="Arial"/>
          <w:b/>
        </w:rPr>
        <w:t>:</w:t>
      </w:r>
    </w:p>
    <w:p w:rsidR="007256FD" w:rsidRPr="00584A41" w:rsidRDefault="007256FD" w:rsidP="00584A41">
      <w:pPr>
        <w:jc w:val="both"/>
        <w:rPr>
          <w:rFonts w:ascii="Arial" w:hAnsi="Arial" w:cs="Arial"/>
          <w:sz w:val="20"/>
          <w:szCs w:val="20"/>
        </w:rPr>
      </w:pPr>
      <w:r w:rsidRPr="00836AEE">
        <w:rPr>
          <w:rFonts w:ascii="Arial" w:hAnsi="Arial" w:cs="Arial"/>
          <w:sz w:val="20"/>
          <w:szCs w:val="20"/>
        </w:rPr>
        <w:t xml:space="preserve">Gary Maddox, </w:t>
      </w:r>
      <w:r w:rsidR="00584A41" w:rsidRPr="00836AEE">
        <w:rPr>
          <w:rFonts w:ascii="Arial" w:hAnsi="Arial" w:cs="Arial"/>
          <w:sz w:val="20"/>
          <w:szCs w:val="20"/>
        </w:rPr>
        <w:t>FDEP Ground Water Management Section, 2600 Blair Stone Rd; Tallahassee, FL 32399; (850)245-8511; Gary.Maddox@dep.state.fl</w:t>
      </w:r>
      <w:r w:rsidR="00584A41" w:rsidRPr="00584A41">
        <w:rPr>
          <w:rFonts w:ascii="Arial" w:hAnsi="Arial" w:cs="Arial"/>
          <w:sz w:val="20"/>
          <w:szCs w:val="20"/>
        </w:rPr>
        <w:t>.us</w:t>
      </w:r>
    </w:p>
    <w:sectPr w:rsidR="007256FD" w:rsidRPr="00584A41" w:rsidSect="0040738E">
      <w:type w:val="continuous"/>
      <w:pgSz w:w="12240" w:h="15840"/>
      <w:pgMar w:top="720" w:right="720" w:bottom="720" w:left="72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151" w:rsidRDefault="00AA1151" w:rsidP="00883C40">
      <w:pPr>
        <w:spacing w:after="0" w:line="240" w:lineRule="auto"/>
      </w:pPr>
      <w:r>
        <w:separator/>
      </w:r>
    </w:p>
  </w:endnote>
  <w:endnote w:type="continuationSeparator" w:id="0">
    <w:p w:rsidR="00AA1151" w:rsidRDefault="00AA1151" w:rsidP="00883C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40" w:rsidRDefault="00883C4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40" w:rsidRDefault="00883C4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40" w:rsidRDefault="00883C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151" w:rsidRDefault="00AA1151" w:rsidP="00883C40">
      <w:pPr>
        <w:spacing w:after="0" w:line="240" w:lineRule="auto"/>
      </w:pPr>
      <w:r>
        <w:separator/>
      </w:r>
    </w:p>
  </w:footnote>
  <w:footnote w:type="continuationSeparator" w:id="0">
    <w:p w:rsidR="00AA1151" w:rsidRDefault="00AA1151" w:rsidP="00883C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40" w:rsidRDefault="00883C4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279052"/>
      <w:docPartObj>
        <w:docPartGallery w:val="Watermarks"/>
        <w:docPartUnique/>
      </w:docPartObj>
    </w:sdtPr>
    <w:sdtContent>
      <w:p w:rsidR="00883C40" w:rsidRDefault="00392116">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40" w:rsidRDefault="00883C4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40738E"/>
    <w:rsid w:val="00052027"/>
    <w:rsid w:val="000B4EAA"/>
    <w:rsid w:val="00161C34"/>
    <w:rsid w:val="00252C7E"/>
    <w:rsid w:val="002E0AF6"/>
    <w:rsid w:val="002F68AC"/>
    <w:rsid w:val="00392116"/>
    <w:rsid w:val="003A4330"/>
    <w:rsid w:val="0040738E"/>
    <w:rsid w:val="00412CF3"/>
    <w:rsid w:val="005124D7"/>
    <w:rsid w:val="00522FBA"/>
    <w:rsid w:val="0055329B"/>
    <w:rsid w:val="00584A41"/>
    <w:rsid w:val="005B3A84"/>
    <w:rsid w:val="005B6FC7"/>
    <w:rsid w:val="007256FD"/>
    <w:rsid w:val="007511CD"/>
    <w:rsid w:val="00836AEE"/>
    <w:rsid w:val="00883C40"/>
    <w:rsid w:val="009F360B"/>
    <w:rsid w:val="00A10076"/>
    <w:rsid w:val="00AA1151"/>
    <w:rsid w:val="00AC1C5F"/>
    <w:rsid w:val="00B37BFB"/>
    <w:rsid w:val="00C656AA"/>
    <w:rsid w:val="00D15BA6"/>
    <w:rsid w:val="00DF0748"/>
    <w:rsid w:val="00EF44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0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83C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83C40"/>
  </w:style>
  <w:style w:type="paragraph" w:styleId="Footer">
    <w:name w:val="footer"/>
    <w:basedOn w:val="Normal"/>
    <w:link w:val="FooterChar"/>
    <w:uiPriority w:val="99"/>
    <w:semiHidden/>
    <w:unhideWhenUsed/>
    <w:rsid w:val="00883C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3C40"/>
  </w:style>
  <w:style w:type="paragraph" w:styleId="BalloonText">
    <w:name w:val="Balloon Text"/>
    <w:basedOn w:val="Normal"/>
    <w:link w:val="BalloonTextChar"/>
    <w:uiPriority w:val="99"/>
    <w:semiHidden/>
    <w:unhideWhenUsed/>
    <w:rsid w:val="000B4E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E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663860">
      <w:bodyDiv w:val="1"/>
      <w:marLeft w:val="0"/>
      <w:marRight w:val="0"/>
      <w:marTop w:val="0"/>
      <w:marBottom w:val="0"/>
      <w:divBdr>
        <w:top w:val="none" w:sz="0" w:space="0" w:color="auto"/>
        <w:left w:val="none" w:sz="0" w:space="0" w:color="auto"/>
        <w:bottom w:val="none" w:sz="0" w:space="0" w:color="auto"/>
        <w:right w:val="none" w:sz="0" w:space="0" w:color="auto"/>
      </w:divBdr>
    </w:div>
    <w:div w:id="819929447">
      <w:bodyDiv w:val="1"/>
      <w:marLeft w:val="0"/>
      <w:marRight w:val="0"/>
      <w:marTop w:val="0"/>
      <w:marBottom w:val="0"/>
      <w:divBdr>
        <w:top w:val="none" w:sz="0" w:space="0" w:color="auto"/>
        <w:left w:val="none" w:sz="0" w:space="0" w:color="auto"/>
        <w:bottom w:val="none" w:sz="0" w:space="0" w:color="auto"/>
        <w:right w:val="none" w:sz="0" w:space="0" w:color="auto"/>
      </w:divBdr>
    </w:div>
    <w:div w:id="102263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package" Target="embeddings/Microsoft_Office_Excel_Worksheet1.xlsx"/></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53C98"/>
    <w:rsid w:val="00853C98"/>
    <w:rsid w:val="00C750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F99D2E908A4A1BAEDF6D4111E1CFF6">
    <w:name w:val="4AF99D2E908A4A1BAEDF6D4111E1CFF6"/>
    <w:rsid w:val="00853C9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FloridaDep</Company>
  <LinksUpToDate>false</LinksUpToDate>
  <CharactersWithSpaces>3723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Maddox</dc:creator>
  <cp:lastModifiedBy>Gary Maddox</cp:lastModifiedBy>
  <cp:revision>3</cp:revision>
  <dcterms:created xsi:type="dcterms:W3CDTF">2012-10-04T18:16:00Z</dcterms:created>
  <dcterms:modified xsi:type="dcterms:W3CDTF">2012-10-04T18:40:00Z</dcterms:modified>
</cp:coreProperties>
</file>