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C1B" w:rsidRPr="003E5C1B" w:rsidRDefault="003E5C1B" w:rsidP="003E5C1B">
      <w:pPr>
        <w:shd w:val="clear" w:color="auto" w:fill="FFFFFF"/>
        <w:spacing w:after="0" w:line="240" w:lineRule="auto"/>
        <w:rPr>
          <w:rFonts w:ascii="Calibri" w:eastAsia="Times New Roman" w:hAnsi="Calibri" w:cs="Times New Roman"/>
          <w:color w:val="212121"/>
          <w:sz w:val="24"/>
          <w:szCs w:val="24"/>
        </w:rPr>
      </w:pPr>
      <w:r w:rsidRPr="003E5C1B">
        <w:rPr>
          <w:rFonts w:ascii="Calibri" w:eastAsia="Times New Roman" w:hAnsi="Calibri" w:cs="Times New Roman"/>
          <w:color w:val="212121"/>
          <w:sz w:val="24"/>
          <w:szCs w:val="24"/>
        </w:rPr>
        <w:pict>
          <v:rect id="_x0000_i1025" style="width:458.65pt;height:1.5pt" o:hrpct="980" o:hralign="center" o:hrstd="t" o:hr="t" fillcolor="#a0a0a0" stroked="f"/>
        </w:pict>
      </w:r>
    </w:p>
    <w:p w:rsidR="003E5C1B" w:rsidRPr="003E5C1B" w:rsidRDefault="003E5C1B" w:rsidP="003E5C1B">
      <w:pPr>
        <w:shd w:val="clear" w:color="auto" w:fill="FFFFFF"/>
        <w:spacing w:after="0" w:line="240" w:lineRule="auto"/>
        <w:rPr>
          <w:rFonts w:ascii="Calibri" w:eastAsia="Times New Roman" w:hAnsi="Calibri" w:cs="Times New Roman"/>
          <w:color w:val="212121"/>
          <w:sz w:val="24"/>
          <w:szCs w:val="24"/>
        </w:rPr>
      </w:pPr>
      <w:r w:rsidRPr="003E5C1B">
        <w:rPr>
          <w:rFonts w:ascii="Calibri" w:eastAsia="Times New Roman" w:hAnsi="Calibri" w:cs="Times New Roman"/>
          <w:b/>
          <w:bCs/>
          <w:color w:val="000000"/>
        </w:rPr>
        <w:t>From:</w:t>
      </w:r>
      <w:r w:rsidRPr="003E5C1B">
        <w:rPr>
          <w:rFonts w:ascii="Calibri" w:eastAsia="Times New Roman" w:hAnsi="Calibri" w:cs="Times New Roman"/>
          <w:color w:val="000000"/>
        </w:rPr>
        <w:t xml:space="preserve"> Harrington, Debra</w:t>
      </w:r>
      <w:r w:rsidRPr="003E5C1B">
        <w:rPr>
          <w:rFonts w:ascii="Calibri" w:eastAsia="Times New Roman" w:hAnsi="Calibri" w:cs="Times New Roman"/>
          <w:color w:val="000000"/>
        </w:rPr>
        <w:br/>
      </w:r>
      <w:r w:rsidRPr="003E5C1B">
        <w:rPr>
          <w:rFonts w:ascii="Calibri" w:eastAsia="Times New Roman" w:hAnsi="Calibri" w:cs="Times New Roman"/>
          <w:b/>
          <w:bCs/>
          <w:color w:val="000000"/>
        </w:rPr>
        <w:t>Sent:</w:t>
      </w:r>
      <w:r w:rsidRPr="003E5C1B">
        <w:rPr>
          <w:rFonts w:ascii="Calibri" w:eastAsia="Times New Roman" w:hAnsi="Calibri" w:cs="Times New Roman"/>
          <w:color w:val="000000"/>
        </w:rPr>
        <w:t xml:space="preserve"> Thursday, August 20, 2009 5:08 PM</w:t>
      </w:r>
      <w:r w:rsidRPr="003E5C1B">
        <w:rPr>
          <w:rFonts w:ascii="Calibri" w:eastAsia="Times New Roman" w:hAnsi="Calibri" w:cs="Times New Roman"/>
          <w:color w:val="000000"/>
        </w:rPr>
        <w:br/>
      </w:r>
      <w:r w:rsidRPr="003E5C1B">
        <w:rPr>
          <w:rFonts w:ascii="Calibri" w:eastAsia="Times New Roman" w:hAnsi="Calibri" w:cs="Times New Roman"/>
          <w:b/>
          <w:bCs/>
          <w:color w:val="000000"/>
        </w:rPr>
        <w:t>To:</w:t>
      </w:r>
      <w:r w:rsidRPr="003E5C1B">
        <w:rPr>
          <w:rFonts w:ascii="Calibri" w:eastAsia="Times New Roman" w:hAnsi="Calibri" w:cs="Times New Roman"/>
          <w:color w:val="000000"/>
        </w:rPr>
        <w:t xml:space="preserve"> </w:t>
      </w:r>
      <w:proofErr w:type="spellStart"/>
      <w:r w:rsidRPr="003E5C1B">
        <w:rPr>
          <w:rFonts w:ascii="Calibri" w:eastAsia="Times New Roman" w:hAnsi="Calibri" w:cs="Times New Roman"/>
          <w:color w:val="000000"/>
        </w:rPr>
        <w:t>Gihring</w:t>
      </w:r>
      <w:proofErr w:type="spellEnd"/>
      <w:r w:rsidRPr="003E5C1B">
        <w:rPr>
          <w:rFonts w:ascii="Calibri" w:eastAsia="Times New Roman" w:hAnsi="Calibri" w:cs="Times New Roman"/>
          <w:color w:val="000000"/>
        </w:rPr>
        <w:t>, Jennifer</w:t>
      </w:r>
      <w:r w:rsidRPr="003E5C1B">
        <w:rPr>
          <w:rFonts w:ascii="Calibri" w:eastAsia="Times New Roman" w:hAnsi="Calibri" w:cs="Times New Roman"/>
          <w:color w:val="000000"/>
        </w:rPr>
        <w:br/>
      </w:r>
      <w:r w:rsidRPr="003E5C1B">
        <w:rPr>
          <w:rFonts w:ascii="Calibri" w:eastAsia="Times New Roman" w:hAnsi="Calibri" w:cs="Times New Roman"/>
          <w:b/>
          <w:bCs/>
          <w:color w:val="000000"/>
        </w:rPr>
        <w:t>Cc:</w:t>
      </w:r>
      <w:r w:rsidRPr="003E5C1B">
        <w:rPr>
          <w:rFonts w:ascii="Calibri" w:eastAsia="Times New Roman" w:hAnsi="Calibri" w:cs="Times New Roman"/>
          <w:color w:val="000000"/>
        </w:rPr>
        <w:t xml:space="preserve"> Hicks, Richard W.; Tinsley, </w:t>
      </w:r>
      <w:proofErr w:type="spellStart"/>
      <w:r w:rsidRPr="003E5C1B">
        <w:rPr>
          <w:rFonts w:ascii="Calibri" w:eastAsia="Times New Roman" w:hAnsi="Calibri" w:cs="Times New Roman"/>
          <w:color w:val="000000"/>
        </w:rPr>
        <w:t>Teayann</w:t>
      </w:r>
      <w:proofErr w:type="spellEnd"/>
      <w:r w:rsidRPr="003E5C1B">
        <w:rPr>
          <w:rFonts w:ascii="Calibri" w:eastAsia="Times New Roman" w:hAnsi="Calibri" w:cs="Times New Roman"/>
          <w:color w:val="000000"/>
        </w:rPr>
        <w:t xml:space="preserve">; Gao, Xueqing; Nash, Anita; </w:t>
      </w:r>
      <w:proofErr w:type="spellStart"/>
      <w:r w:rsidRPr="003E5C1B">
        <w:rPr>
          <w:rFonts w:ascii="Calibri" w:eastAsia="Times New Roman" w:hAnsi="Calibri" w:cs="Times New Roman"/>
          <w:color w:val="000000"/>
        </w:rPr>
        <w:t>Bersok</w:t>
      </w:r>
      <w:proofErr w:type="spellEnd"/>
      <w:r w:rsidRPr="003E5C1B">
        <w:rPr>
          <w:rFonts w:ascii="Calibri" w:eastAsia="Times New Roman" w:hAnsi="Calibri" w:cs="Times New Roman"/>
          <w:color w:val="000000"/>
        </w:rPr>
        <w:t xml:space="preserve">, Connie; Ferraro, Chris; Wilson, Alicia; </w:t>
      </w:r>
      <w:proofErr w:type="spellStart"/>
      <w:r w:rsidRPr="003E5C1B">
        <w:rPr>
          <w:rFonts w:ascii="Calibri" w:eastAsia="Times New Roman" w:hAnsi="Calibri" w:cs="Times New Roman"/>
          <w:color w:val="000000"/>
        </w:rPr>
        <w:t>Frydenborg</w:t>
      </w:r>
      <w:proofErr w:type="spellEnd"/>
      <w:r w:rsidRPr="003E5C1B">
        <w:rPr>
          <w:rFonts w:ascii="Calibri" w:eastAsia="Times New Roman" w:hAnsi="Calibri" w:cs="Times New Roman"/>
          <w:color w:val="000000"/>
        </w:rPr>
        <w:t xml:space="preserve">, </w:t>
      </w:r>
      <w:proofErr w:type="spellStart"/>
      <w:r w:rsidRPr="003E5C1B">
        <w:rPr>
          <w:rFonts w:ascii="Calibri" w:eastAsia="Times New Roman" w:hAnsi="Calibri" w:cs="Times New Roman"/>
          <w:color w:val="000000"/>
        </w:rPr>
        <w:t>Russel</w:t>
      </w:r>
      <w:proofErr w:type="spellEnd"/>
      <w:r w:rsidRPr="003E5C1B">
        <w:rPr>
          <w:rFonts w:ascii="Calibri" w:eastAsia="Times New Roman" w:hAnsi="Calibri" w:cs="Times New Roman"/>
          <w:color w:val="000000"/>
        </w:rPr>
        <w:t xml:space="preserve">; Lewis, Nancy; </w:t>
      </w:r>
      <w:proofErr w:type="spellStart"/>
      <w:r w:rsidRPr="003E5C1B">
        <w:rPr>
          <w:rFonts w:ascii="Calibri" w:eastAsia="Times New Roman" w:hAnsi="Calibri" w:cs="Times New Roman"/>
          <w:color w:val="000000"/>
        </w:rPr>
        <w:t>Abendroth</w:t>
      </w:r>
      <w:proofErr w:type="spellEnd"/>
      <w:r w:rsidRPr="003E5C1B">
        <w:rPr>
          <w:rFonts w:ascii="Calibri" w:eastAsia="Times New Roman" w:hAnsi="Calibri" w:cs="Times New Roman"/>
          <w:color w:val="000000"/>
        </w:rPr>
        <w:t xml:space="preserve">, John; </w:t>
      </w:r>
      <w:proofErr w:type="spellStart"/>
      <w:r w:rsidRPr="003E5C1B">
        <w:rPr>
          <w:rFonts w:ascii="Calibri" w:eastAsia="Times New Roman" w:hAnsi="Calibri" w:cs="Times New Roman"/>
          <w:color w:val="000000"/>
        </w:rPr>
        <w:t>Garfein</w:t>
      </w:r>
      <w:proofErr w:type="spellEnd"/>
      <w:r w:rsidRPr="003E5C1B">
        <w:rPr>
          <w:rFonts w:ascii="Calibri" w:eastAsia="Times New Roman" w:hAnsi="Calibri" w:cs="Times New Roman"/>
          <w:color w:val="000000"/>
        </w:rPr>
        <w:t xml:space="preserve">, Vivian; Livingston, Eric; Copeland, Rick; Greenhalgh, Tom; Bartlett, Drew; dtoth@sjrwmd.com; Brian </w:t>
      </w:r>
      <w:proofErr w:type="spellStart"/>
      <w:r w:rsidRPr="003E5C1B">
        <w:rPr>
          <w:rFonts w:ascii="Calibri" w:eastAsia="Times New Roman" w:hAnsi="Calibri" w:cs="Times New Roman"/>
          <w:color w:val="000000"/>
        </w:rPr>
        <w:t>McGurk</w:t>
      </w:r>
      <w:proofErr w:type="spellEnd"/>
      <w:r w:rsidRPr="003E5C1B">
        <w:rPr>
          <w:rFonts w:ascii="Calibri" w:eastAsia="Times New Roman" w:hAnsi="Calibri" w:cs="Times New Roman"/>
          <w:color w:val="000000"/>
        </w:rPr>
        <w:t xml:space="preserve">; Espy, Julie; Hansen, Terry; </w:t>
      </w:r>
      <w:proofErr w:type="spellStart"/>
      <w:r w:rsidRPr="003E5C1B">
        <w:rPr>
          <w:rFonts w:ascii="Calibri" w:eastAsia="Times New Roman" w:hAnsi="Calibri" w:cs="Times New Roman"/>
          <w:color w:val="000000"/>
        </w:rPr>
        <w:t>Mandrup-Poulsen</w:t>
      </w:r>
      <w:proofErr w:type="spellEnd"/>
      <w:r w:rsidRPr="003E5C1B">
        <w:rPr>
          <w:rFonts w:ascii="Calibri" w:eastAsia="Times New Roman" w:hAnsi="Calibri" w:cs="Times New Roman"/>
          <w:color w:val="000000"/>
        </w:rPr>
        <w:t>, Jan; Dodson, James; Holland, Kathryn; Tyler, David; Hand, Joe; Maddox, Gary; Means, Guy</w:t>
      </w:r>
      <w:r w:rsidRPr="003E5C1B">
        <w:rPr>
          <w:rFonts w:ascii="Calibri" w:eastAsia="Times New Roman" w:hAnsi="Calibri" w:cs="Times New Roman"/>
          <w:color w:val="000000"/>
        </w:rPr>
        <w:br/>
      </w:r>
      <w:r w:rsidRPr="003E5C1B">
        <w:rPr>
          <w:rFonts w:ascii="Calibri" w:eastAsia="Times New Roman" w:hAnsi="Calibri" w:cs="Times New Roman"/>
          <w:b/>
          <w:bCs/>
          <w:color w:val="000000"/>
        </w:rPr>
        <w:t>Subject:</w:t>
      </w:r>
      <w:r w:rsidRPr="003E5C1B">
        <w:rPr>
          <w:rFonts w:ascii="Calibri" w:eastAsia="Times New Roman" w:hAnsi="Calibri" w:cs="Times New Roman"/>
          <w:color w:val="000000"/>
        </w:rPr>
        <w:t xml:space="preserve"> RE: </w:t>
      </w:r>
      <w:proofErr w:type="spellStart"/>
      <w:r w:rsidRPr="003E5C1B">
        <w:rPr>
          <w:rFonts w:ascii="Calibri" w:eastAsia="Times New Roman" w:hAnsi="Calibri" w:cs="Times New Roman"/>
          <w:color w:val="000000"/>
        </w:rPr>
        <w:t>Wekiva</w:t>
      </w:r>
      <w:proofErr w:type="spellEnd"/>
      <w:r w:rsidRPr="003E5C1B">
        <w:rPr>
          <w:rFonts w:ascii="Calibri" w:eastAsia="Times New Roman" w:hAnsi="Calibri" w:cs="Times New Roman"/>
          <w:color w:val="000000"/>
        </w:rPr>
        <w:t xml:space="preserve"> BMAP - Your Help Needed!</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color w:val="000080"/>
          <w:sz w:val="20"/>
          <w:szCs w:val="20"/>
        </w:rPr>
        <w:t>Jennifer and other thinkers,</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color w:val="000080"/>
          <w:sz w:val="20"/>
          <w:szCs w:val="20"/>
        </w:rPr>
        <w:t xml:space="preserve">This </w:t>
      </w:r>
      <w:proofErr w:type="spellStart"/>
      <w:r w:rsidRPr="003E5C1B">
        <w:rPr>
          <w:rFonts w:ascii="Arial" w:eastAsia="Times New Roman" w:hAnsi="Arial" w:cs="Arial"/>
          <w:color w:val="000080"/>
          <w:sz w:val="20"/>
          <w:szCs w:val="20"/>
        </w:rPr>
        <w:t>Wekiva</w:t>
      </w:r>
      <w:proofErr w:type="spellEnd"/>
      <w:r w:rsidRPr="003E5C1B">
        <w:rPr>
          <w:rFonts w:ascii="Arial" w:eastAsia="Times New Roman" w:hAnsi="Arial" w:cs="Arial"/>
          <w:color w:val="000080"/>
          <w:sz w:val="20"/>
          <w:szCs w:val="20"/>
        </w:rPr>
        <w:t xml:space="preserve"> BMAP may be the roadmap for those other upcoming BMAPS that also involve springs and I appreciate the opportunity to provide comments. However, it seems to me that we haven’t really designed a BMAP process for areas with significant ground water – surface water interaction issues and what is necessary for a successful BMAP implementation. To that effect, I have attached a list of steps and issues that should be considered before you go forward with the establishment of BMPs in the </w:t>
      </w:r>
      <w:proofErr w:type="spellStart"/>
      <w:r w:rsidRPr="003E5C1B">
        <w:rPr>
          <w:rFonts w:ascii="Arial" w:eastAsia="Times New Roman" w:hAnsi="Arial" w:cs="Arial"/>
          <w:color w:val="000080"/>
          <w:sz w:val="20"/>
          <w:szCs w:val="20"/>
        </w:rPr>
        <w:t>Wekiva</w:t>
      </w:r>
      <w:proofErr w:type="spellEnd"/>
      <w:r w:rsidRPr="003E5C1B">
        <w:rPr>
          <w:rFonts w:ascii="Arial" w:eastAsia="Times New Roman" w:hAnsi="Arial" w:cs="Arial"/>
          <w:color w:val="000080"/>
          <w:sz w:val="20"/>
          <w:szCs w:val="20"/>
        </w:rPr>
        <w:t xml:space="preserve"> BMAP process. I am not fully convinced that we have enough information about what type of BMPs should be considered nor have we thoroughly identified focus areas for where ground water nitrate reductions are essential for the </w:t>
      </w:r>
      <w:proofErr w:type="spellStart"/>
      <w:r w:rsidRPr="003E5C1B">
        <w:rPr>
          <w:rFonts w:ascii="Arial" w:eastAsia="Times New Roman" w:hAnsi="Arial" w:cs="Arial"/>
          <w:color w:val="000080"/>
          <w:sz w:val="20"/>
          <w:szCs w:val="20"/>
        </w:rPr>
        <w:t>Wekiva</w:t>
      </w:r>
      <w:proofErr w:type="spellEnd"/>
      <w:r w:rsidRPr="003E5C1B">
        <w:rPr>
          <w:rFonts w:ascii="Arial" w:eastAsia="Times New Roman" w:hAnsi="Arial" w:cs="Arial"/>
          <w:color w:val="000080"/>
          <w:sz w:val="20"/>
          <w:szCs w:val="20"/>
        </w:rPr>
        <w:t xml:space="preserve"> BMAP. We should also establish ground water – surface water monitoring plans as part of the BMAP implementation so that the success or failure of proposed BMPs can be tracked as time goes on. </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color w:val="000080"/>
          <w:sz w:val="20"/>
          <w:szCs w:val="20"/>
        </w:rPr>
        <w:t xml:space="preserve">Your implementation plan states that the Department sets sufficiency of effort on a BMP implementation basis and once the stakeholder implements the BMP, they have met their obligations even if this BMP-based approach does not reduce nitrate loads so that </w:t>
      </w:r>
      <w:proofErr w:type="spellStart"/>
      <w:r w:rsidRPr="003E5C1B">
        <w:rPr>
          <w:rFonts w:ascii="Arial" w:eastAsia="Times New Roman" w:hAnsi="Arial" w:cs="Arial"/>
          <w:color w:val="000080"/>
          <w:sz w:val="20"/>
          <w:szCs w:val="20"/>
        </w:rPr>
        <w:t>waterbodies</w:t>
      </w:r>
      <w:proofErr w:type="spellEnd"/>
      <w:r w:rsidRPr="003E5C1B">
        <w:rPr>
          <w:rFonts w:ascii="Arial" w:eastAsia="Times New Roman" w:hAnsi="Arial" w:cs="Arial"/>
          <w:color w:val="000080"/>
          <w:sz w:val="20"/>
          <w:szCs w:val="20"/>
        </w:rPr>
        <w:t xml:space="preserve"> meet or come closer to the TMDL target. This concerns me since we are relying on the efficiency of BMPs to reduce already elevated ground water nitrate levels and letting the stakeholders out of any obligation should this unverified approach fail. We should verify the BMPs are reducing loadings before letting the stakeholders off the hook – this would also give them an incentive to make sure they do everything possible to ensure a successful outcome.</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color w:val="000080"/>
          <w:sz w:val="20"/>
          <w:szCs w:val="20"/>
        </w:rPr>
        <w:t xml:space="preserve">If you have an updated version of the </w:t>
      </w:r>
      <w:proofErr w:type="spellStart"/>
      <w:r w:rsidRPr="003E5C1B">
        <w:rPr>
          <w:rFonts w:ascii="Arial" w:eastAsia="Times New Roman" w:hAnsi="Arial" w:cs="Arial"/>
          <w:color w:val="000080"/>
          <w:sz w:val="20"/>
          <w:szCs w:val="20"/>
        </w:rPr>
        <w:t>Wekiva</w:t>
      </w:r>
      <w:proofErr w:type="spellEnd"/>
      <w:r w:rsidRPr="003E5C1B">
        <w:rPr>
          <w:rFonts w:ascii="Arial" w:eastAsia="Times New Roman" w:hAnsi="Arial" w:cs="Arial"/>
          <w:color w:val="000080"/>
          <w:sz w:val="20"/>
          <w:szCs w:val="20"/>
        </w:rPr>
        <w:t xml:space="preserve"> BMAP from the consultants please send it – last version I have is from Dec 2008. Based on that version, here are some additional and more detailed technical concerns:</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color w:val="000080"/>
          <w:sz w:val="20"/>
          <w:szCs w:val="20"/>
        </w:rPr>
        <w:t xml:space="preserve">1. There are 21 springs in the </w:t>
      </w:r>
      <w:proofErr w:type="spellStart"/>
      <w:r w:rsidRPr="003E5C1B">
        <w:rPr>
          <w:rFonts w:ascii="Arial" w:eastAsia="Times New Roman" w:hAnsi="Arial" w:cs="Arial"/>
          <w:color w:val="000080"/>
          <w:sz w:val="20"/>
          <w:szCs w:val="20"/>
        </w:rPr>
        <w:t>Wekiva</w:t>
      </w:r>
      <w:proofErr w:type="spellEnd"/>
      <w:r w:rsidRPr="003E5C1B">
        <w:rPr>
          <w:rFonts w:ascii="Arial" w:eastAsia="Times New Roman" w:hAnsi="Arial" w:cs="Arial"/>
          <w:color w:val="000080"/>
          <w:sz w:val="20"/>
          <w:szCs w:val="20"/>
        </w:rPr>
        <w:t xml:space="preserve"> Basin - ground water is the most important delivery mechanism of nitrates. Only Rock and </w:t>
      </w:r>
      <w:proofErr w:type="spellStart"/>
      <w:r w:rsidRPr="003E5C1B">
        <w:rPr>
          <w:rFonts w:ascii="Arial" w:eastAsia="Times New Roman" w:hAnsi="Arial" w:cs="Arial"/>
          <w:color w:val="000080"/>
          <w:sz w:val="20"/>
          <w:szCs w:val="20"/>
        </w:rPr>
        <w:t>Wekiwa</w:t>
      </w:r>
      <w:proofErr w:type="spellEnd"/>
      <w:r w:rsidRPr="003E5C1B">
        <w:rPr>
          <w:rFonts w:ascii="Arial" w:eastAsia="Times New Roman" w:hAnsi="Arial" w:cs="Arial"/>
          <w:color w:val="000080"/>
          <w:sz w:val="20"/>
          <w:szCs w:val="20"/>
        </w:rPr>
        <w:t xml:space="preserve"> Springs seem to be mentioned when there are also additional springs in the basin with very high nitrates. There are also ground water “hot spots” not addressed in this BMP implementation approach that seems to be primarily based on surface water transport processes. Will you try to trace the source water for each of the elevated springs – this may differ for some of them?</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color w:val="000080"/>
          <w:sz w:val="20"/>
          <w:szCs w:val="20"/>
        </w:rPr>
        <w:t>2. There seems to be some confusion about “</w:t>
      </w:r>
      <w:proofErr w:type="spellStart"/>
      <w:r w:rsidRPr="003E5C1B">
        <w:rPr>
          <w:rFonts w:ascii="Arial" w:eastAsia="Times New Roman" w:hAnsi="Arial" w:cs="Arial"/>
          <w:color w:val="000080"/>
          <w:sz w:val="20"/>
          <w:szCs w:val="20"/>
        </w:rPr>
        <w:t>springsheds</w:t>
      </w:r>
      <w:proofErr w:type="spellEnd"/>
      <w:r w:rsidRPr="003E5C1B">
        <w:rPr>
          <w:rFonts w:ascii="Arial" w:eastAsia="Times New Roman" w:hAnsi="Arial" w:cs="Arial"/>
          <w:color w:val="000080"/>
          <w:sz w:val="20"/>
          <w:szCs w:val="20"/>
        </w:rPr>
        <w:t xml:space="preserve">” and how they should be used. SJRWMD established the boundaries for the </w:t>
      </w:r>
      <w:proofErr w:type="spellStart"/>
      <w:r w:rsidRPr="003E5C1B">
        <w:rPr>
          <w:rFonts w:ascii="Arial" w:eastAsia="Times New Roman" w:hAnsi="Arial" w:cs="Arial"/>
          <w:color w:val="000080"/>
          <w:sz w:val="20"/>
          <w:szCs w:val="20"/>
        </w:rPr>
        <w:t>Wekiva</w:t>
      </w:r>
      <w:proofErr w:type="spellEnd"/>
      <w:r w:rsidRPr="003E5C1B">
        <w:rPr>
          <w:rFonts w:ascii="Arial" w:eastAsia="Times New Roman" w:hAnsi="Arial" w:cs="Arial"/>
          <w:color w:val="000080"/>
          <w:sz w:val="20"/>
          <w:szCs w:val="20"/>
        </w:rPr>
        <w:t xml:space="preserve"> Ground Water Basin, </w:t>
      </w:r>
      <w:proofErr w:type="spellStart"/>
      <w:r w:rsidRPr="003E5C1B">
        <w:rPr>
          <w:rFonts w:ascii="Arial" w:eastAsia="Times New Roman" w:hAnsi="Arial" w:cs="Arial"/>
          <w:color w:val="000080"/>
          <w:sz w:val="20"/>
          <w:szCs w:val="20"/>
        </w:rPr>
        <w:t>Wekiva</w:t>
      </w:r>
      <w:proofErr w:type="spellEnd"/>
      <w:r w:rsidRPr="003E5C1B">
        <w:rPr>
          <w:rFonts w:ascii="Arial" w:eastAsia="Times New Roman" w:hAnsi="Arial" w:cs="Arial"/>
          <w:color w:val="000080"/>
          <w:sz w:val="20"/>
          <w:szCs w:val="20"/>
        </w:rPr>
        <w:t xml:space="preserve"> Springs Ground Water Basin and </w:t>
      </w:r>
      <w:proofErr w:type="spellStart"/>
      <w:r w:rsidRPr="003E5C1B">
        <w:rPr>
          <w:rFonts w:ascii="Arial" w:eastAsia="Times New Roman" w:hAnsi="Arial" w:cs="Arial"/>
          <w:color w:val="000080"/>
          <w:sz w:val="20"/>
          <w:szCs w:val="20"/>
        </w:rPr>
        <w:t>Wekiva</w:t>
      </w:r>
      <w:proofErr w:type="spellEnd"/>
      <w:r w:rsidRPr="003E5C1B">
        <w:rPr>
          <w:rFonts w:ascii="Arial" w:eastAsia="Times New Roman" w:hAnsi="Arial" w:cs="Arial"/>
          <w:color w:val="000080"/>
          <w:sz w:val="20"/>
          <w:szCs w:val="20"/>
        </w:rPr>
        <w:t xml:space="preserve"> Surface Water Basin. The </w:t>
      </w:r>
      <w:proofErr w:type="spellStart"/>
      <w:r w:rsidRPr="003E5C1B">
        <w:rPr>
          <w:rFonts w:ascii="Arial" w:eastAsia="Times New Roman" w:hAnsi="Arial" w:cs="Arial"/>
          <w:color w:val="000080"/>
          <w:sz w:val="20"/>
          <w:szCs w:val="20"/>
        </w:rPr>
        <w:t>Wekiva</w:t>
      </w:r>
      <w:proofErr w:type="spellEnd"/>
      <w:r w:rsidRPr="003E5C1B">
        <w:rPr>
          <w:rFonts w:ascii="Arial" w:eastAsia="Times New Roman" w:hAnsi="Arial" w:cs="Arial"/>
          <w:color w:val="000080"/>
          <w:sz w:val="20"/>
          <w:szCs w:val="20"/>
        </w:rPr>
        <w:t xml:space="preserve"> “</w:t>
      </w:r>
      <w:proofErr w:type="spellStart"/>
      <w:r w:rsidRPr="003E5C1B">
        <w:rPr>
          <w:rFonts w:ascii="Arial" w:eastAsia="Times New Roman" w:hAnsi="Arial" w:cs="Arial"/>
          <w:color w:val="000080"/>
          <w:sz w:val="20"/>
          <w:szCs w:val="20"/>
        </w:rPr>
        <w:t>springshed</w:t>
      </w:r>
      <w:proofErr w:type="spellEnd"/>
      <w:r w:rsidRPr="003E5C1B">
        <w:rPr>
          <w:rFonts w:ascii="Arial" w:eastAsia="Times New Roman" w:hAnsi="Arial" w:cs="Arial"/>
          <w:color w:val="000080"/>
          <w:sz w:val="20"/>
          <w:szCs w:val="20"/>
        </w:rPr>
        <w:t xml:space="preserve">” that you mention is a misnomer as it does not follow this work and should only be called the BMAP study area – it is not a representation of the </w:t>
      </w:r>
      <w:proofErr w:type="spellStart"/>
      <w:r w:rsidRPr="003E5C1B">
        <w:rPr>
          <w:rFonts w:ascii="Arial" w:eastAsia="Times New Roman" w:hAnsi="Arial" w:cs="Arial"/>
          <w:color w:val="000080"/>
          <w:sz w:val="20"/>
          <w:szCs w:val="20"/>
        </w:rPr>
        <w:t>Wekiva</w:t>
      </w:r>
      <w:proofErr w:type="spellEnd"/>
      <w:r w:rsidRPr="003E5C1B">
        <w:rPr>
          <w:rFonts w:ascii="Arial" w:eastAsia="Times New Roman" w:hAnsi="Arial" w:cs="Arial"/>
          <w:color w:val="000080"/>
          <w:sz w:val="20"/>
          <w:szCs w:val="20"/>
        </w:rPr>
        <w:t xml:space="preserve"> </w:t>
      </w:r>
      <w:proofErr w:type="spellStart"/>
      <w:r w:rsidRPr="003E5C1B">
        <w:rPr>
          <w:rFonts w:ascii="Arial" w:eastAsia="Times New Roman" w:hAnsi="Arial" w:cs="Arial"/>
          <w:color w:val="000080"/>
          <w:sz w:val="20"/>
          <w:szCs w:val="20"/>
        </w:rPr>
        <w:t>Springshed</w:t>
      </w:r>
      <w:proofErr w:type="spellEnd"/>
      <w:r w:rsidRPr="003E5C1B">
        <w:rPr>
          <w:rFonts w:ascii="Arial" w:eastAsia="Times New Roman" w:hAnsi="Arial" w:cs="Arial"/>
          <w:color w:val="000080"/>
          <w:sz w:val="20"/>
          <w:szCs w:val="20"/>
        </w:rPr>
        <w:t xml:space="preserve">. The BMAP study area that you have selected (pink line in the attached map) in fact cuts across the specific </w:t>
      </w:r>
      <w:proofErr w:type="spellStart"/>
      <w:r w:rsidRPr="003E5C1B">
        <w:rPr>
          <w:rFonts w:ascii="Arial" w:eastAsia="Times New Roman" w:hAnsi="Arial" w:cs="Arial"/>
          <w:color w:val="000080"/>
          <w:sz w:val="20"/>
          <w:szCs w:val="20"/>
        </w:rPr>
        <w:t>springshed</w:t>
      </w:r>
      <w:proofErr w:type="spellEnd"/>
      <w:r w:rsidRPr="003E5C1B">
        <w:rPr>
          <w:rFonts w:ascii="Arial" w:eastAsia="Times New Roman" w:hAnsi="Arial" w:cs="Arial"/>
          <w:color w:val="000080"/>
          <w:sz w:val="20"/>
          <w:szCs w:val="20"/>
        </w:rPr>
        <w:t xml:space="preserve"> for </w:t>
      </w:r>
      <w:proofErr w:type="spellStart"/>
      <w:r w:rsidRPr="003E5C1B">
        <w:rPr>
          <w:rFonts w:ascii="Arial" w:eastAsia="Times New Roman" w:hAnsi="Arial" w:cs="Arial"/>
          <w:color w:val="000080"/>
          <w:sz w:val="20"/>
          <w:szCs w:val="20"/>
        </w:rPr>
        <w:t>Wekiwa</w:t>
      </w:r>
      <w:proofErr w:type="spellEnd"/>
      <w:r w:rsidRPr="003E5C1B">
        <w:rPr>
          <w:rFonts w:ascii="Arial" w:eastAsia="Times New Roman" w:hAnsi="Arial" w:cs="Arial"/>
          <w:color w:val="000080"/>
          <w:sz w:val="20"/>
          <w:szCs w:val="20"/>
        </w:rPr>
        <w:t xml:space="preserve"> Spring and the greater </w:t>
      </w:r>
      <w:proofErr w:type="spellStart"/>
      <w:r w:rsidRPr="003E5C1B">
        <w:rPr>
          <w:rFonts w:ascii="Arial" w:eastAsia="Times New Roman" w:hAnsi="Arial" w:cs="Arial"/>
          <w:color w:val="000080"/>
          <w:sz w:val="20"/>
          <w:szCs w:val="20"/>
        </w:rPr>
        <w:t>Wekiva</w:t>
      </w:r>
      <w:proofErr w:type="spellEnd"/>
      <w:r w:rsidRPr="003E5C1B">
        <w:rPr>
          <w:rFonts w:ascii="Arial" w:eastAsia="Times New Roman" w:hAnsi="Arial" w:cs="Arial"/>
          <w:color w:val="000080"/>
          <w:sz w:val="20"/>
          <w:szCs w:val="20"/>
        </w:rPr>
        <w:t xml:space="preserve"> Ground Water Basin. Ground water flow paths are from the south – southwest flowing toward the north – northeast. Cutting out the area around Lake Apopka is not reasonable since SJRWMD has suggested that lake waters could be recharging the aquifer. Ground water certainly flows underneath this lake toward the springs. I have seen a similar pattern for decreasing nitrates in Apopka-Rock-</w:t>
      </w:r>
      <w:proofErr w:type="spellStart"/>
      <w:r w:rsidRPr="003E5C1B">
        <w:rPr>
          <w:rFonts w:ascii="Arial" w:eastAsia="Times New Roman" w:hAnsi="Arial" w:cs="Arial"/>
          <w:color w:val="000080"/>
          <w:sz w:val="20"/>
          <w:szCs w:val="20"/>
        </w:rPr>
        <w:t>Wekiwa</w:t>
      </w:r>
      <w:proofErr w:type="spellEnd"/>
      <w:r w:rsidRPr="003E5C1B">
        <w:rPr>
          <w:rFonts w:ascii="Arial" w:eastAsia="Times New Roman" w:hAnsi="Arial" w:cs="Arial"/>
          <w:color w:val="000080"/>
          <w:sz w:val="20"/>
          <w:szCs w:val="20"/>
        </w:rPr>
        <w:t xml:space="preserve"> Springs. Your BMAP study area needs adjusted so that it reflects the ground water basin that contributes to the </w:t>
      </w:r>
      <w:proofErr w:type="spellStart"/>
      <w:r w:rsidRPr="003E5C1B">
        <w:rPr>
          <w:rFonts w:ascii="Arial" w:eastAsia="Times New Roman" w:hAnsi="Arial" w:cs="Arial"/>
          <w:color w:val="000080"/>
          <w:sz w:val="20"/>
          <w:szCs w:val="20"/>
        </w:rPr>
        <w:t>Wekiva</w:t>
      </w:r>
      <w:proofErr w:type="spellEnd"/>
      <w:r w:rsidRPr="003E5C1B">
        <w:rPr>
          <w:rFonts w:ascii="Arial" w:eastAsia="Times New Roman" w:hAnsi="Arial" w:cs="Arial"/>
          <w:color w:val="000080"/>
          <w:sz w:val="20"/>
          <w:szCs w:val="20"/>
        </w:rPr>
        <w:t xml:space="preserve"> Basin.</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color w:val="000080"/>
          <w:sz w:val="20"/>
          <w:szCs w:val="20"/>
        </w:rPr>
        <w:t xml:space="preserve">3. This is a complex basin with a considerable amount of ground water – surface water interaction and perhaps there hasn’t been enough integration of ground water issues in this process. We should compare certain </w:t>
      </w:r>
      <w:proofErr w:type="spellStart"/>
      <w:r w:rsidRPr="003E5C1B">
        <w:rPr>
          <w:rFonts w:ascii="Arial" w:eastAsia="Times New Roman" w:hAnsi="Arial" w:cs="Arial"/>
          <w:color w:val="000080"/>
          <w:sz w:val="20"/>
          <w:szCs w:val="20"/>
        </w:rPr>
        <w:t>analytes</w:t>
      </w:r>
      <w:proofErr w:type="spellEnd"/>
      <w:r w:rsidRPr="003E5C1B">
        <w:rPr>
          <w:rFonts w:ascii="Arial" w:eastAsia="Times New Roman" w:hAnsi="Arial" w:cs="Arial"/>
          <w:color w:val="000080"/>
          <w:sz w:val="20"/>
          <w:szCs w:val="20"/>
        </w:rPr>
        <w:t xml:space="preserve"> between ground water, springs and surface water to confirm that they have similar general chemistry in order to associate with potential source water – nitrates with various transport mechanisms (runoff/sink holes, ground water – recent or historic). We have a huge ground water database that can be used for this purpose. Once the ground water areas of concern are identified and </w:t>
      </w:r>
      <w:r w:rsidRPr="003E5C1B">
        <w:rPr>
          <w:rFonts w:ascii="Arial" w:eastAsia="Times New Roman" w:hAnsi="Arial" w:cs="Arial"/>
          <w:color w:val="000080"/>
          <w:sz w:val="20"/>
          <w:szCs w:val="20"/>
        </w:rPr>
        <w:lastRenderedPageBreak/>
        <w:t xml:space="preserve">other issues mentioned in the attached are addressed, then an integrated </w:t>
      </w:r>
      <w:proofErr w:type="spellStart"/>
      <w:r w:rsidRPr="003E5C1B">
        <w:rPr>
          <w:rFonts w:ascii="Arial" w:eastAsia="Times New Roman" w:hAnsi="Arial" w:cs="Arial"/>
          <w:color w:val="000080"/>
          <w:sz w:val="20"/>
          <w:szCs w:val="20"/>
        </w:rPr>
        <w:t>gw-sw</w:t>
      </w:r>
      <w:proofErr w:type="spellEnd"/>
      <w:r w:rsidRPr="003E5C1B">
        <w:rPr>
          <w:rFonts w:ascii="Arial" w:eastAsia="Times New Roman" w:hAnsi="Arial" w:cs="Arial"/>
          <w:color w:val="000080"/>
          <w:sz w:val="20"/>
          <w:szCs w:val="20"/>
        </w:rPr>
        <w:t xml:space="preserve"> plan should be developed.</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color w:val="000080"/>
          <w:sz w:val="20"/>
          <w:szCs w:val="20"/>
        </w:rPr>
        <w:t xml:space="preserve">4. The SJRWMD also published two excellent reports (1999 and 2002) on the </w:t>
      </w:r>
      <w:proofErr w:type="spellStart"/>
      <w:r w:rsidRPr="003E5C1B">
        <w:rPr>
          <w:rFonts w:ascii="Arial" w:eastAsia="Times New Roman" w:hAnsi="Arial" w:cs="Arial"/>
          <w:color w:val="000080"/>
          <w:sz w:val="20"/>
          <w:szCs w:val="20"/>
        </w:rPr>
        <w:t>Wekiva</w:t>
      </w:r>
      <w:proofErr w:type="spellEnd"/>
      <w:r w:rsidRPr="003E5C1B">
        <w:rPr>
          <w:rFonts w:ascii="Arial" w:eastAsia="Times New Roman" w:hAnsi="Arial" w:cs="Arial"/>
          <w:color w:val="000080"/>
          <w:sz w:val="20"/>
          <w:szCs w:val="20"/>
        </w:rPr>
        <w:t xml:space="preserve"> Basin where they looked at nitrates in both ground water and springs and then used isotopes to identify potential sources. This information is crucial to understand before BMPs are even discussed and identify possible BMP outcomes. In your implementation plan, I don’t see where this SJRWMD detailed information is used to locate sources that are then clearly identified and tracked before and after any BMPs. For example correlating the land use changes from citrus production to urban/residential to nitrate trends (1973-1990) could help estimate how much of the nitrates are from older land use practices and not subject to short term changes due to initiation of BMPs. A regional mode can be used to predict expected loadings from these significant land use changes.</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color w:val="000080"/>
          <w:sz w:val="20"/>
          <w:szCs w:val="20"/>
        </w:rPr>
        <w:t>5. Just a point of clarification for your implementation approach involving quantitative detailed allocations by entity. You state, “</w:t>
      </w:r>
      <w:proofErr w:type="gramStart"/>
      <w:r w:rsidRPr="003E5C1B">
        <w:rPr>
          <w:rFonts w:ascii="Arial" w:eastAsia="Times New Roman" w:hAnsi="Arial" w:cs="Arial"/>
          <w:color w:val="000080"/>
          <w:sz w:val="20"/>
          <w:szCs w:val="20"/>
        </w:rPr>
        <w:t>quantification</w:t>
      </w:r>
      <w:proofErr w:type="gramEnd"/>
      <w:r w:rsidRPr="003E5C1B">
        <w:rPr>
          <w:rFonts w:ascii="Arial" w:eastAsia="Times New Roman" w:hAnsi="Arial" w:cs="Arial"/>
          <w:color w:val="000080"/>
          <w:sz w:val="20"/>
          <w:szCs w:val="20"/>
        </w:rPr>
        <w:t xml:space="preserve"> of denitrification in soil and groundwater is not possible at the scale necessary for entity-specific allocations.” First of all my understanding of ground water chemistry is that there is little denitrification in ground water once nitrate migrates downward past the root/biologically active zone. Secondly, we are starting to see slight short term improvements in Wakulla Spring that may be reduced loadings from the </w:t>
      </w:r>
      <w:proofErr w:type="spellStart"/>
      <w:r w:rsidRPr="003E5C1B">
        <w:rPr>
          <w:rFonts w:ascii="Arial" w:eastAsia="Times New Roman" w:hAnsi="Arial" w:cs="Arial"/>
          <w:color w:val="000080"/>
          <w:sz w:val="20"/>
          <w:szCs w:val="20"/>
        </w:rPr>
        <w:t>sprayfields</w:t>
      </w:r>
      <w:proofErr w:type="spellEnd"/>
      <w:r w:rsidRPr="003E5C1B">
        <w:rPr>
          <w:rFonts w:ascii="Arial" w:eastAsia="Times New Roman" w:hAnsi="Arial" w:cs="Arial"/>
          <w:color w:val="000080"/>
          <w:sz w:val="20"/>
          <w:szCs w:val="20"/>
        </w:rPr>
        <w:t xml:space="preserve"> and agricultural fertilization practices. Thirdly there may be a way to set up some “sentinel” monitor wells in the study area – to see if </w:t>
      </w:r>
      <w:proofErr w:type="spellStart"/>
      <w:proofErr w:type="gramStart"/>
      <w:r w:rsidRPr="003E5C1B">
        <w:rPr>
          <w:rFonts w:ascii="Arial" w:eastAsia="Times New Roman" w:hAnsi="Arial" w:cs="Arial"/>
          <w:color w:val="000080"/>
          <w:sz w:val="20"/>
          <w:szCs w:val="20"/>
        </w:rPr>
        <w:t>gw</w:t>
      </w:r>
      <w:proofErr w:type="spellEnd"/>
      <w:proofErr w:type="gramEnd"/>
      <w:r w:rsidRPr="003E5C1B">
        <w:rPr>
          <w:rFonts w:ascii="Arial" w:eastAsia="Times New Roman" w:hAnsi="Arial" w:cs="Arial"/>
          <w:color w:val="000080"/>
          <w:sz w:val="20"/>
          <w:szCs w:val="20"/>
        </w:rPr>
        <w:t xml:space="preserve"> starts to show reduced levels as a result of BMPs and then estimate how long that will take to get to the springs/streams where we may have longer “lag” times. Also regulatory folks working with ground water zones of discharge for point sources may have some helpful comments.</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color w:val="000080"/>
          <w:sz w:val="20"/>
          <w:szCs w:val="20"/>
        </w:rPr>
        <w:t>Thanks,</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color w:val="000080"/>
          <w:sz w:val="20"/>
          <w:szCs w:val="20"/>
        </w:rPr>
        <w:t>Debra</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Tahoma" w:eastAsia="Times New Roman" w:hAnsi="Tahoma" w:cs="Tahoma"/>
          <w:b/>
          <w:bCs/>
          <w:color w:val="212121"/>
          <w:sz w:val="20"/>
          <w:szCs w:val="20"/>
        </w:rPr>
        <w:t>From:</w:t>
      </w:r>
      <w:r w:rsidRPr="003E5C1B">
        <w:rPr>
          <w:rFonts w:ascii="Tahoma" w:eastAsia="Times New Roman" w:hAnsi="Tahoma" w:cs="Tahoma"/>
          <w:color w:val="212121"/>
          <w:sz w:val="20"/>
          <w:szCs w:val="20"/>
        </w:rPr>
        <w:t xml:space="preserve"> </w:t>
      </w:r>
      <w:proofErr w:type="spellStart"/>
      <w:r w:rsidRPr="003E5C1B">
        <w:rPr>
          <w:rFonts w:ascii="Tahoma" w:eastAsia="Times New Roman" w:hAnsi="Tahoma" w:cs="Tahoma"/>
          <w:color w:val="212121"/>
          <w:sz w:val="20"/>
          <w:szCs w:val="20"/>
        </w:rPr>
        <w:t>Gihring</w:t>
      </w:r>
      <w:proofErr w:type="spellEnd"/>
      <w:r w:rsidRPr="003E5C1B">
        <w:rPr>
          <w:rFonts w:ascii="Tahoma" w:eastAsia="Times New Roman" w:hAnsi="Tahoma" w:cs="Tahoma"/>
          <w:color w:val="212121"/>
          <w:sz w:val="20"/>
          <w:szCs w:val="20"/>
        </w:rPr>
        <w:t>, Jennifer</w:t>
      </w:r>
      <w:r w:rsidRPr="003E5C1B">
        <w:rPr>
          <w:rFonts w:ascii="Tahoma" w:eastAsia="Times New Roman" w:hAnsi="Tahoma" w:cs="Tahoma"/>
          <w:color w:val="212121"/>
          <w:sz w:val="20"/>
          <w:szCs w:val="20"/>
        </w:rPr>
        <w:br/>
      </w:r>
      <w:r w:rsidRPr="003E5C1B">
        <w:rPr>
          <w:rFonts w:ascii="Tahoma" w:eastAsia="Times New Roman" w:hAnsi="Tahoma" w:cs="Tahoma"/>
          <w:b/>
          <w:bCs/>
          <w:color w:val="212121"/>
          <w:sz w:val="20"/>
          <w:szCs w:val="20"/>
        </w:rPr>
        <w:t>Sent:</w:t>
      </w:r>
      <w:r w:rsidRPr="003E5C1B">
        <w:rPr>
          <w:rFonts w:ascii="Tahoma" w:eastAsia="Times New Roman" w:hAnsi="Tahoma" w:cs="Tahoma"/>
          <w:color w:val="212121"/>
          <w:sz w:val="20"/>
          <w:szCs w:val="20"/>
        </w:rPr>
        <w:t xml:space="preserve"> Tuesday, June 30, 2009 9:16 AM</w:t>
      </w:r>
      <w:r w:rsidRPr="003E5C1B">
        <w:rPr>
          <w:rFonts w:ascii="Tahoma" w:eastAsia="Times New Roman" w:hAnsi="Tahoma" w:cs="Tahoma"/>
          <w:color w:val="212121"/>
          <w:sz w:val="20"/>
          <w:szCs w:val="20"/>
        </w:rPr>
        <w:br/>
      </w:r>
      <w:r w:rsidRPr="003E5C1B">
        <w:rPr>
          <w:rFonts w:ascii="Tahoma" w:eastAsia="Times New Roman" w:hAnsi="Tahoma" w:cs="Tahoma"/>
          <w:b/>
          <w:bCs/>
          <w:color w:val="212121"/>
          <w:sz w:val="20"/>
          <w:szCs w:val="20"/>
        </w:rPr>
        <w:t>To:</w:t>
      </w:r>
      <w:r w:rsidRPr="003E5C1B">
        <w:rPr>
          <w:rFonts w:ascii="Tahoma" w:eastAsia="Times New Roman" w:hAnsi="Tahoma" w:cs="Tahoma"/>
          <w:color w:val="212121"/>
          <w:sz w:val="20"/>
          <w:szCs w:val="20"/>
        </w:rPr>
        <w:t xml:space="preserve"> Greenhalgh, Tom; Jim Stevenson (florida_springs@comcast.net); Hicks, Richard W.; Harrington, Debra; Tinsley, </w:t>
      </w:r>
      <w:proofErr w:type="spellStart"/>
      <w:r w:rsidRPr="003E5C1B">
        <w:rPr>
          <w:rFonts w:ascii="Tahoma" w:eastAsia="Times New Roman" w:hAnsi="Tahoma" w:cs="Tahoma"/>
          <w:color w:val="212121"/>
          <w:sz w:val="20"/>
          <w:szCs w:val="20"/>
        </w:rPr>
        <w:t>Teayann</w:t>
      </w:r>
      <w:proofErr w:type="spellEnd"/>
      <w:r w:rsidRPr="003E5C1B">
        <w:rPr>
          <w:rFonts w:ascii="Tahoma" w:eastAsia="Times New Roman" w:hAnsi="Tahoma" w:cs="Tahoma"/>
          <w:color w:val="212121"/>
          <w:sz w:val="20"/>
          <w:szCs w:val="20"/>
        </w:rPr>
        <w:t xml:space="preserve">; Gao, Xueqing; Nash, Anita; </w:t>
      </w:r>
      <w:proofErr w:type="spellStart"/>
      <w:r w:rsidRPr="003E5C1B">
        <w:rPr>
          <w:rFonts w:ascii="Tahoma" w:eastAsia="Times New Roman" w:hAnsi="Tahoma" w:cs="Tahoma"/>
          <w:color w:val="212121"/>
          <w:sz w:val="20"/>
          <w:szCs w:val="20"/>
        </w:rPr>
        <w:t>Bersok</w:t>
      </w:r>
      <w:proofErr w:type="spellEnd"/>
      <w:r w:rsidRPr="003E5C1B">
        <w:rPr>
          <w:rFonts w:ascii="Tahoma" w:eastAsia="Times New Roman" w:hAnsi="Tahoma" w:cs="Tahoma"/>
          <w:color w:val="212121"/>
          <w:sz w:val="20"/>
          <w:szCs w:val="20"/>
        </w:rPr>
        <w:t xml:space="preserve">, Connie; 'Robert Mattson'; Mary </w:t>
      </w:r>
      <w:proofErr w:type="spellStart"/>
      <w:r w:rsidRPr="003E5C1B">
        <w:rPr>
          <w:rFonts w:ascii="Tahoma" w:eastAsia="Times New Roman" w:hAnsi="Tahoma" w:cs="Tahoma"/>
          <w:color w:val="212121"/>
          <w:sz w:val="20"/>
          <w:szCs w:val="20"/>
        </w:rPr>
        <w:t>Brabham</w:t>
      </w:r>
      <w:proofErr w:type="spellEnd"/>
      <w:r w:rsidRPr="003E5C1B">
        <w:rPr>
          <w:rFonts w:ascii="Tahoma" w:eastAsia="Times New Roman" w:hAnsi="Tahoma" w:cs="Tahoma"/>
          <w:color w:val="212121"/>
          <w:sz w:val="20"/>
          <w:szCs w:val="20"/>
        </w:rPr>
        <w:t xml:space="preserve">; Erich Marzolf; Tom Ziegler (tziegler@sjrwmd.com); Ferraro, Chris; dtoth@sjrwmd.com; Brian </w:t>
      </w:r>
      <w:proofErr w:type="spellStart"/>
      <w:r w:rsidRPr="003E5C1B">
        <w:rPr>
          <w:rFonts w:ascii="Tahoma" w:eastAsia="Times New Roman" w:hAnsi="Tahoma" w:cs="Tahoma"/>
          <w:color w:val="212121"/>
          <w:sz w:val="20"/>
          <w:szCs w:val="20"/>
        </w:rPr>
        <w:t>McGurk</w:t>
      </w:r>
      <w:proofErr w:type="spellEnd"/>
      <w:r w:rsidRPr="003E5C1B">
        <w:rPr>
          <w:rFonts w:ascii="Tahoma" w:eastAsia="Times New Roman" w:hAnsi="Tahoma" w:cs="Tahoma"/>
          <w:color w:val="212121"/>
          <w:sz w:val="20"/>
          <w:szCs w:val="20"/>
        </w:rPr>
        <w:t xml:space="preserve">; Wilson, Alicia; </w:t>
      </w:r>
      <w:proofErr w:type="spellStart"/>
      <w:r w:rsidRPr="003E5C1B">
        <w:rPr>
          <w:rFonts w:ascii="Tahoma" w:eastAsia="Times New Roman" w:hAnsi="Tahoma" w:cs="Tahoma"/>
          <w:color w:val="212121"/>
          <w:sz w:val="20"/>
          <w:szCs w:val="20"/>
        </w:rPr>
        <w:t>Frydenborg</w:t>
      </w:r>
      <w:proofErr w:type="spellEnd"/>
      <w:r w:rsidRPr="003E5C1B">
        <w:rPr>
          <w:rFonts w:ascii="Tahoma" w:eastAsia="Times New Roman" w:hAnsi="Tahoma" w:cs="Tahoma"/>
          <w:color w:val="212121"/>
          <w:sz w:val="20"/>
          <w:szCs w:val="20"/>
        </w:rPr>
        <w:t xml:space="preserve">, </w:t>
      </w:r>
      <w:proofErr w:type="spellStart"/>
      <w:r w:rsidRPr="003E5C1B">
        <w:rPr>
          <w:rFonts w:ascii="Tahoma" w:eastAsia="Times New Roman" w:hAnsi="Tahoma" w:cs="Tahoma"/>
          <w:color w:val="212121"/>
          <w:sz w:val="20"/>
          <w:szCs w:val="20"/>
        </w:rPr>
        <w:t>Russel</w:t>
      </w:r>
      <w:proofErr w:type="spellEnd"/>
      <w:r w:rsidRPr="003E5C1B">
        <w:rPr>
          <w:rFonts w:ascii="Tahoma" w:eastAsia="Times New Roman" w:hAnsi="Tahoma" w:cs="Tahoma"/>
          <w:color w:val="212121"/>
          <w:sz w:val="20"/>
          <w:szCs w:val="20"/>
        </w:rPr>
        <w:t>; Lewis, Nancy</w:t>
      </w:r>
      <w:r w:rsidRPr="003E5C1B">
        <w:rPr>
          <w:rFonts w:ascii="Tahoma" w:eastAsia="Times New Roman" w:hAnsi="Tahoma" w:cs="Tahoma"/>
          <w:color w:val="212121"/>
          <w:sz w:val="20"/>
          <w:szCs w:val="20"/>
        </w:rPr>
        <w:br/>
      </w:r>
      <w:r w:rsidRPr="003E5C1B">
        <w:rPr>
          <w:rFonts w:ascii="Tahoma" w:eastAsia="Times New Roman" w:hAnsi="Tahoma" w:cs="Tahoma"/>
          <w:b/>
          <w:bCs/>
          <w:color w:val="212121"/>
          <w:sz w:val="20"/>
          <w:szCs w:val="20"/>
        </w:rPr>
        <w:t>Cc:</w:t>
      </w:r>
      <w:r w:rsidRPr="003E5C1B">
        <w:rPr>
          <w:rFonts w:ascii="Tahoma" w:eastAsia="Times New Roman" w:hAnsi="Tahoma" w:cs="Tahoma"/>
          <w:color w:val="212121"/>
          <w:sz w:val="20"/>
          <w:szCs w:val="20"/>
        </w:rPr>
        <w:t xml:space="preserve"> '</w:t>
      </w:r>
      <w:proofErr w:type="spellStart"/>
      <w:r w:rsidRPr="003E5C1B">
        <w:rPr>
          <w:rFonts w:ascii="Tahoma" w:eastAsia="Times New Roman" w:hAnsi="Tahoma" w:cs="Tahoma"/>
          <w:color w:val="212121"/>
          <w:sz w:val="20"/>
          <w:szCs w:val="20"/>
        </w:rPr>
        <w:t>Harrigan</w:t>
      </w:r>
      <w:proofErr w:type="spellEnd"/>
      <w:r w:rsidRPr="003E5C1B">
        <w:rPr>
          <w:rFonts w:ascii="Tahoma" w:eastAsia="Times New Roman" w:hAnsi="Tahoma" w:cs="Tahoma"/>
          <w:color w:val="212121"/>
          <w:sz w:val="20"/>
          <w:szCs w:val="20"/>
        </w:rPr>
        <w:t xml:space="preserve">, Kathleen C.'; ROBERT.A.KELLY@saic.com; </w:t>
      </w:r>
      <w:proofErr w:type="spellStart"/>
      <w:r w:rsidRPr="003E5C1B">
        <w:rPr>
          <w:rFonts w:ascii="Tahoma" w:eastAsia="Times New Roman" w:hAnsi="Tahoma" w:cs="Tahoma"/>
          <w:color w:val="212121"/>
          <w:sz w:val="20"/>
          <w:szCs w:val="20"/>
        </w:rPr>
        <w:t>Abendroth</w:t>
      </w:r>
      <w:proofErr w:type="spellEnd"/>
      <w:r w:rsidRPr="003E5C1B">
        <w:rPr>
          <w:rFonts w:ascii="Tahoma" w:eastAsia="Times New Roman" w:hAnsi="Tahoma" w:cs="Tahoma"/>
          <w:color w:val="212121"/>
          <w:sz w:val="20"/>
          <w:szCs w:val="20"/>
        </w:rPr>
        <w:t xml:space="preserve">, John; 'Sherry Brandt-Williams'; </w:t>
      </w:r>
      <w:proofErr w:type="spellStart"/>
      <w:r w:rsidRPr="003E5C1B">
        <w:rPr>
          <w:rFonts w:ascii="Tahoma" w:eastAsia="Times New Roman" w:hAnsi="Tahoma" w:cs="Tahoma"/>
          <w:color w:val="212121"/>
          <w:sz w:val="20"/>
          <w:szCs w:val="20"/>
        </w:rPr>
        <w:t>Garfein</w:t>
      </w:r>
      <w:proofErr w:type="spellEnd"/>
      <w:r w:rsidRPr="003E5C1B">
        <w:rPr>
          <w:rFonts w:ascii="Tahoma" w:eastAsia="Times New Roman" w:hAnsi="Tahoma" w:cs="Tahoma"/>
          <w:color w:val="212121"/>
          <w:sz w:val="20"/>
          <w:szCs w:val="20"/>
        </w:rPr>
        <w:t>, Vivian; Livingston, Eric</w:t>
      </w:r>
      <w:r w:rsidRPr="003E5C1B">
        <w:rPr>
          <w:rFonts w:ascii="Tahoma" w:eastAsia="Times New Roman" w:hAnsi="Tahoma" w:cs="Tahoma"/>
          <w:color w:val="212121"/>
          <w:sz w:val="20"/>
          <w:szCs w:val="20"/>
        </w:rPr>
        <w:br/>
      </w:r>
      <w:r w:rsidRPr="003E5C1B">
        <w:rPr>
          <w:rFonts w:ascii="Tahoma" w:eastAsia="Times New Roman" w:hAnsi="Tahoma" w:cs="Tahoma"/>
          <w:b/>
          <w:bCs/>
          <w:color w:val="212121"/>
          <w:sz w:val="20"/>
          <w:szCs w:val="20"/>
        </w:rPr>
        <w:t>Subject:</w:t>
      </w:r>
      <w:r w:rsidRPr="003E5C1B">
        <w:rPr>
          <w:rFonts w:ascii="Tahoma" w:eastAsia="Times New Roman" w:hAnsi="Tahoma" w:cs="Tahoma"/>
          <w:color w:val="212121"/>
          <w:sz w:val="20"/>
          <w:szCs w:val="20"/>
        </w:rPr>
        <w:t xml:space="preserve"> </w:t>
      </w:r>
      <w:proofErr w:type="spellStart"/>
      <w:r w:rsidRPr="003E5C1B">
        <w:rPr>
          <w:rFonts w:ascii="Tahoma" w:eastAsia="Times New Roman" w:hAnsi="Tahoma" w:cs="Tahoma"/>
          <w:color w:val="212121"/>
          <w:sz w:val="20"/>
          <w:szCs w:val="20"/>
        </w:rPr>
        <w:t>Wekiva</w:t>
      </w:r>
      <w:proofErr w:type="spellEnd"/>
      <w:r w:rsidRPr="003E5C1B">
        <w:rPr>
          <w:rFonts w:ascii="Tahoma" w:eastAsia="Times New Roman" w:hAnsi="Tahoma" w:cs="Tahoma"/>
          <w:color w:val="212121"/>
          <w:sz w:val="20"/>
          <w:szCs w:val="20"/>
        </w:rPr>
        <w:t xml:space="preserve"> BMAP - Your Help Needed!</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color w:val="212121"/>
          <w:sz w:val="20"/>
          <w:szCs w:val="20"/>
        </w:rPr>
        <w:t>Hello all,</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color w:val="212121"/>
          <w:sz w:val="20"/>
          <w:szCs w:val="20"/>
        </w:rPr>
        <w:t>Put on your thinking caps…</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color w:val="212121"/>
          <w:sz w:val="20"/>
          <w:szCs w:val="20"/>
        </w:rPr>
        <w:t xml:space="preserve">As part of the Basin Management Action Plan (BMAP) process in several basins, we have calculated detailed quantitative allocations for the affected stakeholders (e.g. in the Lake </w:t>
      </w:r>
      <w:proofErr w:type="spellStart"/>
      <w:r w:rsidRPr="003E5C1B">
        <w:rPr>
          <w:rFonts w:ascii="Arial" w:eastAsia="Times New Roman" w:hAnsi="Arial" w:cs="Arial"/>
          <w:color w:val="212121"/>
          <w:sz w:val="20"/>
          <w:szCs w:val="20"/>
        </w:rPr>
        <w:t>Jesup</w:t>
      </w:r>
      <w:proofErr w:type="spellEnd"/>
      <w:r w:rsidRPr="003E5C1B">
        <w:rPr>
          <w:rFonts w:ascii="Arial" w:eastAsia="Times New Roman" w:hAnsi="Arial" w:cs="Arial"/>
          <w:color w:val="212121"/>
          <w:sz w:val="20"/>
          <w:szCs w:val="20"/>
        </w:rPr>
        <w:t xml:space="preserve"> BMAP, the City of Orlando is required to reduce their phosphorus loading by 978 </w:t>
      </w:r>
      <w:proofErr w:type="spellStart"/>
      <w:r w:rsidRPr="003E5C1B">
        <w:rPr>
          <w:rFonts w:ascii="Arial" w:eastAsia="Times New Roman" w:hAnsi="Arial" w:cs="Arial"/>
          <w:color w:val="212121"/>
          <w:sz w:val="20"/>
          <w:szCs w:val="20"/>
        </w:rPr>
        <w:t>lbs</w:t>
      </w:r>
      <w:proofErr w:type="spellEnd"/>
      <w:r w:rsidRPr="003E5C1B">
        <w:rPr>
          <w:rFonts w:ascii="Arial" w:eastAsia="Times New Roman" w:hAnsi="Arial" w:cs="Arial"/>
          <w:color w:val="212121"/>
          <w:sz w:val="20"/>
          <w:szCs w:val="20"/>
        </w:rPr>
        <w:t xml:space="preserve"> over the next 15 years). However, given the scientific uncertainties associated with groundwater nutrient transport, detailed quantitative allocations in the </w:t>
      </w:r>
      <w:proofErr w:type="spellStart"/>
      <w:r w:rsidRPr="003E5C1B">
        <w:rPr>
          <w:rFonts w:ascii="Arial" w:eastAsia="Times New Roman" w:hAnsi="Arial" w:cs="Arial"/>
          <w:color w:val="212121"/>
          <w:sz w:val="20"/>
          <w:szCs w:val="20"/>
        </w:rPr>
        <w:t>Wekiva</w:t>
      </w:r>
      <w:proofErr w:type="spellEnd"/>
      <w:r w:rsidRPr="003E5C1B">
        <w:rPr>
          <w:rFonts w:ascii="Arial" w:eastAsia="Times New Roman" w:hAnsi="Arial" w:cs="Arial"/>
          <w:color w:val="212121"/>
          <w:sz w:val="20"/>
          <w:szCs w:val="20"/>
        </w:rPr>
        <w:t xml:space="preserve"> BMAP would not be scientifically defensible. The question then becomes – on what basis do we decide that local stakeholder efforts are sufficient to meet their obligations for TMDL implementation? </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color w:val="212121"/>
          <w:sz w:val="20"/>
          <w:szCs w:val="20"/>
        </w:rPr>
        <w:t xml:space="preserve">We are taking a technology-based approach in the </w:t>
      </w:r>
      <w:proofErr w:type="spellStart"/>
      <w:r w:rsidRPr="003E5C1B">
        <w:rPr>
          <w:rFonts w:ascii="Arial" w:eastAsia="Times New Roman" w:hAnsi="Arial" w:cs="Arial"/>
          <w:color w:val="212121"/>
          <w:sz w:val="20"/>
          <w:szCs w:val="20"/>
        </w:rPr>
        <w:t>Wekiva</w:t>
      </w:r>
      <w:proofErr w:type="spellEnd"/>
      <w:r w:rsidRPr="003E5C1B">
        <w:rPr>
          <w:rFonts w:ascii="Arial" w:eastAsia="Times New Roman" w:hAnsi="Arial" w:cs="Arial"/>
          <w:color w:val="212121"/>
          <w:sz w:val="20"/>
          <w:szCs w:val="20"/>
        </w:rPr>
        <w:t xml:space="preserve">. The attached document outlines the approach in detail. Essentially, it requires that stakeholders that are within the </w:t>
      </w:r>
      <w:proofErr w:type="spellStart"/>
      <w:r w:rsidRPr="003E5C1B">
        <w:rPr>
          <w:rFonts w:ascii="Arial" w:eastAsia="Times New Roman" w:hAnsi="Arial" w:cs="Arial"/>
          <w:color w:val="212121"/>
          <w:sz w:val="20"/>
          <w:szCs w:val="20"/>
        </w:rPr>
        <w:t>springshed</w:t>
      </w:r>
      <w:proofErr w:type="spellEnd"/>
      <w:r w:rsidRPr="003E5C1B">
        <w:rPr>
          <w:rFonts w:ascii="Arial" w:eastAsia="Times New Roman" w:hAnsi="Arial" w:cs="Arial"/>
          <w:color w:val="212121"/>
          <w:sz w:val="20"/>
          <w:szCs w:val="20"/>
        </w:rPr>
        <w:t xml:space="preserve"> only (“Level 1 stakeholders”) implement pollution prevention BMPs. Stakeholders that are within the surface watershed (“Level 2 stakeholders”) will be required to implement pollution prevention and treatment BMPs. BMPs required of stakeholders will be specified in the BMAP. </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color w:val="212121"/>
          <w:sz w:val="20"/>
          <w:szCs w:val="20"/>
        </w:rPr>
        <w:t xml:space="preserve">This is where you come in. I would like your thoughts regarding what BMPs you feel are appropriate to include in the </w:t>
      </w:r>
      <w:proofErr w:type="spellStart"/>
      <w:r w:rsidRPr="003E5C1B">
        <w:rPr>
          <w:rFonts w:ascii="Arial" w:eastAsia="Times New Roman" w:hAnsi="Arial" w:cs="Arial"/>
          <w:color w:val="212121"/>
          <w:sz w:val="20"/>
          <w:szCs w:val="20"/>
        </w:rPr>
        <w:t>Wekiva</w:t>
      </w:r>
      <w:proofErr w:type="spellEnd"/>
      <w:r w:rsidRPr="003E5C1B">
        <w:rPr>
          <w:rFonts w:ascii="Arial" w:eastAsia="Times New Roman" w:hAnsi="Arial" w:cs="Arial"/>
          <w:color w:val="212121"/>
          <w:sz w:val="20"/>
          <w:szCs w:val="20"/>
        </w:rPr>
        <w:t xml:space="preserve"> BMAP. Some are logical (like those listed in the attached draft), but I’m sure you have other things in mind that you feel would be appropriate and/or necessary to help control nutrient levels in a spring. These BMPs will be implemented primarily by local governments. We will develop the final list of required BMPs with the BMAP stakeholder group, but I’d love to hear all of your ideas, no matter how far “out there” you may feel they are. Note that this BMAP is focused primarily on achieving reduction </w:t>
      </w:r>
      <w:proofErr w:type="spellStart"/>
      <w:r w:rsidRPr="003E5C1B">
        <w:rPr>
          <w:rFonts w:ascii="Arial" w:eastAsia="Times New Roman" w:hAnsi="Arial" w:cs="Arial"/>
          <w:color w:val="212121"/>
          <w:sz w:val="20"/>
          <w:szCs w:val="20"/>
        </w:rPr>
        <w:t>in</w:t>
      </w:r>
      <w:r w:rsidRPr="003E5C1B">
        <w:rPr>
          <w:rFonts w:ascii="Arial" w:eastAsia="Times New Roman" w:hAnsi="Arial" w:cs="Arial"/>
          <w:i/>
          <w:iCs/>
          <w:color w:val="212121"/>
          <w:sz w:val="20"/>
          <w:szCs w:val="20"/>
        </w:rPr>
        <w:t>nitrate</w:t>
      </w:r>
      <w:proofErr w:type="spellEnd"/>
      <w:r w:rsidRPr="003E5C1B">
        <w:rPr>
          <w:rFonts w:ascii="Arial" w:eastAsia="Times New Roman" w:hAnsi="Arial" w:cs="Arial"/>
          <w:color w:val="212121"/>
          <w:sz w:val="20"/>
          <w:szCs w:val="20"/>
        </w:rPr>
        <w:t xml:space="preserve"> levels in Rock and </w:t>
      </w:r>
      <w:proofErr w:type="spellStart"/>
      <w:r w:rsidRPr="003E5C1B">
        <w:rPr>
          <w:rFonts w:ascii="Arial" w:eastAsia="Times New Roman" w:hAnsi="Arial" w:cs="Arial"/>
          <w:color w:val="212121"/>
          <w:sz w:val="20"/>
          <w:szCs w:val="20"/>
        </w:rPr>
        <w:t>Wekiwa</w:t>
      </w:r>
      <w:proofErr w:type="spellEnd"/>
      <w:r w:rsidRPr="003E5C1B">
        <w:rPr>
          <w:rFonts w:ascii="Arial" w:eastAsia="Times New Roman" w:hAnsi="Arial" w:cs="Arial"/>
          <w:color w:val="212121"/>
          <w:sz w:val="20"/>
          <w:szCs w:val="20"/>
        </w:rPr>
        <w:t xml:space="preserve"> Springs. Phosphorus is a secondary issue.</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color w:val="212121"/>
          <w:sz w:val="20"/>
          <w:szCs w:val="20"/>
        </w:rPr>
        <w:lastRenderedPageBreak/>
        <w:t>I can send you more details about the TMDL and/or BMAP, if needed. Please give this some thought and send any ideas you have in the next two weeks or so. Feel free to send this on to any other “big thinkers” you know at DEP or SJRWMD (just internal within our two agencies for now, please).</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color w:val="212121"/>
          <w:sz w:val="20"/>
          <w:szCs w:val="20"/>
        </w:rPr>
        <w:t xml:space="preserve">I often hear people lament the routine nature of our jobs, and the rarity of opportunities to affect real change. Here is one such opportunity. BMPs that are put into this BMAP will become requirements for the stakeholders and will be implemented in the </w:t>
      </w:r>
      <w:proofErr w:type="spellStart"/>
      <w:r w:rsidRPr="003E5C1B">
        <w:rPr>
          <w:rFonts w:ascii="Arial" w:eastAsia="Times New Roman" w:hAnsi="Arial" w:cs="Arial"/>
          <w:color w:val="212121"/>
          <w:sz w:val="20"/>
          <w:szCs w:val="20"/>
        </w:rPr>
        <w:t>Wekiwa</w:t>
      </w:r>
      <w:proofErr w:type="spellEnd"/>
      <w:r w:rsidRPr="003E5C1B">
        <w:rPr>
          <w:rFonts w:ascii="Arial" w:eastAsia="Times New Roman" w:hAnsi="Arial" w:cs="Arial"/>
          <w:color w:val="212121"/>
          <w:sz w:val="20"/>
          <w:szCs w:val="20"/>
        </w:rPr>
        <w:t>/Rock Springs basin. That’s as real as it gets.</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color w:val="212121"/>
          <w:sz w:val="20"/>
          <w:szCs w:val="20"/>
        </w:rPr>
        <w:t>Thanks a million,</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color w:val="212121"/>
          <w:sz w:val="20"/>
          <w:szCs w:val="20"/>
        </w:rPr>
        <w:t>Jen</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i/>
          <w:iCs/>
          <w:color w:val="212121"/>
          <w:sz w:val="24"/>
          <w:szCs w:val="24"/>
        </w:rPr>
        <w:t>_______________________________________</w:t>
      </w:r>
      <w:r w:rsidRPr="003E5C1B">
        <w:rPr>
          <w:rFonts w:ascii="Times New Roman" w:eastAsia="Times New Roman" w:hAnsi="Times New Roman" w:cs="Times New Roman"/>
          <w:color w:val="212121"/>
          <w:sz w:val="24"/>
          <w:szCs w:val="24"/>
        </w:rPr>
        <w:br/>
      </w:r>
      <w:r w:rsidRPr="003E5C1B">
        <w:rPr>
          <w:rFonts w:ascii="Arial" w:eastAsia="Times New Roman" w:hAnsi="Arial" w:cs="Arial"/>
          <w:i/>
          <w:iCs/>
          <w:color w:val="212121"/>
          <w:sz w:val="20"/>
          <w:szCs w:val="20"/>
        </w:rPr>
        <w:t xml:space="preserve">Jennifer </w:t>
      </w:r>
      <w:proofErr w:type="spellStart"/>
      <w:r w:rsidRPr="003E5C1B">
        <w:rPr>
          <w:rFonts w:ascii="Arial" w:eastAsia="Times New Roman" w:hAnsi="Arial" w:cs="Arial"/>
          <w:i/>
          <w:iCs/>
          <w:color w:val="212121"/>
          <w:sz w:val="20"/>
          <w:szCs w:val="20"/>
        </w:rPr>
        <w:t>Gihring</w:t>
      </w:r>
      <w:proofErr w:type="spellEnd"/>
      <w:r w:rsidRPr="003E5C1B">
        <w:rPr>
          <w:rFonts w:ascii="Times New Roman" w:eastAsia="Times New Roman" w:hAnsi="Times New Roman" w:cs="Times New Roman"/>
          <w:color w:val="212121"/>
          <w:sz w:val="20"/>
          <w:szCs w:val="20"/>
        </w:rPr>
        <w:br/>
      </w:r>
      <w:r w:rsidRPr="003E5C1B">
        <w:rPr>
          <w:rFonts w:ascii="Arial" w:eastAsia="Times New Roman" w:hAnsi="Arial" w:cs="Arial"/>
          <w:i/>
          <w:iCs/>
          <w:color w:val="212121"/>
          <w:sz w:val="20"/>
          <w:szCs w:val="20"/>
        </w:rPr>
        <w:t>Watershed Planning &amp; Coordination Section</w:t>
      </w:r>
      <w:r w:rsidRPr="003E5C1B">
        <w:rPr>
          <w:rFonts w:ascii="Times New Roman" w:eastAsia="Times New Roman" w:hAnsi="Times New Roman" w:cs="Times New Roman"/>
          <w:color w:val="212121"/>
          <w:sz w:val="20"/>
          <w:szCs w:val="20"/>
        </w:rPr>
        <w:br/>
      </w:r>
      <w:r w:rsidRPr="003E5C1B">
        <w:rPr>
          <w:rFonts w:ascii="Arial" w:eastAsia="Times New Roman" w:hAnsi="Arial" w:cs="Arial"/>
          <w:i/>
          <w:iCs/>
          <w:color w:val="212121"/>
          <w:sz w:val="20"/>
          <w:szCs w:val="20"/>
        </w:rPr>
        <w:t>Florida Department of Environmental Protection</w:t>
      </w:r>
      <w:r w:rsidRPr="003E5C1B">
        <w:rPr>
          <w:rFonts w:ascii="Times New Roman" w:eastAsia="Times New Roman" w:hAnsi="Times New Roman" w:cs="Times New Roman"/>
          <w:color w:val="212121"/>
          <w:sz w:val="20"/>
          <w:szCs w:val="20"/>
        </w:rPr>
        <w:br/>
      </w:r>
      <w:r w:rsidRPr="003E5C1B">
        <w:rPr>
          <w:rFonts w:ascii="Arial" w:eastAsia="Times New Roman" w:hAnsi="Arial" w:cs="Arial"/>
          <w:i/>
          <w:iCs/>
          <w:color w:val="212121"/>
          <w:sz w:val="20"/>
          <w:szCs w:val="20"/>
        </w:rPr>
        <w:t>2600 Blair Stone Road, MS 3565</w:t>
      </w:r>
      <w:r w:rsidRPr="003E5C1B">
        <w:rPr>
          <w:rFonts w:ascii="Times New Roman" w:eastAsia="Times New Roman" w:hAnsi="Times New Roman" w:cs="Times New Roman"/>
          <w:color w:val="212121"/>
          <w:sz w:val="20"/>
          <w:szCs w:val="20"/>
        </w:rPr>
        <w:t xml:space="preserve"> </w:t>
      </w:r>
      <w:r w:rsidRPr="003E5C1B">
        <w:rPr>
          <w:rFonts w:ascii="Times New Roman" w:eastAsia="Times New Roman" w:hAnsi="Times New Roman" w:cs="Times New Roman"/>
          <w:color w:val="212121"/>
          <w:sz w:val="20"/>
          <w:szCs w:val="20"/>
        </w:rPr>
        <w:br/>
      </w:r>
      <w:r w:rsidRPr="003E5C1B">
        <w:rPr>
          <w:rFonts w:ascii="Arial" w:eastAsia="Times New Roman" w:hAnsi="Arial" w:cs="Arial"/>
          <w:i/>
          <w:iCs/>
          <w:color w:val="212121"/>
          <w:sz w:val="20"/>
          <w:szCs w:val="20"/>
        </w:rPr>
        <w:t>Tallahassee, FL 32399</w:t>
      </w:r>
      <w:r w:rsidRPr="003E5C1B">
        <w:rPr>
          <w:rFonts w:ascii="Times New Roman" w:eastAsia="Times New Roman" w:hAnsi="Times New Roman" w:cs="Times New Roman"/>
          <w:color w:val="212121"/>
          <w:sz w:val="20"/>
          <w:szCs w:val="20"/>
        </w:rPr>
        <w:br/>
      </w:r>
      <w:proofErr w:type="spellStart"/>
      <w:r w:rsidRPr="003E5C1B">
        <w:rPr>
          <w:rFonts w:ascii="Arial" w:eastAsia="Times New Roman" w:hAnsi="Arial" w:cs="Arial"/>
          <w:i/>
          <w:iCs/>
          <w:color w:val="212121"/>
          <w:sz w:val="20"/>
          <w:szCs w:val="20"/>
        </w:rPr>
        <w:t>Ph</w:t>
      </w:r>
      <w:proofErr w:type="spellEnd"/>
      <w:r w:rsidRPr="003E5C1B">
        <w:rPr>
          <w:rFonts w:ascii="Arial" w:eastAsia="Times New Roman" w:hAnsi="Arial" w:cs="Arial"/>
          <w:i/>
          <w:iCs/>
          <w:color w:val="212121"/>
          <w:sz w:val="20"/>
          <w:szCs w:val="20"/>
        </w:rPr>
        <w:t>: (850) 245-8418</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i/>
          <w:iCs/>
          <w:color w:val="212121"/>
          <w:sz w:val="20"/>
          <w:szCs w:val="20"/>
        </w:rPr>
        <w:t>Fax: (850) 245-8434</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hyperlink r:id="rId4" w:history="1">
        <w:r w:rsidRPr="003E5C1B">
          <w:rPr>
            <w:rFonts w:ascii="Arial" w:eastAsia="Times New Roman" w:hAnsi="Arial" w:cs="Arial"/>
            <w:i/>
            <w:iCs/>
            <w:color w:val="000000"/>
            <w:sz w:val="20"/>
            <w:szCs w:val="20"/>
            <w:u w:val="single"/>
          </w:rPr>
          <w:t>Jennifer.Gihring@dep.state.fl.us</w:t>
        </w:r>
      </w:hyperlink>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color w:val="212121"/>
          <w:sz w:val="15"/>
          <w:szCs w:val="15"/>
        </w:rPr>
        <w:t>Public Records: Florida has a very broad Public Records Law. Virtually all written communications to or from State employees are public records available upon request. E-mail sent on the State system will be considered public information and will only be withheld from disclosure if deemed confidential pursuant to State Law.</w:t>
      </w:r>
    </w:p>
    <w:p w:rsidR="003E5C1B" w:rsidRPr="003E5C1B" w:rsidRDefault="003E5C1B" w:rsidP="003E5C1B">
      <w:pPr>
        <w:shd w:val="clear" w:color="auto" w:fill="FFFFFF"/>
        <w:spacing w:after="0" w:line="240" w:lineRule="auto"/>
        <w:rPr>
          <w:rFonts w:ascii="Times New Roman" w:eastAsia="Times New Roman" w:hAnsi="Times New Roman" w:cs="Times New Roman"/>
          <w:color w:val="212121"/>
          <w:sz w:val="24"/>
          <w:szCs w:val="24"/>
        </w:rPr>
      </w:pPr>
      <w:r w:rsidRPr="003E5C1B">
        <w:rPr>
          <w:rFonts w:ascii="Arial" w:eastAsia="Times New Roman" w:hAnsi="Arial" w:cs="Arial"/>
          <w:color w:val="212121"/>
          <w:sz w:val="15"/>
          <w:szCs w:val="15"/>
        </w:rPr>
        <w:t xml:space="preserve">Customer Feedback: The Department of Environmental Protection values your feedback as a customer. DEP Secretary Michael W. Sole is committed to continuously assessing and improving the level and quality of services provided to you. Simply click </w:t>
      </w:r>
      <w:proofErr w:type="spellStart"/>
      <w:r w:rsidRPr="003E5C1B">
        <w:rPr>
          <w:rFonts w:ascii="Arial" w:eastAsia="Times New Roman" w:hAnsi="Arial" w:cs="Arial"/>
          <w:color w:val="212121"/>
          <w:sz w:val="15"/>
          <w:szCs w:val="15"/>
        </w:rPr>
        <w:t>on</w:t>
      </w:r>
      <w:hyperlink r:id="rId5" w:tgtFrame="_blank" w:tooltip="blocked::http://survey.dep.state.fl.us/?refemail=Jennifer.Gihring@dep.state.fl.us" w:history="1">
        <w:r w:rsidRPr="003E5C1B">
          <w:rPr>
            <w:rFonts w:ascii="Arial" w:eastAsia="Times New Roman" w:hAnsi="Arial" w:cs="Arial"/>
            <w:color w:val="800080"/>
            <w:sz w:val="15"/>
            <w:szCs w:val="15"/>
            <w:u w:val="single"/>
          </w:rPr>
          <w:t>this</w:t>
        </w:r>
        <w:proofErr w:type="spellEnd"/>
        <w:r w:rsidRPr="003E5C1B">
          <w:rPr>
            <w:rFonts w:ascii="Arial" w:eastAsia="Times New Roman" w:hAnsi="Arial" w:cs="Arial"/>
            <w:color w:val="800080"/>
            <w:sz w:val="15"/>
            <w:szCs w:val="15"/>
            <w:u w:val="single"/>
          </w:rPr>
          <w:t xml:space="preserve"> link to the DEP Customer Survey</w:t>
        </w:r>
      </w:hyperlink>
      <w:r w:rsidRPr="003E5C1B">
        <w:rPr>
          <w:rFonts w:ascii="Arial" w:eastAsia="Times New Roman" w:hAnsi="Arial" w:cs="Arial"/>
          <w:color w:val="212121"/>
          <w:sz w:val="15"/>
          <w:szCs w:val="15"/>
        </w:rPr>
        <w:t xml:space="preserve"> to comment on the quality of service you have received.</w:t>
      </w:r>
    </w:p>
    <w:p w:rsidR="00C270F3" w:rsidRDefault="00C270F3">
      <w:bookmarkStart w:id="0" w:name="_GoBack"/>
      <w:bookmarkEnd w:id="0"/>
    </w:p>
    <w:sectPr w:rsidR="00C270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C1B"/>
    <w:rsid w:val="003E5C1B"/>
    <w:rsid w:val="00C27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10F872-E4DA-481F-BDBF-8A7A7D577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701783">
      <w:bodyDiv w:val="1"/>
      <w:marLeft w:val="0"/>
      <w:marRight w:val="0"/>
      <w:marTop w:val="0"/>
      <w:marBottom w:val="0"/>
      <w:divBdr>
        <w:top w:val="none" w:sz="0" w:space="0" w:color="auto"/>
        <w:left w:val="none" w:sz="0" w:space="0" w:color="auto"/>
        <w:bottom w:val="none" w:sz="0" w:space="0" w:color="auto"/>
        <w:right w:val="none" w:sz="0" w:space="0" w:color="auto"/>
      </w:divBdr>
      <w:divsChild>
        <w:div w:id="515966058">
          <w:marLeft w:val="0"/>
          <w:marRight w:val="0"/>
          <w:marTop w:val="0"/>
          <w:marBottom w:val="0"/>
          <w:divBdr>
            <w:top w:val="none" w:sz="0" w:space="0" w:color="auto"/>
            <w:left w:val="none" w:sz="0" w:space="0" w:color="auto"/>
            <w:bottom w:val="none" w:sz="0" w:space="0" w:color="auto"/>
            <w:right w:val="none" w:sz="0" w:space="0" w:color="auto"/>
          </w:divBdr>
          <w:divsChild>
            <w:div w:id="988824712">
              <w:marLeft w:val="0"/>
              <w:marRight w:val="0"/>
              <w:marTop w:val="0"/>
              <w:marBottom w:val="0"/>
              <w:divBdr>
                <w:top w:val="none" w:sz="0" w:space="0" w:color="auto"/>
                <w:left w:val="none" w:sz="0" w:space="0" w:color="auto"/>
                <w:bottom w:val="none" w:sz="0" w:space="0" w:color="auto"/>
                <w:right w:val="none" w:sz="0" w:space="0" w:color="auto"/>
              </w:divBdr>
              <w:divsChild>
                <w:div w:id="1009328906">
                  <w:marLeft w:val="0"/>
                  <w:marRight w:val="0"/>
                  <w:marTop w:val="0"/>
                  <w:marBottom w:val="0"/>
                  <w:divBdr>
                    <w:top w:val="none" w:sz="0" w:space="0" w:color="auto"/>
                    <w:left w:val="none" w:sz="0" w:space="0" w:color="auto"/>
                    <w:bottom w:val="none" w:sz="0" w:space="0" w:color="auto"/>
                    <w:right w:val="none" w:sz="0" w:space="0" w:color="auto"/>
                  </w:divBdr>
                </w:div>
                <w:div w:id="1249801909">
                  <w:marLeft w:val="0"/>
                  <w:marRight w:val="0"/>
                  <w:marTop w:val="0"/>
                  <w:marBottom w:val="0"/>
                  <w:divBdr>
                    <w:top w:val="none" w:sz="0" w:space="0" w:color="auto"/>
                    <w:left w:val="none" w:sz="0" w:space="0" w:color="auto"/>
                    <w:bottom w:val="none" w:sz="0" w:space="0" w:color="auto"/>
                    <w:right w:val="none" w:sz="0" w:space="0" w:color="auto"/>
                  </w:divBdr>
                  <w:divsChild>
                    <w:div w:id="309673827">
                      <w:marLeft w:val="0"/>
                      <w:marRight w:val="0"/>
                      <w:marTop w:val="0"/>
                      <w:marBottom w:val="0"/>
                      <w:divBdr>
                        <w:top w:val="none" w:sz="0" w:space="0" w:color="auto"/>
                        <w:left w:val="none" w:sz="0" w:space="0" w:color="auto"/>
                        <w:bottom w:val="none" w:sz="0" w:space="0" w:color="auto"/>
                        <w:right w:val="none" w:sz="0" w:space="0" w:color="auto"/>
                      </w:divBdr>
                      <w:divsChild>
                        <w:div w:id="629821750">
                          <w:marLeft w:val="0"/>
                          <w:marRight w:val="0"/>
                          <w:marTop w:val="0"/>
                          <w:marBottom w:val="0"/>
                          <w:divBdr>
                            <w:top w:val="none" w:sz="0" w:space="0" w:color="auto"/>
                            <w:left w:val="none" w:sz="0" w:space="0" w:color="auto"/>
                            <w:bottom w:val="none" w:sz="0" w:space="0" w:color="auto"/>
                            <w:right w:val="none" w:sz="0" w:space="0" w:color="auto"/>
                          </w:divBdr>
                          <w:divsChild>
                            <w:div w:id="1201825203">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rvey.dep.state.fl.us/?refemail=Jennifer.Gihring@dep.state.fl.us" TargetMode="External"/><Relationship Id="rId4" Type="http://schemas.openxmlformats.org/officeDocument/2006/relationships/hyperlink" Target="mailto:Jennifer.Gihring@dep.state.fl.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1617</Words>
  <Characters>9218</Characters>
  <Application>Microsoft Office Word</Application>
  <DocSecurity>0</DocSecurity>
  <Lines>76</Lines>
  <Paragraphs>21</Paragraphs>
  <ScaleCrop>false</ScaleCrop>
  <Company/>
  <LinksUpToDate>false</LinksUpToDate>
  <CharactersWithSpaces>10814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Harrington, Debra</dc:creator>
  <cp:keywords/>
  <dc:description/>
  <cp:lastModifiedBy>Harrington, Debra</cp:lastModifiedBy>
  <cp:revision>1</cp:revision>
  <dcterms:created xsi:type="dcterms:W3CDTF">2014-09-09T13:20:00Z</dcterms:created>
  <dcterms:modified xsi:type="dcterms:W3CDTF">2014-09-09T13:22:00Z</dcterms:modified>
</cp:coreProperties>
</file>