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AF3" w:rsidRDefault="000F30C6">
      <w:pPr>
        <w:pStyle w:val="Title"/>
        <w:jc w:val="center"/>
        <w:rPr>
          <w:sz w:val="40"/>
        </w:rPr>
      </w:pPr>
      <w:r w:rsidRPr="000F30C6">
        <w:rPr>
          <w:sz w:val="40"/>
        </w:rPr>
        <w:t>Well and Spring Sampling to Evaluate Nitrogen Sources in Alachua County Portion of the Santa Fe BMAP Area</w:t>
      </w:r>
      <w:r w:rsidR="0023704D">
        <w:rPr>
          <w:sz w:val="40"/>
        </w:rPr>
        <w:t>- DRAFT</w:t>
      </w:r>
    </w:p>
    <w:p w:rsidR="004016E4" w:rsidRPr="00F00233" w:rsidRDefault="00EA6BA0" w:rsidP="004016E4">
      <w:pPr>
        <w:pStyle w:val="NoSpacing"/>
        <w:jc w:val="center"/>
        <w:rPr>
          <w:i/>
          <w:sz w:val="24"/>
        </w:rPr>
      </w:pPr>
      <w:r w:rsidRPr="00F00233">
        <w:rPr>
          <w:i/>
          <w:sz w:val="24"/>
        </w:rPr>
        <w:t xml:space="preserve">Prepared by </w:t>
      </w:r>
      <w:r w:rsidR="00840746" w:rsidRPr="00F00233">
        <w:rPr>
          <w:i/>
          <w:sz w:val="24"/>
        </w:rPr>
        <w:t>Richard Hicks and Kathryn Holland</w:t>
      </w:r>
      <w:r w:rsidR="00B45E50" w:rsidRPr="00F00233">
        <w:rPr>
          <w:i/>
          <w:sz w:val="24"/>
        </w:rPr>
        <w:t>,</w:t>
      </w:r>
    </w:p>
    <w:p w:rsidR="002F3644" w:rsidRPr="00F00233" w:rsidRDefault="00EA6BA0" w:rsidP="004016E4">
      <w:pPr>
        <w:pStyle w:val="NoSpacing"/>
        <w:jc w:val="center"/>
        <w:rPr>
          <w:i/>
          <w:sz w:val="24"/>
        </w:rPr>
      </w:pPr>
      <w:r w:rsidRPr="00F00233">
        <w:rPr>
          <w:i/>
          <w:sz w:val="24"/>
        </w:rPr>
        <w:t>Ground Water and Springs Protection Section</w:t>
      </w:r>
    </w:p>
    <w:p w:rsidR="00182DB5" w:rsidRPr="00F00233" w:rsidRDefault="009C048F" w:rsidP="004016E4">
      <w:pPr>
        <w:pStyle w:val="NoSpacing"/>
        <w:jc w:val="center"/>
        <w:rPr>
          <w:i/>
          <w:sz w:val="24"/>
        </w:rPr>
      </w:pPr>
      <w:r w:rsidRPr="00F00233">
        <w:rPr>
          <w:i/>
          <w:sz w:val="24"/>
        </w:rPr>
        <w:t>Florida Department of Environmental Protection</w:t>
      </w:r>
    </w:p>
    <w:p w:rsidR="00F14C58" w:rsidRPr="004016E4" w:rsidRDefault="00EA6BA0" w:rsidP="004016E4">
      <w:pPr>
        <w:pStyle w:val="NoSpacing"/>
        <w:jc w:val="center"/>
        <w:rPr>
          <w:i/>
        </w:rPr>
      </w:pPr>
      <w:r w:rsidRPr="00F00233">
        <w:rPr>
          <w:i/>
          <w:sz w:val="24"/>
        </w:rPr>
        <w:t>Bureau of Watershed Restoration</w:t>
      </w:r>
    </w:p>
    <w:p w:rsidR="00A953D5" w:rsidRDefault="00A953D5" w:rsidP="002F3644">
      <w:pPr>
        <w:pStyle w:val="NoSpacing"/>
        <w:rPr>
          <w:i/>
        </w:rPr>
      </w:pPr>
    </w:p>
    <w:p w:rsidR="00F14C58" w:rsidRDefault="00F14C58" w:rsidP="00B45E50">
      <w:pPr>
        <w:pStyle w:val="Heading1"/>
      </w:pPr>
      <w:r w:rsidRPr="00EA6BA0">
        <w:t>Introduction</w:t>
      </w:r>
    </w:p>
    <w:p w:rsidR="00FD50F7" w:rsidRPr="0023704D" w:rsidRDefault="00FD50F7" w:rsidP="00FD50F7">
      <w:pPr>
        <w:rPr>
          <w:rFonts w:eastAsiaTheme="majorEastAsia" w:cstheme="majorBidi"/>
          <w:bCs/>
          <w:sz w:val="24"/>
          <w:szCs w:val="24"/>
        </w:rPr>
      </w:pPr>
      <w:r w:rsidRPr="0023704D">
        <w:rPr>
          <w:rFonts w:eastAsiaTheme="majorEastAsia" w:cstheme="majorBidi"/>
          <w:bCs/>
          <w:sz w:val="24"/>
          <w:szCs w:val="24"/>
        </w:rPr>
        <w:t xml:space="preserve">In support of the Santa Fe River Basin </w:t>
      </w:r>
      <w:r w:rsidR="003677C6" w:rsidRPr="0023704D">
        <w:rPr>
          <w:rFonts w:eastAsiaTheme="majorEastAsia" w:cstheme="majorBidi"/>
          <w:bCs/>
          <w:sz w:val="24"/>
          <w:szCs w:val="24"/>
        </w:rPr>
        <w:t>TMDL</w:t>
      </w:r>
      <w:r w:rsidR="00840746">
        <w:rPr>
          <w:rFonts w:eastAsiaTheme="majorEastAsia" w:cstheme="majorBidi"/>
          <w:bCs/>
          <w:sz w:val="24"/>
          <w:szCs w:val="24"/>
        </w:rPr>
        <w:t xml:space="preserve"> </w:t>
      </w:r>
      <w:r w:rsidR="003677C6">
        <w:rPr>
          <w:rFonts w:eastAsiaTheme="majorEastAsia" w:cstheme="majorBidi"/>
          <w:bCs/>
          <w:sz w:val="24"/>
          <w:szCs w:val="24"/>
        </w:rPr>
        <w:t>(total maximum daily load)</w:t>
      </w:r>
      <w:r w:rsidR="00840746">
        <w:rPr>
          <w:rFonts w:eastAsiaTheme="majorEastAsia" w:cstheme="majorBidi"/>
          <w:bCs/>
          <w:sz w:val="24"/>
          <w:szCs w:val="24"/>
        </w:rPr>
        <w:t xml:space="preserve"> </w:t>
      </w:r>
      <w:r w:rsidRPr="0023704D">
        <w:rPr>
          <w:rFonts w:eastAsiaTheme="majorEastAsia" w:cstheme="majorBidi"/>
          <w:bCs/>
          <w:sz w:val="24"/>
          <w:szCs w:val="24"/>
        </w:rPr>
        <w:t>and BMAP</w:t>
      </w:r>
      <w:r w:rsidR="003677C6">
        <w:rPr>
          <w:rFonts w:eastAsiaTheme="majorEastAsia" w:cstheme="majorBidi"/>
          <w:bCs/>
          <w:sz w:val="24"/>
          <w:szCs w:val="24"/>
        </w:rPr>
        <w:t xml:space="preserve"> (basin management action plan)</w:t>
      </w:r>
      <w:r w:rsidRPr="0023704D">
        <w:rPr>
          <w:rFonts w:eastAsiaTheme="majorEastAsia" w:cstheme="majorBidi"/>
          <w:bCs/>
          <w:sz w:val="24"/>
          <w:szCs w:val="24"/>
        </w:rPr>
        <w:t xml:space="preserve"> efforts being conducted by FDEP </w:t>
      </w:r>
      <w:r w:rsidR="00AF13A6" w:rsidRPr="0023704D">
        <w:rPr>
          <w:rFonts w:eastAsiaTheme="majorEastAsia" w:cstheme="majorBidi"/>
          <w:bCs/>
          <w:sz w:val="24"/>
          <w:szCs w:val="24"/>
        </w:rPr>
        <w:t xml:space="preserve">Watershed Planning and Coordination Section, </w:t>
      </w:r>
      <w:r w:rsidRPr="0023704D">
        <w:rPr>
          <w:sz w:val="24"/>
          <w:szCs w:val="24"/>
        </w:rPr>
        <w:t>representatives from Alachua County Envir</w:t>
      </w:r>
      <w:r w:rsidR="006A65A1" w:rsidRPr="0023704D">
        <w:rPr>
          <w:sz w:val="24"/>
          <w:szCs w:val="24"/>
        </w:rPr>
        <w:t>o</w:t>
      </w:r>
      <w:r w:rsidRPr="0023704D">
        <w:rPr>
          <w:sz w:val="24"/>
          <w:szCs w:val="24"/>
        </w:rPr>
        <w:t xml:space="preserve">nmental Protection </w:t>
      </w:r>
      <w:r w:rsidR="006A65A1" w:rsidRPr="0023704D">
        <w:rPr>
          <w:sz w:val="24"/>
          <w:szCs w:val="24"/>
        </w:rPr>
        <w:t>Department (EPD)</w:t>
      </w:r>
      <w:r w:rsidR="00DC3C57" w:rsidRPr="0023704D">
        <w:rPr>
          <w:sz w:val="24"/>
          <w:szCs w:val="24"/>
        </w:rPr>
        <w:t xml:space="preserve"> </w:t>
      </w:r>
      <w:r w:rsidRPr="0023704D">
        <w:rPr>
          <w:sz w:val="24"/>
          <w:szCs w:val="24"/>
        </w:rPr>
        <w:t>and FDEP Ground Water and Springs Protection Section</w:t>
      </w:r>
      <w:r w:rsidRPr="0023704D">
        <w:rPr>
          <w:rFonts w:eastAsiaTheme="majorEastAsia" w:cstheme="majorBidi"/>
          <w:bCs/>
          <w:sz w:val="24"/>
          <w:szCs w:val="24"/>
        </w:rPr>
        <w:t xml:space="preserve"> </w:t>
      </w:r>
      <w:r w:rsidR="00DC3C57" w:rsidRPr="0023704D">
        <w:rPr>
          <w:rFonts w:eastAsiaTheme="majorEastAsia" w:cstheme="majorBidi"/>
          <w:bCs/>
          <w:sz w:val="24"/>
          <w:szCs w:val="24"/>
        </w:rPr>
        <w:t xml:space="preserve">(GWSP) </w:t>
      </w:r>
      <w:r w:rsidR="000F3659">
        <w:rPr>
          <w:rFonts w:eastAsiaTheme="majorEastAsia" w:cstheme="majorBidi"/>
          <w:bCs/>
          <w:sz w:val="24"/>
          <w:szCs w:val="24"/>
        </w:rPr>
        <w:t xml:space="preserve">obtained baseline </w:t>
      </w:r>
      <w:r w:rsidRPr="0023704D">
        <w:rPr>
          <w:rFonts w:eastAsiaTheme="majorEastAsia" w:cstheme="majorBidi"/>
          <w:bCs/>
          <w:sz w:val="24"/>
          <w:szCs w:val="24"/>
        </w:rPr>
        <w:t>sampl</w:t>
      </w:r>
      <w:r w:rsidR="00141D89" w:rsidRPr="0023704D">
        <w:rPr>
          <w:rFonts w:eastAsiaTheme="majorEastAsia" w:cstheme="majorBidi"/>
          <w:bCs/>
          <w:sz w:val="24"/>
          <w:szCs w:val="24"/>
        </w:rPr>
        <w:t>e</w:t>
      </w:r>
      <w:r w:rsidR="000F3659">
        <w:rPr>
          <w:rFonts w:eastAsiaTheme="majorEastAsia" w:cstheme="majorBidi"/>
          <w:bCs/>
          <w:sz w:val="24"/>
          <w:szCs w:val="24"/>
        </w:rPr>
        <w:t>s from</w:t>
      </w:r>
      <w:r w:rsidR="00141D89" w:rsidRPr="0023704D">
        <w:rPr>
          <w:rFonts w:eastAsiaTheme="majorEastAsia" w:cstheme="majorBidi"/>
          <w:bCs/>
          <w:sz w:val="24"/>
          <w:szCs w:val="24"/>
        </w:rPr>
        <w:t xml:space="preserve"> 2</w:t>
      </w:r>
      <w:r w:rsidR="00420D4A">
        <w:rPr>
          <w:rFonts w:eastAsiaTheme="majorEastAsia" w:cstheme="majorBidi"/>
          <w:bCs/>
          <w:sz w:val="24"/>
          <w:szCs w:val="24"/>
        </w:rPr>
        <w:t>1</w:t>
      </w:r>
      <w:r w:rsidRPr="0023704D">
        <w:rPr>
          <w:rFonts w:eastAsiaTheme="majorEastAsia" w:cstheme="majorBidi"/>
          <w:bCs/>
          <w:sz w:val="24"/>
          <w:szCs w:val="24"/>
        </w:rPr>
        <w:t xml:space="preserve"> </w:t>
      </w:r>
      <w:r w:rsidR="00420D4A">
        <w:rPr>
          <w:rFonts w:eastAsiaTheme="majorEastAsia" w:cstheme="majorBidi"/>
          <w:bCs/>
          <w:sz w:val="24"/>
          <w:szCs w:val="24"/>
        </w:rPr>
        <w:t>private</w:t>
      </w:r>
      <w:r w:rsidR="00420D4A" w:rsidRPr="0023704D">
        <w:rPr>
          <w:rFonts w:eastAsiaTheme="majorEastAsia" w:cstheme="majorBidi"/>
          <w:bCs/>
          <w:sz w:val="24"/>
          <w:szCs w:val="24"/>
        </w:rPr>
        <w:t xml:space="preserve"> </w:t>
      </w:r>
      <w:r w:rsidRPr="0023704D">
        <w:rPr>
          <w:rFonts w:eastAsiaTheme="majorEastAsia" w:cstheme="majorBidi"/>
          <w:bCs/>
          <w:sz w:val="24"/>
          <w:szCs w:val="24"/>
        </w:rPr>
        <w:t>wells</w:t>
      </w:r>
      <w:r w:rsidR="00420D4A">
        <w:rPr>
          <w:rFonts w:eastAsiaTheme="majorEastAsia" w:cstheme="majorBidi"/>
          <w:bCs/>
          <w:sz w:val="24"/>
          <w:szCs w:val="24"/>
        </w:rPr>
        <w:t>, 1 waste water treatment plant,</w:t>
      </w:r>
      <w:r w:rsidRPr="0023704D">
        <w:rPr>
          <w:rFonts w:eastAsiaTheme="majorEastAsia" w:cstheme="majorBidi"/>
          <w:bCs/>
          <w:sz w:val="24"/>
          <w:szCs w:val="24"/>
        </w:rPr>
        <w:t xml:space="preserve"> and </w:t>
      </w:r>
      <w:r w:rsidR="00983643" w:rsidRPr="0023704D">
        <w:rPr>
          <w:rFonts w:eastAsiaTheme="majorEastAsia" w:cstheme="majorBidi"/>
          <w:bCs/>
          <w:sz w:val="24"/>
          <w:szCs w:val="24"/>
        </w:rPr>
        <w:t>9</w:t>
      </w:r>
      <w:r w:rsidRPr="0023704D">
        <w:rPr>
          <w:rFonts w:eastAsiaTheme="majorEastAsia" w:cstheme="majorBidi"/>
          <w:bCs/>
          <w:sz w:val="24"/>
          <w:szCs w:val="24"/>
        </w:rPr>
        <w:t xml:space="preserve"> </w:t>
      </w:r>
      <w:r w:rsidR="00AB2C1B" w:rsidRPr="0023704D">
        <w:rPr>
          <w:rFonts w:eastAsiaTheme="majorEastAsia" w:cstheme="majorBidi"/>
          <w:bCs/>
          <w:sz w:val="24"/>
          <w:szCs w:val="24"/>
        </w:rPr>
        <w:t>spring</w:t>
      </w:r>
      <w:r w:rsidR="00B41A86" w:rsidRPr="0023704D">
        <w:rPr>
          <w:rFonts w:eastAsiaTheme="majorEastAsia" w:cstheme="majorBidi"/>
          <w:bCs/>
          <w:sz w:val="24"/>
          <w:szCs w:val="24"/>
        </w:rPr>
        <w:t>s</w:t>
      </w:r>
      <w:r w:rsidR="00AB2C1B" w:rsidRPr="0023704D">
        <w:rPr>
          <w:rFonts w:eastAsiaTheme="majorEastAsia" w:cstheme="majorBidi"/>
          <w:bCs/>
          <w:sz w:val="24"/>
          <w:szCs w:val="24"/>
        </w:rPr>
        <w:t xml:space="preserve">, </w:t>
      </w:r>
      <w:r w:rsidRPr="0023704D">
        <w:rPr>
          <w:rFonts w:eastAsiaTheme="majorEastAsia" w:cstheme="majorBidi"/>
          <w:bCs/>
          <w:sz w:val="24"/>
          <w:szCs w:val="24"/>
        </w:rPr>
        <w:t xml:space="preserve">within the </w:t>
      </w:r>
      <w:r w:rsidR="00E9392B">
        <w:rPr>
          <w:rFonts w:eastAsiaTheme="majorEastAsia" w:cstheme="majorBidi"/>
          <w:bCs/>
          <w:sz w:val="24"/>
          <w:szCs w:val="24"/>
        </w:rPr>
        <w:t>BMAP</w:t>
      </w:r>
      <w:r w:rsidRPr="0023704D">
        <w:rPr>
          <w:rFonts w:eastAsiaTheme="majorEastAsia" w:cstheme="majorBidi"/>
          <w:bCs/>
          <w:sz w:val="24"/>
          <w:szCs w:val="24"/>
        </w:rPr>
        <w:t xml:space="preserve"> area of the Santa Fe River Basin</w:t>
      </w:r>
      <w:r w:rsidR="00E9392B">
        <w:rPr>
          <w:rFonts w:eastAsiaTheme="majorEastAsia" w:cstheme="majorBidi"/>
          <w:bCs/>
          <w:sz w:val="24"/>
          <w:szCs w:val="24"/>
        </w:rPr>
        <w:t xml:space="preserve"> (one well was on the outer eastern edge of the area)</w:t>
      </w:r>
      <w:r w:rsidR="00AB2C1B" w:rsidRPr="0023704D">
        <w:rPr>
          <w:rFonts w:eastAsiaTheme="majorEastAsia" w:cstheme="majorBidi"/>
          <w:bCs/>
          <w:sz w:val="24"/>
          <w:szCs w:val="24"/>
        </w:rPr>
        <w:t>.  Sa</w:t>
      </w:r>
      <w:r w:rsidR="00B41A86" w:rsidRPr="0023704D">
        <w:rPr>
          <w:rFonts w:eastAsiaTheme="majorEastAsia" w:cstheme="majorBidi"/>
          <w:bCs/>
          <w:sz w:val="24"/>
          <w:szCs w:val="24"/>
        </w:rPr>
        <w:t>m</w:t>
      </w:r>
      <w:r w:rsidR="00AB2C1B" w:rsidRPr="0023704D">
        <w:rPr>
          <w:rFonts w:eastAsiaTheme="majorEastAsia" w:cstheme="majorBidi"/>
          <w:bCs/>
          <w:sz w:val="24"/>
          <w:szCs w:val="24"/>
        </w:rPr>
        <w:t xml:space="preserve">pling took place </w:t>
      </w:r>
      <w:r w:rsidR="006A65A1" w:rsidRPr="0023704D">
        <w:rPr>
          <w:rFonts w:eastAsiaTheme="majorEastAsia" w:cstheme="majorBidi"/>
          <w:bCs/>
          <w:sz w:val="24"/>
          <w:szCs w:val="24"/>
        </w:rPr>
        <w:t>during Feb</w:t>
      </w:r>
      <w:r w:rsidR="002F3644" w:rsidRPr="0023704D">
        <w:rPr>
          <w:rFonts w:eastAsiaTheme="majorEastAsia" w:cstheme="majorBidi"/>
          <w:bCs/>
          <w:sz w:val="24"/>
          <w:szCs w:val="24"/>
        </w:rPr>
        <w:t>r</w:t>
      </w:r>
      <w:r w:rsidR="00AF13A6" w:rsidRPr="0023704D">
        <w:rPr>
          <w:rFonts w:eastAsiaTheme="majorEastAsia" w:cstheme="majorBidi"/>
          <w:bCs/>
          <w:sz w:val="24"/>
          <w:szCs w:val="24"/>
        </w:rPr>
        <w:t>u</w:t>
      </w:r>
      <w:r w:rsidR="006A65A1" w:rsidRPr="0023704D">
        <w:rPr>
          <w:rFonts w:eastAsiaTheme="majorEastAsia" w:cstheme="majorBidi"/>
          <w:bCs/>
          <w:sz w:val="24"/>
          <w:szCs w:val="24"/>
        </w:rPr>
        <w:t>ary and March, 2011.</w:t>
      </w:r>
      <w:r w:rsidR="00420D4A">
        <w:rPr>
          <w:rFonts w:eastAsiaTheme="majorEastAsia" w:cstheme="majorBidi"/>
          <w:bCs/>
          <w:sz w:val="24"/>
          <w:szCs w:val="24"/>
        </w:rPr>
        <w:t xml:space="preserve">  </w:t>
      </w:r>
    </w:p>
    <w:p w:rsidR="000553B5" w:rsidRPr="0023704D" w:rsidRDefault="000553B5" w:rsidP="000553B5">
      <w:pPr>
        <w:rPr>
          <w:sz w:val="24"/>
          <w:szCs w:val="24"/>
        </w:rPr>
      </w:pPr>
      <w:r w:rsidRPr="0023704D">
        <w:rPr>
          <w:sz w:val="24"/>
          <w:szCs w:val="24"/>
        </w:rPr>
        <w:t xml:space="preserve">The </w:t>
      </w:r>
      <w:r w:rsidR="003677C6">
        <w:rPr>
          <w:sz w:val="24"/>
          <w:szCs w:val="24"/>
        </w:rPr>
        <w:t xml:space="preserve">2008 </w:t>
      </w:r>
      <w:r w:rsidRPr="0023704D">
        <w:rPr>
          <w:sz w:val="24"/>
          <w:szCs w:val="24"/>
        </w:rPr>
        <w:t xml:space="preserve">TMDL for the </w:t>
      </w:r>
      <w:r w:rsidR="00083092" w:rsidRPr="0023704D">
        <w:rPr>
          <w:sz w:val="24"/>
          <w:szCs w:val="24"/>
        </w:rPr>
        <w:t xml:space="preserve">Suwannee </w:t>
      </w:r>
      <w:r w:rsidR="000F3659">
        <w:rPr>
          <w:sz w:val="24"/>
          <w:szCs w:val="24"/>
        </w:rPr>
        <w:t>and Santa Fe Rivers</w:t>
      </w:r>
      <w:r w:rsidRPr="0023704D">
        <w:rPr>
          <w:sz w:val="24"/>
          <w:szCs w:val="24"/>
        </w:rPr>
        <w:t xml:space="preserve"> established the </w:t>
      </w:r>
      <w:r w:rsidR="003677C6">
        <w:rPr>
          <w:sz w:val="24"/>
          <w:szCs w:val="24"/>
        </w:rPr>
        <w:t>maximum</w:t>
      </w:r>
      <w:r w:rsidRPr="0023704D">
        <w:rPr>
          <w:sz w:val="24"/>
          <w:szCs w:val="24"/>
        </w:rPr>
        <w:t xml:space="preserve"> </w:t>
      </w:r>
      <w:r w:rsidR="000F3659">
        <w:rPr>
          <w:sz w:val="24"/>
          <w:szCs w:val="24"/>
        </w:rPr>
        <w:t>threshold</w:t>
      </w:r>
      <w:r w:rsidRPr="0023704D">
        <w:rPr>
          <w:sz w:val="24"/>
          <w:szCs w:val="24"/>
        </w:rPr>
        <w:t xml:space="preserve"> </w:t>
      </w:r>
      <w:r w:rsidR="00167736" w:rsidRPr="0023704D">
        <w:rPr>
          <w:sz w:val="24"/>
          <w:szCs w:val="24"/>
        </w:rPr>
        <w:t>nitrate nitrogen</w:t>
      </w:r>
      <w:r w:rsidRPr="0023704D">
        <w:rPr>
          <w:sz w:val="24"/>
          <w:szCs w:val="24"/>
        </w:rPr>
        <w:t xml:space="preserve"> </w:t>
      </w:r>
      <w:r w:rsidR="000F3659">
        <w:rPr>
          <w:sz w:val="24"/>
          <w:szCs w:val="24"/>
        </w:rPr>
        <w:t xml:space="preserve">concentration </w:t>
      </w:r>
      <w:r w:rsidR="003677C6">
        <w:rPr>
          <w:sz w:val="24"/>
          <w:szCs w:val="24"/>
        </w:rPr>
        <w:t>the waterbodies can support while maintaining a healthy ecosystem.</w:t>
      </w:r>
      <w:r w:rsidRPr="0023704D">
        <w:rPr>
          <w:sz w:val="24"/>
          <w:szCs w:val="24"/>
        </w:rPr>
        <w:t xml:space="preserve">  Identification of potential </w:t>
      </w:r>
      <w:r w:rsidR="00AB2C1B" w:rsidRPr="0023704D">
        <w:rPr>
          <w:sz w:val="24"/>
          <w:szCs w:val="24"/>
        </w:rPr>
        <w:t>n</w:t>
      </w:r>
      <w:r w:rsidR="00167736" w:rsidRPr="0023704D">
        <w:rPr>
          <w:sz w:val="24"/>
          <w:szCs w:val="24"/>
        </w:rPr>
        <w:t>itrate</w:t>
      </w:r>
      <w:r w:rsidR="00AB2C1B" w:rsidRPr="0023704D">
        <w:rPr>
          <w:sz w:val="24"/>
          <w:szCs w:val="24"/>
        </w:rPr>
        <w:t xml:space="preserve"> </w:t>
      </w:r>
      <w:r w:rsidRPr="0023704D">
        <w:rPr>
          <w:sz w:val="24"/>
          <w:szCs w:val="24"/>
        </w:rPr>
        <w:t xml:space="preserve">sources is needed </w:t>
      </w:r>
      <w:r w:rsidR="00AB2C1B" w:rsidRPr="0023704D">
        <w:rPr>
          <w:sz w:val="24"/>
          <w:szCs w:val="24"/>
        </w:rPr>
        <w:t xml:space="preserve">to </w:t>
      </w:r>
      <w:r w:rsidRPr="0023704D">
        <w:rPr>
          <w:sz w:val="24"/>
          <w:szCs w:val="24"/>
        </w:rPr>
        <w:t xml:space="preserve">implement appropriate restoration activities for the BMAP.  The BMAP process currently underway </w:t>
      </w:r>
      <w:r w:rsidR="000F3659">
        <w:rPr>
          <w:sz w:val="24"/>
          <w:szCs w:val="24"/>
        </w:rPr>
        <w:t>for</w:t>
      </w:r>
      <w:r w:rsidRPr="0023704D">
        <w:rPr>
          <w:sz w:val="24"/>
          <w:szCs w:val="24"/>
        </w:rPr>
        <w:t xml:space="preserve"> the Santa Fe River </w:t>
      </w:r>
      <w:r w:rsidR="003677C6">
        <w:rPr>
          <w:sz w:val="24"/>
          <w:szCs w:val="24"/>
        </w:rPr>
        <w:t>has identified potential nitrate source</w:t>
      </w:r>
      <w:r w:rsidR="000F3659">
        <w:rPr>
          <w:sz w:val="24"/>
          <w:szCs w:val="24"/>
        </w:rPr>
        <w:t xml:space="preserve"> type</w:t>
      </w:r>
      <w:r w:rsidR="003677C6">
        <w:rPr>
          <w:sz w:val="24"/>
          <w:szCs w:val="24"/>
        </w:rPr>
        <w:t>s</w:t>
      </w:r>
      <w:r w:rsidR="000F3659">
        <w:rPr>
          <w:sz w:val="24"/>
          <w:szCs w:val="24"/>
        </w:rPr>
        <w:t>,</w:t>
      </w:r>
      <w:r w:rsidRPr="0023704D">
        <w:rPr>
          <w:sz w:val="24"/>
          <w:szCs w:val="24"/>
        </w:rPr>
        <w:t xml:space="preserve"> </w:t>
      </w:r>
      <w:r w:rsidR="00AB2C1B" w:rsidRPr="0023704D">
        <w:rPr>
          <w:sz w:val="24"/>
          <w:szCs w:val="24"/>
        </w:rPr>
        <w:t>however</w:t>
      </w:r>
      <w:r w:rsidR="003677C6">
        <w:rPr>
          <w:sz w:val="24"/>
          <w:szCs w:val="24"/>
        </w:rPr>
        <w:t>,</w:t>
      </w:r>
      <w:r w:rsidR="00AB2C1B" w:rsidRPr="0023704D">
        <w:rPr>
          <w:sz w:val="24"/>
          <w:szCs w:val="24"/>
        </w:rPr>
        <w:t xml:space="preserve"> background data on nutrient sources and levels within the basin is somewhat lacking.</w:t>
      </w:r>
    </w:p>
    <w:p w:rsidR="00FD50F7" w:rsidRPr="0023704D" w:rsidRDefault="000F3659" w:rsidP="00FD50F7">
      <w:pPr>
        <w:rPr>
          <w:rFonts w:eastAsiaTheme="majorEastAsia" w:cstheme="majorBidi"/>
          <w:bCs/>
          <w:sz w:val="24"/>
          <w:szCs w:val="24"/>
        </w:rPr>
      </w:pPr>
      <w:r>
        <w:rPr>
          <w:rFonts w:eastAsiaTheme="majorEastAsia" w:cstheme="majorBidi"/>
          <w:bCs/>
          <w:sz w:val="24"/>
          <w:szCs w:val="24"/>
        </w:rPr>
        <w:t>Most</w:t>
      </w:r>
      <w:r w:rsidR="000261D3" w:rsidRPr="0023704D">
        <w:rPr>
          <w:rFonts w:eastAsiaTheme="majorEastAsia" w:cstheme="majorBidi"/>
          <w:bCs/>
          <w:sz w:val="24"/>
          <w:szCs w:val="24"/>
        </w:rPr>
        <w:t xml:space="preserve"> water in this</w:t>
      </w:r>
      <w:r w:rsidR="00207A5D" w:rsidRPr="0023704D">
        <w:rPr>
          <w:rFonts w:eastAsiaTheme="majorEastAsia" w:cstheme="majorBidi"/>
          <w:bCs/>
          <w:sz w:val="24"/>
          <w:szCs w:val="24"/>
        </w:rPr>
        <w:t xml:space="preserve"> segment </w:t>
      </w:r>
      <w:r w:rsidR="000261D3" w:rsidRPr="0023704D">
        <w:rPr>
          <w:rFonts w:eastAsiaTheme="majorEastAsia" w:cstheme="majorBidi"/>
          <w:bCs/>
          <w:sz w:val="24"/>
          <w:szCs w:val="24"/>
        </w:rPr>
        <w:t xml:space="preserve">of the </w:t>
      </w:r>
      <w:r w:rsidR="00207A5D" w:rsidRPr="0023704D">
        <w:rPr>
          <w:rFonts w:eastAsiaTheme="majorEastAsia" w:cstheme="majorBidi"/>
          <w:bCs/>
          <w:sz w:val="24"/>
          <w:szCs w:val="24"/>
        </w:rPr>
        <w:t>Santa Fe</w:t>
      </w:r>
      <w:r w:rsidR="000261D3" w:rsidRPr="0023704D">
        <w:rPr>
          <w:rFonts w:eastAsiaTheme="majorEastAsia" w:cstheme="majorBidi"/>
          <w:bCs/>
          <w:sz w:val="24"/>
          <w:szCs w:val="24"/>
        </w:rPr>
        <w:t xml:space="preserve"> River system </w:t>
      </w:r>
      <w:r>
        <w:rPr>
          <w:rFonts w:eastAsiaTheme="majorEastAsia" w:cstheme="majorBidi"/>
          <w:bCs/>
          <w:sz w:val="24"/>
          <w:szCs w:val="24"/>
        </w:rPr>
        <w:t xml:space="preserve">comes from </w:t>
      </w:r>
      <w:r w:rsidR="000261D3" w:rsidRPr="0023704D">
        <w:rPr>
          <w:rFonts w:eastAsiaTheme="majorEastAsia" w:cstheme="majorBidi"/>
          <w:bCs/>
          <w:sz w:val="24"/>
          <w:szCs w:val="24"/>
        </w:rPr>
        <w:t>spring</w:t>
      </w:r>
      <w:r w:rsidR="0035205C">
        <w:rPr>
          <w:rFonts w:eastAsiaTheme="majorEastAsia" w:cstheme="majorBidi"/>
          <w:bCs/>
          <w:sz w:val="24"/>
          <w:szCs w:val="24"/>
        </w:rPr>
        <w:t>s</w:t>
      </w:r>
      <w:r w:rsidR="000261D3" w:rsidRPr="0023704D">
        <w:rPr>
          <w:rFonts w:eastAsiaTheme="majorEastAsia" w:cstheme="majorBidi"/>
          <w:bCs/>
          <w:sz w:val="24"/>
          <w:szCs w:val="24"/>
        </w:rPr>
        <w:t xml:space="preserve"> </w:t>
      </w:r>
      <w:r>
        <w:rPr>
          <w:rFonts w:eastAsiaTheme="majorEastAsia" w:cstheme="majorBidi"/>
          <w:bCs/>
          <w:sz w:val="24"/>
          <w:szCs w:val="24"/>
        </w:rPr>
        <w:t xml:space="preserve">that </w:t>
      </w:r>
      <w:r w:rsidR="000261D3" w:rsidRPr="0023704D">
        <w:rPr>
          <w:rFonts w:eastAsiaTheme="majorEastAsia" w:cstheme="majorBidi"/>
          <w:bCs/>
          <w:sz w:val="24"/>
          <w:szCs w:val="24"/>
        </w:rPr>
        <w:t>discharg</w:t>
      </w:r>
      <w:r>
        <w:rPr>
          <w:rFonts w:eastAsiaTheme="majorEastAsia" w:cstheme="majorBidi"/>
          <w:bCs/>
          <w:sz w:val="24"/>
          <w:szCs w:val="24"/>
        </w:rPr>
        <w:t>e</w:t>
      </w:r>
      <w:r w:rsidR="000261D3" w:rsidRPr="0023704D">
        <w:rPr>
          <w:rFonts w:eastAsiaTheme="majorEastAsia" w:cstheme="majorBidi"/>
          <w:bCs/>
          <w:sz w:val="24"/>
          <w:szCs w:val="24"/>
        </w:rPr>
        <w:t xml:space="preserve"> from </w:t>
      </w:r>
      <w:r w:rsidR="00B41A86" w:rsidRPr="0023704D">
        <w:rPr>
          <w:rFonts w:eastAsiaTheme="majorEastAsia" w:cstheme="majorBidi"/>
          <w:bCs/>
          <w:sz w:val="24"/>
          <w:szCs w:val="24"/>
        </w:rPr>
        <w:t>the Upper Floridan Aquifer System</w:t>
      </w:r>
      <w:r w:rsidR="000261D3" w:rsidRPr="0023704D">
        <w:rPr>
          <w:rFonts w:eastAsiaTheme="majorEastAsia" w:cstheme="majorBidi"/>
          <w:bCs/>
          <w:sz w:val="24"/>
          <w:szCs w:val="24"/>
        </w:rPr>
        <w:t xml:space="preserve">.  The </w:t>
      </w:r>
      <w:r w:rsidR="00D1733A">
        <w:rPr>
          <w:rFonts w:eastAsiaTheme="majorEastAsia" w:cstheme="majorBidi"/>
          <w:bCs/>
          <w:sz w:val="24"/>
          <w:szCs w:val="24"/>
        </w:rPr>
        <w:t>contributing</w:t>
      </w:r>
      <w:r w:rsidR="00D1733A" w:rsidRPr="0023704D">
        <w:rPr>
          <w:rFonts w:eastAsiaTheme="majorEastAsia" w:cstheme="majorBidi"/>
          <w:bCs/>
          <w:sz w:val="24"/>
          <w:szCs w:val="24"/>
        </w:rPr>
        <w:t xml:space="preserve"> </w:t>
      </w:r>
      <w:r w:rsidR="000261D3" w:rsidRPr="0023704D">
        <w:rPr>
          <w:rFonts w:eastAsiaTheme="majorEastAsia" w:cstheme="majorBidi"/>
          <w:bCs/>
          <w:sz w:val="24"/>
          <w:szCs w:val="24"/>
        </w:rPr>
        <w:t xml:space="preserve">area of these springs (or combined springshed) includes the </w:t>
      </w:r>
      <w:r w:rsidR="003677C6">
        <w:rPr>
          <w:rFonts w:eastAsiaTheme="majorEastAsia" w:cstheme="majorBidi"/>
          <w:bCs/>
          <w:sz w:val="24"/>
          <w:szCs w:val="24"/>
        </w:rPr>
        <w:t xml:space="preserve">potential </w:t>
      </w:r>
      <w:r w:rsidR="000261D3" w:rsidRPr="0023704D">
        <w:rPr>
          <w:rFonts w:eastAsiaTheme="majorEastAsia" w:cstheme="majorBidi"/>
          <w:bCs/>
          <w:sz w:val="24"/>
          <w:szCs w:val="24"/>
        </w:rPr>
        <w:t xml:space="preserve">sources of nitrate that are causing the impairment of the system.  </w:t>
      </w:r>
      <w:r w:rsidR="00FD50F7" w:rsidRPr="0023704D">
        <w:rPr>
          <w:rFonts w:eastAsiaTheme="majorEastAsia" w:cstheme="majorBidi"/>
          <w:bCs/>
          <w:sz w:val="24"/>
          <w:szCs w:val="24"/>
        </w:rPr>
        <w:t>The objective</w:t>
      </w:r>
      <w:r w:rsidR="000553B5" w:rsidRPr="0023704D">
        <w:rPr>
          <w:rFonts w:eastAsiaTheme="majorEastAsia" w:cstheme="majorBidi"/>
          <w:bCs/>
          <w:sz w:val="24"/>
          <w:szCs w:val="24"/>
        </w:rPr>
        <w:t>s</w:t>
      </w:r>
      <w:r w:rsidR="00FD50F7" w:rsidRPr="0023704D">
        <w:rPr>
          <w:rFonts w:eastAsiaTheme="majorEastAsia" w:cstheme="majorBidi"/>
          <w:bCs/>
          <w:sz w:val="24"/>
          <w:szCs w:val="24"/>
        </w:rPr>
        <w:t xml:space="preserve"> </w:t>
      </w:r>
      <w:r w:rsidR="000261D3" w:rsidRPr="0023704D">
        <w:rPr>
          <w:rFonts w:eastAsiaTheme="majorEastAsia" w:cstheme="majorBidi"/>
          <w:bCs/>
          <w:sz w:val="24"/>
          <w:szCs w:val="24"/>
        </w:rPr>
        <w:t xml:space="preserve">of this </w:t>
      </w:r>
      <w:r>
        <w:rPr>
          <w:rFonts w:eastAsiaTheme="majorEastAsia" w:cstheme="majorBidi"/>
          <w:bCs/>
          <w:sz w:val="24"/>
          <w:szCs w:val="24"/>
        </w:rPr>
        <w:t xml:space="preserve">initial </w:t>
      </w:r>
      <w:r w:rsidR="000261D3" w:rsidRPr="0023704D">
        <w:rPr>
          <w:rFonts w:eastAsiaTheme="majorEastAsia" w:cstheme="majorBidi"/>
          <w:bCs/>
          <w:sz w:val="24"/>
          <w:szCs w:val="24"/>
        </w:rPr>
        <w:t xml:space="preserve">assessment </w:t>
      </w:r>
      <w:r w:rsidR="000553B5" w:rsidRPr="0023704D">
        <w:rPr>
          <w:rFonts w:eastAsiaTheme="majorEastAsia" w:cstheme="majorBidi"/>
          <w:bCs/>
          <w:sz w:val="24"/>
          <w:szCs w:val="24"/>
        </w:rPr>
        <w:t>were</w:t>
      </w:r>
      <w:r w:rsidR="00FD50F7" w:rsidRPr="0023704D">
        <w:rPr>
          <w:rFonts w:eastAsiaTheme="majorEastAsia" w:cstheme="majorBidi"/>
          <w:bCs/>
          <w:sz w:val="24"/>
          <w:szCs w:val="24"/>
        </w:rPr>
        <w:t xml:space="preserve"> </w:t>
      </w:r>
      <w:r w:rsidR="002F3644" w:rsidRPr="0023704D">
        <w:rPr>
          <w:rFonts w:eastAsiaTheme="majorEastAsia" w:cstheme="majorBidi"/>
          <w:bCs/>
          <w:sz w:val="24"/>
          <w:szCs w:val="24"/>
        </w:rPr>
        <w:t>to</w:t>
      </w:r>
      <w:r w:rsidR="00851151" w:rsidRPr="0023704D">
        <w:rPr>
          <w:rFonts w:eastAsiaTheme="majorEastAsia" w:cstheme="majorBidi"/>
          <w:bCs/>
          <w:sz w:val="24"/>
          <w:szCs w:val="24"/>
        </w:rPr>
        <w:t>:</w:t>
      </w:r>
      <w:r w:rsidR="002F3644" w:rsidRPr="0023704D">
        <w:rPr>
          <w:rFonts w:eastAsiaTheme="majorEastAsia" w:cstheme="majorBidi"/>
          <w:bCs/>
          <w:sz w:val="24"/>
          <w:szCs w:val="24"/>
        </w:rPr>
        <w:t xml:space="preserve"> </w:t>
      </w:r>
      <w:r w:rsidR="00AB2C1B" w:rsidRPr="0023704D">
        <w:rPr>
          <w:rFonts w:eastAsiaTheme="majorEastAsia" w:cstheme="majorBidi"/>
          <w:bCs/>
          <w:sz w:val="24"/>
          <w:szCs w:val="24"/>
        </w:rPr>
        <w:t xml:space="preserve"> </w:t>
      </w:r>
      <w:r w:rsidR="00851151" w:rsidRPr="0023704D">
        <w:rPr>
          <w:rFonts w:eastAsiaTheme="majorEastAsia" w:cstheme="majorBidi"/>
          <w:bCs/>
          <w:sz w:val="24"/>
          <w:szCs w:val="24"/>
        </w:rPr>
        <w:t xml:space="preserve">1) </w:t>
      </w:r>
      <w:r w:rsidR="000261D3" w:rsidRPr="0023704D">
        <w:rPr>
          <w:rFonts w:eastAsiaTheme="majorEastAsia" w:cstheme="majorBidi"/>
          <w:bCs/>
          <w:sz w:val="24"/>
          <w:szCs w:val="24"/>
        </w:rPr>
        <w:t>assess</w:t>
      </w:r>
      <w:r w:rsidR="00BC4D02" w:rsidRPr="0023704D">
        <w:rPr>
          <w:rFonts w:eastAsiaTheme="majorEastAsia" w:cstheme="majorBidi"/>
          <w:bCs/>
          <w:sz w:val="24"/>
          <w:szCs w:val="24"/>
        </w:rPr>
        <w:t xml:space="preserve"> </w:t>
      </w:r>
      <w:r w:rsidR="000553B5" w:rsidRPr="0023704D">
        <w:rPr>
          <w:rFonts w:eastAsiaTheme="majorEastAsia" w:cstheme="majorBidi"/>
          <w:bCs/>
          <w:sz w:val="24"/>
          <w:szCs w:val="24"/>
        </w:rPr>
        <w:t xml:space="preserve">baseline </w:t>
      </w:r>
      <w:r w:rsidR="00BC4D02" w:rsidRPr="0023704D">
        <w:rPr>
          <w:rFonts w:eastAsiaTheme="majorEastAsia" w:cstheme="majorBidi"/>
          <w:bCs/>
          <w:sz w:val="24"/>
          <w:szCs w:val="24"/>
        </w:rPr>
        <w:t xml:space="preserve">nitrate concentrations in the springsheds </w:t>
      </w:r>
      <w:r w:rsidR="00FD50F7" w:rsidRPr="0023704D">
        <w:rPr>
          <w:rFonts w:eastAsiaTheme="majorEastAsia" w:cstheme="majorBidi"/>
          <w:bCs/>
          <w:sz w:val="24"/>
          <w:szCs w:val="24"/>
        </w:rPr>
        <w:t>within the Santa Fe River Basin</w:t>
      </w:r>
      <w:r w:rsidR="0035205C">
        <w:rPr>
          <w:rFonts w:eastAsiaTheme="majorEastAsia" w:cstheme="majorBidi"/>
          <w:bCs/>
          <w:sz w:val="24"/>
          <w:szCs w:val="24"/>
        </w:rPr>
        <w:t xml:space="preserve">; </w:t>
      </w:r>
      <w:r w:rsidR="000553B5" w:rsidRPr="0023704D">
        <w:rPr>
          <w:rFonts w:eastAsiaTheme="majorEastAsia" w:cstheme="majorBidi"/>
          <w:bCs/>
          <w:sz w:val="24"/>
          <w:szCs w:val="24"/>
        </w:rPr>
        <w:t xml:space="preserve">2) </w:t>
      </w:r>
      <w:r w:rsidR="000261D3" w:rsidRPr="0023704D">
        <w:rPr>
          <w:rFonts w:eastAsiaTheme="majorEastAsia" w:cstheme="majorBidi"/>
          <w:bCs/>
          <w:sz w:val="24"/>
          <w:szCs w:val="24"/>
        </w:rPr>
        <w:t>evaluate the nitrate sources by using chemical and isotopic tracers to differentiate be</w:t>
      </w:r>
      <w:r w:rsidR="003677C6">
        <w:rPr>
          <w:rFonts w:eastAsiaTheme="majorEastAsia" w:cstheme="majorBidi"/>
          <w:bCs/>
          <w:sz w:val="24"/>
          <w:szCs w:val="24"/>
        </w:rPr>
        <w:t>t</w:t>
      </w:r>
      <w:r w:rsidR="000261D3" w:rsidRPr="0023704D">
        <w:rPr>
          <w:rFonts w:eastAsiaTheme="majorEastAsia" w:cstheme="majorBidi"/>
          <w:bCs/>
          <w:sz w:val="24"/>
          <w:szCs w:val="24"/>
        </w:rPr>
        <w:t>ween</w:t>
      </w:r>
      <w:r w:rsidR="00851151" w:rsidRPr="0023704D">
        <w:rPr>
          <w:rFonts w:eastAsiaTheme="majorEastAsia" w:cstheme="majorBidi"/>
          <w:bCs/>
          <w:sz w:val="24"/>
          <w:szCs w:val="24"/>
        </w:rPr>
        <w:t xml:space="preserve"> </w:t>
      </w:r>
      <w:r w:rsidR="00AB2C1B" w:rsidRPr="0023704D">
        <w:rPr>
          <w:rFonts w:eastAsiaTheme="majorEastAsia" w:cstheme="majorBidi"/>
          <w:bCs/>
          <w:sz w:val="24"/>
          <w:szCs w:val="24"/>
        </w:rPr>
        <w:t>organic</w:t>
      </w:r>
      <w:r w:rsidR="00207A5D" w:rsidRPr="0023704D">
        <w:rPr>
          <w:rFonts w:eastAsiaTheme="majorEastAsia" w:cstheme="majorBidi"/>
          <w:bCs/>
          <w:sz w:val="24"/>
          <w:szCs w:val="24"/>
        </w:rPr>
        <w:t xml:space="preserve"> (from domestic wastewater or animal waste)</w:t>
      </w:r>
      <w:r w:rsidR="00AB2C1B" w:rsidRPr="0023704D">
        <w:rPr>
          <w:rFonts w:eastAsiaTheme="majorEastAsia" w:cstheme="majorBidi"/>
          <w:bCs/>
          <w:sz w:val="24"/>
          <w:szCs w:val="24"/>
        </w:rPr>
        <w:t>, inorganic</w:t>
      </w:r>
      <w:r w:rsidR="00207A5D" w:rsidRPr="0023704D">
        <w:rPr>
          <w:rFonts w:eastAsiaTheme="majorEastAsia" w:cstheme="majorBidi"/>
          <w:bCs/>
          <w:sz w:val="24"/>
          <w:szCs w:val="24"/>
        </w:rPr>
        <w:t xml:space="preserve"> (from inorganic fertilizer)</w:t>
      </w:r>
      <w:r w:rsidR="00AB2C1B" w:rsidRPr="0023704D">
        <w:rPr>
          <w:rFonts w:eastAsiaTheme="majorEastAsia" w:cstheme="majorBidi"/>
          <w:bCs/>
          <w:sz w:val="24"/>
          <w:szCs w:val="24"/>
        </w:rPr>
        <w:t>, or both,</w:t>
      </w:r>
      <w:r w:rsidR="00AB2C1B" w:rsidRPr="0023704D">
        <w:rPr>
          <w:color w:val="1F497D"/>
          <w:sz w:val="24"/>
          <w:szCs w:val="24"/>
        </w:rPr>
        <w:t xml:space="preserve"> </w:t>
      </w:r>
      <w:r w:rsidR="00502B9E">
        <w:rPr>
          <w:color w:val="1F497D"/>
          <w:sz w:val="24"/>
          <w:szCs w:val="24"/>
        </w:rPr>
        <w:t>e.g.</w:t>
      </w:r>
      <w:r w:rsidR="00BC4D02" w:rsidRPr="0023704D">
        <w:rPr>
          <w:color w:val="1F497D"/>
          <w:sz w:val="24"/>
          <w:szCs w:val="24"/>
        </w:rPr>
        <w:t xml:space="preserve">, </w:t>
      </w:r>
      <w:r w:rsidR="00167736" w:rsidRPr="0023704D">
        <w:rPr>
          <w:sz w:val="24"/>
          <w:szCs w:val="24"/>
        </w:rPr>
        <w:t xml:space="preserve">a mixture </w:t>
      </w:r>
      <w:r w:rsidR="00207A5D" w:rsidRPr="0023704D">
        <w:rPr>
          <w:sz w:val="24"/>
          <w:szCs w:val="24"/>
        </w:rPr>
        <w:t>of nitrate inputs from both inorganic and organic sources</w:t>
      </w:r>
      <w:r w:rsidR="00FD50F7" w:rsidRPr="0023704D">
        <w:rPr>
          <w:rFonts w:eastAsiaTheme="majorEastAsia" w:cstheme="majorBidi"/>
          <w:bCs/>
          <w:sz w:val="24"/>
          <w:szCs w:val="24"/>
        </w:rPr>
        <w:t xml:space="preserve">.  </w:t>
      </w:r>
      <w:r w:rsidR="00BC4D02" w:rsidRPr="0023704D">
        <w:rPr>
          <w:rFonts w:eastAsiaTheme="majorEastAsia" w:cstheme="majorBidi"/>
          <w:bCs/>
          <w:sz w:val="24"/>
          <w:szCs w:val="24"/>
        </w:rPr>
        <w:t xml:space="preserve"> </w:t>
      </w:r>
    </w:p>
    <w:p w:rsidR="00866267" w:rsidRDefault="00866267" w:rsidP="00866267">
      <w:pPr>
        <w:pStyle w:val="Heading1"/>
      </w:pPr>
      <w:r>
        <w:lastRenderedPageBreak/>
        <w:t>Site Description</w:t>
      </w:r>
    </w:p>
    <w:p w:rsidR="00866267" w:rsidRPr="0023704D" w:rsidRDefault="00866267" w:rsidP="00866267">
      <w:pPr>
        <w:rPr>
          <w:sz w:val="24"/>
          <w:szCs w:val="24"/>
        </w:rPr>
      </w:pPr>
      <w:r w:rsidRPr="0023704D">
        <w:rPr>
          <w:sz w:val="24"/>
          <w:szCs w:val="24"/>
        </w:rPr>
        <w:t xml:space="preserve">The Alachua County portion of the Santa Fe BMAP area lies within a karst plain region </w:t>
      </w:r>
      <w:r w:rsidR="003677C6">
        <w:rPr>
          <w:sz w:val="24"/>
          <w:szCs w:val="24"/>
        </w:rPr>
        <w:t xml:space="preserve">with minimal surface water features </w:t>
      </w:r>
      <w:r w:rsidRPr="0023704D">
        <w:rPr>
          <w:sz w:val="24"/>
          <w:szCs w:val="24"/>
        </w:rPr>
        <w:t>except for the river.  Soil is sandy and well drained</w:t>
      </w:r>
      <w:r w:rsidR="003677C6">
        <w:rPr>
          <w:sz w:val="24"/>
          <w:szCs w:val="24"/>
        </w:rPr>
        <w:t xml:space="preserve"> with </w:t>
      </w:r>
      <w:r w:rsidRPr="0023704D">
        <w:rPr>
          <w:sz w:val="24"/>
          <w:szCs w:val="24"/>
        </w:rPr>
        <w:t>a discontinuous clay layer provid</w:t>
      </w:r>
      <w:r w:rsidR="003677C6">
        <w:rPr>
          <w:sz w:val="24"/>
          <w:szCs w:val="24"/>
        </w:rPr>
        <w:t>ing</w:t>
      </w:r>
      <w:r w:rsidRPr="0023704D">
        <w:rPr>
          <w:sz w:val="24"/>
          <w:szCs w:val="24"/>
        </w:rPr>
        <w:t xml:space="preserve"> minimal protection for the underlying</w:t>
      </w:r>
      <w:r w:rsidR="00A05D57">
        <w:rPr>
          <w:sz w:val="24"/>
          <w:szCs w:val="24"/>
        </w:rPr>
        <w:t xml:space="preserve"> carbonate</w:t>
      </w:r>
      <w:r w:rsidRPr="0023704D">
        <w:rPr>
          <w:sz w:val="24"/>
          <w:szCs w:val="24"/>
        </w:rPr>
        <w:t xml:space="preserve"> Floridan Aquifer System.  The Upper Floridan Aquifer System is the source of water to springs discharg</w:t>
      </w:r>
      <w:r w:rsidR="00A05D57">
        <w:rPr>
          <w:sz w:val="24"/>
          <w:szCs w:val="24"/>
        </w:rPr>
        <w:t>ing</w:t>
      </w:r>
      <w:r w:rsidRPr="0023704D">
        <w:rPr>
          <w:sz w:val="24"/>
          <w:szCs w:val="24"/>
        </w:rPr>
        <w:t xml:space="preserve"> into the Santa Fe River.  The assessment area includes portions of three </w:t>
      </w:r>
      <w:r w:rsidR="00A05D57">
        <w:rPr>
          <w:sz w:val="24"/>
          <w:szCs w:val="24"/>
        </w:rPr>
        <w:t xml:space="preserve">Santa Fe River </w:t>
      </w:r>
      <w:r w:rsidRPr="0023704D">
        <w:rPr>
          <w:sz w:val="24"/>
          <w:szCs w:val="24"/>
        </w:rPr>
        <w:t>springsheds, as defined by Kin</w:t>
      </w:r>
      <w:r w:rsidR="00502B9E">
        <w:rPr>
          <w:sz w:val="24"/>
          <w:szCs w:val="24"/>
        </w:rPr>
        <w:t>c</w:t>
      </w:r>
      <w:r w:rsidRPr="0023704D">
        <w:rPr>
          <w:sz w:val="24"/>
          <w:szCs w:val="24"/>
        </w:rPr>
        <w:t xml:space="preserve">aid et al (2009).  These are shown in </w:t>
      </w:r>
      <w:r w:rsidRPr="0023704D">
        <w:rPr>
          <w:b/>
          <w:sz w:val="24"/>
          <w:szCs w:val="24"/>
        </w:rPr>
        <w:t xml:space="preserve">Figure </w:t>
      </w:r>
      <w:r w:rsidR="00695614" w:rsidRPr="0023704D">
        <w:rPr>
          <w:b/>
          <w:sz w:val="24"/>
          <w:szCs w:val="24"/>
        </w:rPr>
        <w:t>1</w:t>
      </w:r>
      <w:r w:rsidRPr="0023704D">
        <w:rPr>
          <w:sz w:val="24"/>
          <w:szCs w:val="24"/>
        </w:rPr>
        <w:t>.</w:t>
      </w:r>
    </w:p>
    <w:p w:rsidR="00866267" w:rsidRPr="0023704D" w:rsidRDefault="00866267" w:rsidP="00866267">
      <w:pPr>
        <w:rPr>
          <w:sz w:val="24"/>
          <w:szCs w:val="24"/>
        </w:rPr>
      </w:pPr>
      <w:r w:rsidRPr="0023704D">
        <w:rPr>
          <w:sz w:val="24"/>
          <w:szCs w:val="24"/>
        </w:rPr>
        <w:t>This area is mainly rural, with the towns of High Springs</w:t>
      </w:r>
      <w:r w:rsidR="005E5095">
        <w:rPr>
          <w:sz w:val="24"/>
          <w:szCs w:val="24"/>
        </w:rPr>
        <w:t xml:space="preserve">, Alachua, </w:t>
      </w:r>
      <w:r w:rsidRPr="0023704D">
        <w:rPr>
          <w:sz w:val="24"/>
          <w:szCs w:val="24"/>
        </w:rPr>
        <w:t xml:space="preserve">and Newberry being the only population centers.  </w:t>
      </w:r>
      <w:r w:rsidR="00A05D57">
        <w:rPr>
          <w:sz w:val="24"/>
          <w:szCs w:val="24"/>
        </w:rPr>
        <w:t>The</w:t>
      </w:r>
      <w:r w:rsidRPr="0023704D">
        <w:rPr>
          <w:sz w:val="24"/>
          <w:szCs w:val="24"/>
        </w:rPr>
        <w:t xml:space="preserve"> Suwannee River Water Management District (FDEP 2008) and St. Johns River Water Management District (FDEP 2004) land use </w:t>
      </w:r>
      <w:r w:rsidR="00A05D57" w:rsidRPr="0023704D">
        <w:rPr>
          <w:sz w:val="24"/>
          <w:szCs w:val="24"/>
        </w:rPr>
        <w:t>coverage</w:t>
      </w:r>
      <w:r w:rsidR="00A05D57">
        <w:rPr>
          <w:sz w:val="24"/>
          <w:szCs w:val="24"/>
        </w:rPr>
        <w:t xml:space="preserve"> was used </w:t>
      </w:r>
      <w:r w:rsidRPr="0023704D">
        <w:rPr>
          <w:sz w:val="24"/>
          <w:szCs w:val="24"/>
        </w:rPr>
        <w:t>to identify the major land use types in the assessment area.  Approximately 26% of land use within the study area is defined as Cropland and Pastureland which include</w:t>
      </w:r>
      <w:r w:rsidR="00FB5E70">
        <w:rPr>
          <w:sz w:val="24"/>
          <w:szCs w:val="24"/>
        </w:rPr>
        <w:t>s</w:t>
      </w:r>
      <w:r w:rsidRPr="0023704D">
        <w:rPr>
          <w:sz w:val="24"/>
          <w:szCs w:val="24"/>
        </w:rPr>
        <w:t xml:space="preserve"> mainly improved and unimproved pastures, row crops, f</w:t>
      </w:r>
      <w:r w:rsidR="00FB5E70">
        <w:rPr>
          <w:sz w:val="24"/>
          <w:szCs w:val="24"/>
        </w:rPr>
        <w:t xml:space="preserve">ield crops, and mixed crops; </w:t>
      </w:r>
      <w:r w:rsidRPr="0023704D">
        <w:rPr>
          <w:sz w:val="24"/>
          <w:szCs w:val="24"/>
        </w:rPr>
        <w:t xml:space="preserve">20% is in Tree Plantation, which includes coniferous pine and forest regeneration areas.  </w:t>
      </w:r>
      <w:r w:rsidR="00AD2BE6">
        <w:rPr>
          <w:sz w:val="24"/>
          <w:szCs w:val="24"/>
        </w:rPr>
        <w:t>O</w:t>
      </w:r>
      <w:r w:rsidRPr="0023704D">
        <w:rPr>
          <w:sz w:val="24"/>
          <w:szCs w:val="24"/>
        </w:rPr>
        <w:t xml:space="preserve">ther land use types include Upland Mixed Forest </w:t>
      </w:r>
      <w:r w:rsidR="00AD2BE6">
        <w:rPr>
          <w:sz w:val="24"/>
          <w:szCs w:val="24"/>
        </w:rPr>
        <w:t>(16%),</w:t>
      </w:r>
      <w:r w:rsidRPr="0023704D">
        <w:rPr>
          <w:sz w:val="24"/>
          <w:szCs w:val="24"/>
        </w:rPr>
        <w:t xml:space="preserve"> Low Density Residential </w:t>
      </w:r>
      <w:r w:rsidR="00AD2BE6">
        <w:rPr>
          <w:sz w:val="24"/>
          <w:szCs w:val="24"/>
        </w:rPr>
        <w:t>(12%), Swamps and Wetlands (~4%) and Medium Density Residential (~2.7%)</w:t>
      </w:r>
      <w:r w:rsidRPr="0023704D">
        <w:rPr>
          <w:sz w:val="24"/>
          <w:szCs w:val="24"/>
        </w:rPr>
        <w:t>.</w:t>
      </w:r>
    </w:p>
    <w:p w:rsidR="00754D8C" w:rsidRPr="00083092" w:rsidRDefault="000261D3" w:rsidP="00B45E50">
      <w:pPr>
        <w:pStyle w:val="Heading1"/>
        <w:rPr>
          <w:sz w:val="24"/>
          <w:szCs w:val="24"/>
        </w:rPr>
      </w:pPr>
      <w:r>
        <w:t>Sampling Approach</w:t>
      </w:r>
      <w:r w:rsidR="00B41A86">
        <w:t xml:space="preserve"> and Springsheds</w:t>
      </w:r>
      <w:r w:rsidR="009E19BB">
        <w:t xml:space="preserve"> </w:t>
      </w:r>
    </w:p>
    <w:p w:rsidR="000261D3" w:rsidRPr="0023704D" w:rsidRDefault="000261D3" w:rsidP="00AB2C1B">
      <w:pPr>
        <w:rPr>
          <w:sz w:val="24"/>
          <w:szCs w:val="24"/>
        </w:rPr>
      </w:pPr>
      <w:r w:rsidRPr="0023704D">
        <w:rPr>
          <w:sz w:val="24"/>
          <w:szCs w:val="24"/>
        </w:rPr>
        <w:t xml:space="preserve">Springs that were selected for the assessment included those that provide a good geographic representation of the area as well as those with known elevated nitrate concentrations.  Wells for sampling were selected by </w:t>
      </w:r>
      <w:r w:rsidR="00B41A86" w:rsidRPr="0023704D">
        <w:rPr>
          <w:sz w:val="24"/>
          <w:szCs w:val="24"/>
        </w:rPr>
        <w:t>the Alachua County Department of Environmental Services (</w:t>
      </w:r>
      <w:r w:rsidRPr="0023704D">
        <w:rPr>
          <w:sz w:val="24"/>
          <w:szCs w:val="24"/>
        </w:rPr>
        <w:t>ACDES</w:t>
      </w:r>
      <w:r w:rsidR="00B41A86" w:rsidRPr="0023704D">
        <w:rPr>
          <w:sz w:val="24"/>
          <w:szCs w:val="24"/>
        </w:rPr>
        <w:t>)</w:t>
      </w:r>
      <w:r w:rsidRPr="0023704D">
        <w:rPr>
          <w:sz w:val="24"/>
          <w:szCs w:val="24"/>
        </w:rPr>
        <w:t xml:space="preserve"> to provide good areal distribution within the springshed area of Alachua County and to provide a good cross section of typical land use types within the area.</w:t>
      </w:r>
    </w:p>
    <w:p w:rsidR="00A05D57" w:rsidRDefault="00083092" w:rsidP="00AB2C1B">
      <w:pPr>
        <w:rPr>
          <w:sz w:val="24"/>
          <w:szCs w:val="24"/>
        </w:rPr>
      </w:pPr>
      <w:r w:rsidRPr="0023704D">
        <w:rPr>
          <w:sz w:val="24"/>
          <w:szCs w:val="24"/>
        </w:rPr>
        <w:t>Sampling sites are located</w:t>
      </w:r>
      <w:r w:rsidR="00ED5DB1" w:rsidRPr="0023704D">
        <w:rPr>
          <w:sz w:val="24"/>
          <w:szCs w:val="24"/>
        </w:rPr>
        <w:t xml:space="preserve"> within</w:t>
      </w:r>
      <w:r w:rsidR="00271F3C" w:rsidRPr="0023704D">
        <w:rPr>
          <w:sz w:val="24"/>
          <w:szCs w:val="24"/>
        </w:rPr>
        <w:t xml:space="preserve"> the southern portion of the</w:t>
      </w:r>
      <w:r w:rsidRPr="0023704D">
        <w:rPr>
          <w:sz w:val="24"/>
          <w:szCs w:val="24"/>
        </w:rPr>
        <w:t xml:space="preserve"> Santa Fe River planning unit and primar</w:t>
      </w:r>
      <w:r w:rsidR="00271F3C" w:rsidRPr="0023704D">
        <w:rPr>
          <w:sz w:val="24"/>
          <w:szCs w:val="24"/>
        </w:rPr>
        <w:t>ily within the Hornsby, Poe-Lily, and Ginn</w:t>
      </w:r>
      <w:r w:rsidR="00D00DF6" w:rsidRPr="0023704D">
        <w:rPr>
          <w:sz w:val="24"/>
          <w:szCs w:val="24"/>
        </w:rPr>
        <w:t>i</w:t>
      </w:r>
      <w:r w:rsidR="00271F3C" w:rsidRPr="0023704D">
        <w:rPr>
          <w:sz w:val="24"/>
          <w:szCs w:val="24"/>
        </w:rPr>
        <w:t>e-</w:t>
      </w:r>
      <w:r w:rsidR="00502B9E">
        <w:rPr>
          <w:sz w:val="24"/>
          <w:szCs w:val="24"/>
        </w:rPr>
        <w:t>Gilchrist-Blue</w:t>
      </w:r>
      <w:r w:rsidR="00271F3C" w:rsidRPr="0023704D">
        <w:rPr>
          <w:sz w:val="24"/>
          <w:szCs w:val="24"/>
        </w:rPr>
        <w:t xml:space="preserve"> springsheds.  </w:t>
      </w:r>
      <w:r w:rsidR="00B41A86" w:rsidRPr="0023704D">
        <w:rPr>
          <w:sz w:val="24"/>
          <w:szCs w:val="24"/>
        </w:rPr>
        <w:t>These were defined</w:t>
      </w:r>
      <w:r w:rsidR="000F30C6" w:rsidRPr="0023704D">
        <w:rPr>
          <w:sz w:val="24"/>
          <w:szCs w:val="24"/>
        </w:rPr>
        <w:t xml:space="preserve"> by Kincaid et al (200</w:t>
      </w:r>
      <w:r w:rsidR="00AB2C1B" w:rsidRPr="0023704D">
        <w:rPr>
          <w:sz w:val="24"/>
          <w:szCs w:val="24"/>
        </w:rPr>
        <w:t>9</w:t>
      </w:r>
      <w:r w:rsidR="00597FD4" w:rsidRPr="0023704D">
        <w:rPr>
          <w:sz w:val="24"/>
          <w:szCs w:val="24"/>
        </w:rPr>
        <w:t>)</w:t>
      </w:r>
      <w:r w:rsidR="00B41A86" w:rsidRPr="0023704D">
        <w:rPr>
          <w:sz w:val="24"/>
          <w:szCs w:val="24"/>
        </w:rPr>
        <w:t>,</w:t>
      </w:r>
      <w:r w:rsidR="00597FD4" w:rsidRPr="0023704D">
        <w:rPr>
          <w:sz w:val="24"/>
          <w:szCs w:val="24"/>
        </w:rPr>
        <w:t xml:space="preserve"> </w:t>
      </w:r>
      <w:r w:rsidR="00141D89" w:rsidRPr="0023704D">
        <w:rPr>
          <w:sz w:val="24"/>
          <w:szCs w:val="24"/>
        </w:rPr>
        <w:t>us</w:t>
      </w:r>
      <w:r w:rsidR="00A05D57">
        <w:rPr>
          <w:sz w:val="24"/>
          <w:szCs w:val="24"/>
        </w:rPr>
        <w:t xml:space="preserve">ing the </w:t>
      </w:r>
      <w:r w:rsidR="00271F3C" w:rsidRPr="0023704D">
        <w:rPr>
          <w:sz w:val="24"/>
          <w:szCs w:val="24"/>
        </w:rPr>
        <w:t>FEFLOW model (finite element design) which allows simulation of conduit and matrix flow, porous mediation equations for matrix, and pipe flow equations for</w:t>
      </w:r>
      <w:r w:rsidRPr="0023704D">
        <w:rPr>
          <w:sz w:val="24"/>
          <w:szCs w:val="24"/>
        </w:rPr>
        <w:t xml:space="preserve"> conduits.  The springshed deli</w:t>
      </w:r>
      <w:r w:rsidR="00271F3C" w:rsidRPr="0023704D">
        <w:rPr>
          <w:sz w:val="24"/>
          <w:szCs w:val="24"/>
        </w:rPr>
        <w:t>n</w:t>
      </w:r>
      <w:r w:rsidR="00851151" w:rsidRPr="0023704D">
        <w:rPr>
          <w:sz w:val="24"/>
          <w:szCs w:val="24"/>
        </w:rPr>
        <w:t>e</w:t>
      </w:r>
      <w:r w:rsidR="00271F3C" w:rsidRPr="0023704D">
        <w:rPr>
          <w:sz w:val="24"/>
          <w:szCs w:val="24"/>
        </w:rPr>
        <w:t>ation modeling strategy included a 3D structure (surficial</w:t>
      </w:r>
      <w:r w:rsidR="00695614" w:rsidRPr="0023704D">
        <w:rPr>
          <w:sz w:val="24"/>
          <w:szCs w:val="24"/>
        </w:rPr>
        <w:t xml:space="preserve"> aquifer</w:t>
      </w:r>
      <w:r w:rsidR="00271F3C" w:rsidRPr="0023704D">
        <w:rPr>
          <w:sz w:val="24"/>
          <w:szCs w:val="24"/>
        </w:rPr>
        <w:t xml:space="preserve">, intermediate confining layer, </w:t>
      </w:r>
      <w:r w:rsidR="00B41A86" w:rsidRPr="0023704D">
        <w:rPr>
          <w:sz w:val="24"/>
          <w:szCs w:val="24"/>
        </w:rPr>
        <w:t>and</w:t>
      </w:r>
      <w:r w:rsidR="00271F3C" w:rsidRPr="0023704D">
        <w:rPr>
          <w:sz w:val="24"/>
          <w:szCs w:val="24"/>
        </w:rPr>
        <w:t xml:space="preserve"> Floridan</w:t>
      </w:r>
      <w:r w:rsidR="00695614" w:rsidRPr="0023704D">
        <w:rPr>
          <w:sz w:val="24"/>
          <w:szCs w:val="24"/>
        </w:rPr>
        <w:t xml:space="preserve"> aquifer</w:t>
      </w:r>
      <w:r w:rsidR="00271F3C" w:rsidRPr="0023704D">
        <w:rPr>
          <w:sz w:val="24"/>
          <w:szCs w:val="24"/>
        </w:rPr>
        <w:t xml:space="preserve">), definition of conduit locations from cave maps, tracer tests, and groundwater levels (high </w:t>
      </w:r>
      <w:r w:rsidR="00B41A86" w:rsidRPr="0023704D">
        <w:rPr>
          <w:sz w:val="24"/>
          <w:szCs w:val="24"/>
        </w:rPr>
        <w:t>and</w:t>
      </w:r>
      <w:r w:rsidR="00271F3C" w:rsidRPr="0023704D">
        <w:rPr>
          <w:sz w:val="24"/>
          <w:szCs w:val="24"/>
        </w:rPr>
        <w:t xml:space="preserve"> low water conditions), definition of conduit capacities from levels </w:t>
      </w:r>
      <w:r w:rsidR="00B41A86" w:rsidRPr="0023704D">
        <w:rPr>
          <w:sz w:val="24"/>
          <w:szCs w:val="24"/>
        </w:rPr>
        <w:t>and</w:t>
      </w:r>
      <w:r w:rsidR="00271F3C" w:rsidRPr="0023704D">
        <w:rPr>
          <w:sz w:val="24"/>
          <w:szCs w:val="24"/>
        </w:rPr>
        <w:t xml:space="preserve"> flows at high water conditions, a steady-state (designed to simulate average conditions), and calibration to both high water </w:t>
      </w:r>
      <w:r w:rsidR="00B41A86" w:rsidRPr="0023704D">
        <w:rPr>
          <w:sz w:val="24"/>
          <w:szCs w:val="24"/>
        </w:rPr>
        <w:t>and</w:t>
      </w:r>
      <w:r w:rsidR="00271F3C" w:rsidRPr="0023704D">
        <w:rPr>
          <w:sz w:val="24"/>
          <w:szCs w:val="24"/>
        </w:rPr>
        <w:t xml:space="preserve"> low water conditions.  </w:t>
      </w:r>
      <w:r w:rsidR="00A05D57">
        <w:rPr>
          <w:sz w:val="24"/>
          <w:szCs w:val="24"/>
        </w:rPr>
        <w:t>The spring m</w:t>
      </w:r>
      <w:r w:rsidR="00271F3C" w:rsidRPr="0023704D">
        <w:rPr>
          <w:sz w:val="24"/>
          <w:szCs w:val="24"/>
        </w:rPr>
        <w:t xml:space="preserve">odeling resulted in a good estimate of </w:t>
      </w:r>
      <w:r w:rsidR="00A05D57">
        <w:rPr>
          <w:sz w:val="24"/>
          <w:szCs w:val="24"/>
        </w:rPr>
        <w:t xml:space="preserve">the </w:t>
      </w:r>
      <w:r w:rsidR="00271F3C" w:rsidRPr="0023704D">
        <w:rPr>
          <w:sz w:val="24"/>
          <w:szCs w:val="24"/>
        </w:rPr>
        <w:t>area contributing to springs under average cond</w:t>
      </w:r>
      <w:r w:rsidR="00ED5DB1" w:rsidRPr="0023704D">
        <w:rPr>
          <w:sz w:val="24"/>
          <w:szCs w:val="24"/>
        </w:rPr>
        <w:t xml:space="preserve">itions with the understanding that the </w:t>
      </w:r>
      <w:r w:rsidR="00597FD4" w:rsidRPr="0023704D">
        <w:rPr>
          <w:sz w:val="24"/>
          <w:szCs w:val="24"/>
        </w:rPr>
        <w:t xml:space="preserve">springshed </w:t>
      </w:r>
      <w:r w:rsidR="00ED5DB1" w:rsidRPr="0023704D">
        <w:rPr>
          <w:sz w:val="24"/>
          <w:szCs w:val="24"/>
        </w:rPr>
        <w:t>area</w:t>
      </w:r>
      <w:r w:rsidR="00271F3C" w:rsidRPr="0023704D">
        <w:rPr>
          <w:sz w:val="24"/>
          <w:szCs w:val="24"/>
        </w:rPr>
        <w:t xml:space="preserve"> may vary under ext</w:t>
      </w:r>
      <w:r w:rsidR="00AB2C1B" w:rsidRPr="0023704D">
        <w:rPr>
          <w:sz w:val="24"/>
          <w:szCs w:val="24"/>
        </w:rPr>
        <w:t>r</w:t>
      </w:r>
      <w:r w:rsidR="00271F3C" w:rsidRPr="0023704D">
        <w:rPr>
          <w:sz w:val="24"/>
          <w:szCs w:val="24"/>
        </w:rPr>
        <w:t>em</w:t>
      </w:r>
      <w:r w:rsidR="00ED5DB1" w:rsidRPr="0023704D">
        <w:rPr>
          <w:sz w:val="24"/>
          <w:szCs w:val="24"/>
        </w:rPr>
        <w:t>e high or low conditions</w:t>
      </w:r>
      <w:r w:rsidR="00271F3C" w:rsidRPr="0023704D">
        <w:rPr>
          <w:sz w:val="24"/>
          <w:szCs w:val="24"/>
        </w:rPr>
        <w:t xml:space="preserve">.  </w:t>
      </w:r>
      <w:r w:rsidR="00ED5DB1" w:rsidRPr="0023704D">
        <w:rPr>
          <w:sz w:val="24"/>
          <w:szCs w:val="24"/>
        </w:rPr>
        <w:t xml:space="preserve">Kincaid </w:t>
      </w:r>
      <w:r w:rsidR="00A05D57">
        <w:rPr>
          <w:sz w:val="24"/>
          <w:szCs w:val="24"/>
        </w:rPr>
        <w:t xml:space="preserve">generally </w:t>
      </w:r>
      <w:r w:rsidR="00ED5DB1" w:rsidRPr="0023704D">
        <w:rPr>
          <w:sz w:val="24"/>
          <w:szCs w:val="24"/>
        </w:rPr>
        <w:t>concluded that</w:t>
      </w:r>
      <w:r w:rsidR="00AB2C1B" w:rsidRPr="0023704D">
        <w:rPr>
          <w:sz w:val="24"/>
          <w:szCs w:val="24"/>
        </w:rPr>
        <w:t xml:space="preserve"> </w:t>
      </w:r>
      <w:r w:rsidR="00A05D57">
        <w:rPr>
          <w:sz w:val="24"/>
          <w:szCs w:val="24"/>
        </w:rPr>
        <w:t>the</w:t>
      </w:r>
      <w:r w:rsidR="00AB2C1B" w:rsidRPr="0023704D">
        <w:rPr>
          <w:sz w:val="24"/>
          <w:szCs w:val="24"/>
        </w:rPr>
        <w:t xml:space="preserve"> </w:t>
      </w:r>
      <w:r w:rsidR="00ED5DB1" w:rsidRPr="0023704D">
        <w:rPr>
          <w:sz w:val="24"/>
          <w:szCs w:val="24"/>
        </w:rPr>
        <w:t>Ginnie</w:t>
      </w:r>
      <w:r w:rsidRPr="0023704D">
        <w:rPr>
          <w:sz w:val="24"/>
          <w:szCs w:val="24"/>
        </w:rPr>
        <w:t>-</w:t>
      </w:r>
      <w:r w:rsidR="00502B9E">
        <w:rPr>
          <w:sz w:val="24"/>
          <w:szCs w:val="24"/>
        </w:rPr>
        <w:t>Gilchrist-Blue</w:t>
      </w:r>
      <w:r w:rsidR="0035205C">
        <w:rPr>
          <w:sz w:val="24"/>
          <w:szCs w:val="24"/>
        </w:rPr>
        <w:t>, Poe and Lil</w:t>
      </w:r>
      <w:r w:rsidR="00AB2C1B" w:rsidRPr="0023704D">
        <w:rPr>
          <w:sz w:val="24"/>
          <w:szCs w:val="24"/>
        </w:rPr>
        <w:t xml:space="preserve">y springsheds </w:t>
      </w:r>
      <w:r w:rsidR="00ED5DB1" w:rsidRPr="0023704D">
        <w:rPr>
          <w:sz w:val="24"/>
          <w:szCs w:val="24"/>
        </w:rPr>
        <w:t>primarily encompasses the sou</w:t>
      </w:r>
      <w:r w:rsidR="00AB2C1B" w:rsidRPr="0023704D">
        <w:rPr>
          <w:sz w:val="24"/>
          <w:szCs w:val="24"/>
        </w:rPr>
        <w:t xml:space="preserve">thern part of the model region, or the </w:t>
      </w:r>
      <w:r w:rsidR="00AB2C1B" w:rsidRPr="0023704D">
        <w:rPr>
          <w:sz w:val="24"/>
          <w:szCs w:val="24"/>
        </w:rPr>
        <w:lastRenderedPageBreak/>
        <w:t>southwestern portion of the Santa Fe River</w:t>
      </w:r>
      <w:r w:rsidR="00A05D57">
        <w:rPr>
          <w:sz w:val="24"/>
          <w:szCs w:val="24"/>
        </w:rPr>
        <w:t xml:space="preserve"> BMAP area</w:t>
      </w:r>
      <w:r w:rsidR="00AB2C1B" w:rsidRPr="0023704D">
        <w:rPr>
          <w:sz w:val="24"/>
          <w:szCs w:val="24"/>
        </w:rPr>
        <w:t xml:space="preserve">.  </w:t>
      </w:r>
      <w:r w:rsidR="00FC5828" w:rsidRPr="0023704D">
        <w:rPr>
          <w:sz w:val="24"/>
          <w:szCs w:val="24"/>
        </w:rPr>
        <w:t xml:space="preserve">The springs and springsheds are </w:t>
      </w:r>
      <w:r w:rsidR="004925EB" w:rsidRPr="0023704D">
        <w:rPr>
          <w:sz w:val="24"/>
          <w:szCs w:val="24"/>
        </w:rPr>
        <w:t>predominantly</w:t>
      </w:r>
      <w:r w:rsidR="00FC5828" w:rsidRPr="0023704D">
        <w:rPr>
          <w:sz w:val="24"/>
          <w:szCs w:val="24"/>
        </w:rPr>
        <w:t xml:space="preserve"> south of the Santa Fe River and</w:t>
      </w:r>
      <w:r w:rsidR="00AB2C1B" w:rsidRPr="0023704D">
        <w:rPr>
          <w:sz w:val="24"/>
          <w:szCs w:val="24"/>
        </w:rPr>
        <w:t xml:space="preserve"> are</w:t>
      </w:r>
      <w:r w:rsidR="00ED5DB1" w:rsidRPr="0023704D">
        <w:rPr>
          <w:sz w:val="24"/>
          <w:szCs w:val="24"/>
        </w:rPr>
        <w:t xml:space="preserve"> primarily drawing water from the Bell Ridge south to Waters Lake</w:t>
      </w:r>
      <w:r w:rsidR="00AB2C1B" w:rsidRPr="0023704D">
        <w:rPr>
          <w:sz w:val="24"/>
          <w:szCs w:val="24"/>
        </w:rPr>
        <w:t xml:space="preserve"> and from </w:t>
      </w:r>
      <w:r w:rsidR="00502B9E">
        <w:rPr>
          <w:sz w:val="24"/>
          <w:szCs w:val="24"/>
        </w:rPr>
        <w:t>Hogtown</w:t>
      </w:r>
      <w:r w:rsidR="00502B9E" w:rsidRPr="0023704D">
        <w:rPr>
          <w:sz w:val="24"/>
          <w:szCs w:val="24"/>
        </w:rPr>
        <w:t xml:space="preserve"> </w:t>
      </w:r>
      <w:r w:rsidR="00AB2C1B" w:rsidRPr="0023704D">
        <w:rPr>
          <w:sz w:val="24"/>
          <w:szCs w:val="24"/>
        </w:rPr>
        <w:t>Prairie where Hogtown Creek disappears</w:t>
      </w:r>
      <w:r w:rsidR="004925EB" w:rsidRPr="0023704D">
        <w:rPr>
          <w:sz w:val="24"/>
          <w:szCs w:val="24"/>
        </w:rPr>
        <w:t xml:space="preserve"> </w:t>
      </w:r>
      <w:r w:rsidR="00502B9E">
        <w:rPr>
          <w:sz w:val="24"/>
          <w:szCs w:val="24"/>
        </w:rPr>
        <w:t xml:space="preserve">to Haile sink </w:t>
      </w:r>
      <w:r w:rsidR="004925EB" w:rsidRPr="0023704D">
        <w:rPr>
          <w:sz w:val="24"/>
          <w:szCs w:val="24"/>
        </w:rPr>
        <w:t>(southeast to northwesterly flow direction)</w:t>
      </w:r>
      <w:r w:rsidR="00ED5DB1" w:rsidRPr="0023704D">
        <w:rPr>
          <w:sz w:val="24"/>
          <w:szCs w:val="24"/>
        </w:rPr>
        <w:t xml:space="preserve">. </w:t>
      </w:r>
      <w:r w:rsidR="00A05D57">
        <w:rPr>
          <w:sz w:val="24"/>
          <w:szCs w:val="24"/>
        </w:rPr>
        <w:t xml:space="preserve"> General results of the m</w:t>
      </w:r>
      <w:r w:rsidR="004925EB" w:rsidRPr="0023704D">
        <w:rPr>
          <w:sz w:val="24"/>
          <w:szCs w:val="24"/>
        </w:rPr>
        <w:t>odel</w:t>
      </w:r>
      <w:r w:rsidR="00A05D57">
        <w:rPr>
          <w:sz w:val="24"/>
          <w:szCs w:val="24"/>
        </w:rPr>
        <w:t>ing include:</w:t>
      </w:r>
    </w:p>
    <w:p w:rsidR="00E9392B" w:rsidRPr="00840746" w:rsidRDefault="00A05D57" w:rsidP="0046210C">
      <w:pPr>
        <w:pStyle w:val="NoSpacing"/>
        <w:numPr>
          <w:ilvl w:val="0"/>
          <w:numId w:val="14"/>
        </w:numPr>
        <w:rPr>
          <w:sz w:val="24"/>
          <w:szCs w:val="24"/>
        </w:rPr>
      </w:pPr>
      <w:r w:rsidRPr="00840746">
        <w:rPr>
          <w:sz w:val="24"/>
          <w:szCs w:val="24"/>
        </w:rPr>
        <w:t xml:space="preserve">Rapid </w:t>
      </w:r>
      <w:r w:rsidR="00415BB1" w:rsidRPr="00840746">
        <w:rPr>
          <w:sz w:val="24"/>
          <w:szCs w:val="24"/>
        </w:rPr>
        <w:t xml:space="preserve">conduit flow is likely within these springsheds </w:t>
      </w:r>
    </w:p>
    <w:p w:rsidR="00E9392B" w:rsidRPr="00840746" w:rsidRDefault="00E64DBF" w:rsidP="0046210C">
      <w:pPr>
        <w:pStyle w:val="NoSpacing"/>
        <w:numPr>
          <w:ilvl w:val="0"/>
          <w:numId w:val="14"/>
        </w:numPr>
        <w:rPr>
          <w:sz w:val="24"/>
          <w:szCs w:val="24"/>
        </w:rPr>
      </w:pPr>
      <w:r>
        <w:rPr>
          <w:sz w:val="24"/>
          <w:szCs w:val="24"/>
        </w:rPr>
        <w:t>G</w:t>
      </w:r>
      <w:r w:rsidR="00415BB1" w:rsidRPr="00840746">
        <w:rPr>
          <w:sz w:val="24"/>
          <w:szCs w:val="24"/>
        </w:rPr>
        <w:t xml:space="preserve">round water velocities </w:t>
      </w:r>
      <w:r>
        <w:rPr>
          <w:sz w:val="24"/>
          <w:szCs w:val="24"/>
        </w:rPr>
        <w:t xml:space="preserve">within conduits </w:t>
      </w:r>
      <w:r w:rsidR="00415BB1" w:rsidRPr="00840746">
        <w:rPr>
          <w:sz w:val="24"/>
          <w:szCs w:val="24"/>
        </w:rPr>
        <w:t>range between ~100 to 3000m/day depending on water levels.</w:t>
      </w:r>
    </w:p>
    <w:p w:rsidR="00B235C1" w:rsidRPr="00840746" w:rsidRDefault="00B235C1" w:rsidP="0046210C">
      <w:pPr>
        <w:pStyle w:val="NoSpacing"/>
        <w:numPr>
          <w:ilvl w:val="0"/>
          <w:numId w:val="14"/>
        </w:numPr>
        <w:rPr>
          <w:color w:val="000000" w:themeColor="text1"/>
          <w:sz w:val="24"/>
          <w:szCs w:val="24"/>
        </w:rPr>
      </w:pPr>
      <w:r w:rsidRPr="00840746">
        <w:rPr>
          <w:color w:val="000000" w:themeColor="text1"/>
          <w:sz w:val="24"/>
          <w:szCs w:val="24"/>
        </w:rPr>
        <w:t xml:space="preserve">Flow in </w:t>
      </w:r>
      <w:r w:rsidR="00E64DBF">
        <w:rPr>
          <w:color w:val="000000" w:themeColor="text1"/>
          <w:sz w:val="24"/>
          <w:szCs w:val="24"/>
        </w:rPr>
        <w:t xml:space="preserve">the </w:t>
      </w:r>
      <w:r w:rsidR="0023704D" w:rsidRPr="00840746">
        <w:rPr>
          <w:color w:val="000000" w:themeColor="text1"/>
          <w:sz w:val="24"/>
          <w:szCs w:val="24"/>
        </w:rPr>
        <w:t xml:space="preserve">aquifer </w:t>
      </w:r>
      <w:r w:rsidRPr="00840746">
        <w:rPr>
          <w:color w:val="000000" w:themeColor="text1"/>
          <w:sz w:val="24"/>
          <w:szCs w:val="24"/>
        </w:rPr>
        <w:t>matrix is primarily toward closest conduits.</w:t>
      </w:r>
    </w:p>
    <w:p w:rsidR="00DC5BCE" w:rsidRPr="00840746" w:rsidRDefault="00DC5BCE" w:rsidP="0046210C">
      <w:pPr>
        <w:pStyle w:val="NoSpacing"/>
        <w:numPr>
          <w:ilvl w:val="0"/>
          <w:numId w:val="14"/>
        </w:numPr>
        <w:rPr>
          <w:color w:val="000000" w:themeColor="text1"/>
          <w:sz w:val="24"/>
          <w:szCs w:val="24"/>
        </w:rPr>
      </w:pPr>
      <w:r w:rsidRPr="00840746">
        <w:rPr>
          <w:color w:val="000000" w:themeColor="text1"/>
          <w:sz w:val="24"/>
          <w:szCs w:val="24"/>
        </w:rPr>
        <w:t>Areas closer to conduits are of higher concern than areas more distant from conduits regardless of proximity to well or springs</w:t>
      </w:r>
    </w:p>
    <w:p w:rsidR="0046210C" w:rsidRPr="0023704D" w:rsidRDefault="0046210C" w:rsidP="0046210C">
      <w:pPr>
        <w:pStyle w:val="NoSpacing"/>
        <w:rPr>
          <w:color w:val="000000" w:themeColor="text1"/>
        </w:rPr>
      </w:pPr>
    </w:p>
    <w:p w:rsidR="00851151" w:rsidRPr="0023704D" w:rsidRDefault="00A05D57" w:rsidP="00851151">
      <w:pPr>
        <w:rPr>
          <w:sz w:val="24"/>
          <w:szCs w:val="24"/>
        </w:rPr>
      </w:pPr>
      <w:r>
        <w:rPr>
          <w:sz w:val="24"/>
          <w:szCs w:val="24"/>
        </w:rPr>
        <w:t xml:space="preserve">Utilizing this information the </w:t>
      </w:r>
      <w:r w:rsidR="005466E6">
        <w:rPr>
          <w:sz w:val="24"/>
          <w:szCs w:val="24"/>
        </w:rPr>
        <w:t xml:space="preserve">ground water </w:t>
      </w:r>
      <w:r>
        <w:rPr>
          <w:sz w:val="24"/>
          <w:szCs w:val="24"/>
        </w:rPr>
        <w:t>s</w:t>
      </w:r>
      <w:r w:rsidR="00597FD4" w:rsidRPr="0023704D">
        <w:rPr>
          <w:sz w:val="24"/>
          <w:szCs w:val="24"/>
        </w:rPr>
        <w:t>ampling stations</w:t>
      </w:r>
      <w:r w:rsidR="00083092" w:rsidRPr="0023704D">
        <w:rPr>
          <w:sz w:val="24"/>
          <w:szCs w:val="24"/>
        </w:rPr>
        <w:t xml:space="preserve"> </w:t>
      </w:r>
      <w:r>
        <w:rPr>
          <w:sz w:val="24"/>
          <w:szCs w:val="24"/>
        </w:rPr>
        <w:t xml:space="preserve">utilized </w:t>
      </w:r>
      <w:r w:rsidR="00083092" w:rsidRPr="0023704D">
        <w:rPr>
          <w:sz w:val="24"/>
          <w:szCs w:val="24"/>
        </w:rPr>
        <w:t>for this study were located mostly within the Ginnie-</w:t>
      </w:r>
      <w:r w:rsidR="00502B9E">
        <w:rPr>
          <w:sz w:val="24"/>
          <w:szCs w:val="24"/>
        </w:rPr>
        <w:t>Gilchrist-Blue</w:t>
      </w:r>
      <w:r w:rsidR="00083092" w:rsidRPr="0023704D">
        <w:rPr>
          <w:sz w:val="24"/>
          <w:szCs w:val="24"/>
        </w:rPr>
        <w:t xml:space="preserve"> Hornsby, and Poe-Lily springsheds</w:t>
      </w:r>
      <w:r w:rsidR="00936FA3" w:rsidRPr="0023704D">
        <w:rPr>
          <w:sz w:val="24"/>
          <w:szCs w:val="24"/>
        </w:rPr>
        <w:t xml:space="preserve"> (</w:t>
      </w:r>
      <w:r w:rsidR="00936FA3" w:rsidRPr="0023704D">
        <w:rPr>
          <w:b/>
          <w:sz w:val="24"/>
          <w:szCs w:val="24"/>
        </w:rPr>
        <w:t>Figure 1</w:t>
      </w:r>
      <w:r w:rsidR="00936FA3" w:rsidRPr="0023704D">
        <w:rPr>
          <w:sz w:val="24"/>
          <w:szCs w:val="24"/>
        </w:rPr>
        <w:t>)</w:t>
      </w:r>
      <w:r w:rsidR="00851151" w:rsidRPr="0023704D">
        <w:rPr>
          <w:sz w:val="24"/>
          <w:szCs w:val="24"/>
        </w:rPr>
        <w:t xml:space="preserve">.  The </w:t>
      </w:r>
      <w:r w:rsidR="00BE1268">
        <w:rPr>
          <w:sz w:val="24"/>
          <w:szCs w:val="24"/>
        </w:rPr>
        <w:t xml:space="preserve">private </w:t>
      </w:r>
      <w:r w:rsidR="00851151" w:rsidRPr="0023704D">
        <w:rPr>
          <w:sz w:val="24"/>
          <w:szCs w:val="24"/>
        </w:rPr>
        <w:t xml:space="preserve">wells that were sampled in this assessment have been previously sampled by </w:t>
      </w:r>
      <w:r w:rsidR="00207A5D" w:rsidRPr="0023704D">
        <w:rPr>
          <w:sz w:val="24"/>
          <w:szCs w:val="24"/>
        </w:rPr>
        <w:t>the</w:t>
      </w:r>
      <w:r w:rsidR="005E5095">
        <w:rPr>
          <w:sz w:val="24"/>
          <w:szCs w:val="24"/>
        </w:rPr>
        <w:t xml:space="preserve"> Alachua County Health Department</w:t>
      </w:r>
      <w:r w:rsidR="00401B35">
        <w:rPr>
          <w:sz w:val="24"/>
          <w:szCs w:val="24"/>
        </w:rPr>
        <w:t xml:space="preserve"> (ACHD)</w:t>
      </w:r>
      <w:r w:rsidR="00BE1268">
        <w:rPr>
          <w:sz w:val="24"/>
          <w:szCs w:val="24"/>
        </w:rPr>
        <w:t xml:space="preserve"> and</w:t>
      </w:r>
      <w:r w:rsidR="00207A5D" w:rsidRPr="0023704D">
        <w:rPr>
          <w:sz w:val="24"/>
          <w:szCs w:val="24"/>
        </w:rPr>
        <w:t xml:space="preserve"> </w:t>
      </w:r>
      <w:r w:rsidR="00502B9E">
        <w:rPr>
          <w:sz w:val="24"/>
          <w:szCs w:val="24"/>
        </w:rPr>
        <w:t>EPD</w:t>
      </w:r>
      <w:r w:rsidR="00851151" w:rsidRPr="0023704D">
        <w:rPr>
          <w:sz w:val="24"/>
          <w:szCs w:val="24"/>
        </w:rPr>
        <w:t xml:space="preserve"> and some of the</w:t>
      </w:r>
      <w:r w:rsidR="00BE1268">
        <w:rPr>
          <w:sz w:val="24"/>
          <w:szCs w:val="24"/>
        </w:rPr>
        <w:t>se</w:t>
      </w:r>
      <w:r w:rsidR="00851151" w:rsidRPr="0023704D">
        <w:rPr>
          <w:sz w:val="24"/>
          <w:szCs w:val="24"/>
        </w:rPr>
        <w:t xml:space="preserve"> </w:t>
      </w:r>
      <w:r w:rsidR="00BE1268">
        <w:rPr>
          <w:sz w:val="24"/>
          <w:szCs w:val="24"/>
        </w:rPr>
        <w:t xml:space="preserve">have </w:t>
      </w:r>
      <w:r w:rsidR="00851151" w:rsidRPr="0023704D">
        <w:rPr>
          <w:sz w:val="24"/>
          <w:szCs w:val="24"/>
        </w:rPr>
        <w:t xml:space="preserve">had nitrate concentrations exceeding the potable ground water standard of 10 mg/L.  </w:t>
      </w:r>
      <w:r w:rsidR="00BE1268">
        <w:rPr>
          <w:sz w:val="24"/>
          <w:szCs w:val="24"/>
        </w:rPr>
        <w:t xml:space="preserve">The springs that were sampled in this study have previously been sampled by the Suwannee River Water Management District and some are routinely sampled by FDEP.  The spring sampling locations are shown in </w:t>
      </w:r>
      <w:r w:rsidR="00BE1268" w:rsidRPr="00BE1268">
        <w:rPr>
          <w:b/>
          <w:sz w:val="24"/>
          <w:szCs w:val="24"/>
        </w:rPr>
        <w:t>Figure 2</w:t>
      </w:r>
      <w:r w:rsidR="00BE1268">
        <w:rPr>
          <w:sz w:val="24"/>
          <w:szCs w:val="24"/>
        </w:rPr>
        <w:t>.</w:t>
      </w:r>
    </w:p>
    <w:p w:rsidR="00936FA3" w:rsidRDefault="00936FA3" w:rsidP="00936FA3">
      <w:pPr>
        <w:pStyle w:val="Heading1"/>
        <w:rPr>
          <w:sz w:val="24"/>
        </w:rPr>
      </w:pPr>
      <w:r w:rsidRPr="007B3B6F">
        <w:t>Sampl</w:t>
      </w:r>
      <w:r w:rsidR="00B235C1">
        <w:t>i</w:t>
      </w:r>
      <w:r w:rsidRPr="007B3B6F">
        <w:t>ng</w:t>
      </w:r>
      <w:r w:rsidRPr="00754D8C">
        <w:t xml:space="preserve"> and Analysis</w:t>
      </w:r>
      <w:r w:rsidRPr="007139F4">
        <w:rPr>
          <w:sz w:val="24"/>
        </w:rPr>
        <w:t xml:space="preserve">  </w:t>
      </w:r>
    </w:p>
    <w:p w:rsidR="00936FA3" w:rsidRPr="0023704D" w:rsidRDefault="00E64DBF" w:rsidP="00936FA3">
      <w:pPr>
        <w:rPr>
          <w:sz w:val="24"/>
          <w:szCs w:val="24"/>
        </w:rPr>
      </w:pPr>
      <w:r>
        <w:rPr>
          <w:sz w:val="24"/>
          <w:szCs w:val="24"/>
        </w:rPr>
        <w:t>Representatives of GWSP conducted the spring sampling and a team from EPD conducted the well sampling</w:t>
      </w:r>
      <w:r w:rsidR="00936FA3" w:rsidRPr="0023704D">
        <w:rPr>
          <w:sz w:val="24"/>
          <w:szCs w:val="24"/>
        </w:rPr>
        <w:t xml:space="preserve">.  All of the samples were analyzed for </w:t>
      </w:r>
      <w:r w:rsidR="00D24F04" w:rsidRPr="0023704D">
        <w:rPr>
          <w:sz w:val="24"/>
          <w:szCs w:val="24"/>
        </w:rPr>
        <w:t>nitrite</w:t>
      </w:r>
      <w:r w:rsidR="00B33F86" w:rsidRPr="0023704D">
        <w:rPr>
          <w:sz w:val="24"/>
          <w:szCs w:val="24"/>
        </w:rPr>
        <w:t xml:space="preserve"> and </w:t>
      </w:r>
      <w:r w:rsidR="00D24F04" w:rsidRPr="0023704D">
        <w:rPr>
          <w:sz w:val="24"/>
          <w:szCs w:val="24"/>
        </w:rPr>
        <w:t>nitrate-nitrogen (</w:t>
      </w:r>
      <w:r w:rsidR="00936FA3" w:rsidRPr="0023704D">
        <w:rPr>
          <w:sz w:val="24"/>
          <w:szCs w:val="24"/>
        </w:rPr>
        <w:t>NO</w:t>
      </w:r>
      <w:r w:rsidR="00B33F86" w:rsidRPr="0023704D">
        <w:rPr>
          <w:sz w:val="24"/>
          <w:szCs w:val="24"/>
        </w:rPr>
        <w:t>x</w:t>
      </w:r>
      <w:r w:rsidR="00B41A86" w:rsidRPr="0023704D">
        <w:rPr>
          <w:sz w:val="24"/>
          <w:szCs w:val="24"/>
        </w:rPr>
        <w:t>)</w:t>
      </w:r>
      <w:r w:rsidR="00B41A86" w:rsidRPr="0023704D">
        <w:rPr>
          <w:rStyle w:val="FootnoteReference"/>
          <w:sz w:val="24"/>
          <w:szCs w:val="24"/>
        </w:rPr>
        <w:footnoteReference w:id="1"/>
      </w:r>
      <w:r w:rsidR="00936FA3" w:rsidRPr="0023704D">
        <w:rPr>
          <w:sz w:val="24"/>
          <w:szCs w:val="24"/>
        </w:rPr>
        <w:t>, chloride, sulfate, boron and isotopes (δ</w:t>
      </w:r>
      <w:r w:rsidR="00936FA3" w:rsidRPr="0023704D">
        <w:rPr>
          <w:sz w:val="24"/>
          <w:szCs w:val="24"/>
          <w:vertAlign w:val="superscript"/>
        </w:rPr>
        <w:t>15</w:t>
      </w:r>
      <w:r w:rsidR="00936FA3" w:rsidRPr="0023704D">
        <w:rPr>
          <w:sz w:val="24"/>
          <w:szCs w:val="24"/>
        </w:rPr>
        <w:t>N and δ</w:t>
      </w:r>
      <w:r w:rsidR="00936FA3" w:rsidRPr="0023704D">
        <w:rPr>
          <w:sz w:val="24"/>
          <w:szCs w:val="24"/>
          <w:vertAlign w:val="superscript"/>
        </w:rPr>
        <w:t>18</w:t>
      </w:r>
      <w:r w:rsidR="00936FA3" w:rsidRPr="0023704D">
        <w:rPr>
          <w:sz w:val="24"/>
          <w:szCs w:val="24"/>
        </w:rPr>
        <w:t xml:space="preserve">O in nitrate).  </w:t>
      </w:r>
      <w:r>
        <w:rPr>
          <w:sz w:val="24"/>
          <w:szCs w:val="24"/>
        </w:rPr>
        <w:t xml:space="preserve">Both sampling teams followed </w:t>
      </w:r>
      <w:r w:rsidR="00936FA3" w:rsidRPr="0023704D">
        <w:rPr>
          <w:rFonts w:eastAsiaTheme="majorEastAsia" w:cstheme="majorBidi"/>
          <w:bCs/>
          <w:sz w:val="24"/>
          <w:szCs w:val="24"/>
        </w:rPr>
        <w:t xml:space="preserve"> FDEP sampling SOPs.   T</w:t>
      </w:r>
      <w:r w:rsidR="00936FA3" w:rsidRPr="0023704D">
        <w:rPr>
          <w:sz w:val="24"/>
          <w:szCs w:val="24"/>
        </w:rPr>
        <w:t xml:space="preserve">he isotope samples were analyzed by the Colorado Plateau Stable Isotope Laboratory at the University of Northern Arizona.  All other samples </w:t>
      </w:r>
      <w:r>
        <w:rPr>
          <w:sz w:val="24"/>
          <w:szCs w:val="24"/>
        </w:rPr>
        <w:t xml:space="preserve">that were collected for this report </w:t>
      </w:r>
      <w:r w:rsidR="00936FA3" w:rsidRPr="0023704D">
        <w:rPr>
          <w:sz w:val="24"/>
          <w:szCs w:val="24"/>
        </w:rPr>
        <w:t xml:space="preserve">were analyzed by the FDEP Central Laboratory.  The laboratory results </w:t>
      </w:r>
      <w:r w:rsidR="00FA1BD1">
        <w:rPr>
          <w:sz w:val="24"/>
          <w:szCs w:val="24"/>
        </w:rPr>
        <w:t xml:space="preserve">for the baseline sampling </w:t>
      </w:r>
      <w:r w:rsidR="00936FA3" w:rsidRPr="0023704D">
        <w:rPr>
          <w:sz w:val="24"/>
          <w:szCs w:val="24"/>
        </w:rPr>
        <w:t xml:space="preserve">are presented </w:t>
      </w:r>
      <w:r w:rsidR="000F30C6" w:rsidRPr="0023704D">
        <w:rPr>
          <w:sz w:val="24"/>
          <w:szCs w:val="24"/>
        </w:rPr>
        <w:t xml:space="preserve">in </w:t>
      </w:r>
      <w:r w:rsidR="000F30C6" w:rsidRPr="0023704D">
        <w:rPr>
          <w:b/>
          <w:sz w:val="24"/>
          <w:szCs w:val="24"/>
        </w:rPr>
        <w:t>Table 1</w:t>
      </w:r>
      <w:r w:rsidR="000F30C6" w:rsidRPr="0023704D">
        <w:rPr>
          <w:sz w:val="24"/>
          <w:szCs w:val="24"/>
        </w:rPr>
        <w:t>.</w:t>
      </w:r>
      <w:r w:rsidR="00936FA3" w:rsidRPr="0023704D">
        <w:rPr>
          <w:sz w:val="24"/>
          <w:szCs w:val="24"/>
        </w:rPr>
        <w:t xml:space="preserve">  </w:t>
      </w:r>
    </w:p>
    <w:p w:rsidR="00C34C9E" w:rsidRDefault="00230DE9" w:rsidP="00851151">
      <w:pPr>
        <w:rPr>
          <w:noProof/>
          <w:sz w:val="24"/>
          <w:szCs w:val="24"/>
        </w:rPr>
      </w:pPr>
      <w:r w:rsidRPr="00230DE9">
        <w:rPr>
          <w:sz w:val="24"/>
          <w:szCs w:val="24"/>
        </w:rP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8" o:title=""/>
          </v:shape>
          <o:OLEObject Type="Embed" ProgID="AcroExch.Document.7" ShapeID="_x0000_i1025" DrawAspect="Content" ObjectID="_1379999491" r:id="rId9"/>
        </w:object>
      </w:r>
    </w:p>
    <w:p w:rsidR="004016E4" w:rsidRDefault="004016E4" w:rsidP="004016E4">
      <w:pPr>
        <w:jc w:val="center"/>
        <w:rPr>
          <w:b/>
        </w:rPr>
      </w:pPr>
      <w:r w:rsidRPr="008C7410">
        <w:rPr>
          <w:b/>
        </w:rPr>
        <w:t xml:space="preserve">Figure 1.  </w:t>
      </w:r>
      <w:r w:rsidR="001543C2">
        <w:rPr>
          <w:b/>
        </w:rPr>
        <w:t xml:space="preserve">Ground Water </w:t>
      </w:r>
      <w:r w:rsidR="006B6A52">
        <w:rPr>
          <w:b/>
        </w:rPr>
        <w:t>Monitoring</w:t>
      </w:r>
      <w:r w:rsidRPr="008C7410">
        <w:rPr>
          <w:b/>
        </w:rPr>
        <w:t xml:space="preserve"> Locations for Evaluating Nitrogen Sources in the Santa Fe BMAP Area</w:t>
      </w:r>
    </w:p>
    <w:p w:rsidR="00BE1268" w:rsidRDefault="00BE1268" w:rsidP="00BE1268">
      <w:r>
        <w:rPr>
          <w:noProof/>
        </w:rPr>
        <w:lastRenderedPageBreak/>
        <w:drawing>
          <wp:inline distT="0" distB="0" distL="0" distR="0">
            <wp:extent cx="5943600" cy="4592955"/>
            <wp:effectExtent l="19050" t="0" r="0" b="0"/>
            <wp:docPr id="2" name="Picture 6" descr="SpringsNO3_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ringsNO3_Landscape.JPG"/>
                    <pic:cNvPicPr/>
                  </pic:nvPicPr>
                  <pic:blipFill>
                    <a:blip r:embed="rId10" cstate="print"/>
                    <a:stretch>
                      <a:fillRect/>
                    </a:stretch>
                  </pic:blipFill>
                  <pic:spPr>
                    <a:xfrm>
                      <a:off x="0" y="0"/>
                      <a:ext cx="5943600" cy="4592955"/>
                    </a:xfrm>
                    <a:prstGeom prst="rect">
                      <a:avLst/>
                    </a:prstGeom>
                  </pic:spPr>
                </pic:pic>
              </a:graphicData>
            </a:graphic>
          </wp:inline>
        </w:drawing>
      </w:r>
    </w:p>
    <w:p w:rsidR="00BE1268" w:rsidRPr="00874A65" w:rsidRDefault="00BE1268" w:rsidP="00BE1268">
      <w:pPr>
        <w:jc w:val="center"/>
        <w:rPr>
          <w:b/>
        </w:rPr>
      </w:pPr>
      <w:r w:rsidRPr="00874A65">
        <w:rPr>
          <w:b/>
        </w:rPr>
        <w:t xml:space="preserve">Figure 2.  </w:t>
      </w:r>
      <w:r>
        <w:rPr>
          <w:b/>
        </w:rPr>
        <w:t xml:space="preserve">Spring Sampling Locations with </w:t>
      </w:r>
      <w:r w:rsidRPr="00874A65">
        <w:rPr>
          <w:b/>
        </w:rPr>
        <w:t xml:space="preserve">NOx </w:t>
      </w:r>
      <w:r>
        <w:rPr>
          <w:b/>
        </w:rPr>
        <w:t>C</w:t>
      </w:r>
      <w:r w:rsidRPr="00874A65">
        <w:rPr>
          <w:b/>
        </w:rPr>
        <w:t>oncentrations</w:t>
      </w:r>
    </w:p>
    <w:p w:rsidR="00BE1268" w:rsidRDefault="00BE1268" w:rsidP="004016E4">
      <w:pPr>
        <w:jc w:val="center"/>
        <w:rPr>
          <w:b/>
        </w:rPr>
      </w:pPr>
    </w:p>
    <w:p w:rsidR="00BE1268" w:rsidRDefault="00BE1268" w:rsidP="004016E4">
      <w:pPr>
        <w:jc w:val="center"/>
        <w:rPr>
          <w:sz w:val="24"/>
          <w:szCs w:val="24"/>
        </w:rPr>
      </w:pPr>
    </w:p>
    <w:p w:rsidR="000A59C1" w:rsidRDefault="000A59C1" w:rsidP="00851151">
      <w:pPr>
        <w:rPr>
          <w:sz w:val="24"/>
          <w:szCs w:val="24"/>
        </w:rPr>
        <w:sectPr w:rsidR="000A59C1" w:rsidSect="000A7DAF">
          <w:footerReference w:type="default" r:id="rId11"/>
          <w:headerReference w:type="first" r:id="rId12"/>
          <w:footerReference w:type="first" r:id="rId13"/>
          <w:pgSz w:w="12240" w:h="15840"/>
          <w:pgMar w:top="1440" w:right="1440" w:bottom="1440" w:left="1440" w:header="720" w:footer="720" w:gutter="0"/>
          <w:cols w:space="720"/>
          <w:docGrid w:linePitch="360"/>
        </w:sectPr>
      </w:pPr>
    </w:p>
    <w:p w:rsidR="00C2369C" w:rsidRPr="00695614" w:rsidRDefault="000D6FAC" w:rsidP="00C2369C">
      <w:pPr>
        <w:jc w:val="center"/>
        <w:rPr>
          <w:b/>
        </w:rPr>
      </w:pPr>
      <w:r>
        <w:rPr>
          <w:b/>
        </w:rPr>
        <w:lastRenderedPageBreak/>
        <w:t xml:space="preserve">Table 1. </w:t>
      </w:r>
      <w:r w:rsidR="00C2369C" w:rsidRPr="00695614">
        <w:rPr>
          <w:b/>
        </w:rPr>
        <w:t xml:space="preserve"> Laboratory Results for </w:t>
      </w:r>
      <w:r w:rsidR="004E5B92" w:rsidRPr="00695614">
        <w:rPr>
          <w:b/>
        </w:rPr>
        <w:t xml:space="preserve">Spring and </w:t>
      </w:r>
      <w:r w:rsidR="00C2369C" w:rsidRPr="00695614">
        <w:rPr>
          <w:b/>
        </w:rPr>
        <w:t>Ground Water Samples</w:t>
      </w:r>
      <w:r w:rsidR="00BE1268">
        <w:rPr>
          <w:b/>
        </w:rPr>
        <w:t>, Baseline Sampling</w:t>
      </w:r>
    </w:p>
    <w:tbl>
      <w:tblPr>
        <w:tblStyle w:val="TableGrid"/>
        <w:tblW w:w="0" w:type="auto"/>
        <w:tblLook w:val="04A0"/>
      </w:tblPr>
      <w:tblGrid>
        <w:gridCol w:w="1728"/>
        <w:gridCol w:w="1339"/>
        <w:gridCol w:w="928"/>
        <w:gridCol w:w="990"/>
        <w:gridCol w:w="1080"/>
        <w:gridCol w:w="1080"/>
        <w:gridCol w:w="1350"/>
        <w:gridCol w:w="1080"/>
        <w:gridCol w:w="1260"/>
        <w:gridCol w:w="900"/>
        <w:gridCol w:w="1350"/>
      </w:tblGrid>
      <w:tr w:rsidR="004016E4" w:rsidRPr="002D3900" w:rsidTr="00F42569">
        <w:tc>
          <w:tcPr>
            <w:tcW w:w="1728" w:type="dxa"/>
            <w:shd w:val="pct20" w:color="auto" w:fill="auto"/>
            <w:vAlign w:val="bottom"/>
          </w:tcPr>
          <w:p w:rsidR="004016E4" w:rsidRPr="002D3900" w:rsidRDefault="004016E4" w:rsidP="004E5B92">
            <w:pPr>
              <w:rPr>
                <w:rFonts w:ascii="Arial" w:eastAsia="Times New Roman" w:hAnsi="Arial" w:cs="Arial"/>
                <w:b/>
                <w:bCs/>
                <w:color w:val="000000"/>
                <w:sz w:val="16"/>
                <w:szCs w:val="16"/>
              </w:rPr>
            </w:pPr>
            <w:r w:rsidRPr="002D3900">
              <w:rPr>
                <w:rFonts w:ascii="Arial" w:eastAsia="Times New Roman" w:hAnsi="Arial" w:cs="Arial"/>
                <w:b/>
                <w:bCs/>
                <w:color w:val="000000"/>
                <w:sz w:val="16"/>
                <w:szCs w:val="16"/>
              </w:rPr>
              <w:t>Site ID</w:t>
            </w:r>
          </w:p>
        </w:tc>
        <w:tc>
          <w:tcPr>
            <w:tcW w:w="1339" w:type="dxa"/>
            <w:shd w:val="pct20" w:color="auto" w:fill="auto"/>
          </w:tcPr>
          <w:p w:rsidR="004016E4" w:rsidRDefault="004016E4" w:rsidP="004E5B92">
            <w:pPr>
              <w:jc w:val="center"/>
              <w:rPr>
                <w:rFonts w:ascii="Arial" w:eastAsia="Times New Roman" w:hAnsi="Arial" w:cs="Arial"/>
                <w:b/>
                <w:bCs/>
                <w:color w:val="000000"/>
                <w:sz w:val="16"/>
                <w:szCs w:val="16"/>
              </w:rPr>
            </w:pPr>
          </w:p>
          <w:p w:rsidR="004016E4" w:rsidRPr="002D3900" w:rsidRDefault="004016E4" w:rsidP="004E5B92">
            <w:pPr>
              <w:jc w:val="center"/>
              <w:rPr>
                <w:rFonts w:ascii="Arial" w:eastAsia="Times New Roman" w:hAnsi="Arial" w:cs="Arial"/>
                <w:b/>
                <w:bCs/>
                <w:color w:val="000000"/>
                <w:sz w:val="16"/>
                <w:szCs w:val="16"/>
              </w:rPr>
            </w:pPr>
            <w:r>
              <w:rPr>
                <w:rFonts w:ascii="Arial" w:eastAsia="Times New Roman" w:hAnsi="Arial" w:cs="Arial"/>
                <w:b/>
                <w:bCs/>
                <w:color w:val="000000"/>
                <w:sz w:val="16"/>
                <w:szCs w:val="16"/>
              </w:rPr>
              <w:t>Springshed</w:t>
            </w:r>
          </w:p>
        </w:tc>
        <w:tc>
          <w:tcPr>
            <w:tcW w:w="928" w:type="dxa"/>
            <w:shd w:val="pct20" w:color="auto" w:fill="auto"/>
            <w:vAlign w:val="bottom"/>
          </w:tcPr>
          <w:p w:rsidR="004016E4" w:rsidRPr="002D3900" w:rsidRDefault="004016E4" w:rsidP="004E5B92">
            <w:pPr>
              <w:jc w:val="center"/>
              <w:rPr>
                <w:rFonts w:ascii="Arial" w:eastAsia="Times New Roman" w:hAnsi="Arial" w:cs="Arial"/>
                <w:b/>
                <w:bCs/>
                <w:color w:val="000000"/>
                <w:sz w:val="16"/>
                <w:szCs w:val="16"/>
              </w:rPr>
            </w:pPr>
            <w:r w:rsidRPr="002D3900">
              <w:rPr>
                <w:rFonts w:ascii="Arial" w:eastAsia="Times New Roman" w:hAnsi="Arial" w:cs="Arial"/>
                <w:b/>
                <w:bCs/>
                <w:color w:val="000000"/>
                <w:sz w:val="16"/>
                <w:szCs w:val="16"/>
              </w:rPr>
              <w:t>Date</w:t>
            </w:r>
          </w:p>
        </w:tc>
        <w:tc>
          <w:tcPr>
            <w:tcW w:w="990" w:type="dxa"/>
            <w:shd w:val="pct20" w:color="auto" w:fill="auto"/>
            <w:vAlign w:val="bottom"/>
          </w:tcPr>
          <w:p w:rsidR="004016E4" w:rsidRPr="002D3900" w:rsidRDefault="004016E4" w:rsidP="00B33F86">
            <w:pPr>
              <w:jc w:val="center"/>
              <w:rPr>
                <w:rFonts w:ascii="Arial" w:eastAsia="Times New Roman" w:hAnsi="Arial" w:cs="Arial"/>
                <w:b/>
                <w:bCs/>
                <w:color w:val="000000"/>
                <w:sz w:val="16"/>
                <w:szCs w:val="16"/>
              </w:rPr>
            </w:pPr>
            <w:r w:rsidRPr="002D3900">
              <w:rPr>
                <w:rFonts w:ascii="Arial" w:eastAsia="Times New Roman" w:hAnsi="Arial" w:cs="Arial"/>
                <w:b/>
                <w:bCs/>
                <w:color w:val="000000"/>
                <w:sz w:val="16"/>
                <w:szCs w:val="16"/>
              </w:rPr>
              <w:t>NOx (mg/L)</w:t>
            </w:r>
          </w:p>
        </w:tc>
        <w:tc>
          <w:tcPr>
            <w:tcW w:w="1080" w:type="dxa"/>
            <w:shd w:val="pct20" w:color="auto" w:fill="auto"/>
            <w:vAlign w:val="bottom"/>
          </w:tcPr>
          <w:p w:rsidR="004016E4" w:rsidRPr="002D3900" w:rsidRDefault="004016E4" w:rsidP="004E5B92">
            <w:pPr>
              <w:jc w:val="center"/>
              <w:rPr>
                <w:rFonts w:ascii="Arial" w:eastAsia="Times New Roman" w:hAnsi="Arial" w:cs="Arial"/>
                <w:b/>
                <w:bCs/>
                <w:color w:val="000000"/>
                <w:sz w:val="16"/>
                <w:szCs w:val="16"/>
              </w:rPr>
            </w:pPr>
            <w:r w:rsidRPr="002D3900">
              <w:rPr>
                <w:rFonts w:ascii="Arial" w:eastAsia="Times New Roman" w:hAnsi="Arial" w:cs="Arial"/>
                <w:b/>
                <w:bCs/>
                <w:color w:val="000000"/>
                <w:sz w:val="16"/>
                <w:szCs w:val="16"/>
              </w:rPr>
              <w:t>Ammonia (mg/L)</w:t>
            </w:r>
          </w:p>
        </w:tc>
        <w:tc>
          <w:tcPr>
            <w:tcW w:w="1080" w:type="dxa"/>
            <w:shd w:val="pct20" w:color="auto" w:fill="auto"/>
            <w:vAlign w:val="bottom"/>
          </w:tcPr>
          <w:p w:rsidR="004016E4" w:rsidRPr="002D3900" w:rsidRDefault="004016E4" w:rsidP="004E5B92">
            <w:pPr>
              <w:jc w:val="center"/>
              <w:rPr>
                <w:rFonts w:ascii="Arial" w:eastAsia="Times New Roman" w:hAnsi="Arial" w:cs="Arial"/>
                <w:b/>
                <w:bCs/>
                <w:color w:val="000000"/>
                <w:sz w:val="16"/>
                <w:szCs w:val="16"/>
              </w:rPr>
            </w:pPr>
            <w:r w:rsidRPr="002D3900">
              <w:rPr>
                <w:rFonts w:ascii="Arial" w:eastAsia="Times New Roman" w:hAnsi="Arial" w:cs="Arial"/>
                <w:b/>
                <w:bCs/>
                <w:color w:val="000000"/>
                <w:sz w:val="16"/>
                <w:szCs w:val="16"/>
              </w:rPr>
              <w:t>Sulfate (mg/L)</w:t>
            </w:r>
          </w:p>
        </w:tc>
        <w:tc>
          <w:tcPr>
            <w:tcW w:w="1350" w:type="dxa"/>
            <w:shd w:val="pct20" w:color="auto" w:fill="auto"/>
            <w:vAlign w:val="bottom"/>
          </w:tcPr>
          <w:p w:rsidR="004016E4" w:rsidRPr="002D3900" w:rsidRDefault="004016E4" w:rsidP="004E5B92">
            <w:pPr>
              <w:jc w:val="center"/>
              <w:rPr>
                <w:rFonts w:ascii="Arial" w:eastAsia="Times New Roman" w:hAnsi="Arial" w:cs="Arial"/>
                <w:b/>
                <w:bCs/>
                <w:color w:val="000000"/>
                <w:sz w:val="16"/>
                <w:szCs w:val="16"/>
              </w:rPr>
            </w:pPr>
            <w:r w:rsidRPr="002D3900">
              <w:rPr>
                <w:rFonts w:ascii="Arial" w:eastAsia="Times New Roman" w:hAnsi="Arial" w:cs="Arial"/>
                <w:b/>
                <w:bCs/>
                <w:color w:val="000000"/>
                <w:sz w:val="16"/>
                <w:szCs w:val="16"/>
              </w:rPr>
              <w:t>Chloride (mg/L)</w:t>
            </w:r>
          </w:p>
        </w:tc>
        <w:tc>
          <w:tcPr>
            <w:tcW w:w="1080" w:type="dxa"/>
            <w:shd w:val="pct20" w:color="auto" w:fill="auto"/>
            <w:vAlign w:val="bottom"/>
          </w:tcPr>
          <w:p w:rsidR="004016E4" w:rsidRPr="002D3900" w:rsidRDefault="004016E4" w:rsidP="004E5B92">
            <w:pPr>
              <w:jc w:val="center"/>
              <w:rPr>
                <w:rFonts w:ascii="Arial" w:eastAsia="Times New Roman" w:hAnsi="Arial" w:cs="Arial"/>
                <w:b/>
                <w:bCs/>
                <w:color w:val="000000"/>
                <w:sz w:val="16"/>
                <w:szCs w:val="16"/>
              </w:rPr>
            </w:pPr>
            <w:r w:rsidRPr="002D3900">
              <w:rPr>
                <w:rFonts w:ascii="Arial" w:eastAsia="Times New Roman" w:hAnsi="Arial" w:cs="Arial"/>
                <w:b/>
                <w:bCs/>
                <w:color w:val="000000"/>
                <w:sz w:val="16"/>
                <w:szCs w:val="16"/>
              </w:rPr>
              <w:t>Boron (μg/L)</w:t>
            </w:r>
          </w:p>
        </w:tc>
        <w:tc>
          <w:tcPr>
            <w:tcW w:w="1260" w:type="dxa"/>
            <w:shd w:val="pct20" w:color="auto" w:fill="auto"/>
            <w:vAlign w:val="bottom"/>
          </w:tcPr>
          <w:p w:rsidR="004016E4" w:rsidRPr="002D3900" w:rsidRDefault="004016E4" w:rsidP="004E5B92">
            <w:pPr>
              <w:jc w:val="center"/>
              <w:rPr>
                <w:rFonts w:ascii="Arial" w:eastAsia="Times New Roman" w:hAnsi="Arial" w:cs="Arial"/>
                <w:b/>
                <w:bCs/>
                <w:color w:val="000000"/>
                <w:sz w:val="16"/>
                <w:szCs w:val="16"/>
              </w:rPr>
            </w:pPr>
            <w:r w:rsidRPr="002D3900">
              <w:rPr>
                <w:rFonts w:ascii="Arial" w:eastAsia="Times New Roman" w:hAnsi="Arial" w:cs="Arial"/>
                <w:b/>
                <w:bCs/>
                <w:color w:val="000000"/>
                <w:sz w:val="16"/>
                <w:szCs w:val="16"/>
              </w:rPr>
              <w:t>Potassium (mg/L)</w:t>
            </w:r>
          </w:p>
        </w:tc>
        <w:tc>
          <w:tcPr>
            <w:tcW w:w="900" w:type="dxa"/>
            <w:shd w:val="pct20" w:color="auto" w:fill="auto"/>
            <w:vAlign w:val="bottom"/>
          </w:tcPr>
          <w:p w:rsidR="004016E4" w:rsidRPr="002D3900" w:rsidRDefault="004016E4" w:rsidP="004E5B92">
            <w:pPr>
              <w:jc w:val="center"/>
              <w:rPr>
                <w:rFonts w:ascii="Arial" w:eastAsia="Times New Roman" w:hAnsi="Arial" w:cs="Arial"/>
                <w:b/>
                <w:bCs/>
                <w:sz w:val="16"/>
                <w:szCs w:val="16"/>
              </w:rPr>
            </w:pPr>
            <w:r w:rsidRPr="002D3900">
              <w:rPr>
                <w:rFonts w:ascii="Arial" w:eastAsia="Times New Roman" w:hAnsi="Arial" w:cs="Arial"/>
                <w:b/>
                <w:bCs/>
                <w:sz w:val="16"/>
                <w:szCs w:val="16"/>
              </w:rPr>
              <w:t>δ¹</w:t>
            </w:r>
            <w:r w:rsidRPr="002D3900">
              <w:rPr>
                <w:rFonts w:ascii="Calibri" w:eastAsia="Times New Roman" w:hAnsi="Calibri" w:cs="Arial"/>
                <w:b/>
                <w:bCs/>
                <w:sz w:val="16"/>
                <w:szCs w:val="16"/>
              </w:rPr>
              <w:t>⁵</w:t>
            </w:r>
            <w:r w:rsidRPr="002D3900">
              <w:rPr>
                <w:rFonts w:ascii="Arial" w:eastAsia="Times New Roman" w:hAnsi="Arial" w:cs="Arial"/>
                <w:b/>
                <w:bCs/>
                <w:sz w:val="16"/>
                <w:szCs w:val="16"/>
              </w:rPr>
              <w:t>NAIR (</w:t>
            </w:r>
            <w:r w:rsidRPr="002D3900">
              <w:rPr>
                <w:rFonts w:ascii="Calibri" w:eastAsia="Times New Roman" w:hAnsi="Calibri" w:cs="Arial"/>
                <w:b/>
                <w:bCs/>
                <w:sz w:val="16"/>
                <w:szCs w:val="16"/>
              </w:rPr>
              <w:t>⁰</w:t>
            </w:r>
            <w:r w:rsidRPr="002D3900">
              <w:rPr>
                <w:rFonts w:ascii="Arial" w:eastAsia="Times New Roman" w:hAnsi="Arial" w:cs="Arial"/>
                <w:b/>
                <w:bCs/>
                <w:sz w:val="16"/>
                <w:szCs w:val="16"/>
              </w:rPr>
              <w:t>⁄</w:t>
            </w:r>
            <w:r w:rsidRPr="002D3900">
              <w:rPr>
                <w:rFonts w:ascii="Calibri" w:eastAsia="Times New Roman" w:hAnsi="Calibri" w:cs="Arial"/>
                <w:b/>
                <w:bCs/>
                <w:sz w:val="16"/>
                <w:szCs w:val="16"/>
              </w:rPr>
              <w:t>₀₀</w:t>
            </w:r>
            <w:r w:rsidRPr="002D3900">
              <w:rPr>
                <w:rFonts w:ascii="Arial" w:eastAsia="Times New Roman" w:hAnsi="Arial" w:cs="Arial"/>
                <w:b/>
                <w:bCs/>
                <w:sz w:val="16"/>
                <w:szCs w:val="16"/>
              </w:rPr>
              <w:t>)</w:t>
            </w:r>
          </w:p>
        </w:tc>
        <w:tc>
          <w:tcPr>
            <w:tcW w:w="1350" w:type="dxa"/>
            <w:shd w:val="pct20" w:color="auto" w:fill="auto"/>
            <w:vAlign w:val="bottom"/>
          </w:tcPr>
          <w:p w:rsidR="004016E4" w:rsidRPr="002D3900" w:rsidRDefault="004016E4" w:rsidP="004E5B92">
            <w:pPr>
              <w:jc w:val="center"/>
              <w:rPr>
                <w:rFonts w:ascii="Arial" w:eastAsia="Times New Roman" w:hAnsi="Arial" w:cs="Arial"/>
                <w:b/>
                <w:bCs/>
                <w:sz w:val="16"/>
                <w:szCs w:val="16"/>
              </w:rPr>
            </w:pPr>
            <w:r w:rsidRPr="002D3900">
              <w:rPr>
                <w:rFonts w:ascii="Arial" w:eastAsia="Times New Roman" w:hAnsi="Arial" w:cs="Arial"/>
                <w:b/>
                <w:bCs/>
                <w:sz w:val="16"/>
                <w:szCs w:val="16"/>
              </w:rPr>
              <w:t>δ¹</w:t>
            </w:r>
            <w:r w:rsidRPr="002D3900">
              <w:rPr>
                <w:rFonts w:ascii="Calibri" w:eastAsia="Times New Roman" w:hAnsi="Calibri" w:cs="Arial"/>
                <w:b/>
                <w:bCs/>
                <w:sz w:val="16"/>
                <w:szCs w:val="16"/>
              </w:rPr>
              <w:t>⁸</w:t>
            </w:r>
            <w:r w:rsidRPr="002D3900">
              <w:rPr>
                <w:rFonts w:ascii="Arial" w:eastAsia="Times New Roman" w:hAnsi="Arial" w:cs="Arial"/>
                <w:b/>
                <w:bCs/>
                <w:sz w:val="16"/>
                <w:szCs w:val="16"/>
              </w:rPr>
              <w:t>OVSMOW (</w:t>
            </w:r>
            <w:r w:rsidRPr="002D3900">
              <w:rPr>
                <w:rFonts w:ascii="Calibri" w:eastAsia="Times New Roman" w:hAnsi="Calibri" w:cs="Arial"/>
                <w:b/>
                <w:bCs/>
                <w:sz w:val="16"/>
                <w:szCs w:val="16"/>
              </w:rPr>
              <w:t>⁰</w:t>
            </w:r>
            <w:r w:rsidRPr="002D3900">
              <w:rPr>
                <w:rFonts w:ascii="Arial" w:eastAsia="Times New Roman" w:hAnsi="Arial" w:cs="Arial"/>
                <w:b/>
                <w:bCs/>
                <w:sz w:val="16"/>
                <w:szCs w:val="16"/>
              </w:rPr>
              <w:t>⁄</w:t>
            </w:r>
            <w:r w:rsidRPr="002D3900">
              <w:rPr>
                <w:rFonts w:ascii="Calibri" w:eastAsia="Times New Roman" w:hAnsi="Calibri" w:cs="Arial"/>
                <w:b/>
                <w:bCs/>
                <w:sz w:val="16"/>
                <w:szCs w:val="16"/>
              </w:rPr>
              <w:t>₀₀</w:t>
            </w:r>
            <w:r w:rsidRPr="002D3900">
              <w:rPr>
                <w:rFonts w:ascii="Arial" w:eastAsia="Times New Roman" w:hAnsi="Arial" w:cs="Arial"/>
                <w:b/>
                <w:bCs/>
                <w:sz w:val="16"/>
                <w:szCs w:val="16"/>
              </w:rPr>
              <w:t>)</w:t>
            </w:r>
          </w:p>
        </w:tc>
      </w:tr>
      <w:tr w:rsidR="004016E4" w:rsidRPr="002D3900" w:rsidTr="00DB7914">
        <w:trPr>
          <w:trHeight w:val="242"/>
        </w:trPr>
        <w:tc>
          <w:tcPr>
            <w:tcW w:w="1728" w:type="dxa"/>
            <w:vAlign w:val="bottom"/>
          </w:tcPr>
          <w:p w:rsidR="004016E4" w:rsidRPr="00DB7914" w:rsidRDefault="004016E4" w:rsidP="004E5B92">
            <w:pPr>
              <w:rPr>
                <w:rFonts w:ascii="Arial" w:eastAsia="Times New Roman" w:hAnsi="Arial" w:cs="Arial"/>
                <w:b/>
                <w:color w:val="000000"/>
                <w:sz w:val="16"/>
                <w:szCs w:val="16"/>
              </w:rPr>
            </w:pPr>
            <w:r w:rsidRPr="00DB7914">
              <w:rPr>
                <w:rFonts w:ascii="Arial" w:eastAsia="Times New Roman" w:hAnsi="Arial" w:cs="Arial"/>
                <w:b/>
                <w:color w:val="000000"/>
                <w:sz w:val="16"/>
                <w:szCs w:val="16"/>
              </w:rPr>
              <w:t>SPRING</w:t>
            </w:r>
          </w:p>
        </w:tc>
        <w:tc>
          <w:tcPr>
            <w:tcW w:w="1339" w:type="dxa"/>
          </w:tcPr>
          <w:p w:rsidR="004016E4" w:rsidRPr="002D3900" w:rsidRDefault="004016E4" w:rsidP="004E5B92">
            <w:pPr>
              <w:jc w:val="center"/>
              <w:rPr>
                <w:rFonts w:ascii="Arial" w:eastAsia="Times New Roman" w:hAnsi="Arial" w:cs="Arial"/>
                <w:color w:val="000000"/>
                <w:sz w:val="16"/>
                <w:szCs w:val="16"/>
              </w:rPr>
            </w:pPr>
          </w:p>
        </w:tc>
        <w:tc>
          <w:tcPr>
            <w:tcW w:w="928" w:type="dxa"/>
            <w:vAlign w:val="bottom"/>
          </w:tcPr>
          <w:p w:rsidR="004016E4" w:rsidRPr="002D3900" w:rsidRDefault="004016E4" w:rsidP="004E5B92">
            <w:pPr>
              <w:jc w:val="center"/>
              <w:rPr>
                <w:rFonts w:ascii="Arial" w:eastAsia="Times New Roman" w:hAnsi="Arial" w:cs="Arial"/>
                <w:color w:val="000000"/>
                <w:sz w:val="16"/>
                <w:szCs w:val="16"/>
              </w:rPr>
            </w:pPr>
          </w:p>
        </w:tc>
        <w:tc>
          <w:tcPr>
            <w:tcW w:w="990" w:type="dxa"/>
            <w:vAlign w:val="bottom"/>
          </w:tcPr>
          <w:p w:rsidR="004016E4" w:rsidRPr="002D3900" w:rsidRDefault="004016E4" w:rsidP="004E5B92">
            <w:pPr>
              <w:jc w:val="center"/>
              <w:rPr>
                <w:rFonts w:ascii="Arial" w:eastAsia="Times New Roman" w:hAnsi="Arial" w:cs="Arial"/>
                <w:color w:val="000000"/>
                <w:sz w:val="16"/>
                <w:szCs w:val="16"/>
              </w:rPr>
            </w:pPr>
          </w:p>
        </w:tc>
        <w:tc>
          <w:tcPr>
            <w:tcW w:w="1080" w:type="dxa"/>
            <w:vAlign w:val="bottom"/>
          </w:tcPr>
          <w:p w:rsidR="004016E4" w:rsidRPr="002D3900" w:rsidRDefault="004016E4" w:rsidP="004E5B92">
            <w:pPr>
              <w:jc w:val="center"/>
              <w:rPr>
                <w:rFonts w:ascii="Arial" w:eastAsia="Times New Roman" w:hAnsi="Arial" w:cs="Arial"/>
                <w:color w:val="000000"/>
                <w:sz w:val="16"/>
                <w:szCs w:val="16"/>
              </w:rPr>
            </w:pPr>
          </w:p>
        </w:tc>
        <w:tc>
          <w:tcPr>
            <w:tcW w:w="1080" w:type="dxa"/>
            <w:vAlign w:val="bottom"/>
          </w:tcPr>
          <w:p w:rsidR="004016E4" w:rsidRPr="002D3900" w:rsidRDefault="004016E4" w:rsidP="004E5B92">
            <w:pPr>
              <w:jc w:val="center"/>
              <w:rPr>
                <w:rFonts w:ascii="Arial" w:eastAsia="Times New Roman" w:hAnsi="Arial" w:cs="Arial"/>
                <w:color w:val="000000"/>
                <w:sz w:val="16"/>
                <w:szCs w:val="16"/>
              </w:rPr>
            </w:pPr>
          </w:p>
        </w:tc>
        <w:tc>
          <w:tcPr>
            <w:tcW w:w="1350" w:type="dxa"/>
            <w:vAlign w:val="bottom"/>
          </w:tcPr>
          <w:p w:rsidR="004016E4" w:rsidRPr="002D3900" w:rsidRDefault="004016E4" w:rsidP="004E5B92">
            <w:pPr>
              <w:jc w:val="center"/>
              <w:rPr>
                <w:rFonts w:ascii="Arial" w:eastAsia="Times New Roman" w:hAnsi="Arial" w:cs="Arial"/>
                <w:color w:val="000000"/>
                <w:sz w:val="16"/>
                <w:szCs w:val="16"/>
              </w:rPr>
            </w:pPr>
          </w:p>
        </w:tc>
        <w:tc>
          <w:tcPr>
            <w:tcW w:w="1080" w:type="dxa"/>
            <w:vAlign w:val="bottom"/>
          </w:tcPr>
          <w:p w:rsidR="004016E4" w:rsidRPr="002D3900" w:rsidRDefault="004016E4" w:rsidP="004E5B92">
            <w:pPr>
              <w:jc w:val="center"/>
              <w:rPr>
                <w:rFonts w:ascii="Arial" w:eastAsia="Times New Roman" w:hAnsi="Arial" w:cs="Arial"/>
                <w:color w:val="000000"/>
                <w:sz w:val="16"/>
                <w:szCs w:val="16"/>
              </w:rPr>
            </w:pPr>
          </w:p>
        </w:tc>
        <w:tc>
          <w:tcPr>
            <w:tcW w:w="1260" w:type="dxa"/>
            <w:vAlign w:val="bottom"/>
          </w:tcPr>
          <w:p w:rsidR="004016E4" w:rsidRPr="002D3900" w:rsidRDefault="004016E4" w:rsidP="004E5B92">
            <w:pPr>
              <w:jc w:val="center"/>
              <w:rPr>
                <w:rFonts w:ascii="Arial" w:eastAsia="Times New Roman" w:hAnsi="Arial" w:cs="Arial"/>
                <w:color w:val="000000"/>
                <w:sz w:val="16"/>
                <w:szCs w:val="16"/>
              </w:rPr>
            </w:pPr>
          </w:p>
        </w:tc>
        <w:tc>
          <w:tcPr>
            <w:tcW w:w="900" w:type="dxa"/>
            <w:vAlign w:val="bottom"/>
          </w:tcPr>
          <w:p w:rsidR="004016E4" w:rsidRPr="002D3900" w:rsidRDefault="004016E4" w:rsidP="004E5B92">
            <w:pPr>
              <w:jc w:val="right"/>
              <w:rPr>
                <w:rFonts w:ascii="Arial" w:eastAsia="Times New Roman" w:hAnsi="Arial" w:cs="Arial"/>
                <w:color w:val="000000"/>
                <w:sz w:val="16"/>
                <w:szCs w:val="16"/>
              </w:rPr>
            </w:pPr>
          </w:p>
        </w:tc>
        <w:tc>
          <w:tcPr>
            <w:tcW w:w="1350" w:type="dxa"/>
            <w:vAlign w:val="bottom"/>
          </w:tcPr>
          <w:p w:rsidR="004016E4" w:rsidRPr="002D3900" w:rsidRDefault="004016E4" w:rsidP="004E5B92">
            <w:pPr>
              <w:jc w:val="right"/>
              <w:rPr>
                <w:rFonts w:ascii="Arial" w:eastAsia="Times New Roman" w:hAnsi="Arial" w:cs="Arial"/>
                <w:color w:val="000000"/>
                <w:sz w:val="16"/>
                <w:szCs w:val="16"/>
              </w:rPr>
            </w:pPr>
          </w:p>
        </w:tc>
      </w:tr>
      <w:tr w:rsidR="00F42569" w:rsidRPr="002D3900" w:rsidTr="00F42569">
        <w:tc>
          <w:tcPr>
            <w:tcW w:w="1728" w:type="dxa"/>
            <w:vAlign w:val="bottom"/>
          </w:tcPr>
          <w:p w:rsidR="00F42569" w:rsidRPr="002D3900" w:rsidRDefault="00F42569" w:rsidP="00F42569">
            <w:pPr>
              <w:rPr>
                <w:rFonts w:ascii="Arial" w:eastAsia="Times New Roman" w:hAnsi="Arial" w:cs="Arial"/>
                <w:color w:val="000000"/>
                <w:sz w:val="16"/>
                <w:szCs w:val="16"/>
              </w:rPr>
            </w:pPr>
            <w:r w:rsidRPr="002D3900">
              <w:rPr>
                <w:rFonts w:ascii="Arial" w:eastAsia="Times New Roman" w:hAnsi="Arial" w:cs="Arial"/>
                <w:color w:val="000000"/>
                <w:sz w:val="16"/>
                <w:szCs w:val="16"/>
              </w:rPr>
              <w:t>Dogwood Spring</w:t>
            </w:r>
          </w:p>
        </w:tc>
        <w:tc>
          <w:tcPr>
            <w:tcW w:w="1339" w:type="dxa"/>
          </w:tcPr>
          <w:p w:rsidR="00D1733A" w:rsidRDefault="00F42569">
            <w:pPr>
              <w:rPr>
                <w:rFonts w:ascii="Arial" w:eastAsia="Times New Roman" w:hAnsi="Arial" w:cs="Arial"/>
                <w:color w:val="000000"/>
                <w:sz w:val="16"/>
                <w:szCs w:val="16"/>
              </w:rPr>
            </w:pPr>
            <w:r>
              <w:rPr>
                <w:rFonts w:ascii="Arial" w:eastAsia="Times New Roman" w:hAnsi="Arial" w:cs="Arial"/>
                <w:color w:val="000000"/>
                <w:sz w:val="16"/>
                <w:szCs w:val="16"/>
              </w:rPr>
              <w:t>Ginnie-</w:t>
            </w:r>
            <w:r w:rsidR="00502B9E">
              <w:rPr>
                <w:rFonts w:ascii="Arial" w:eastAsia="Times New Roman" w:hAnsi="Arial" w:cs="Arial"/>
                <w:color w:val="000000"/>
                <w:sz w:val="16"/>
                <w:szCs w:val="16"/>
              </w:rPr>
              <w:t>Gilchrist-Blue</w:t>
            </w:r>
          </w:p>
        </w:tc>
        <w:tc>
          <w:tcPr>
            <w:tcW w:w="928"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2/22/2011</w:t>
            </w:r>
          </w:p>
        </w:tc>
        <w:tc>
          <w:tcPr>
            <w:tcW w:w="99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1.0</w:t>
            </w:r>
          </w:p>
        </w:tc>
        <w:tc>
          <w:tcPr>
            <w:tcW w:w="108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0.01U</w:t>
            </w:r>
          </w:p>
        </w:tc>
        <w:tc>
          <w:tcPr>
            <w:tcW w:w="108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12.0</w:t>
            </w:r>
          </w:p>
        </w:tc>
        <w:tc>
          <w:tcPr>
            <w:tcW w:w="135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5.8</w:t>
            </w:r>
          </w:p>
        </w:tc>
        <w:tc>
          <w:tcPr>
            <w:tcW w:w="108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15U</w:t>
            </w:r>
          </w:p>
        </w:tc>
        <w:tc>
          <w:tcPr>
            <w:tcW w:w="126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0.57I</w:t>
            </w:r>
          </w:p>
        </w:tc>
        <w:tc>
          <w:tcPr>
            <w:tcW w:w="90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5.22</w:t>
            </w:r>
          </w:p>
        </w:tc>
        <w:tc>
          <w:tcPr>
            <w:tcW w:w="135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6.68</w:t>
            </w:r>
          </w:p>
        </w:tc>
      </w:tr>
      <w:tr w:rsidR="00F42569" w:rsidRPr="002D3900" w:rsidTr="00401B35">
        <w:trPr>
          <w:trHeight w:val="395"/>
        </w:trPr>
        <w:tc>
          <w:tcPr>
            <w:tcW w:w="1728" w:type="dxa"/>
            <w:vAlign w:val="bottom"/>
          </w:tcPr>
          <w:p w:rsidR="00F42569" w:rsidRPr="002D3900" w:rsidRDefault="00502B9E" w:rsidP="00F42569">
            <w:pPr>
              <w:rPr>
                <w:rFonts w:ascii="Arial" w:eastAsia="Times New Roman" w:hAnsi="Arial" w:cs="Arial"/>
                <w:color w:val="000000"/>
                <w:sz w:val="16"/>
                <w:szCs w:val="16"/>
              </w:rPr>
            </w:pPr>
            <w:r>
              <w:rPr>
                <w:rFonts w:ascii="Arial" w:eastAsia="Times New Roman" w:hAnsi="Arial" w:cs="Arial"/>
                <w:color w:val="000000"/>
                <w:sz w:val="16"/>
                <w:szCs w:val="16"/>
              </w:rPr>
              <w:t>Gilchrist-Blue</w:t>
            </w:r>
            <w:r w:rsidR="00F42569" w:rsidRPr="002D3900">
              <w:rPr>
                <w:rFonts w:ascii="Arial" w:eastAsia="Times New Roman" w:hAnsi="Arial" w:cs="Arial"/>
                <w:color w:val="000000"/>
                <w:sz w:val="16"/>
                <w:szCs w:val="16"/>
              </w:rPr>
              <w:t>Spring</w:t>
            </w:r>
          </w:p>
        </w:tc>
        <w:tc>
          <w:tcPr>
            <w:tcW w:w="1339" w:type="dxa"/>
          </w:tcPr>
          <w:p w:rsidR="00F42569" w:rsidRPr="004428C6" w:rsidRDefault="00F42569" w:rsidP="00F42569">
            <w:pPr>
              <w:rPr>
                <w:rFonts w:ascii="Arial" w:eastAsia="Times New Roman" w:hAnsi="Arial" w:cs="Arial"/>
                <w:color w:val="000000"/>
                <w:sz w:val="16"/>
                <w:szCs w:val="16"/>
              </w:rPr>
            </w:pPr>
            <w:r w:rsidRPr="004428C6">
              <w:rPr>
                <w:rFonts w:ascii="Arial" w:eastAsia="Times New Roman" w:hAnsi="Arial" w:cs="Arial"/>
                <w:color w:val="000000"/>
                <w:sz w:val="16"/>
                <w:szCs w:val="16"/>
              </w:rPr>
              <w:t>Ginnie</w:t>
            </w:r>
            <w:r>
              <w:rPr>
                <w:rFonts w:ascii="Arial" w:eastAsia="Times New Roman" w:hAnsi="Arial" w:cs="Arial"/>
                <w:color w:val="000000"/>
                <w:sz w:val="16"/>
                <w:szCs w:val="16"/>
              </w:rPr>
              <w:t>-</w:t>
            </w:r>
            <w:r w:rsidR="00502B9E">
              <w:rPr>
                <w:rFonts w:ascii="Arial" w:eastAsia="Times New Roman" w:hAnsi="Arial" w:cs="Arial"/>
                <w:color w:val="000000"/>
                <w:sz w:val="16"/>
                <w:szCs w:val="16"/>
              </w:rPr>
              <w:t>Gilchrist-Blue</w:t>
            </w:r>
          </w:p>
        </w:tc>
        <w:tc>
          <w:tcPr>
            <w:tcW w:w="928"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2/22/2011</w:t>
            </w:r>
          </w:p>
        </w:tc>
        <w:tc>
          <w:tcPr>
            <w:tcW w:w="99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2.1</w:t>
            </w:r>
          </w:p>
        </w:tc>
        <w:tc>
          <w:tcPr>
            <w:tcW w:w="108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0.012</w:t>
            </w:r>
          </w:p>
        </w:tc>
        <w:tc>
          <w:tcPr>
            <w:tcW w:w="108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14.0</w:t>
            </w:r>
          </w:p>
        </w:tc>
        <w:tc>
          <w:tcPr>
            <w:tcW w:w="135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6.5</w:t>
            </w:r>
          </w:p>
        </w:tc>
        <w:tc>
          <w:tcPr>
            <w:tcW w:w="108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16I</w:t>
            </w:r>
          </w:p>
        </w:tc>
        <w:tc>
          <w:tcPr>
            <w:tcW w:w="126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0.74I</w:t>
            </w:r>
          </w:p>
        </w:tc>
        <w:tc>
          <w:tcPr>
            <w:tcW w:w="90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4.07</w:t>
            </w:r>
          </w:p>
        </w:tc>
        <w:tc>
          <w:tcPr>
            <w:tcW w:w="135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4.92</w:t>
            </w:r>
          </w:p>
        </w:tc>
      </w:tr>
      <w:tr w:rsidR="00F42569" w:rsidRPr="002D3900" w:rsidTr="00F42569">
        <w:tc>
          <w:tcPr>
            <w:tcW w:w="1728" w:type="dxa"/>
            <w:vAlign w:val="bottom"/>
          </w:tcPr>
          <w:p w:rsidR="00F42569" w:rsidRPr="002D3900" w:rsidRDefault="00F42569" w:rsidP="00F42569">
            <w:pPr>
              <w:rPr>
                <w:rFonts w:ascii="Arial" w:eastAsia="Times New Roman" w:hAnsi="Arial" w:cs="Arial"/>
                <w:color w:val="000000"/>
                <w:sz w:val="16"/>
                <w:szCs w:val="16"/>
              </w:rPr>
            </w:pPr>
            <w:r w:rsidRPr="002D3900">
              <w:rPr>
                <w:rFonts w:ascii="Arial" w:eastAsia="Times New Roman" w:hAnsi="Arial" w:cs="Arial"/>
                <w:color w:val="000000"/>
                <w:sz w:val="16"/>
                <w:szCs w:val="16"/>
              </w:rPr>
              <w:t>Ginnie Spring</w:t>
            </w:r>
          </w:p>
        </w:tc>
        <w:tc>
          <w:tcPr>
            <w:tcW w:w="1339" w:type="dxa"/>
          </w:tcPr>
          <w:p w:rsidR="00F42569" w:rsidRPr="004428C6" w:rsidRDefault="00F42569" w:rsidP="00F42569">
            <w:pPr>
              <w:rPr>
                <w:rFonts w:ascii="Arial" w:eastAsia="Times New Roman" w:hAnsi="Arial" w:cs="Arial"/>
                <w:color w:val="000000"/>
                <w:sz w:val="16"/>
                <w:szCs w:val="16"/>
              </w:rPr>
            </w:pPr>
            <w:r w:rsidRPr="004428C6">
              <w:rPr>
                <w:rFonts w:ascii="Arial" w:eastAsia="Times New Roman" w:hAnsi="Arial" w:cs="Arial"/>
                <w:color w:val="000000"/>
                <w:sz w:val="16"/>
                <w:szCs w:val="16"/>
              </w:rPr>
              <w:t>Ginnie</w:t>
            </w:r>
            <w:r>
              <w:rPr>
                <w:rFonts w:ascii="Arial" w:eastAsia="Times New Roman" w:hAnsi="Arial" w:cs="Arial"/>
                <w:color w:val="000000"/>
                <w:sz w:val="16"/>
                <w:szCs w:val="16"/>
              </w:rPr>
              <w:t>-</w:t>
            </w:r>
            <w:r w:rsidR="00502B9E">
              <w:rPr>
                <w:rFonts w:ascii="Arial" w:eastAsia="Times New Roman" w:hAnsi="Arial" w:cs="Arial"/>
                <w:color w:val="000000"/>
                <w:sz w:val="16"/>
                <w:szCs w:val="16"/>
              </w:rPr>
              <w:t>Gilchrist-Blue</w:t>
            </w:r>
          </w:p>
        </w:tc>
        <w:tc>
          <w:tcPr>
            <w:tcW w:w="928"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2/22/2011</w:t>
            </w:r>
          </w:p>
        </w:tc>
        <w:tc>
          <w:tcPr>
            <w:tcW w:w="99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1.5</w:t>
            </w:r>
          </w:p>
        </w:tc>
        <w:tc>
          <w:tcPr>
            <w:tcW w:w="108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0.01U</w:t>
            </w:r>
          </w:p>
        </w:tc>
        <w:tc>
          <w:tcPr>
            <w:tcW w:w="108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11.0</w:t>
            </w:r>
          </w:p>
        </w:tc>
        <w:tc>
          <w:tcPr>
            <w:tcW w:w="135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6.2</w:t>
            </w:r>
          </w:p>
        </w:tc>
        <w:tc>
          <w:tcPr>
            <w:tcW w:w="108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15U</w:t>
            </w:r>
          </w:p>
        </w:tc>
        <w:tc>
          <w:tcPr>
            <w:tcW w:w="126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0.68I</w:t>
            </w:r>
          </w:p>
        </w:tc>
        <w:tc>
          <w:tcPr>
            <w:tcW w:w="90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4.57</w:t>
            </w:r>
          </w:p>
        </w:tc>
        <w:tc>
          <w:tcPr>
            <w:tcW w:w="135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5.70</w:t>
            </w:r>
          </w:p>
        </w:tc>
      </w:tr>
      <w:tr w:rsidR="00F42569" w:rsidRPr="002D3900" w:rsidTr="00F42569">
        <w:tc>
          <w:tcPr>
            <w:tcW w:w="1728" w:type="dxa"/>
            <w:vAlign w:val="bottom"/>
          </w:tcPr>
          <w:p w:rsidR="00F42569" w:rsidRPr="002D3900" w:rsidRDefault="00F42569" w:rsidP="00F42569">
            <w:pPr>
              <w:rPr>
                <w:rFonts w:ascii="Arial" w:eastAsia="Times New Roman" w:hAnsi="Arial" w:cs="Arial"/>
                <w:color w:val="000000"/>
                <w:sz w:val="16"/>
                <w:szCs w:val="16"/>
              </w:rPr>
            </w:pPr>
            <w:r w:rsidRPr="002D3900">
              <w:rPr>
                <w:rFonts w:ascii="Arial" w:eastAsia="Times New Roman" w:hAnsi="Arial" w:cs="Arial"/>
                <w:color w:val="000000"/>
                <w:sz w:val="16"/>
                <w:szCs w:val="16"/>
              </w:rPr>
              <w:t>Hornsby Spring</w:t>
            </w:r>
          </w:p>
        </w:tc>
        <w:tc>
          <w:tcPr>
            <w:tcW w:w="1339" w:type="dxa"/>
          </w:tcPr>
          <w:p w:rsidR="00F42569" w:rsidRPr="002D3900" w:rsidRDefault="00F42569" w:rsidP="00F42569">
            <w:pPr>
              <w:jc w:val="center"/>
              <w:rPr>
                <w:rFonts w:ascii="Arial" w:eastAsia="Times New Roman" w:hAnsi="Arial" w:cs="Arial"/>
                <w:color w:val="000000"/>
                <w:sz w:val="16"/>
                <w:szCs w:val="16"/>
              </w:rPr>
            </w:pPr>
            <w:r>
              <w:rPr>
                <w:rFonts w:ascii="Arial" w:eastAsia="Times New Roman" w:hAnsi="Arial" w:cs="Arial"/>
                <w:color w:val="000000"/>
                <w:sz w:val="16"/>
                <w:szCs w:val="16"/>
              </w:rPr>
              <w:t>Hornsby</w:t>
            </w:r>
          </w:p>
        </w:tc>
        <w:tc>
          <w:tcPr>
            <w:tcW w:w="928"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2/28/2011</w:t>
            </w:r>
          </w:p>
        </w:tc>
        <w:tc>
          <w:tcPr>
            <w:tcW w:w="99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0.22</w:t>
            </w:r>
          </w:p>
        </w:tc>
        <w:tc>
          <w:tcPr>
            <w:tcW w:w="108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0.01U</w:t>
            </w:r>
          </w:p>
        </w:tc>
        <w:tc>
          <w:tcPr>
            <w:tcW w:w="108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95.0</w:t>
            </w:r>
          </w:p>
        </w:tc>
        <w:tc>
          <w:tcPr>
            <w:tcW w:w="135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14.0</w:t>
            </w:r>
          </w:p>
        </w:tc>
        <w:tc>
          <w:tcPr>
            <w:tcW w:w="108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26I</w:t>
            </w:r>
          </w:p>
        </w:tc>
        <w:tc>
          <w:tcPr>
            <w:tcW w:w="126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1.40</w:t>
            </w:r>
          </w:p>
        </w:tc>
        <w:tc>
          <w:tcPr>
            <w:tcW w:w="90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15.91</w:t>
            </w:r>
          </w:p>
        </w:tc>
        <w:tc>
          <w:tcPr>
            <w:tcW w:w="135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14.12</w:t>
            </w:r>
          </w:p>
        </w:tc>
      </w:tr>
      <w:tr w:rsidR="004016E4" w:rsidRPr="002D3900" w:rsidTr="00F42569">
        <w:tc>
          <w:tcPr>
            <w:tcW w:w="1728" w:type="dxa"/>
            <w:vAlign w:val="bottom"/>
          </w:tcPr>
          <w:p w:rsidR="004016E4" w:rsidRPr="002D3900" w:rsidRDefault="004016E4" w:rsidP="004E5B92">
            <w:pPr>
              <w:rPr>
                <w:rFonts w:ascii="Arial" w:eastAsia="Times New Roman" w:hAnsi="Arial" w:cs="Arial"/>
                <w:color w:val="000000"/>
                <w:sz w:val="16"/>
                <w:szCs w:val="16"/>
              </w:rPr>
            </w:pPr>
            <w:r w:rsidRPr="002D3900">
              <w:rPr>
                <w:rFonts w:ascii="Arial" w:eastAsia="Times New Roman" w:hAnsi="Arial" w:cs="Arial"/>
                <w:color w:val="000000"/>
                <w:sz w:val="16"/>
                <w:szCs w:val="16"/>
              </w:rPr>
              <w:t>Devil's Ear Spring</w:t>
            </w:r>
          </w:p>
        </w:tc>
        <w:tc>
          <w:tcPr>
            <w:tcW w:w="1339" w:type="dxa"/>
          </w:tcPr>
          <w:p w:rsidR="004016E4" w:rsidRPr="002D3900" w:rsidRDefault="00F42569" w:rsidP="004E5B92">
            <w:pPr>
              <w:jc w:val="center"/>
              <w:rPr>
                <w:rFonts w:ascii="Arial" w:eastAsia="Times New Roman" w:hAnsi="Arial" w:cs="Arial"/>
                <w:color w:val="000000"/>
                <w:sz w:val="16"/>
                <w:szCs w:val="16"/>
              </w:rPr>
            </w:pPr>
            <w:r>
              <w:rPr>
                <w:rFonts w:ascii="Arial" w:eastAsia="Times New Roman" w:hAnsi="Arial" w:cs="Arial"/>
                <w:color w:val="000000"/>
                <w:sz w:val="16"/>
                <w:szCs w:val="16"/>
              </w:rPr>
              <w:t>July</w:t>
            </w:r>
          </w:p>
        </w:tc>
        <w:tc>
          <w:tcPr>
            <w:tcW w:w="928"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2/22/2011</w:t>
            </w:r>
          </w:p>
        </w:tc>
        <w:tc>
          <w:tcPr>
            <w:tcW w:w="99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1.6</w:t>
            </w:r>
          </w:p>
        </w:tc>
        <w:tc>
          <w:tcPr>
            <w:tcW w:w="108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0.01U</w:t>
            </w:r>
          </w:p>
        </w:tc>
        <w:tc>
          <w:tcPr>
            <w:tcW w:w="108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18.0</w:t>
            </w:r>
          </w:p>
        </w:tc>
        <w:tc>
          <w:tcPr>
            <w:tcW w:w="135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9.5</w:t>
            </w:r>
          </w:p>
        </w:tc>
        <w:tc>
          <w:tcPr>
            <w:tcW w:w="108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17I</w:t>
            </w:r>
          </w:p>
        </w:tc>
        <w:tc>
          <w:tcPr>
            <w:tcW w:w="126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0.85I</w:t>
            </w:r>
          </w:p>
        </w:tc>
        <w:tc>
          <w:tcPr>
            <w:tcW w:w="900" w:type="dxa"/>
            <w:vAlign w:val="bottom"/>
          </w:tcPr>
          <w:p w:rsidR="004016E4" w:rsidRPr="002D3900" w:rsidRDefault="004016E4" w:rsidP="00C533BC">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4.45</w:t>
            </w:r>
          </w:p>
        </w:tc>
        <w:tc>
          <w:tcPr>
            <w:tcW w:w="1350" w:type="dxa"/>
            <w:vAlign w:val="bottom"/>
          </w:tcPr>
          <w:p w:rsidR="004016E4" w:rsidRPr="002D3900" w:rsidRDefault="004016E4" w:rsidP="00C533BC">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6.75</w:t>
            </w:r>
          </w:p>
        </w:tc>
      </w:tr>
      <w:tr w:rsidR="00F42569" w:rsidRPr="002D3900" w:rsidTr="00F42569">
        <w:tc>
          <w:tcPr>
            <w:tcW w:w="1728" w:type="dxa"/>
            <w:vAlign w:val="bottom"/>
          </w:tcPr>
          <w:p w:rsidR="00F42569" w:rsidRPr="002D3900" w:rsidRDefault="00F42569" w:rsidP="00F42569">
            <w:pPr>
              <w:rPr>
                <w:rFonts w:ascii="Arial" w:eastAsia="Times New Roman" w:hAnsi="Arial" w:cs="Arial"/>
                <w:color w:val="000000"/>
                <w:sz w:val="16"/>
                <w:szCs w:val="16"/>
              </w:rPr>
            </w:pPr>
            <w:r w:rsidRPr="002D3900">
              <w:rPr>
                <w:rFonts w:ascii="Arial" w:eastAsia="Times New Roman" w:hAnsi="Arial" w:cs="Arial"/>
                <w:color w:val="000000"/>
                <w:sz w:val="16"/>
                <w:szCs w:val="16"/>
              </w:rPr>
              <w:t>Poe Spring</w:t>
            </w:r>
          </w:p>
        </w:tc>
        <w:tc>
          <w:tcPr>
            <w:tcW w:w="1339" w:type="dxa"/>
          </w:tcPr>
          <w:p w:rsidR="00F42569" w:rsidRPr="002D3900" w:rsidRDefault="00F42569" w:rsidP="00F42569">
            <w:pPr>
              <w:jc w:val="center"/>
              <w:rPr>
                <w:rFonts w:ascii="Arial" w:eastAsia="Times New Roman" w:hAnsi="Arial" w:cs="Arial"/>
                <w:color w:val="000000"/>
                <w:sz w:val="16"/>
                <w:szCs w:val="16"/>
              </w:rPr>
            </w:pPr>
            <w:r>
              <w:rPr>
                <w:rFonts w:ascii="Arial" w:eastAsia="Times New Roman" w:hAnsi="Arial" w:cs="Arial"/>
                <w:color w:val="000000"/>
                <w:sz w:val="16"/>
                <w:szCs w:val="16"/>
              </w:rPr>
              <w:t>Poe-Lily</w:t>
            </w:r>
          </w:p>
        </w:tc>
        <w:tc>
          <w:tcPr>
            <w:tcW w:w="928"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2/23/2011</w:t>
            </w:r>
          </w:p>
        </w:tc>
        <w:tc>
          <w:tcPr>
            <w:tcW w:w="99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0.11</w:t>
            </w:r>
          </w:p>
        </w:tc>
        <w:tc>
          <w:tcPr>
            <w:tcW w:w="108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0.02</w:t>
            </w:r>
          </w:p>
        </w:tc>
        <w:tc>
          <w:tcPr>
            <w:tcW w:w="108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31.0</w:t>
            </w:r>
          </w:p>
        </w:tc>
        <w:tc>
          <w:tcPr>
            <w:tcW w:w="135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16.0</w:t>
            </w:r>
          </w:p>
        </w:tc>
        <w:tc>
          <w:tcPr>
            <w:tcW w:w="108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26I</w:t>
            </w:r>
          </w:p>
        </w:tc>
        <w:tc>
          <w:tcPr>
            <w:tcW w:w="126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1.30</w:t>
            </w:r>
          </w:p>
        </w:tc>
        <w:tc>
          <w:tcPr>
            <w:tcW w:w="90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23.32</w:t>
            </w:r>
          </w:p>
        </w:tc>
        <w:tc>
          <w:tcPr>
            <w:tcW w:w="135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19.04</w:t>
            </w:r>
          </w:p>
        </w:tc>
      </w:tr>
      <w:tr w:rsidR="00F42569" w:rsidRPr="002D3900" w:rsidTr="00F42569">
        <w:tc>
          <w:tcPr>
            <w:tcW w:w="1728" w:type="dxa"/>
            <w:vAlign w:val="bottom"/>
          </w:tcPr>
          <w:p w:rsidR="00F42569" w:rsidRPr="002D3900" w:rsidRDefault="00F42569" w:rsidP="00F42569">
            <w:pPr>
              <w:rPr>
                <w:rFonts w:ascii="Arial" w:eastAsia="Times New Roman" w:hAnsi="Arial" w:cs="Arial"/>
                <w:color w:val="000000"/>
                <w:sz w:val="16"/>
                <w:szCs w:val="16"/>
              </w:rPr>
            </w:pPr>
            <w:r w:rsidRPr="002D3900">
              <w:rPr>
                <w:rFonts w:ascii="Arial" w:eastAsia="Times New Roman" w:hAnsi="Arial" w:cs="Arial"/>
                <w:color w:val="000000"/>
                <w:sz w:val="16"/>
                <w:szCs w:val="16"/>
              </w:rPr>
              <w:t>Rum Island Spring</w:t>
            </w:r>
          </w:p>
        </w:tc>
        <w:tc>
          <w:tcPr>
            <w:tcW w:w="1339" w:type="dxa"/>
          </w:tcPr>
          <w:p w:rsidR="00F42569" w:rsidRPr="002D3900" w:rsidRDefault="00F42569" w:rsidP="00F42569">
            <w:pPr>
              <w:jc w:val="center"/>
              <w:rPr>
                <w:rFonts w:ascii="Arial" w:eastAsia="Times New Roman" w:hAnsi="Arial" w:cs="Arial"/>
                <w:color w:val="000000"/>
                <w:sz w:val="16"/>
                <w:szCs w:val="16"/>
              </w:rPr>
            </w:pPr>
            <w:r>
              <w:rPr>
                <w:rFonts w:ascii="Arial" w:eastAsia="Times New Roman" w:hAnsi="Arial" w:cs="Arial"/>
                <w:color w:val="000000"/>
                <w:sz w:val="16"/>
                <w:szCs w:val="16"/>
              </w:rPr>
              <w:t>Rum Island</w:t>
            </w:r>
          </w:p>
        </w:tc>
        <w:tc>
          <w:tcPr>
            <w:tcW w:w="928"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2/23/2011</w:t>
            </w:r>
          </w:p>
        </w:tc>
        <w:tc>
          <w:tcPr>
            <w:tcW w:w="99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1.2</w:t>
            </w:r>
          </w:p>
        </w:tc>
        <w:tc>
          <w:tcPr>
            <w:tcW w:w="108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0.01U</w:t>
            </w:r>
          </w:p>
        </w:tc>
        <w:tc>
          <w:tcPr>
            <w:tcW w:w="108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15.0</w:t>
            </w:r>
          </w:p>
        </w:tc>
        <w:tc>
          <w:tcPr>
            <w:tcW w:w="135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9.2</w:t>
            </w:r>
          </w:p>
        </w:tc>
        <w:tc>
          <w:tcPr>
            <w:tcW w:w="108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18I</w:t>
            </w:r>
          </w:p>
        </w:tc>
        <w:tc>
          <w:tcPr>
            <w:tcW w:w="126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0.88I</w:t>
            </w:r>
          </w:p>
        </w:tc>
        <w:tc>
          <w:tcPr>
            <w:tcW w:w="90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6.49</w:t>
            </w:r>
          </w:p>
        </w:tc>
        <w:tc>
          <w:tcPr>
            <w:tcW w:w="135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6.80</w:t>
            </w:r>
          </w:p>
        </w:tc>
      </w:tr>
      <w:tr w:rsidR="00F42569" w:rsidRPr="002D3900" w:rsidTr="00F42569">
        <w:tc>
          <w:tcPr>
            <w:tcW w:w="1728" w:type="dxa"/>
            <w:vAlign w:val="bottom"/>
          </w:tcPr>
          <w:p w:rsidR="00F42569" w:rsidRPr="002D3900" w:rsidRDefault="00F42569" w:rsidP="00F42569">
            <w:pPr>
              <w:rPr>
                <w:rFonts w:ascii="Arial" w:eastAsia="Times New Roman" w:hAnsi="Arial" w:cs="Arial"/>
                <w:color w:val="000000"/>
                <w:sz w:val="16"/>
                <w:szCs w:val="16"/>
              </w:rPr>
            </w:pPr>
            <w:r w:rsidRPr="002D3900">
              <w:rPr>
                <w:rFonts w:ascii="Arial" w:eastAsia="Times New Roman" w:hAnsi="Arial" w:cs="Arial"/>
                <w:color w:val="000000"/>
                <w:sz w:val="16"/>
                <w:szCs w:val="16"/>
              </w:rPr>
              <w:t>Deer Spring</w:t>
            </w:r>
          </w:p>
        </w:tc>
        <w:tc>
          <w:tcPr>
            <w:tcW w:w="1339" w:type="dxa"/>
          </w:tcPr>
          <w:p w:rsidR="00F42569" w:rsidRPr="002D3900" w:rsidRDefault="00F42569" w:rsidP="00F42569">
            <w:pPr>
              <w:jc w:val="center"/>
              <w:rPr>
                <w:rFonts w:ascii="Arial" w:eastAsia="Times New Roman" w:hAnsi="Arial" w:cs="Arial"/>
                <w:color w:val="000000"/>
                <w:sz w:val="16"/>
                <w:szCs w:val="16"/>
              </w:rPr>
            </w:pPr>
            <w:r>
              <w:rPr>
                <w:rFonts w:ascii="Arial" w:eastAsia="Times New Roman" w:hAnsi="Arial" w:cs="Arial"/>
                <w:color w:val="000000"/>
                <w:sz w:val="16"/>
                <w:szCs w:val="16"/>
              </w:rPr>
              <w:t>Twin</w:t>
            </w:r>
          </w:p>
        </w:tc>
        <w:tc>
          <w:tcPr>
            <w:tcW w:w="928"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2/24/2011</w:t>
            </w:r>
          </w:p>
        </w:tc>
        <w:tc>
          <w:tcPr>
            <w:tcW w:w="99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0.8</w:t>
            </w:r>
          </w:p>
        </w:tc>
        <w:tc>
          <w:tcPr>
            <w:tcW w:w="108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0.01U</w:t>
            </w:r>
          </w:p>
        </w:tc>
        <w:tc>
          <w:tcPr>
            <w:tcW w:w="108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10.0</w:t>
            </w:r>
          </w:p>
        </w:tc>
        <w:tc>
          <w:tcPr>
            <w:tcW w:w="135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5.1</w:t>
            </w:r>
          </w:p>
        </w:tc>
        <w:tc>
          <w:tcPr>
            <w:tcW w:w="108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15U</w:t>
            </w:r>
          </w:p>
        </w:tc>
        <w:tc>
          <w:tcPr>
            <w:tcW w:w="126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0.63I</w:t>
            </w:r>
          </w:p>
        </w:tc>
        <w:tc>
          <w:tcPr>
            <w:tcW w:w="90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4.45</w:t>
            </w:r>
          </w:p>
        </w:tc>
        <w:tc>
          <w:tcPr>
            <w:tcW w:w="135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6.75</w:t>
            </w:r>
          </w:p>
        </w:tc>
      </w:tr>
      <w:tr w:rsidR="00F42569" w:rsidRPr="002D3900" w:rsidTr="00F42569">
        <w:tc>
          <w:tcPr>
            <w:tcW w:w="1728" w:type="dxa"/>
            <w:vAlign w:val="bottom"/>
          </w:tcPr>
          <w:p w:rsidR="00F42569" w:rsidRPr="002D3900" w:rsidRDefault="00F42569" w:rsidP="00F42569">
            <w:pPr>
              <w:rPr>
                <w:rFonts w:ascii="Arial" w:eastAsia="Times New Roman" w:hAnsi="Arial" w:cs="Arial"/>
                <w:color w:val="000000"/>
                <w:sz w:val="16"/>
                <w:szCs w:val="16"/>
              </w:rPr>
            </w:pPr>
            <w:r w:rsidRPr="002D3900">
              <w:rPr>
                <w:rFonts w:ascii="Arial" w:eastAsia="Times New Roman" w:hAnsi="Arial" w:cs="Arial"/>
                <w:color w:val="000000"/>
                <w:sz w:val="16"/>
                <w:szCs w:val="16"/>
              </w:rPr>
              <w:t>Sawdust Spring</w:t>
            </w:r>
          </w:p>
        </w:tc>
        <w:tc>
          <w:tcPr>
            <w:tcW w:w="1339" w:type="dxa"/>
          </w:tcPr>
          <w:p w:rsidR="00F42569" w:rsidRPr="002D3900" w:rsidRDefault="00F42569" w:rsidP="00F42569">
            <w:pPr>
              <w:jc w:val="center"/>
              <w:rPr>
                <w:rFonts w:ascii="Arial" w:eastAsia="Times New Roman" w:hAnsi="Arial" w:cs="Arial"/>
                <w:color w:val="000000"/>
                <w:sz w:val="16"/>
                <w:szCs w:val="16"/>
              </w:rPr>
            </w:pPr>
            <w:r>
              <w:rPr>
                <w:rFonts w:ascii="Arial" w:eastAsia="Times New Roman" w:hAnsi="Arial" w:cs="Arial"/>
                <w:color w:val="000000"/>
                <w:sz w:val="16"/>
                <w:szCs w:val="16"/>
              </w:rPr>
              <w:t>Twin</w:t>
            </w:r>
          </w:p>
        </w:tc>
        <w:tc>
          <w:tcPr>
            <w:tcW w:w="928"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2/23/2011</w:t>
            </w:r>
          </w:p>
        </w:tc>
        <w:tc>
          <w:tcPr>
            <w:tcW w:w="99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0.85</w:t>
            </w:r>
          </w:p>
        </w:tc>
        <w:tc>
          <w:tcPr>
            <w:tcW w:w="108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0.01U</w:t>
            </w:r>
          </w:p>
        </w:tc>
        <w:tc>
          <w:tcPr>
            <w:tcW w:w="108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14.0</w:t>
            </w:r>
          </w:p>
        </w:tc>
        <w:tc>
          <w:tcPr>
            <w:tcW w:w="135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6.8</w:t>
            </w:r>
          </w:p>
        </w:tc>
        <w:tc>
          <w:tcPr>
            <w:tcW w:w="108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15U</w:t>
            </w:r>
          </w:p>
        </w:tc>
        <w:tc>
          <w:tcPr>
            <w:tcW w:w="126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0.76I</w:t>
            </w:r>
          </w:p>
        </w:tc>
        <w:tc>
          <w:tcPr>
            <w:tcW w:w="90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5.66</w:t>
            </w:r>
          </w:p>
        </w:tc>
        <w:tc>
          <w:tcPr>
            <w:tcW w:w="1350" w:type="dxa"/>
            <w:vAlign w:val="bottom"/>
          </w:tcPr>
          <w:p w:rsidR="00F42569" w:rsidRPr="002D3900" w:rsidRDefault="00F42569" w:rsidP="00F42569">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6.32</w:t>
            </w:r>
          </w:p>
        </w:tc>
      </w:tr>
      <w:tr w:rsidR="004016E4" w:rsidRPr="002D3900" w:rsidTr="00F42569">
        <w:tc>
          <w:tcPr>
            <w:tcW w:w="3995" w:type="dxa"/>
            <w:gridSpan w:val="3"/>
            <w:shd w:val="pct25" w:color="auto" w:fill="auto"/>
          </w:tcPr>
          <w:p w:rsidR="004016E4" w:rsidRPr="002D3900" w:rsidRDefault="004016E4" w:rsidP="00F42569">
            <w:pPr>
              <w:rPr>
                <w:rFonts w:ascii="Arial" w:eastAsia="Times New Roman" w:hAnsi="Arial" w:cs="Arial"/>
                <w:color w:val="000000"/>
                <w:sz w:val="16"/>
                <w:szCs w:val="16"/>
              </w:rPr>
            </w:pPr>
            <w:r w:rsidRPr="002D3900">
              <w:rPr>
                <w:rFonts w:ascii="Arial" w:eastAsia="Times New Roman" w:hAnsi="Arial" w:cs="Arial"/>
                <w:color w:val="000000"/>
                <w:sz w:val="16"/>
                <w:szCs w:val="16"/>
              </w:rPr>
              <w:t>SPRING MEDIAN</w:t>
            </w:r>
          </w:p>
        </w:tc>
        <w:tc>
          <w:tcPr>
            <w:tcW w:w="990" w:type="dxa"/>
            <w:shd w:val="pct25" w:color="auto" w:fill="auto"/>
            <w:vAlign w:val="bottom"/>
          </w:tcPr>
          <w:p w:rsidR="004016E4" w:rsidRDefault="004016E4">
            <w:pPr>
              <w:jc w:val="center"/>
              <w:rPr>
                <w:rFonts w:ascii="Arial" w:hAnsi="Arial" w:cs="Arial"/>
                <w:color w:val="000000"/>
                <w:sz w:val="16"/>
                <w:szCs w:val="16"/>
              </w:rPr>
            </w:pPr>
            <w:r>
              <w:rPr>
                <w:rFonts w:ascii="Arial" w:hAnsi="Arial" w:cs="Arial"/>
                <w:color w:val="000000"/>
                <w:sz w:val="16"/>
                <w:szCs w:val="16"/>
              </w:rPr>
              <w:t>1</w:t>
            </w:r>
          </w:p>
        </w:tc>
        <w:tc>
          <w:tcPr>
            <w:tcW w:w="1080" w:type="dxa"/>
            <w:shd w:val="pct25" w:color="auto" w:fill="auto"/>
            <w:vAlign w:val="bottom"/>
          </w:tcPr>
          <w:p w:rsidR="004016E4" w:rsidRDefault="004016E4" w:rsidP="005F15F5">
            <w:pPr>
              <w:jc w:val="center"/>
              <w:rPr>
                <w:rFonts w:ascii="Arial" w:hAnsi="Arial" w:cs="Arial"/>
                <w:color w:val="000000"/>
                <w:sz w:val="16"/>
                <w:szCs w:val="16"/>
              </w:rPr>
            </w:pPr>
            <w:r>
              <w:rPr>
                <w:rFonts w:ascii="Arial" w:hAnsi="Arial" w:cs="Arial"/>
                <w:color w:val="000000"/>
                <w:sz w:val="16"/>
                <w:szCs w:val="16"/>
              </w:rPr>
              <w:t>BDL</w:t>
            </w:r>
          </w:p>
        </w:tc>
        <w:tc>
          <w:tcPr>
            <w:tcW w:w="1080" w:type="dxa"/>
            <w:shd w:val="pct25" w:color="auto" w:fill="auto"/>
            <w:vAlign w:val="bottom"/>
          </w:tcPr>
          <w:p w:rsidR="004016E4" w:rsidRDefault="004016E4">
            <w:pPr>
              <w:jc w:val="center"/>
              <w:rPr>
                <w:rFonts w:ascii="Arial" w:hAnsi="Arial" w:cs="Arial"/>
                <w:color w:val="000000"/>
                <w:sz w:val="16"/>
                <w:szCs w:val="16"/>
              </w:rPr>
            </w:pPr>
            <w:r>
              <w:rPr>
                <w:rFonts w:ascii="Arial" w:hAnsi="Arial" w:cs="Arial"/>
                <w:color w:val="000000"/>
                <w:sz w:val="16"/>
                <w:szCs w:val="16"/>
              </w:rPr>
              <w:t>14</w:t>
            </w:r>
          </w:p>
        </w:tc>
        <w:tc>
          <w:tcPr>
            <w:tcW w:w="1350" w:type="dxa"/>
            <w:shd w:val="pct25" w:color="auto" w:fill="auto"/>
            <w:vAlign w:val="bottom"/>
          </w:tcPr>
          <w:p w:rsidR="004016E4" w:rsidRDefault="004016E4">
            <w:pPr>
              <w:jc w:val="center"/>
              <w:rPr>
                <w:rFonts w:ascii="Arial" w:hAnsi="Arial" w:cs="Arial"/>
                <w:color w:val="000000"/>
                <w:sz w:val="16"/>
                <w:szCs w:val="16"/>
              </w:rPr>
            </w:pPr>
            <w:r>
              <w:rPr>
                <w:rFonts w:ascii="Arial" w:hAnsi="Arial" w:cs="Arial"/>
                <w:color w:val="000000"/>
                <w:sz w:val="16"/>
                <w:szCs w:val="16"/>
              </w:rPr>
              <w:t>6.8</w:t>
            </w:r>
          </w:p>
        </w:tc>
        <w:tc>
          <w:tcPr>
            <w:tcW w:w="1080" w:type="dxa"/>
            <w:shd w:val="pct25" w:color="auto" w:fill="auto"/>
            <w:vAlign w:val="bottom"/>
          </w:tcPr>
          <w:p w:rsidR="004016E4" w:rsidRDefault="004016E4">
            <w:pPr>
              <w:jc w:val="center"/>
              <w:rPr>
                <w:rFonts w:ascii="Arial" w:hAnsi="Arial" w:cs="Arial"/>
                <w:color w:val="000000"/>
                <w:sz w:val="16"/>
                <w:szCs w:val="16"/>
              </w:rPr>
            </w:pPr>
            <w:r>
              <w:rPr>
                <w:rFonts w:ascii="Arial" w:hAnsi="Arial" w:cs="Arial"/>
                <w:color w:val="000000"/>
                <w:sz w:val="16"/>
                <w:szCs w:val="16"/>
              </w:rPr>
              <w:t>16</w:t>
            </w:r>
          </w:p>
        </w:tc>
        <w:tc>
          <w:tcPr>
            <w:tcW w:w="1260" w:type="dxa"/>
            <w:shd w:val="pct25" w:color="auto" w:fill="auto"/>
            <w:vAlign w:val="bottom"/>
          </w:tcPr>
          <w:p w:rsidR="004016E4" w:rsidRDefault="004016E4">
            <w:pPr>
              <w:jc w:val="center"/>
              <w:rPr>
                <w:rFonts w:ascii="Arial" w:hAnsi="Arial" w:cs="Arial"/>
                <w:color w:val="000000"/>
                <w:sz w:val="16"/>
                <w:szCs w:val="16"/>
              </w:rPr>
            </w:pPr>
            <w:r>
              <w:rPr>
                <w:rFonts w:ascii="Arial" w:hAnsi="Arial" w:cs="Arial"/>
                <w:color w:val="000000"/>
                <w:sz w:val="16"/>
                <w:szCs w:val="16"/>
              </w:rPr>
              <w:t>0.76</w:t>
            </w:r>
          </w:p>
        </w:tc>
        <w:tc>
          <w:tcPr>
            <w:tcW w:w="900" w:type="dxa"/>
            <w:shd w:val="pct25" w:color="auto" w:fill="auto"/>
            <w:vAlign w:val="bottom"/>
          </w:tcPr>
          <w:p w:rsidR="004016E4" w:rsidRDefault="004016E4" w:rsidP="00C533BC">
            <w:pPr>
              <w:jc w:val="center"/>
              <w:rPr>
                <w:rFonts w:ascii="Arial" w:hAnsi="Arial" w:cs="Arial"/>
                <w:color w:val="000000"/>
                <w:sz w:val="16"/>
                <w:szCs w:val="16"/>
              </w:rPr>
            </w:pPr>
            <w:r>
              <w:rPr>
                <w:rFonts w:ascii="Arial" w:hAnsi="Arial" w:cs="Arial"/>
                <w:color w:val="000000"/>
                <w:sz w:val="16"/>
                <w:szCs w:val="16"/>
              </w:rPr>
              <w:t>5.22</w:t>
            </w:r>
          </w:p>
        </w:tc>
        <w:tc>
          <w:tcPr>
            <w:tcW w:w="1350" w:type="dxa"/>
            <w:shd w:val="pct25" w:color="auto" w:fill="auto"/>
            <w:vAlign w:val="bottom"/>
          </w:tcPr>
          <w:p w:rsidR="004016E4" w:rsidRDefault="004016E4" w:rsidP="00C533BC">
            <w:pPr>
              <w:jc w:val="center"/>
              <w:rPr>
                <w:rFonts w:ascii="Arial" w:hAnsi="Arial" w:cs="Arial"/>
                <w:color w:val="000000"/>
                <w:sz w:val="16"/>
                <w:szCs w:val="16"/>
              </w:rPr>
            </w:pPr>
            <w:r>
              <w:rPr>
                <w:rFonts w:ascii="Arial" w:hAnsi="Arial" w:cs="Arial"/>
                <w:color w:val="000000"/>
                <w:sz w:val="16"/>
                <w:szCs w:val="16"/>
              </w:rPr>
              <w:t>6.75</w:t>
            </w:r>
          </w:p>
        </w:tc>
      </w:tr>
      <w:tr w:rsidR="004016E4" w:rsidRPr="002D3900" w:rsidTr="00DB7914">
        <w:trPr>
          <w:trHeight w:val="233"/>
        </w:trPr>
        <w:tc>
          <w:tcPr>
            <w:tcW w:w="1728" w:type="dxa"/>
            <w:vAlign w:val="bottom"/>
          </w:tcPr>
          <w:p w:rsidR="004016E4" w:rsidRPr="00DB7914" w:rsidRDefault="004016E4" w:rsidP="004E5B92">
            <w:pPr>
              <w:rPr>
                <w:rFonts w:ascii="Arial" w:eastAsia="Times New Roman" w:hAnsi="Arial" w:cs="Arial"/>
                <w:b/>
                <w:color w:val="000000"/>
                <w:sz w:val="16"/>
                <w:szCs w:val="16"/>
              </w:rPr>
            </w:pPr>
            <w:r w:rsidRPr="00DB7914">
              <w:rPr>
                <w:rFonts w:ascii="Arial" w:eastAsia="Times New Roman" w:hAnsi="Arial" w:cs="Arial"/>
                <w:b/>
                <w:color w:val="000000"/>
                <w:sz w:val="16"/>
                <w:szCs w:val="16"/>
              </w:rPr>
              <w:t>GROUND WATER</w:t>
            </w:r>
          </w:p>
        </w:tc>
        <w:tc>
          <w:tcPr>
            <w:tcW w:w="1339" w:type="dxa"/>
          </w:tcPr>
          <w:p w:rsidR="004016E4" w:rsidRPr="00DB7914" w:rsidRDefault="004016E4" w:rsidP="004E5B92">
            <w:pPr>
              <w:jc w:val="center"/>
              <w:rPr>
                <w:rFonts w:ascii="Arial" w:eastAsia="Times New Roman" w:hAnsi="Arial" w:cs="Arial"/>
                <w:color w:val="000000"/>
                <w:sz w:val="16"/>
                <w:szCs w:val="16"/>
              </w:rPr>
            </w:pPr>
          </w:p>
        </w:tc>
        <w:tc>
          <w:tcPr>
            <w:tcW w:w="928" w:type="dxa"/>
            <w:vAlign w:val="bottom"/>
          </w:tcPr>
          <w:p w:rsidR="004016E4" w:rsidRPr="002D3900" w:rsidRDefault="004016E4" w:rsidP="004E5B92">
            <w:pPr>
              <w:jc w:val="center"/>
              <w:rPr>
                <w:rFonts w:ascii="Arial" w:eastAsia="Times New Roman" w:hAnsi="Arial" w:cs="Arial"/>
                <w:color w:val="000000"/>
                <w:sz w:val="16"/>
                <w:szCs w:val="16"/>
              </w:rPr>
            </w:pPr>
          </w:p>
        </w:tc>
        <w:tc>
          <w:tcPr>
            <w:tcW w:w="990" w:type="dxa"/>
            <w:vAlign w:val="bottom"/>
          </w:tcPr>
          <w:p w:rsidR="004016E4" w:rsidRPr="002D3900" w:rsidRDefault="004016E4" w:rsidP="004E5B92">
            <w:pPr>
              <w:jc w:val="center"/>
              <w:rPr>
                <w:rFonts w:ascii="Arial" w:eastAsia="Times New Roman" w:hAnsi="Arial" w:cs="Arial"/>
                <w:color w:val="000000"/>
                <w:sz w:val="16"/>
                <w:szCs w:val="16"/>
              </w:rPr>
            </w:pPr>
          </w:p>
        </w:tc>
        <w:tc>
          <w:tcPr>
            <w:tcW w:w="1080" w:type="dxa"/>
            <w:vAlign w:val="bottom"/>
          </w:tcPr>
          <w:p w:rsidR="004016E4" w:rsidRPr="002D3900" w:rsidRDefault="004016E4" w:rsidP="004E5B92">
            <w:pPr>
              <w:jc w:val="center"/>
              <w:rPr>
                <w:rFonts w:ascii="Arial" w:eastAsia="Times New Roman" w:hAnsi="Arial" w:cs="Arial"/>
                <w:color w:val="000000"/>
                <w:sz w:val="16"/>
                <w:szCs w:val="16"/>
              </w:rPr>
            </w:pPr>
          </w:p>
        </w:tc>
        <w:tc>
          <w:tcPr>
            <w:tcW w:w="1080" w:type="dxa"/>
            <w:vAlign w:val="bottom"/>
          </w:tcPr>
          <w:p w:rsidR="004016E4" w:rsidRPr="002D3900" w:rsidRDefault="004016E4" w:rsidP="004E5B92">
            <w:pPr>
              <w:jc w:val="center"/>
              <w:rPr>
                <w:rFonts w:ascii="Arial" w:eastAsia="Times New Roman" w:hAnsi="Arial" w:cs="Arial"/>
                <w:color w:val="000000"/>
                <w:sz w:val="16"/>
                <w:szCs w:val="16"/>
              </w:rPr>
            </w:pPr>
          </w:p>
        </w:tc>
        <w:tc>
          <w:tcPr>
            <w:tcW w:w="1350" w:type="dxa"/>
            <w:vAlign w:val="bottom"/>
          </w:tcPr>
          <w:p w:rsidR="004016E4" w:rsidRPr="002D3900" w:rsidRDefault="004016E4" w:rsidP="004E5B92">
            <w:pPr>
              <w:jc w:val="center"/>
              <w:rPr>
                <w:rFonts w:ascii="Arial" w:eastAsia="Times New Roman" w:hAnsi="Arial" w:cs="Arial"/>
                <w:color w:val="000000"/>
                <w:sz w:val="16"/>
                <w:szCs w:val="16"/>
              </w:rPr>
            </w:pPr>
          </w:p>
        </w:tc>
        <w:tc>
          <w:tcPr>
            <w:tcW w:w="1080" w:type="dxa"/>
            <w:vAlign w:val="bottom"/>
          </w:tcPr>
          <w:p w:rsidR="004016E4" w:rsidRPr="002D3900" w:rsidRDefault="004016E4" w:rsidP="004E5B92">
            <w:pPr>
              <w:jc w:val="center"/>
              <w:rPr>
                <w:rFonts w:ascii="Arial" w:eastAsia="Times New Roman" w:hAnsi="Arial" w:cs="Arial"/>
                <w:color w:val="000000"/>
                <w:sz w:val="16"/>
                <w:szCs w:val="16"/>
              </w:rPr>
            </w:pPr>
          </w:p>
        </w:tc>
        <w:tc>
          <w:tcPr>
            <w:tcW w:w="1260" w:type="dxa"/>
            <w:vAlign w:val="bottom"/>
          </w:tcPr>
          <w:p w:rsidR="004016E4" w:rsidRPr="002D3900" w:rsidRDefault="004016E4" w:rsidP="004E5B92">
            <w:pPr>
              <w:jc w:val="center"/>
              <w:rPr>
                <w:rFonts w:ascii="Arial" w:eastAsia="Times New Roman" w:hAnsi="Arial" w:cs="Arial"/>
                <w:color w:val="000000"/>
                <w:sz w:val="16"/>
                <w:szCs w:val="16"/>
              </w:rPr>
            </w:pPr>
          </w:p>
        </w:tc>
        <w:tc>
          <w:tcPr>
            <w:tcW w:w="900" w:type="dxa"/>
            <w:vAlign w:val="bottom"/>
          </w:tcPr>
          <w:p w:rsidR="004016E4" w:rsidRPr="002D3900" w:rsidRDefault="004016E4" w:rsidP="00C533BC">
            <w:pPr>
              <w:jc w:val="center"/>
              <w:rPr>
                <w:rFonts w:ascii="Arial" w:eastAsia="Times New Roman" w:hAnsi="Arial" w:cs="Arial"/>
                <w:color w:val="000000"/>
                <w:sz w:val="16"/>
                <w:szCs w:val="16"/>
              </w:rPr>
            </w:pPr>
          </w:p>
        </w:tc>
        <w:tc>
          <w:tcPr>
            <w:tcW w:w="1350" w:type="dxa"/>
            <w:vAlign w:val="bottom"/>
          </w:tcPr>
          <w:p w:rsidR="004016E4" w:rsidRPr="002D3900" w:rsidRDefault="004016E4" w:rsidP="00C533BC">
            <w:pPr>
              <w:jc w:val="center"/>
              <w:rPr>
                <w:rFonts w:ascii="Arial" w:eastAsia="Times New Roman" w:hAnsi="Arial" w:cs="Arial"/>
                <w:color w:val="000000"/>
                <w:sz w:val="16"/>
                <w:szCs w:val="16"/>
              </w:rPr>
            </w:pPr>
          </w:p>
        </w:tc>
      </w:tr>
      <w:tr w:rsidR="00DE15B9" w:rsidRPr="002D3900" w:rsidTr="00F42569">
        <w:tc>
          <w:tcPr>
            <w:tcW w:w="1728" w:type="dxa"/>
            <w:vAlign w:val="bottom"/>
          </w:tcPr>
          <w:p w:rsidR="00DE15B9" w:rsidRPr="002D3900" w:rsidRDefault="00DE15B9" w:rsidP="00695614">
            <w:pPr>
              <w:rPr>
                <w:rFonts w:ascii="Arial" w:eastAsia="Times New Roman" w:hAnsi="Arial" w:cs="Arial"/>
                <w:color w:val="000000"/>
                <w:sz w:val="16"/>
                <w:szCs w:val="16"/>
              </w:rPr>
            </w:pPr>
            <w:r w:rsidRPr="002D3900">
              <w:rPr>
                <w:rFonts w:ascii="Arial" w:eastAsia="Times New Roman" w:hAnsi="Arial" w:cs="Arial"/>
                <w:color w:val="000000"/>
                <w:sz w:val="16"/>
                <w:szCs w:val="16"/>
              </w:rPr>
              <w:t>AAE1421</w:t>
            </w:r>
          </w:p>
        </w:tc>
        <w:tc>
          <w:tcPr>
            <w:tcW w:w="1339" w:type="dxa"/>
          </w:tcPr>
          <w:p w:rsidR="00D1733A" w:rsidRDefault="00DE15B9">
            <w:pPr>
              <w:rPr>
                <w:rFonts w:ascii="Arial" w:eastAsia="Times New Roman" w:hAnsi="Arial" w:cs="Arial"/>
                <w:color w:val="000000"/>
                <w:sz w:val="16"/>
                <w:szCs w:val="16"/>
              </w:rPr>
            </w:pPr>
            <w:r>
              <w:rPr>
                <w:rFonts w:ascii="Arial" w:eastAsia="Times New Roman" w:hAnsi="Arial" w:cs="Arial"/>
                <w:color w:val="000000"/>
                <w:sz w:val="16"/>
                <w:szCs w:val="16"/>
              </w:rPr>
              <w:t>Ginnie-</w:t>
            </w:r>
            <w:r w:rsidR="00502B9E">
              <w:rPr>
                <w:rFonts w:ascii="Arial" w:eastAsia="Times New Roman" w:hAnsi="Arial" w:cs="Arial"/>
                <w:color w:val="000000"/>
                <w:sz w:val="16"/>
                <w:szCs w:val="16"/>
              </w:rPr>
              <w:t>Gilchrist-Blue</w:t>
            </w:r>
          </w:p>
        </w:tc>
        <w:tc>
          <w:tcPr>
            <w:tcW w:w="928"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2/21/2011</w:t>
            </w:r>
          </w:p>
        </w:tc>
        <w:tc>
          <w:tcPr>
            <w:tcW w:w="99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2.1</w:t>
            </w:r>
          </w:p>
        </w:tc>
        <w:tc>
          <w:tcPr>
            <w:tcW w:w="108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0.01U</w:t>
            </w:r>
          </w:p>
        </w:tc>
        <w:tc>
          <w:tcPr>
            <w:tcW w:w="108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6.9</w:t>
            </w:r>
          </w:p>
        </w:tc>
        <w:tc>
          <w:tcPr>
            <w:tcW w:w="135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5.5</w:t>
            </w:r>
          </w:p>
        </w:tc>
        <w:tc>
          <w:tcPr>
            <w:tcW w:w="108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16I</w:t>
            </w:r>
          </w:p>
        </w:tc>
        <w:tc>
          <w:tcPr>
            <w:tcW w:w="126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0.34I</w:t>
            </w:r>
          </w:p>
        </w:tc>
        <w:tc>
          <w:tcPr>
            <w:tcW w:w="90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5.80</w:t>
            </w:r>
          </w:p>
        </w:tc>
        <w:tc>
          <w:tcPr>
            <w:tcW w:w="135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5.94</w:t>
            </w:r>
          </w:p>
        </w:tc>
      </w:tr>
      <w:tr w:rsidR="00DE15B9" w:rsidRPr="002D3900" w:rsidTr="00F42569">
        <w:tc>
          <w:tcPr>
            <w:tcW w:w="1728" w:type="dxa"/>
            <w:vAlign w:val="bottom"/>
          </w:tcPr>
          <w:p w:rsidR="00DE15B9" w:rsidRPr="002D3900" w:rsidRDefault="00DE15B9" w:rsidP="00695614">
            <w:pPr>
              <w:rPr>
                <w:rFonts w:ascii="Arial" w:eastAsia="Times New Roman" w:hAnsi="Arial" w:cs="Arial"/>
                <w:color w:val="000000"/>
                <w:sz w:val="16"/>
                <w:szCs w:val="16"/>
              </w:rPr>
            </w:pPr>
            <w:r w:rsidRPr="002D3900">
              <w:rPr>
                <w:rFonts w:ascii="Arial" w:eastAsia="Times New Roman" w:hAnsi="Arial" w:cs="Arial"/>
                <w:color w:val="000000"/>
                <w:sz w:val="16"/>
                <w:szCs w:val="16"/>
              </w:rPr>
              <w:t>AAK7015</w:t>
            </w:r>
          </w:p>
        </w:tc>
        <w:tc>
          <w:tcPr>
            <w:tcW w:w="1339" w:type="dxa"/>
          </w:tcPr>
          <w:p w:rsidR="00D1733A" w:rsidRDefault="00DE15B9">
            <w:pPr>
              <w:rPr>
                <w:rFonts w:ascii="Arial" w:eastAsia="Times New Roman" w:hAnsi="Arial" w:cs="Arial"/>
                <w:color w:val="000000"/>
                <w:sz w:val="16"/>
                <w:szCs w:val="16"/>
              </w:rPr>
            </w:pPr>
            <w:r>
              <w:rPr>
                <w:rFonts w:ascii="Arial" w:eastAsia="Times New Roman" w:hAnsi="Arial" w:cs="Arial"/>
                <w:color w:val="000000"/>
                <w:sz w:val="16"/>
                <w:szCs w:val="16"/>
              </w:rPr>
              <w:t>Ginnie-</w:t>
            </w:r>
            <w:r w:rsidR="00502B9E">
              <w:rPr>
                <w:rFonts w:ascii="Arial" w:eastAsia="Times New Roman" w:hAnsi="Arial" w:cs="Arial"/>
                <w:color w:val="000000"/>
                <w:sz w:val="16"/>
                <w:szCs w:val="16"/>
              </w:rPr>
              <w:t>Gilchrist-Blue</w:t>
            </w:r>
          </w:p>
        </w:tc>
        <w:tc>
          <w:tcPr>
            <w:tcW w:w="928"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2/21/2011</w:t>
            </w:r>
          </w:p>
        </w:tc>
        <w:tc>
          <w:tcPr>
            <w:tcW w:w="99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3.3</w:t>
            </w:r>
          </w:p>
        </w:tc>
        <w:tc>
          <w:tcPr>
            <w:tcW w:w="108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0.01U</w:t>
            </w:r>
          </w:p>
        </w:tc>
        <w:tc>
          <w:tcPr>
            <w:tcW w:w="108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13.0</w:t>
            </w:r>
          </w:p>
        </w:tc>
        <w:tc>
          <w:tcPr>
            <w:tcW w:w="135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30.0</w:t>
            </w:r>
          </w:p>
        </w:tc>
        <w:tc>
          <w:tcPr>
            <w:tcW w:w="108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94</w:t>
            </w:r>
          </w:p>
        </w:tc>
        <w:tc>
          <w:tcPr>
            <w:tcW w:w="126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2.20</w:t>
            </w:r>
          </w:p>
        </w:tc>
        <w:tc>
          <w:tcPr>
            <w:tcW w:w="90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10.93</w:t>
            </w:r>
          </w:p>
        </w:tc>
        <w:tc>
          <w:tcPr>
            <w:tcW w:w="135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4.93</w:t>
            </w:r>
          </w:p>
        </w:tc>
      </w:tr>
      <w:tr w:rsidR="00DE15B9" w:rsidRPr="002D3900" w:rsidTr="00F42569">
        <w:tc>
          <w:tcPr>
            <w:tcW w:w="1728" w:type="dxa"/>
            <w:vAlign w:val="bottom"/>
          </w:tcPr>
          <w:p w:rsidR="00DE15B9" w:rsidRPr="002D3900" w:rsidRDefault="00DE15B9" w:rsidP="00695614">
            <w:pPr>
              <w:rPr>
                <w:rFonts w:ascii="Arial" w:eastAsia="Times New Roman" w:hAnsi="Arial" w:cs="Arial"/>
                <w:color w:val="000000"/>
                <w:sz w:val="16"/>
                <w:szCs w:val="16"/>
              </w:rPr>
            </w:pPr>
            <w:r w:rsidRPr="002D3900">
              <w:rPr>
                <w:rFonts w:ascii="Arial" w:eastAsia="Times New Roman" w:hAnsi="Arial" w:cs="Arial"/>
                <w:color w:val="000000"/>
                <w:sz w:val="16"/>
                <w:szCs w:val="16"/>
              </w:rPr>
              <w:t>AAK7031</w:t>
            </w:r>
          </w:p>
        </w:tc>
        <w:tc>
          <w:tcPr>
            <w:tcW w:w="1339" w:type="dxa"/>
          </w:tcPr>
          <w:p w:rsidR="00D1733A" w:rsidRDefault="00DE15B9">
            <w:pPr>
              <w:rPr>
                <w:rFonts w:ascii="Arial" w:eastAsia="Times New Roman" w:hAnsi="Arial" w:cs="Arial"/>
                <w:color w:val="000000"/>
                <w:sz w:val="16"/>
                <w:szCs w:val="16"/>
              </w:rPr>
            </w:pPr>
            <w:r>
              <w:rPr>
                <w:rFonts w:ascii="Arial" w:eastAsia="Times New Roman" w:hAnsi="Arial" w:cs="Arial"/>
                <w:color w:val="000000"/>
                <w:sz w:val="16"/>
                <w:szCs w:val="16"/>
              </w:rPr>
              <w:t>Ginnie-</w:t>
            </w:r>
            <w:r w:rsidR="00502B9E">
              <w:rPr>
                <w:rFonts w:ascii="Arial" w:eastAsia="Times New Roman" w:hAnsi="Arial" w:cs="Arial"/>
                <w:color w:val="000000"/>
                <w:sz w:val="16"/>
                <w:szCs w:val="16"/>
              </w:rPr>
              <w:t>Gilchrist-Blue</w:t>
            </w:r>
          </w:p>
        </w:tc>
        <w:tc>
          <w:tcPr>
            <w:tcW w:w="928"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2/21/2011</w:t>
            </w:r>
          </w:p>
        </w:tc>
        <w:tc>
          <w:tcPr>
            <w:tcW w:w="99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1.4</w:t>
            </w:r>
          </w:p>
        </w:tc>
        <w:tc>
          <w:tcPr>
            <w:tcW w:w="108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0.01U</w:t>
            </w:r>
          </w:p>
        </w:tc>
        <w:tc>
          <w:tcPr>
            <w:tcW w:w="108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9.0</w:t>
            </w:r>
          </w:p>
        </w:tc>
        <w:tc>
          <w:tcPr>
            <w:tcW w:w="135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5.2A</w:t>
            </w:r>
          </w:p>
        </w:tc>
        <w:tc>
          <w:tcPr>
            <w:tcW w:w="108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15U</w:t>
            </w:r>
          </w:p>
        </w:tc>
        <w:tc>
          <w:tcPr>
            <w:tcW w:w="126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0.30U</w:t>
            </w:r>
          </w:p>
        </w:tc>
        <w:tc>
          <w:tcPr>
            <w:tcW w:w="90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2.58</w:t>
            </w:r>
          </w:p>
        </w:tc>
        <w:tc>
          <w:tcPr>
            <w:tcW w:w="135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5.73</w:t>
            </w:r>
          </w:p>
        </w:tc>
      </w:tr>
      <w:tr w:rsidR="004016E4" w:rsidRPr="002D3900" w:rsidTr="00F42569">
        <w:tc>
          <w:tcPr>
            <w:tcW w:w="1728" w:type="dxa"/>
            <w:vAlign w:val="bottom"/>
          </w:tcPr>
          <w:p w:rsidR="004016E4" w:rsidRPr="002D3900" w:rsidRDefault="004016E4" w:rsidP="004E5B92">
            <w:pPr>
              <w:rPr>
                <w:rFonts w:ascii="Arial" w:eastAsia="Times New Roman" w:hAnsi="Arial" w:cs="Arial"/>
                <w:color w:val="000000"/>
                <w:sz w:val="16"/>
                <w:szCs w:val="16"/>
              </w:rPr>
            </w:pPr>
            <w:r w:rsidRPr="002D3900">
              <w:rPr>
                <w:rFonts w:ascii="Arial" w:eastAsia="Times New Roman" w:hAnsi="Arial" w:cs="Arial"/>
                <w:color w:val="000000"/>
                <w:sz w:val="16"/>
                <w:szCs w:val="16"/>
              </w:rPr>
              <w:t>AAJ3890</w:t>
            </w:r>
          </w:p>
        </w:tc>
        <w:tc>
          <w:tcPr>
            <w:tcW w:w="1339" w:type="dxa"/>
          </w:tcPr>
          <w:p w:rsidR="004016E4" w:rsidRPr="002D3900" w:rsidRDefault="00DE6763" w:rsidP="004E5B92">
            <w:pPr>
              <w:jc w:val="center"/>
              <w:rPr>
                <w:rFonts w:ascii="Arial" w:eastAsia="Times New Roman" w:hAnsi="Arial" w:cs="Arial"/>
                <w:color w:val="000000"/>
                <w:sz w:val="16"/>
                <w:szCs w:val="16"/>
              </w:rPr>
            </w:pPr>
            <w:r>
              <w:rPr>
                <w:rFonts w:ascii="Arial" w:eastAsia="Times New Roman" w:hAnsi="Arial" w:cs="Arial"/>
                <w:color w:val="000000"/>
                <w:sz w:val="16"/>
                <w:szCs w:val="16"/>
              </w:rPr>
              <w:t>Hornsby</w:t>
            </w:r>
          </w:p>
        </w:tc>
        <w:tc>
          <w:tcPr>
            <w:tcW w:w="928"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2/22/2011</w:t>
            </w:r>
          </w:p>
        </w:tc>
        <w:tc>
          <w:tcPr>
            <w:tcW w:w="99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12.0</w:t>
            </w:r>
          </w:p>
        </w:tc>
        <w:tc>
          <w:tcPr>
            <w:tcW w:w="108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0.01U</w:t>
            </w:r>
          </w:p>
        </w:tc>
        <w:tc>
          <w:tcPr>
            <w:tcW w:w="108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110.0</w:t>
            </w:r>
          </w:p>
        </w:tc>
        <w:tc>
          <w:tcPr>
            <w:tcW w:w="135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170.0</w:t>
            </w:r>
          </w:p>
        </w:tc>
        <w:tc>
          <w:tcPr>
            <w:tcW w:w="108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30I</w:t>
            </w:r>
          </w:p>
        </w:tc>
        <w:tc>
          <w:tcPr>
            <w:tcW w:w="126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0.80I</w:t>
            </w:r>
          </w:p>
        </w:tc>
        <w:tc>
          <w:tcPr>
            <w:tcW w:w="900" w:type="dxa"/>
            <w:vAlign w:val="bottom"/>
          </w:tcPr>
          <w:p w:rsidR="004016E4" w:rsidRPr="002D3900" w:rsidRDefault="004016E4" w:rsidP="00C533BC">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3.19</w:t>
            </w:r>
          </w:p>
        </w:tc>
        <w:tc>
          <w:tcPr>
            <w:tcW w:w="1350" w:type="dxa"/>
            <w:vAlign w:val="bottom"/>
          </w:tcPr>
          <w:p w:rsidR="004016E4" w:rsidRPr="002D3900" w:rsidRDefault="004016E4" w:rsidP="00C533BC">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5.91</w:t>
            </w:r>
          </w:p>
        </w:tc>
      </w:tr>
      <w:tr w:rsidR="00DE6763" w:rsidRPr="002D3900" w:rsidTr="00F42569">
        <w:tc>
          <w:tcPr>
            <w:tcW w:w="1728" w:type="dxa"/>
            <w:vAlign w:val="bottom"/>
          </w:tcPr>
          <w:p w:rsidR="00DE6763" w:rsidRPr="00DE15B9" w:rsidRDefault="00DE6763" w:rsidP="004E5B92">
            <w:pPr>
              <w:rPr>
                <w:rFonts w:ascii="Arial" w:eastAsia="Times New Roman" w:hAnsi="Arial" w:cs="Arial"/>
                <w:color w:val="000000"/>
                <w:sz w:val="16"/>
                <w:szCs w:val="16"/>
              </w:rPr>
            </w:pPr>
            <w:r w:rsidRPr="00DE15B9">
              <w:rPr>
                <w:rFonts w:ascii="Arial" w:eastAsia="Times New Roman" w:hAnsi="Arial" w:cs="Arial"/>
                <w:color w:val="000000"/>
                <w:sz w:val="16"/>
                <w:szCs w:val="16"/>
              </w:rPr>
              <w:t>AAK7008</w:t>
            </w:r>
          </w:p>
        </w:tc>
        <w:tc>
          <w:tcPr>
            <w:tcW w:w="1339" w:type="dxa"/>
          </w:tcPr>
          <w:p w:rsidR="00DE6763" w:rsidRPr="00DE15B9" w:rsidRDefault="00DE6763" w:rsidP="004E5B92">
            <w:pPr>
              <w:jc w:val="center"/>
              <w:rPr>
                <w:rFonts w:ascii="Arial" w:eastAsia="Times New Roman" w:hAnsi="Arial" w:cs="Arial"/>
                <w:color w:val="000000"/>
                <w:sz w:val="16"/>
                <w:szCs w:val="16"/>
              </w:rPr>
            </w:pPr>
            <w:r w:rsidRPr="00DE15B9">
              <w:rPr>
                <w:rFonts w:ascii="Arial" w:eastAsia="Times New Roman" w:hAnsi="Arial" w:cs="Arial"/>
                <w:color w:val="000000"/>
                <w:sz w:val="16"/>
                <w:szCs w:val="16"/>
              </w:rPr>
              <w:t>Hornsby</w:t>
            </w:r>
          </w:p>
        </w:tc>
        <w:tc>
          <w:tcPr>
            <w:tcW w:w="928" w:type="dxa"/>
            <w:vAlign w:val="bottom"/>
          </w:tcPr>
          <w:p w:rsidR="00DE6763" w:rsidRPr="00DE15B9" w:rsidRDefault="00DE6763" w:rsidP="00695614">
            <w:pPr>
              <w:jc w:val="center"/>
              <w:rPr>
                <w:rFonts w:ascii="Calibri" w:eastAsia="Times New Roman" w:hAnsi="Calibri" w:cs="Times New Roman"/>
                <w:color w:val="000000"/>
                <w:sz w:val="16"/>
                <w:szCs w:val="16"/>
              </w:rPr>
            </w:pPr>
            <w:r w:rsidRPr="00DE15B9">
              <w:rPr>
                <w:rFonts w:ascii="Calibri" w:eastAsia="Times New Roman" w:hAnsi="Calibri" w:cs="Times New Roman"/>
                <w:color w:val="000000"/>
                <w:sz w:val="16"/>
                <w:szCs w:val="16"/>
              </w:rPr>
              <w:t>2/28/2011</w:t>
            </w:r>
          </w:p>
        </w:tc>
        <w:tc>
          <w:tcPr>
            <w:tcW w:w="990" w:type="dxa"/>
            <w:vAlign w:val="bottom"/>
          </w:tcPr>
          <w:p w:rsidR="00DE6763" w:rsidRPr="00DE15B9" w:rsidRDefault="00DE6763" w:rsidP="00695614">
            <w:pPr>
              <w:jc w:val="center"/>
              <w:rPr>
                <w:rFonts w:ascii="Calibri" w:eastAsia="Times New Roman" w:hAnsi="Calibri" w:cs="Times New Roman"/>
                <w:color w:val="000000"/>
                <w:sz w:val="16"/>
                <w:szCs w:val="16"/>
              </w:rPr>
            </w:pPr>
            <w:r w:rsidRPr="00DE15B9">
              <w:rPr>
                <w:rFonts w:ascii="Calibri" w:eastAsia="Times New Roman" w:hAnsi="Calibri" w:cs="Times New Roman"/>
                <w:color w:val="000000"/>
                <w:sz w:val="16"/>
                <w:szCs w:val="16"/>
              </w:rPr>
              <w:t>0.86</w:t>
            </w:r>
          </w:p>
        </w:tc>
        <w:tc>
          <w:tcPr>
            <w:tcW w:w="1080" w:type="dxa"/>
            <w:vAlign w:val="bottom"/>
          </w:tcPr>
          <w:p w:rsidR="00DE6763" w:rsidRPr="00DE15B9" w:rsidRDefault="00DE6763" w:rsidP="00695614">
            <w:pPr>
              <w:jc w:val="center"/>
              <w:rPr>
                <w:rFonts w:ascii="Calibri" w:eastAsia="Times New Roman" w:hAnsi="Calibri" w:cs="Times New Roman"/>
                <w:color w:val="000000"/>
                <w:sz w:val="16"/>
                <w:szCs w:val="16"/>
              </w:rPr>
            </w:pPr>
            <w:r w:rsidRPr="00DE15B9">
              <w:rPr>
                <w:rFonts w:ascii="Calibri" w:eastAsia="Times New Roman" w:hAnsi="Calibri" w:cs="Times New Roman"/>
                <w:color w:val="000000"/>
                <w:sz w:val="16"/>
                <w:szCs w:val="16"/>
              </w:rPr>
              <w:t>0.025</w:t>
            </w:r>
          </w:p>
        </w:tc>
        <w:tc>
          <w:tcPr>
            <w:tcW w:w="1080" w:type="dxa"/>
            <w:vAlign w:val="bottom"/>
          </w:tcPr>
          <w:p w:rsidR="00DE6763" w:rsidRPr="00DE15B9" w:rsidRDefault="00DE6763" w:rsidP="00695614">
            <w:pPr>
              <w:jc w:val="center"/>
              <w:rPr>
                <w:rFonts w:ascii="Calibri" w:eastAsia="Times New Roman" w:hAnsi="Calibri" w:cs="Times New Roman"/>
                <w:color w:val="000000"/>
                <w:sz w:val="16"/>
                <w:szCs w:val="16"/>
              </w:rPr>
            </w:pPr>
            <w:r w:rsidRPr="00DE15B9">
              <w:rPr>
                <w:rFonts w:ascii="Calibri" w:eastAsia="Times New Roman" w:hAnsi="Calibri" w:cs="Times New Roman"/>
                <w:color w:val="000000"/>
                <w:sz w:val="16"/>
                <w:szCs w:val="16"/>
              </w:rPr>
              <w:t>66.0</w:t>
            </w:r>
          </w:p>
        </w:tc>
        <w:tc>
          <w:tcPr>
            <w:tcW w:w="1350" w:type="dxa"/>
            <w:vAlign w:val="bottom"/>
          </w:tcPr>
          <w:p w:rsidR="00DE6763" w:rsidRPr="00DE15B9" w:rsidRDefault="00DE6763" w:rsidP="00695614">
            <w:pPr>
              <w:jc w:val="center"/>
              <w:rPr>
                <w:rFonts w:ascii="Calibri" w:eastAsia="Times New Roman" w:hAnsi="Calibri" w:cs="Times New Roman"/>
                <w:color w:val="000000"/>
                <w:sz w:val="16"/>
                <w:szCs w:val="16"/>
              </w:rPr>
            </w:pPr>
            <w:r w:rsidRPr="00DE15B9">
              <w:rPr>
                <w:rFonts w:ascii="Calibri" w:eastAsia="Times New Roman" w:hAnsi="Calibri" w:cs="Times New Roman"/>
                <w:color w:val="000000"/>
                <w:sz w:val="16"/>
                <w:szCs w:val="16"/>
              </w:rPr>
              <w:t>24.0</w:t>
            </w:r>
          </w:p>
        </w:tc>
        <w:tc>
          <w:tcPr>
            <w:tcW w:w="1080" w:type="dxa"/>
            <w:vAlign w:val="bottom"/>
          </w:tcPr>
          <w:p w:rsidR="00DE6763" w:rsidRPr="00DE15B9" w:rsidRDefault="00DE6763" w:rsidP="00695614">
            <w:pPr>
              <w:jc w:val="center"/>
              <w:rPr>
                <w:rFonts w:ascii="Calibri" w:eastAsia="Times New Roman" w:hAnsi="Calibri" w:cs="Times New Roman"/>
                <w:color w:val="000000"/>
                <w:sz w:val="16"/>
                <w:szCs w:val="16"/>
              </w:rPr>
            </w:pPr>
            <w:r w:rsidRPr="00DE15B9">
              <w:rPr>
                <w:rFonts w:ascii="Calibri" w:eastAsia="Times New Roman" w:hAnsi="Calibri" w:cs="Times New Roman"/>
                <w:color w:val="000000"/>
                <w:sz w:val="16"/>
                <w:szCs w:val="16"/>
              </w:rPr>
              <w:t>26I</w:t>
            </w:r>
          </w:p>
        </w:tc>
        <w:tc>
          <w:tcPr>
            <w:tcW w:w="1260" w:type="dxa"/>
            <w:vAlign w:val="bottom"/>
          </w:tcPr>
          <w:p w:rsidR="00DE6763" w:rsidRPr="00DE15B9" w:rsidRDefault="00DE6763" w:rsidP="00695614">
            <w:pPr>
              <w:jc w:val="center"/>
              <w:rPr>
                <w:rFonts w:ascii="Calibri" w:eastAsia="Times New Roman" w:hAnsi="Calibri" w:cs="Times New Roman"/>
                <w:color w:val="000000"/>
                <w:sz w:val="16"/>
                <w:szCs w:val="16"/>
              </w:rPr>
            </w:pPr>
            <w:r w:rsidRPr="00DE15B9">
              <w:rPr>
                <w:rFonts w:ascii="Calibri" w:eastAsia="Times New Roman" w:hAnsi="Calibri" w:cs="Times New Roman"/>
                <w:color w:val="000000"/>
                <w:sz w:val="16"/>
                <w:szCs w:val="16"/>
              </w:rPr>
              <w:t>2.00</w:t>
            </w:r>
          </w:p>
        </w:tc>
        <w:tc>
          <w:tcPr>
            <w:tcW w:w="900" w:type="dxa"/>
            <w:vAlign w:val="bottom"/>
          </w:tcPr>
          <w:p w:rsidR="00DE6763" w:rsidRPr="00DE15B9" w:rsidRDefault="00DE6763" w:rsidP="00695614">
            <w:pPr>
              <w:jc w:val="center"/>
              <w:rPr>
                <w:rFonts w:ascii="Calibri" w:eastAsia="Times New Roman" w:hAnsi="Calibri" w:cs="Times New Roman"/>
                <w:color w:val="000000"/>
                <w:sz w:val="16"/>
                <w:szCs w:val="16"/>
              </w:rPr>
            </w:pPr>
            <w:r w:rsidRPr="00DE15B9">
              <w:rPr>
                <w:rFonts w:ascii="Calibri" w:eastAsia="Times New Roman" w:hAnsi="Calibri" w:cs="Times New Roman"/>
                <w:color w:val="000000"/>
                <w:sz w:val="16"/>
                <w:szCs w:val="16"/>
              </w:rPr>
              <w:t>20.29</w:t>
            </w:r>
          </w:p>
        </w:tc>
        <w:tc>
          <w:tcPr>
            <w:tcW w:w="1350" w:type="dxa"/>
            <w:vAlign w:val="bottom"/>
          </w:tcPr>
          <w:p w:rsidR="00DE6763" w:rsidRPr="00DE15B9" w:rsidRDefault="00DE6763" w:rsidP="00695614">
            <w:pPr>
              <w:jc w:val="center"/>
              <w:rPr>
                <w:rFonts w:ascii="Calibri" w:eastAsia="Times New Roman" w:hAnsi="Calibri" w:cs="Times New Roman"/>
                <w:color w:val="000000"/>
                <w:sz w:val="16"/>
                <w:szCs w:val="16"/>
              </w:rPr>
            </w:pPr>
            <w:r w:rsidRPr="00DE15B9">
              <w:rPr>
                <w:rFonts w:ascii="Calibri" w:eastAsia="Times New Roman" w:hAnsi="Calibri" w:cs="Times New Roman"/>
                <w:color w:val="000000"/>
                <w:sz w:val="16"/>
                <w:szCs w:val="16"/>
              </w:rPr>
              <w:t>10.49</w:t>
            </w:r>
          </w:p>
        </w:tc>
      </w:tr>
      <w:tr w:rsidR="004016E4" w:rsidRPr="002D3900" w:rsidTr="00F42569">
        <w:tc>
          <w:tcPr>
            <w:tcW w:w="1728" w:type="dxa"/>
            <w:vAlign w:val="bottom"/>
          </w:tcPr>
          <w:p w:rsidR="004016E4" w:rsidRPr="002D3900" w:rsidRDefault="004016E4" w:rsidP="004E5B92">
            <w:pPr>
              <w:rPr>
                <w:rFonts w:ascii="Arial" w:eastAsia="Times New Roman" w:hAnsi="Arial" w:cs="Arial"/>
                <w:color w:val="000000"/>
                <w:sz w:val="16"/>
                <w:szCs w:val="16"/>
              </w:rPr>
            </w:pPr>
            <w:r w:rsidRPr="002D3900">
              <w:rPr>
                <w:rFonts w:ascii="Arial" w:eastAsia="Times New Roman" w:hAnsi="Arial" w:cs="Arial"/>
                <w:color w:val="000000"/>
                <w:sz w:val="16"/>
                <w:szCs w:val="16"/>
              </w:rPr>
              <w:t>AAK7011</w:t>
            </w:r>
          </w:p>
        </w:tc>
        <w:tc>
          <w:tcPr>
            <w:tcW w:w="1339" w:type="dxa"/>
          </w:tcPr>
          <w:p w:rsidR="004016E4" w:rsidRPr="002D3900" w:rsidRDefault="00DE6763" w:rsidP="004E5B92">
            <w:pPr>
              <w:jc w:val="center"/>
              <w:rPr>
                <w:rFonts w:ascii="Arial" w:eastAsia="Times New Roman" w:hAnsi="Arial" w:cs="Arial"/>
                <w:color w:val="000000"/>
                <w:sz w:val="16"/>
                <w:szCs w:val="16"/>
              </w:rPr>
            </w:pPr>
            <w:r>
              <w:rPr>
                <w:rFonts w:ascii="Arial" w:eastAsia="Times New Roman" w:hAnsi="Arial" w:cs="Arial"/>
                <w:color w:val="000000"/>
                <w:sz w:val="16"/>
                <w:szCs w:val="16"/>
              </w:rPr>
              <w:t>Hornsby</w:t>
            </w:r>
          </w:p>
        </w:tc>
        <w:tc>
          <w:tcPr>
            <w:tcW w:w="928"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2/21/2011</w:t>
            </w:r>
          </w:p>
        </w:tc>
        <w:tc>
          <w:tcPr>
            <w:tcW w:w="99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0.33</w:t>
            </w:r>
          </w:p>
        </w:tc>
        <w:tc>
          <w:tcPr>
            <w:tcW w:w="108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0.022</w:t>
            </w:r>
          </w:p>
        </w:tc>
        <w:tc>
          <w:tcPr>
            <w:tcW w:w="108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7.6</w:t>
            </w:r>
          </w:p>
        </w:tc>
        <w:tc>
          <w:tcPr>
            <w:tcW w:w="135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8.3</w:t>
            </w:r>
          </w:p>
        </w:tc>
        <w:tc>
          <w:tcPr>
            <w:tcW w:w="108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21I</w:t>
            </w:r>
          </w:p>
        </w:tc>
        <w:tc>
          <w:tcPr>
            <w:tcW w:w="126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0.33I</w:t>
            </w:r>
          </w:p>
        </w:tc>
        <w:tc>
          <w:tcPr>
            <w:tcW w:w="900" w:type="dxa"/>
            <w:vAlign w:val="bottom"/>
          </w:tcPr>
          <w:p w:rsidR="004016E4" w:rsidRPr="002D3900" w:rsidRDefault="004016E4" w:rsidP="00C533BC">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4.90</w:t>
            </w:r>
          </w:p>
        </w:tc>
        <w:tc>
          <w:tcPr>
            <w:tcW w:w="1350" w:type="dxa"/>
            <w:vAlign w:val="bottom"/>
          </w:tcPr>
          <w:p w:rsidR="004016E4" w:rsidRPr="002D3900" w:rsidRDefault="004016E4" w:rsidP="00C533BC">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4.88</w:t>
            </w:r>
          </w:p>
        </w:tc>
      </w:tr>
      <w:tr w:rsidR="00DE15B9" w:rsidRPr="002D3900" w:rsidTr="00F42569">
        <w:tc>
          <w:tcPr>
            <w:tcW w:w="1728" w:type="dxa"/>
            <w:vAlign w:val="bottom"/>
          </w:tcPr>
          <w:p w:rsidR="00DE15B9" w:rsidRPr="002D3900" w:rsidRDefault="00DE15B9" w:rsidP="00695614">
            <w:pPr>
              <w:rPr>
                <w:rFonts w:ascii="Arial" w:eastAsia="Times New Roman" w:hAnsi="Arial" w:cs="Arial"/>
                <w:color w:val="000000"/>
                <w:sz w:val="16"/>
                <w:szCs w:val="16"/>
              </w:rPr>
            </w:pPr>
            <w:r w:rsidRPr="002D3900">
              <w:rPr>
                <w:rFonts w:ascii="Arial" w:eastAsia="Times New Roman" w:hAnsi="Arial" w:cs="Arial"/>
                <w:color w:val="000000"/>
                <w:sz w:val="16"/>
                <w:szCs w:val="16"/>
              </w:rPr>
              <w:t>Brunner</w:t>
            </w:r>
          </w:p>
        </w:tc>
        <w:tc>
          <w:tcPr>
            <w:tcW w:w="1339" w:type="dxa"/>
          </w:tcPr>
          <w:p w:rsidR="00DE15B9" w:rsidRPr="002D3900" w:rsidRDefault="00DE15B9" w:rsidP="00695614">
            <w:pPr>
              <w:jc w:val="center"/>
              <w:rPr>
                <w:rFonts w:ascii="Arial" w:eastAsia="Times New Roman" w:hAnsi="Arial" w:cs="Arial"/>
                <w:color w:val="000000"/>
                <w:sz w:val="16"/>
                <w:szCs w:val="16"/>
              </w:rPr>
            </w:pPr>
            <w:r>
              <w:rPr>
                <w:rFonts w:ascii="Arial" w:eastAsia="Times New Roman" w:hAnsi="Arial" w:cs="Arial"/>
                <w:color w:val="000000"/>
                <w:sz w:val="16"/>
                <w:szCs w:val="16"/>
              </w:rPr>
              <w:t>Hornsby</w:t>
            </w:r>
          </w:p>
        </w:tc>
        <w:tc>
          <w:tcPr>
            <w:tcW w:w="928"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3/1/2011</w:t>
            </w:r>
          </w:p>
        </w:tc>
        <w:tc>
          <w:tcPr>
            <w:tcW w:w="99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0.61</w:t>
            </w:r>
          </w:p>
        </w:tc>
        <w:tc>
          <w:tcPr>
            <w:tcW w:w="108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0.01U</w:t>
            </w:r>
          </w:p>
        </w:tc>
        <w:tc>
          <w:tcPr>
            <w:tcW w:w="108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3.9</w:t>
            </w:r>
          </w:p>
        </w:tc>
        <w:tc>
          <w:tcPr>
            <w:tcW w:w="135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11.0</w:t>
            </w:r>
          </w:p>
        </w:tc>
        <w:tc>
          <w:tcPr>
            <w:tcW w:w="108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19I</w:t>
            </w:r>
          </w:p>
        </w:tc>
        <w:tc>
          <w:tcPr>
            <w:tcW w:w="126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0.95I</w:t>
            </w:r>
          </w:p>
        </w:tc>
        <w:tc>
          <w:tcPr>
            <w:tcW w:w="90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3.54</w:t>
            </w:r>
          </w:p>
        </w:tc>
        <w:tc>
          <w:tcPr>
            <w:tcW w:w="135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2.05</w:t>
            </w:r>
          </w:p>
        </w:tc>
      </w:tr>
      <w:tr w:rsidR="004016E4" w:rsidRPr="002D3900" w:rsidTr="00F42569">
        <w:tc>
          <w:tcPr>
            <w:tcW w:w="1728" w:type="dxa"/>
            <w:vAlign w:val="bottom"/>
          </w:tcPr>
          <w:p w:rsidR="004016E4" w:rsidRPr="002D3900" w:rsidRDefault="004016E4" w:rsidP="004E5B92">
            <w:pPr>
              <w:rPr>
                <w:rFonts w:ascii="Arial" w:eastAsia="Times New Roman" w:hAnsi="Arial" w:cs="Arial"/>
                <w:color w:val="000000"/>
                <w:sz w:val="16"/>
                <w:szCs w:val="16"/>
              </w:rPr>
            </w:pPr>
            <w:r w:rsidRPr="002D3900">
              <w:rPr>
                <w:rFonts w:ascii="Arial" w:eastAsia="Times New Roman" w:hAnsi="Arial" w:cs="Arial"/>
                <w:color w:val="000000"/>
                <w:sz w:val="16"/>
                <w:szCs w:val="16"/>
              </w:rPr>
              <w:t>AAK7030</w:t>
            </w:r>
          </w:p>
        </w:tc>
        <w:tc>
          <w:tcPr>
            <w:tcW w:w="1339" w:type="dxa"/>
          </w:tcPr>
          <w:p w:rsidR="004016E4" w:rsidRPr="002D3900" w:rsidRDefault="00DE6763" w:rsidP="004E5B92">
            <w:pPr>
              <w:jc w:val="center"/>
              <w:rPr>
                <w:rFonts w:ascii="Arial" w:eastAsia="Times New Roman" w:hAnsi="Arial" w:cs="Arial"/>
                <w:color w:val="000000"/>
                <w:sz w:val="16"/>
                <w:szCs w:val="16"/>
              </w:rPr>
            </w:pPr>
            <w:r>
              <w:rPr>
                <w:rFonts w:ascii="Arial" w:eastAsia="Times New Roman" w:hAnsi="Arial" w:cs="Arial"/>
                <w:color w:val="000000"/>
                <w:sz w:val="16"/>
                <w:szCs w:val="16"/>
              </w:rPr>
              <w:t>Hornsby</w:t>
            </w:r>
          </w:p>
        </w:tc>
        <w:tc>
          <w:tcPr>
            <w:tcW w:w="928"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2/21/2011</w:t>
            </w:r>
          </w:p>
        </w:tc>
        <w:tc>
          <w:tcPr>
            <w:tcW w:w="99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4.4</w:t>
            </w:r>
          </w:p>
        </w:tc>
        <w:tc>
          <w:tcPr>
            <w:tcW w:w="108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0.01U</w:t>
            </w:r>
          </w:p>
        </w:tc>
        <w:tc>
          <w:tcPr>
            <w:tcW w:w="108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4.4</w:t>
            </w:r>
          </w:p>
        </w:tc>
        <w:tc>
          <w:tcPr>
            <w:tcW w:w="135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14.0</w:t>
            </w:r>
          </w:p>
        </w:tc>
        <w:tc>
          <w:tcPr>
            <w:tcW w:w="108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25I</w:t>
            </w:r>
          </w:p>
        </w:tc>
        <w:tc>
          <w:tcPr>
            <w:tcW w:w="126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0.50I</w:t>
            </w:r>
          </w:p>
        </w:tc>
        <w:tc>
          <w:tcPr>
            <w:tcW w:w="900" w:type="dxa"/>
            <w:vAlign w:val="bottom"/>
          </w:tcPr>
          <w:p w:rsidR="004016E4" w:rsidRPr="002D3900" w:rsidRDefault="004016E4" w:rsidP="00C533BC">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7.37</w:t>
            </w:r>
          </w:p>
        </w:tc>
        <w:tc>
          <w:tcPr>
            <w:tcW w:w="1350" w:type="dxa"/>
            <w:vAlign w:val="bottom"/>
          </w:tcPr>
          <w:p w:rsidR="004016E4" w:rsidRPr="002D3900" w:rsidRDefault="004016E4" w:rsidP="00C533BC">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4.80</w:t>
            </w:r>
          </w:p>
        </w:tc>
      </w:tr>
      <w:tr w:rsidR="004016E4" w:rsidRPr="002D3900" w:rsidTr="00F42569">
        <w:tc>
          <w:tcPr>
            <w:tcW w:w="1728" w:type="dxa"/>
            <w:vAlign w:val="bottom"/>
          </w:tcPr>
          <w:p w:rsidR="004016E4" w:rsidRPr="002D3900" w:rsidRDefault="004016E4" w:rsidP="004E5B92">
            <w:pPr>
              <w:rPr>
                <w:rFonts w:ascii="Arial" w:eastAsia="Times New Roman" w:hAnsi="Arial" w:cs="Arial"/>
                <w:color w:val="000000"/>
                <w:sz w:val="16"/>
                <w:szCs w:val="16"/>
              </w:rPr>
            </w:pPr>
            <w:r w:rsidRPr="002D3900">
              <w:rPr>
                <w:rFonts w:ascii="Arial" w:eastAsia="Times New Roman" w:hAnsi="Arial" w:cs="Arial"/>
                <w:color w:val="000000"/>
                <w:sz w:val="16"/>
                <w:szCs w:val="16"/>
              </w:rPr>
              <w:t>AAK7033</w:t>
            </w:r>
          </w:p>
        </w:tc>
        <w:tc>
          <w:tcPr>
            <w:tcW w:w="1339" w:type="dxa"/>
          </w:tcPr>
          <w:p w:rsidR="004016E4" w:rsidRPr="002D3900" w:rsidRDefault="00DE6763" w:rsidP="004E5B92">
            <w:pPr>
              <w:jc w:val="center"/>
              <w:rPr>
                <w:rFonts w:ascii="Arial" w:eastAsia="Times New Roman" w:hAnsi="Arial" w:cs="Arial"/>
                <w:color w:val="000000"/>
                <w:sz w:val="16"/>
                <w:szCs w:val="16"/>
              </w:rPr>
            </w:pPr>
            <w:r>
              <w:rPr>
                <w:rFonts w:ascii="Arial" w:eastAsia="Times New Roman" w:hAnsi="Arial" w:cs="Arial"/>
                <w:color w:val="000000"/>
                <w:sz w:val="16"/>
                <w:szCs w:val="16"/>
              </w:rPr>
              <w:t>Hornsby</w:t>
            </w:r>
          </w:p>
        </w:tc>
        <w:tc>
          <w:tcPr>
            <w:tcW w:w="928"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3/7/2011</w:t>
            </w:r>
          </w:p>
        </w:tc>
        <w:tc>
          <w:tcPr>
            <w:tcW w:w="99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3.2</w:t>
            </w:r>
          </w:p>
        </w:tc>
        <w:tc>
          <w:tcPr>
            <w:tcW w:w="108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0.01U</w:t>
            </w:r>
          </w:p>
        </w:tc>
        <w:tc>
          <w:tcPr>
            <w:tcW w:w="108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1.3</w:t>
            </w:r>
          </w:p>
        </w:tc>
        <w:tc>
          <w:tcPr>
            <w:tcW w:w="135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6.1</w:t>
            </w:r>
          </w:p>
        </w:tc>
        <w:tc>
          <w:tcPr>
            <w:tcW w:w="108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17I</w:t>
            </w:r>
          </w:p>
        </w:tc>
        <w:tc>
          <w:tcPr>
            <w:tcW w:w="126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0.4I</w:t>
            </w:r>
          </w:p>
        </w:tc>
        <w:tc>
          <w:tcPr>
            <w:tcW w:w="900" w:type="dxa"/>
            <w:vAlign w:val="bottom"/>
          </w:tcPr>
          <w:p w:rsidR="004016E4" w:rsidRPr="002D3900" w:rsidRDefault="004016E4" w:rsidP="00C533BC">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4.28</w:t>
            </w:r>
          </w:p>
        </w:tc>
        <w:tc>
          <w:tcPr>
            <w:tcW w:w="1350" w:type="dxa"/>
            <w:vAlign w:val="bottom"/>
          </w:tcPr>
          <w:p w:rsidR="004016E4" w:rsidRPr="002D3900" w:rsidRDefault="004016E4" w:rsidP="00C533BC">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3.44</w:t>
            </w:r>
          </w:p>
        </w:tc>
      </w:tr>
      <w:tr w:rsidR="004016E4" w:rsidRPr="002D3900" w:rsidTr="00F42569">
        <w:tc>
          <w:tcPr>
            <w:tcW w:w="1728" w:type="dxa"/>
            <w:vAlign w:val="bottom"/>
          </w:tcPr>
          <w:p w:rsidR="004016E4" w:rsidRPr="002D3900" w:rsidRDefault="004016E4" w:rsidP="004E5B92">
            <w:pPr>
              <w:rPr>
                <w:rFonts w:ascii="Arial" w:eastAsia="Times New Roman" w:hAnsi="Arial" w:cs="Arial"/>
                <w:color w:val="000000"/>
                <w:sz w:val="16"/>
                <w:szCs w:val="16"/>
              </w:rPr>
            </w:pPr>
            <w:r w:rsidRPr="002D3900">
              <w:rPr>
                <w:rFonts w:ascii="Arial" w:eastAsia="Times New Roman" w:hAnsi="Arial" w:cs="Arial"/>
                <w:color w:val="000000"/>
                <w:sz w:val="16"/>
                <w:szCs w:val="16"/>
              </w:rPr>
              <w:t>AAK7044</w:t>
            </w:r>
          </w:p>
        </w:tc>
        <w:tc>
          <w:tcPr>
            <w:tcW w:w="1339" w:type="dxa"/>
          </w:tcPr>
          <w:p w:rsidR="004016E4" w:rsidRPr="002D3900" w:rsidRDefault="00DE6763" w:rsidP="004E5B92">
            <w:pPr>
              <w:jc w:val="center"/>
              <w:rPr>
                <w:rFonts w:ascii="Arial" w:eastAsia="Times New Roman" w:hAnsi="Arial" w:cs="Arial"/>
                <w:color w:val="000000"/>
                <w:sz w:val="16"/>
                <w:szCs w:val="16"/>
              </w:rPr>
            </w:pPr>
            <w:r>
              <w:rPr>
                <w:rFonts w:ascii="Arial" w:eastAsia="Times New Roman" w:hAnsi="Arial" w:cs="Arial"/>
                <w:color w:val="000000"/>
                <w:sz w:val="16"/>
                <w:szCs w:val="16"/>
              </w:rPr>
              <w:t>Hornsby</w:t>
            </w:r>
          </w:p>
        </w:tc>
        <w:tc>
          <w:tcPr>
            <w:tcW w:w="928"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2/23/2011</w:t>
            </w:r>
          </w:p>
        </w:tc>
        <w:tc>
          <w:tcPr>
            <w:tcW w:w="99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3.0</w:t>
            </w:r>
          </w:p>
        </w:tc>
        <w:tc>
          <w:tcPr>
            <w:tcW w:w="108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0.01U</w:t>
            </w:r>
          </w:p>
        </w:tc>
        <w:tc>
          <w:tcPr>
            <w:tcW w:w="108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26.0</w:t>
            </w:r>
          </w:p>
        </w:tc>
        <w:tc>
          <w:tcPr>
            <w:tcW w:w="135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11.0</w:t>
            </w:r>
          </w:p>
        </w:tc>
        <w:tc>
          <w:tcPr>
            <w:tcW w:w="108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36I</w:t>
            </w:r>
          </w:p>
        </w:tc>
        <w:tc>
          <w:tcPr>
            <w:tcW w:w="126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0.97I</w:t>
            </w:r>
          </w:p>
        </w:tc>
        <w:tc>
          <w:tcPr>
            <w:tcW w:w="900" w:type="dxa"/>
            <w:vAlign w:val="bottom"/>
          </w:tcPr>
          <w:p w:rsidR="004016E4" w:rsidRPr="002D3900" w:rsidRDefault="004016E4" w:rsidP="00C533BC">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7.20</w:t>
            </w:r>
          </w:p>
        </w:tc>
        <w:tc>
          <w:tcPr>
            <w:tcW w:w="1350" w:type="dxa"/>
            <w:vAlign w:val="bottom"/>
          </w:tcPr>
          <w:p w:rsidR="004016E4" w:rsidRPr="002D3900" w:rsidRDefault="004016E4" w:rsidP="00C533BC">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5.88</w:t>
            </w:r>
          </w:p>
        </w:tc>
      </w:tr>
      <w:tr w:rsidR="004016E4" w:rsidRPr="002D3900" w:rsidTr="00F42569">
        <w:tc>
          <w:tcPr>
            <w:tcW w:w="1728" w:type="dxa"/>
            <w:vAlign w:val="bottom"/>
          </w:tcPr>
          <w:p w:rsidR="004016E4" w:rsidRPr="002D3900" w:rsidRDefault="004016E4" w:rsidP="004E5B92">
            <w:pPr>
              <w:rPr>
                <w:rFonts w:ascii="Arial" w:eastAsia="Times New Roman" w:hAnsi="Arial" w:cs="Arial"/>
                <w:color w:val="000000"/>
                <w:sz w:val="16"/>
                <w:szCs w:val="16"/>
              </w:rPr>
            </w:pPr>
            <w:r w:rsidRPr="002D3900">
              <w:rPr>
                <w:rFonts w:ascii="Arial" w:eastAsia="Times New Roman" w:hAnsi="Arial" w:cs="Arial"/>
                <w:color w:val="000000"/>
                <w:sz w:val="16"/>
                <w:szCs w:val="16"/>
              </w:rPr>
              <w:t>AAL4185</w:t>
            </w:r>
          </w:p>
        </w:tc>
        <w:tc>
          <w:tcPr>
            <w:tcW w:w="1339" w:type="dxa"/>
          </w:tcPr>
          <w:p w:rsidR="004016E4" w:rsidRPr="002D3900" w:rsidRDefault="00DE6763" w:rsidP="004E5B92">
            <w:pPr>
              <w:jc w:val="center"/>
              <w:rPr>
                <w:rFonts w:ascii="Arial" w:eastAsia="Times New Roman" w:hAnsi="Arial" w:cs="Arial"/>
                <w:color w:val="000000"/>
                <w:sz w:val="16"/>
                <w:szCs w:val="16"/>
              </w:rPr>
            </w:pPr>
            <w:r>
              <w:rPr>
                <w:rFonts w:ascii="Arial" w:eastAsia="Times New Roman" w:hAnsi="Arial" w:cs="Arial"/>
                <w:color w:val="000000"/>
                <w:sz w:val="16"/>
                <w:szCs w:val="16"/>
              </w:rPr>
              <w:t>Hornsby</w:t>
            </w:r>
          </w:p>
        </w:tc>
        <w:tc>
          <w:tcPr>
            <w:tcW w:w="928"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3/7/2011</w:t>
            </w:r>
          </w:p>
        </w:tc>
        <w:tc>
          <w:tcPr>
            <w:tcW w:w="99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1.3</w:t>
            </w:r>
          </w:p>
        </w:tc>
        <w:tc>
          <w:tcPr>
            <w:tcW w:w="108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0.01U</w:t>
            </w:r>
          </w:p>
        </w:tc>
        <w:tc>
          <w:tcPr>
            <w:tcW w:w="108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5.5</w:t>
            </w:r>
          </w:p>
        </w:tc>
        <w:tc>
          <w:tcPr>
            <w:tcW w:w="135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15.0</w:t>
            </w:r>
          </w:p>
        </w:tc>
        <w:tc>
          <w:tcPr>
            <w:tcW w:w="108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19I</w:t>
            </w:r>
          </w:p>
        </w:tc>
        <w:tc>
          <w:tcPr>
            <w:tcW w:w="126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0.80I</w:t>
            </w:r>
          </w:p>
        </w:tc>
        <w:tc>
          <w:tcPr>
            <w:tcW w:w="900" w:type="dxa"/>
            <w:vAlign w:val="bottom"/>
          </w:tcPr>
          <w:p w:rsidR="004016E4" w:rsidRPr="002D3900" w:rsidRDefault="004016E4" w:rsidP="00C533BC">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6.05</w:t>
            </w:r>
          </w:p>
        </w:tc>
        <w:tc>
          <w:tcPr>
            <w:tcW w:w="1350" w:type="dxa"/>
            <w:vAlign w:val="bottom"/>
          </w:tcPr>
          <w:p w:rsidR="004016E4" w:rsidRPr="002D3900" w:rsidRDefault="004016E4" w:rsidP="00C533BC">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7.42</w:t>
            </w:r>
          </w:p>
        </w:tc>
      </w:tr>
      <w:tr w:rsidR="004016E4" w:rsidRPr="002D3900" w:rsidTr="00F42569">
        <w:tc>
          <w:tcPr>
            <w:tcW w:w="1728" w:type="dxa"/>
            <w:vAlign w:val="bottom"/>
          </w:tcPr>
          <w:p w:rsidR="004016E4" w:rsidRPr="002D3900" w:rsidRDefault="004016E4" w:rsidP="004E5B92">
            <w:pPr>
              <w:rPr>
                <w:rFonts w:ascii="Arial" w:eastAsia="Times New Roman" w:hAnsi="Arial" w:cs="Arial"/>
                <w:color w:val="000000"/>
                <w:sz w:val="16"/>
                <w:szCs w:val="16"/>
              </w:rPr>
            </w:pPr>
            <w:r w:rsidRPr="002D3900">
              <w:rPr>
                <w:rFonts w:ascii="Arial" w:eastAsia="Times New Roman" w:hAnsi="Arial" w:cs="Arial"/>
                <w:color w:val="000000"/>
                <w:sz w:val="16"/>
                <w:szCs w:val="16"/>
              </w:rPr>
              <w:t>AAM0898</w:t>
            </w:r>
          </w:p>
        </w:tc>
        <w:tc>
          <w:tcPr>
            <w:tcW w:w="1339" w:type="dxa"/>
          </w:tcPr>
          <w:p w:rsidR="004016E4" w:rsidRPr="002D3900" w:rsidRDefault="00DE6763" w:rsidP="004E5B92">
            <w:pPr>
              <w:jc w:val="center"/>
              <w:rPr>
                <w:rFonts w:ascii="Arial" w:eastAsia="Times New Roman" w:hAnsi="Arial" w:cs="Arial"/>
                <w:color w:val="000000"/>
                <w:sz w:val="16"/>
                <w:szCs w:val="16"/>
              </w:rPr>
            </w:pPr>
            <w:r>
              <w:rPr>
                <w:rFonts w:ascii="Arial" w:eastAsia="Times New Roman" w:hAnsi="Arial" w:cs="Arial"/>
                <w:color w:val="000000"/>
                <w:sz w:val="16"/>
                <w:szCs w:val="16"/>
              </w:rPr>
              <w:t>Poe-Lily</w:t>
            </w:r>
          </w:p>
        </w:tc>
        <w:tc>
          <w:tcPr>
            <w:tcW w:w="928"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2/22/2011</w:t>
            </w:r>
          </w:p>
        </w:tc>
        <w:tc>
          <w:tcPr>
            <w:tcW w:w="99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1.4</w:t>
            </w:r>
          </w:p>
        </w:tc>
        <w:tc>
          <w:tcPr>
            <w:tcW w:w="108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0.01U</w:t>
            </w:r>
          </w:p>
        </w:tc>
        <w:tc>
          <w:tcPr>
            <w:tcW w:w="108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9.3</w:t>
            </w:r>
          </w:p>
        </w:tc>
        <w:tc>
          <w:tcPr>
            <w:tcW w:w="135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6.2</w:t>
            </w:r>
          </w:p>
        </w:tc>
        <w:tc>
          <w:tcPr>
            <w:tcW w:w="108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16I</w:t>
            </w:r>
          </w:p>
        </w:tc>
        <w:tc>
          <w:tcPr>
            <w:tcW w:w="126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0.32I</w:t>
            </w:r>
          </w:p>
        </w:tc>
        <w:tc>
          <w:tcPr>
            <w:tcW w:w="900" w:type="dxa"/>
            <w:vAlign w:val="bottom"/>
          </w:tcPr>
          <w:p w:rsidR="004016E4" w:rsidRPr="002D3900" w:rsidRDefault="004016E4" w:rsidP="00C533BC">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5.10</w:t>
            </w:r>
          </w:p>
        </w:tc>
        <w:tc>
          <w:tcPr>
            <w:tcW w:w="1350" w:type="dxa"/>
            <w:vAlign w:val="bottom"/>
          </w:tcPr>
          <w:p w:rsidR="004016E4" w:rsidRPr="002D3900" w:rsidRDefault="004016E4" w:rsidP="00C533BC">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6.06</w:t>
            </w:r>
          </w:p>
        </w:tc>
      </w:tr>
      <w:tr w:rsidR="00DE15B9" w:rsidRPr="002D3900" w:rsidTr="00F42569">
        <w:tc>
          <w:tcPr>
            <w:tcW w:w="1728" w:type="dxa"/>
            <w:vAlign w:val="bottom"/>
          </w:tcPr>
          <w:p w:rsidR="00DE15B9" w:rsidRPr="002D3900" w:rsidRDefault="00DE15B9" w:rsidP="00695614">
            <w:pPr>
              <w:rPr>
                <w:rFonts w:ascii="Arial" w:eastAsia="Times New Roman" w:hAnsi="Arial" w:cs="Arial"/>
                <w:color w:val="000000"/>
                <w:sz w:val="16"/>
                <w:szCs w:val="16"/>
              </w:rPr>
            </w:pPr>
            <w:r w:rsidRPr="002D3900">
              <w:rPr>
                <w:rFonts w:ascii="Arial" w:eastAsia="Times New Roman" w:hAnsi="Arial" w:cs="Arial"/>
                <w:color w:val="000000"/>
                <w:sz w:val="16"/>
                <w:szCs w:val="16"/>
              </w:rPr>
              <w:t>AAA6137</w:t>
            </w:r>
          </w:p>
        </w:tc>
        <w:tc>
          <w:tcPr>
            <w:tcW w:w="1339" w:type="dxa"/>
          </w:tcPr>
          <w:p w:rsidR="00DE15B9" w:rsidRPr="002D3900" w:rsidRDefault="00DE15B9" w:rsidP="00695614">
            <w:pPr>
              <w:jc w:val="center"/>
              <w:rPr>
                <w:rFonts w:ascii="Arial" w:eastAsia="Times New Roman" w:hAnsi="Arial" w:cs="Arial"/>
                <w:color w:val="000000"/>
                <w:sz w:val="16"/>
                <w:szCs w:val="16"/>
              </w:rPr>
            </w:pPr>
            <w:r>
              <w:rPr>
                <w:rFonts w:ascii="Arial" w:eastAsia="Times New Roman" w:hAnsi="Arial" w:cs="Arial"/>
                <w:color w:val="000000"/>
                <w:sz w:val="16"/>
                <w:szCs w:val="16"/>
              </w:rPr>
              <w:t>Poe-Lily</w:t>
            </w:r>
          </w:p>
        </w:tc>
        <w:tc>
          <w:tcPr>
            <w:tcW w:w="928"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2/21/2011</w:t>
            </w:r>
          </w:p>
        </w:tc>
        <w:tc>
          <w:tcPr>
            <w:tcW w:w="99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1.3</w:t>
            </w:r>
          </w:p>
        </w:tc>
        <w:tc>
          <w:tcPr>
            <w:tcW w:w="108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0.01U</w:t>
            </w:r>
          </w:p>
        </w:tc>
        <w:tc>
          <w:tcPr>
            <w:tcW w:w="108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11.0</w:t>
            </w:r>
          </w:p>
        </w:tc>
        <w:tc>
          <w:tcPr>
            <w:tcW w:w="135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15.0</w:t>
            </w:r>
          </w:p>
        </w:tc>
        <w:tc>
          <w:tcPr>
            <w:tcW w:w="108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27I</w:t>
            </w:r>
          </w:p>
        </w:tc>
        <w:tc>
          <w:tcPr>
            <w:tcW w:w="126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0.42I</w:t>
            </w:r>
          </w:p>
        </w:tc>
        <w:tc>
          <w:tcPr>
            <w:tcW w:w="90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4.07</w:t>
            </w:r>
          </w:p>
        </w:tc>
        <w:tc>
          <w:tcPr>
            <w:tcW w:w="135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9.05</w:t>
            </w:r>
          </w:p>
        </w:tc>
      </w:tr>
      <w:tr w:rsidR="00DE15B9" w:rsidRPr="002D3900" w:rsidTr="00F42569">
        <w:tc>
          <w:tcPr>
            <w:tcW w:w="1728" w:type="dxa"/>
            <w:vAlign w:val="bottom"/>
          </w:tcPr>
          <w:p w:rsidR="00DE15B9" w:rsidRPr="002D3900" w:rsidRDefault="00DE15B9" w:rsidP="00695614">
            <w:pPr>
              <w:rPr>
                <w:rFonts w:ascii="Arial" w:eastAsia="Times New Roman" w:hAnsi="Arial" w:cs="Arial"/>
                <w:color w:val="000000"/>
                <w:sz w:val="16"/>
                <w:szCs w:val="16"/>
              </w:rPr>
            </w:pPr>
            <w:r w:rsidRPr="002D3900">
              <w:rPr>
                <w:rFonts w:ascii="Arial" w:eastAsia="Times New Roman" w:hAnsi="Arial" w:cs="Arial"/>
                <w:color w:val="000000"/>
                <w:sz w:val="16"/>
                <w:szCs w:val="16"/>
              </w:rPr>
              <w:t>AAE1420</w:t>
            </w:r>
          </w:p>
        </w:tc>
        <w:tc>
          <w:tcPr>
            <w:tcW w:w="1339" w:type="dxa"/>
          </w:tcPr>
          <w:p w:rsidR="00DE15B9" w:rsidRPr="002D3900" w:rsidRDefault="00DE15B9" w:rsidP="00695614">
            <w:pPr>
              <w:jc w:val="center"/>
              <w:rPr>
                <w:rFonts w:ascii="Arial" w:eastAsia="Times New Roman" w:hAnsi="Arial" w:cs="Arial"/>
                <w:color w:val="000000"/>
                <w:sz w:val="16"/>
                <w:szCs w:val="16"/>
              </w:rPr>
            </w:pPr>
            <w:r>
              <w:rPr>
                <w:rFonts w:ascii="Arial" w:eastAsia="Times New Roman" w:hAnsi="Arial" w:cs="Arial"/>
                <w:color w:val="000000"/>
                <w:sz w:val="16"/>
                <w:szCs w:val="16"/>
              </w:rPr>
              <w:t>Poe-Lily</w:t>
            </w:r>
          </w:p>
        </w:tc>
        <w:tc>
          <w:tcPr>
            <w:tcW w:w="928"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2/22/2011</w:t>
            </w:r>
          </w:p>
        </w:tc>
        <w:tc>
          <w:tcPr>
            <w:tcW w:w="99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1.2</w:t>
            </w:r>
          </w:p>
        </w:tc>
        <w:tc>
          <w:tcPr>
            <w:tcW w:w="108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0.01U</w:t>
            </w:r>
          </w:p>
        </w:tc>
        <w:tc>
          <w:tcPr>
            <w:tcW w:w="108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11.0</w:t>
            </w:r>
          </w:p>
        </w:tc>
        <w:tc>
          <w:tcPr>
            <w:tcW w:w="135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11.0</w:t>
            </w:r>
          </w:p>
        </w:tc>
        <w:tc>
          <w:tcPr>
            <w:tcW w:w="108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23I</w:t>
            </w:r>
          </w:p>
        </w:tc>
        <w:tc>
          <w:tcPr>
            <w:tcW w:w="126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0.59I</w:t>
            </w:r>
          </w:p>
        </w:tc>
        <w:tc>
          <w:tcPr>
            <w:tcW w:w="90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7.33</w:t>
            </w:r>
          </w:p>
        </w:tc>
        <w:tc>
          <w:tcPr>
            <w:tcW w:w="135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4.70</w:t>
            </w:r>
          </w:p>
        </w:tc>
      </w:tr>
      <w:tr w:rsidR="00DE15B9" w:rsidRPr="002D3900" w:rsidTr="00F42569">
        <w:tc>
          <w:tcPr>
            <w:tcW w:w="1728" w:type="dxa"/>
            <w:vAlign w:val="bottom"/>
          </w:tcPr>
          <w:p w:rsidR="00DE15B9" w:rsidRPr="002D3900" w:rsidRDefault="00DE15B9" w:rsidP="00695614">
            <w:pPr>
              <w:rPr>
                <w:rFonts w:ascii="Arial" w:eastAsia="Times New Roman" w:hAnsi="Arial" w:cs="Arial"/>
                <w:color w:val="000000"/>
                <w:sz w:val="16"/>
                <w:szCs w:val="16"/>
              </w:rPr>
            </w:pPr>
            <w:r w:rsidRPr="002D3900">
              <w:rPr>
                <w:rFonts w:ascii="Arial" w:eastAsia="Times New Roman" w:hAnsi="Arial" w:cs="Arial"/>
                <w:color w:val="000000"/>
                <w:sz w:val="16"/>
                <w:szCs w:val="16"/>
              </w:rPr>
              <w:t>AAK7018</w:t>
            </w:r>
          </w:p>
        </w:tc>
        <w:tc>
          <w:tcPr>
            <w:tcW w:w="1339" w:type="dxa"/>
          </w:tcPr>
          <w:p w:rsidR="00DE15B9" w:rsidRPr="002D3900" w:rsidRDefault="00DE15B9" w:rsidP="00695614">
            <w:pPr>
              <w:jc w:val="center"/>
              <w:rPr>
                <w:rFonts w:ascii="Arial" w:eastAsia="Times New Roman" w:hAnsi="Arial" w:cs="Arial"/>
                <w:color w:val="000000"/>
                <w:sz w:val="16"/>
                <w:szCs w:val="16"/>
              </w:rPr>
            </w:pPr>
            <w:r>
              <w:rPr>
                <w:rFonts w:ascii="Arial" w:eastAsia="Times New Roman" w:hAnsi="Arial" w:cs="Arial"/>
                <w:color w:val="000000"/>
                <w:sz w:val="16"/>
                <w:szCs w:val="16"/>
              </w:rPr>
              <w:t>Poe-Lily</w:t>
            </w:r>
          </w:p>
        </w:tc>
        <w:tc>
          <w:tcPr>
            <w:tcW w:w="928"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2/22/2011</w:t>
            </w:r>
          </w:p>
        </w:tc>
        <w:tc>
          <w:tcPr>
            <w:tcW w:w="99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1.1</w:t>
            </w:r>
          </w:p>
        </w:tc>
        <w:tc>
          <w:tcPr>
            <w:tcW w:w="108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0.01U</w:t>
            </w:r>
          </w:p>
        </w:tc>
        <w:tc>
          <w:tcPr>
            <w:tcW w:w="108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4.5</w:t>
            </w:r>
          </w:p>
        </w:tc>
        <w:tc>
          <w:tcPr>
            <w:tcW w:w="135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5.4A</w:t>
            </w:r>
          </w:p>
        </w:tc>
        <w:tc>
          <w:tcPr>
            <w:tcW w:w="108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15U</w:t>
            </w:r>
          </w:p>
        </w:tc>
        <w:tc>
          <w:tcPr>
            <w:tcW w:w="126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0.72I</w:t>
            </w:r>
          </w:p>
        </w:tc>
        <w:tc>
          <w:tcPr>
            <w:tcW w:w="90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3.77</w:t>
            </w:r>
          </w:p>
        </w:tc>
        <w:tc>
          <w:tcPr>
            <w:tcW w:w="135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3.15</w:t>
            </w:r>
          </w:p>
        </w:tc>
      </w:tr>
      <w:tr w:rsidR="00DE15B9" w:rsidRPr="002D3900" w:rsidTr="00F42569">
        <w:tc>
          <w:tcPr>
            <w:tcW w:w="1728" w:type="dxa"/>
            <w:vAlign w:val="bottom"/>
          </w:tcPr>
          <w:p w:rsidR="00DE15B9" w:rsidRPr="002D3900" w:rsidRDefault="00DE15B9" w:rsidP="00695614">
            <w:pPr>
              <w:rPr>
                <w:rFonts w:ascii="Arial" w:eastAsia="Times New Roman" w:hAnsi="Arial" w:cs="Arial"/>
                <w:color w:val="000000"/>
                <w:sz w:val="16"/>
                <w:szCs w:val="16"/>
              </w:rPr>
            </w:pPr>
            <w:r w:rsidRPr="002D3900">
              <w:rPr>
                <w:rFonts w:ascii="Arial" w:eastAsia="Times New Roman" w:hAnsi="Arial" w:cs="Arial"/>
                <w:color w:val="000000"/>
                <w:sz w:val="16"/>
                <w:szCs w:val="16"/>
              </w:rPr>
              <w:t>AAK7022</w:t>
            </w:r>
          </w:p>
        </w:tc>
        <w:tc>
          <w:tcPr>
            <w:tcW w:w="1339" w:type="dxa"/>
          </w:tcPr>
          <w:p w:rsidR="00DE15B9" w:rsidRPr="002D3900" w:rsidRDefault="00DE15B9" w:rsidP="00695614">
            <w:pPr>
              <w:jc w:val="center"/>
              <w:rPr>
                <w:rFonts w:ascii="Arial" w:eastAsia="Times New Roman" w:hAnsi="Arial" w:cs="Arial"/>
                <w:color w:val="000000"/>
                <w:sz w:val="16"/>
                <w:szCs w:val="16"/>
              </w:rPr>
            </w:pPr>
            <w:r>
              <w:rPr>
                <w:rFonts w:ascii="Arial" w:eastAsia="Times New Roman" w:hAnsi="Arial" w:cs="Arial"/>
                <w:color w:val="000000"/>
                <w:sz w:val="16"/>
                <w:szCs w:val="16"/>
              </w:rPr>
              <w:t>Poe-Lily</w:t>
            </w:r>
          </w:p>
        </w:tc>
        <w:tc>
          <w:tcPr>
            <w:tcW w:w="928"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2/22/2011</w:t>
            </w:r>
          </w:p>
        </w:tc>
        <w:tc>
          <w:tcPr>
            <w:tcW w:w="99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0.87</w:t>
            </w:r>
          </w:p>
        </w:tc>
        <w:tc>
          <w:tcPr>
            <w:tcW w:w="108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0.014I</w:t>
            </w:r>
          </w:p>
        </w:tc>
        <w:tc>
          <w:tcPr>
            <w:tcW w:w="108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4.8</w:t>
            </w:r>
          </w:p>
        </w:tc>
        <w:tc>
          <w:tcPr>
            <w:tcW w:w="135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11.0</w:t>
            </w:r>
          </w:p>
        </w:tc>
        <w:tc>
          <w:tcPr>
            <w:tcW w:w="108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15U</w:t>
            </w:r>
          </w:p>
        </w:tc>
        <w:tc>
          <w:tcPr>
            <w:tcW w:w="126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0.30U</w:t>
            </w:r>
          </w:p>
        </w:tc>
        <w:tc>
          <w:tcPr>
            <w:tcW w:w="90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3.54</w:t>
            </w:r>
          </w:p>
        </w:tc>
        <w:tc>
          <w:tcPr>
            <w:tcW w:w="135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3.31</w:t>
            </w:r>
          </w:p>
        </w:tc>
      </w:tr>
      <w:tr w:rsidR="00DE15B9" w:rsidRPr="002D3900" w:rsidTr="00F42569">
        <w:tc>
          <w:tcPr>
            <w:tcW w:w="1728" w:type="dxa"/>
            <w:vAlign w:val="bottom"/>
          </w:tcPr>
          <w:p w:rsidR="00DE15B9" w:rsidRPr="002D3900" w:rsidRDefault="00DE15B9" w:rsidP="00695614">
            <w:pPr>
              <w:rPr>
                <w:rFonts w:ascii="Arial" w:eastAsia="Times New Roman" w:hAnsi="Arial" w:cs="Arial"/>
                <w:color w:val="000000"/>
                <w:sz w:val="16"/>
                <w:szCs w:val="16"/>
              </w:rPr>
            </w:pPr>
            <w:r>
              <w:rPr>
                <w:rFonts w:ascii="Arial" w:eastAsia="Times New Roman" w:hAnsi="Arial" w:cs="Arial"/>
                <w:color w:val="000000"/>
                <w:sz w:val="16"/>
                <w:szCs w:val="16"/>
              </w:rPr>
              <w:t>AAK7014</w:t>
            </w:r>
          </w:p>
        </w:tc>
        <w:tc>
          <w:tcPr>
            <w:tcW w:w="1339" w:type="dxa"/>
          </w:tcPr>
          <w:p w:rsidR="00DE15B9" w:rsidRPr="002D3900" w:rsidRDefault="00DE15B9" w:rsidP="00695614">
            <w:pPr>
              <w:jc w:val="center"/>
              <w:rPr>
                <w:rFonts w:ascii="Arial" w:eastAsia="Times New Roman" w:hAnsi="Arial" w:cs="Arial"/>
                <w:color w:val="000000"/>
                <w:sz w:val="16"/>
                <w:szCs w:val="16"/>
              </w:rPr>
            </w:pPr>
            <w:r>
              <w:rPr>
                <w:rFonts w:ascii="Arial" w:eastAsia="Times New Roman" w:hAnsi="Arial" w:cs="Arial"/>
                <w:color w:val="000000"/>
                <w:sz w:val="16"/>
                <w:szCs w:val="16"/>
              </w:rPr>
              <w:t>Santa Fe Rise</w:t>
            </w:r>
          </w:p>
        </w:tc>
        <w:tc>
          <w:tcPr>
            <w:tcW w:w="928"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2/24/2011</w:t>
            </w:r>
          </w:p>
        </w:tc>
        <w:tc>
          <w:tcPr>
            <w:tcW w:w="99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3.2</w:t>
            </w:r>
          </w:p>
        </w:tc>
        <w:tc>
          <w:tcPr>
            <w:tcW w:w="108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0.01U</w:t>
            </w:r>
          </w:p>
        </w:tc>
        <w:tc>
          <w:tcPr>
            <w:tcW w:w="108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4.5</w:t>
            </w:r>
          </w:p>
        </w:tc>
        <w:tc>
          <w:tcPr>
            <w:tcW w:w="135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6.0</w:t>
            </w:r>
          </w:p>
        </w:tc>
        <w:tc>
          <w:tcPr>
            <w:tcW w:w="108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15U</w:t>
            </w:r>
          </w:p>
        </w:tc>
        <w:tc>
          <w:tcPr>
            <w:tcW w:w="126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0.56I</w:t>
            </w:r>
          </w:p>
        </w:tc>
        <w:tc>
          <w:tcPr>
            <w:tcW w:w="90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3.36</w:t>
            </w:r>
          </w:p>
        </w:tc>
        <w:tc>
          <w:tcPr>
            <w:tcW w:w="135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6.64</w:t>
            </w:r>
          </w:p>
        </w:tc>
      </w:tr>
      <w:tr w:rsidR="00DE15B9" w:rsidRPr="002D3900" w:rsidTr="00F42569">
        <w:tc>
          <w:tcPr>
            <w:tcW w:w="1728" w:type="dxa"/>
            <w:vAlign w:val="bottom"/>
          </w:tcPr>
          <w:p w:rsidR="00DE15B9" w:rsidRPr="002D3900" w:rsidRDefault="00DE15B9" w:rsidP="00695614">
            <w:pPr>
              <w:rPr>
                <w:rFonts w:ascii="Arial" w:eastAsia="Times New Roman" w:hAnsi="Arial" w:cs="Arial"/>
                <w:color w:val="000000"/>
                <w:sz w:val="16"/>
                <w:szCs w:val="16"/>
              </w:rPr>
            </w:pPr>
            <w:r>
              <w:rPr>
                <w:rFonts w:ascii="Arial" w:eastAsia="Times New Roman" w:hAnsi="Arial" w:cs="Arial"/>
                <w:color w:val="000000"/>
                <w:sz w:val="16"/>
                <w:szCs w:val="16"/>
              </w:rPr>
              <w:t>AAE6052</w:t>
            </w:r>
          </w:p>
        </w:tc>
        <w:tc>
          <w:tcPr>
            <w:tcW w:w="1339" w:type="dxa"/>
          </w:tcPr>
          <w:p w:rsidR="00DE15B9" w:rsidRPr="002D3900" w:rsidRDefault="00DE15B9" w:rsidP="00695614">
            <w:pPr>
              <w:jc w:val="center"/>
              <w:rPr>
                <w:rFonts w:ascii="Arial" w:eastAsia="Times New Roman" w:hAnsi="Arial" w:cs="Arial"/>
                <w:color w:val="000000"/>
                <w:sz w:val="16"/>
                <w:szCs w:val="16"/>
              </w:rPr>
            </w:pPr>
            <w:r>
              <w:rPr>
                <w:rFonts w:ascii="Arial" w:eastAsia="Times New Roman" w:hAnsi="Arial" w:cs="Arial"/>
                <w:color w:val="000000"/>
                <w:sz w:val="16"/>
                <w:szCs w:val="16"/>
              </w:rPr>
              <w:t>Not identified</w:t>
            </w:r>
          </w:p>
        </w:tc>
        <w:tc>
          <w:tcPr>
            <w:tcW w:w="928" w:type="dxa"/>
            <w:vAlign w:val="bottom"/>
          </w:tcPr>
          <w:p w:rsidR="00DE15B9" w:rsidRPr="002D3900" w:rsidRDefault="00DE15B9" w:rsidP="00695614">
            <w:pPr>
              <w:jc w:val="center"/>
              <w:rPr>
                <w:rFonts w:ascii="Arial" w:eastAsia="Times New Roman" w:hAnsi="Arial" w:cs="Arial"/>
                <w:color w:val="000000"/>
                <w:sz w:val="16"/>
                <w:szCs w:val="16"/>
              </w:rPr>
            </w:pPr>
            <w:r>
              <w:rPr>
                <w:rFonts w:ascii="Arial" w:eastAsia="Times New Roman" w:hAnsi="Arial" w:cs="Arial"/>
                <w:color w:val="000000"/>
                <w:sz w:val="16"/>
                <w:szCs w:val="16"/>
              </w:rPr>
              <w:t>3/</w:t>
            </w:r>
            <w:r w:rsidRPr="002D3900">
              <w:rPr>
                <w:rFonts w:ascii="Arial" w:eastAsia="Times New Roman" w:hAnsi="Arial" w:cs="Arial"/>
                <w:color w:val="000000"/>
                <w:sz w:val="16"/>
                <w:szCs w:val="16"/>
              </w:rPr>
              <w:t>3/2011</w:t>
            </w:r>
          </w:p>
        </w:tc>
        <w:tc>
          <w:tcPr>
            <w:tcW w:w="99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23</w:t>
            </w:r>
          </w:p>
        </w:tc>
        <w:tc>
          <w:tcPr>
            <w:tcW w:w="108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0.01U</w:t>
            </w:r>
          </w:p>
        </w:tc>
        <w:tc>
          <w:tcPr>
            <w:tcW w:w="108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3.3</w:t>
            </w:r>
          </w:p>
        </w:tc>
        <w:tc>
          <w:tcPr>
            <w:tcW w:w="135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16</w:t>
            </w:r>
          </w:p>
        </w:tc>
        <w:tc>
          <w:tcPr>
            <w:tcW w:w="108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17</w:t>
            </w:r>
          </w:p>
        </w:tc>
        <w:tc>
          <w:tcPr>
            <w:tcW w:w="126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1.4</w:t>
            </w:r>
          </w:p>
        </w:tc>
        <w:tc>
          <w:tcPr>
            <w:tcW w:w="90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7.77</w:t>
            </w:r>
          </w:p>
        </w:tc>
        <w:tc>
          <w:tcPr>
            <w:tcW w:w="135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7.17</w:t>
            </w:r>
          </w:p>
        </w:tc>
      </w:tr>
      <w:tr w:rsidR="00DE15B9" w:rsidRPr="002D3900" w:rsidTr="00F42569">
        <w:tc>
          <w:tcPr>
            <w:tcW w:w="1728" w:type="dxa"/>
            <w:vAlign w:val="bottom"/>
          </w:tcPr>
          <w:p w:rsidR="00DE15B9" w:rsidRPr="002D3900" w:rsidRDefault="00DE15B9" w:rsidP="00695614">
            <w:pPr>
              <w:rPr>
                <w:rFonts w:ascii="Arial" w:eastAsia="Times New Roman" w:hAnsi="Arial" w:cs="Arial"/>
                <w:color w:val="000000"/>
                <w:sz w:val="16"/>
                <w:szCs w:val="16"/>
              </w:rPr>
            </w:pPr>
            <w:r w:rsidRPr="002D3900">
              <w:rPr>
                <w:rFonts w:ascii="Arial" w:eastAsia="Times New Roman" w:hAnsi="Arial" w:cs="Arial"/>
                <w:color w:val="000000"/>
                <w:sz w:val="16"/>
                <w:szCs w:val="16"/>
              </w:rPr>
              <w:t>AAK7037</w:t>
            </w:r>
          </w:p>
        </w:tc>
        <w:tc>
          <w:tcPr>
            <w:tcW w:w="1339" w:type="dxa"/>
          </w:tcPr>
          <w:p w:rsidR="00DE15B9" w:rsidRPr="002D3900" w:rsidRDefault="00DE15B9" w:rsidP="00695614">
            <w:pPr>
              <w:jc w:val="center"/>
              <w:rPr>
                <w:rFonts w:ascii="Arial" w:eastAsia="Times New Roman" w:hAnsi="Arial" w:cs="Arial"/>
                <w:color w:val="000000"/>
                <w:sz w:val="16"/>
                <w:szCs w:val="16"/>
              </w:rPr>
            </w:pPr>
            <w:r>
              <w:rPr>
                <w:rFonts w:ascii="Arial" w:eastAsia="Times New Roman" w:hAnsi="Arial" w:cs="Arial"/>
                <w:color w:val="000000"/>
                <w:sz w:val="16"/>
                <w:szCs w:val="16"/>
              </w:rPr>
              <w:t>Not identified</w:t>
            </w:r>
          </w:p>
        </w:tc>
        <w:tc>
          <w:tcPr>
            <w:tcW w:w="928"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2/22/2011</w:t>
            </w:r>
          </w:p>
        </w:tc>
        <w:tc>
          <w:tcPr>
            <w:tcW w:w="99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2.5</w:t>
            </w:r>
          </w:p>
        </w:tc>
        <w:tc>
          <w:tcPr>
            <w:tcW w:w="108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0.011</w:t>
            </w:r>
          </w:p>
        </w:tc>
        <w:tc>
          <w:tcPr>
            <w:tcW w:w="108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7.8</w:t>
            </w:r>
          </w:p>
        </w:tc>
        <w:tc>
          <w:tcPr>
            <w:tcW w:w="135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12.0</w:t>
            </w:r>
          </w:p>
        </w:tc>
        <w:tc>
          <w:tcPr>
            <w:tcW w:w="108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25I</w:t>
            </w:r>
          </w:p>
        </w:tc>
        <w:tc>
          <w:tcPr>
            <w:tcW w:w="126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0.44I</w:t>
            </w:r>
          </w:p>
        </w:tc>
        <w:tc>
          <w:tcPr>
            <w:tcW w:w="90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10.98</w:t>
            </w:r>
          </w:p>
        </w:tc>
        <w:tc>
          <w:tcPr>
            <w:tcW w:w="1350" w:type="dxa"/>
            <w:vAlign w:val="bottom"/>
          </w:tcPr>
          <w:p w:rsidR="00DE15B9" w:rsidRPr="002D3900" w:rsidRDefault="00DE15B9" w:rsidP="00695614">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5.55</w:t>
            </w:r>
          </w:p>
        </w:tc>
      </w:tr>
      <w:tr w:rsidR="004016E4" w:rsidRPr="002D3900" w:rsidTr="00F42569">
        <w:tc>
          <w:tcPr>
            <w:tcW w:w="1728" w:type="dxa"/>
            <w:vAlign w:val="bottom"/>
          </w:tcPr>
          <w:p w:rsidR="004016E4" w:rsidRPr="002D3900" w:rsidRDefault="00DE15B9" w:rsidP="004E5B92">
            <w:pPr>
              <w:rPr>
                <w:rFonts w:ascii="Arial" w:eastAsia="Times New Roman" w:hAnsi="Arial" w:cs="Arial"/>
                <w:color w:val="000000"/>
                <w:sz w:val="16"/>
                <w:szCs w:val="16"/>
              </w:rPr>
            </w:pPr>
            <w:r>
              <w:rPr>
                <w:rFonts w:ascii="Arial" w:eastAsia="Times New Roman" w:hAnsi="Arial" w:cs="Arial"/>
                <w:color w:val="000000"/>
                <w:sz w:val="16"/>
                <w:szCs w:val="16"/>
              </w:rPr>
              <w:t>Haynes</w:t>
            </w:r>
          </w:p>
        </w:tc>
        <w:tc>
          <w:tcPr>
            <w:tcW w:w="1339" w:type="dxa"/>
          </w:tcPr>
          <w:p w:rsidR="004016E4" w:rsidRPr="002D3900" w:rsidRDefault="00DE15B9" w:rsidP="004E5B92">
            <w:pPr>
              <w:jc w:val="center"/>
              <w:rPr>
                <w:rFonts w:ascii="Arial" w:eastAsia="Times New Roman" w:hAnsi="Arial" w:cs="Arial"/>
                <w:color w:val="000000"/>
                <w:sz w:val="16"/>
                <w:szCs w:val="16"/>
              </w:rPr>
            </w:pPr>
            <w:r>
              <w:rPr>
                <w:rFonts w:ascii="Arial" w:eastAsia="Times New Roman" w:hAnsi="Arial" w:cs="Arial"/>
                <w:color w:val="000000"/>
                <w:sz w:val="16"/>
                <w:szCs w:val="16"/>
              </w:rPr>
              <w:t>Not identified</w:t>
            </w:r>
          </w:p>
        </w:tc>
        <w:tc>
          <w:tcPr>
            <w:tcW w:w="928"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3/3/2011</w:t>
            </w:r>
          </w:p>
        </w:tc>
        <w:tc>
          <w:tcPr>
            <w:tcW w:w="99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4.0</w:t>
            </w:r>
          </w:p>
        </w:tc>
        <w:tc>
          <w:tcPr>
            <w:tcW w:w="108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0.01U</w:t>
            </w:r>
          </w:p>
        </w:tc>
        <w:tc>
          <w:tcPr>
            <w:tcW w:w="108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5.3</w:t>
            </w:r>
          </w:p>
        </w:tc>
        <w:tc>
          <w:tcPr>
            <w:tcW w:w="135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6.3</w:t>
            </w:r>
          </w:p>
        </w:tc>
        <w:tc>
          <w:tcPr>
            <w:tcW w:w="108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15U</w:t>
            </w:r>
          </w:p>
        </w:tc>
        <w:tc>
          <w:tcPr>
            <w:tcW w:w="1260" w:type="dxa"/>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0.87I</w:t>
            </w:r>
          </w:p>
        </w:tc>
        <w:tc>
          <w:tcPr>
            <w:tcW w:w="900" w:type="dxa"/>
            <w:vAlign w:val="bottom"/>
          </w:tcPr>
          <w:p w:rsidR="004016E4" w:rsidRPr="002D3900" w:rsidRDefault="004016E4" w:rsidP="00C533BC">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8.22</w:t>
            </w:r>
          </w:p>
        </w:tc>
        <w:tc>
          <w:tcPr>
            <w:tcW w:w="1350" w:type="dxa"/>
            <w:vAlign w:val="bottom"/>
          </w:tcPr>
          <w:p w:rsidR="004016E4" w:rsidRPr="002D3900" w:rsidRDefault="004016E4" w:rsidP="00C533BC">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7.74</w:t>
            </w:r>
          </w:p>
        </w:tc>
      </w:tr>
      <w:tr w:rsidR="004016E4" w:rsidRPr="002D3900" w:rsidTr="00F42569">
        <w:tc>
          <w:tcPr>
            <w:tcW w:w="1728" w:type="dxa"/>
            <w:tcBorders>
              <w:bottom w:val="single" w:sz="4" w:space="0" w:color="000000" w:themeColor="text1"/>
            </w:tcBorders>
            <w:vAlign w:val="bottom"/>
          </w:tcPr>
          <w:p w:rsidR="004016E4" w:rsidRPr="002D3900" w:rsidRDefault="004016E4" w:rsidP="004E5B92">
            <w:pPr>
              <w:rPr>
                <w:rFonts w:ascii="Arial" w:eastAsia="Times New Roman" w:hAnsi="Arial" w:cs="Arial"/>
                <w:color w:val="000000"/>
                <w:sz w:val="16"/>
                <w:szCs w:val="16"/>
              </w:rPr>
            </w:pPr>
            <w:r w:rsidRPr="002D3900">
              <w:rPr>
                <w:rFonts w:ascii="Arial" w:eastAsia="Times New Roman" w:hAnsi="Arial" w:cs="Arial"/>
                <w:color w:val="000000"/>
                <w:sz w:val="16"/>
                <w:szCs w:val="16"/>
              </w:rPr>
              <w:t>IFASD</w:t>
            </w:r>
          </w:p>
        </w:tc>
        <w:tc>
          <w:tcPr>
            <w:tcW w:w="1339" w:type="dxa"/>
            <w:tcBorders>
              <w:bottom w:val="single" w:sz="4" w:space="0" w:color="000000" w:themeColor="text1"/>
            </w:tcBorders>
          </w:tcPr>
          <w:p w:rsidR="004016E4" w:rsidRPr="002D3900" w:rsidRDefault="00DE15B9" w:rsidP="004E5B92">
            <w:pPr>
              <w:jc w:val="center"/>
              <w:rPr>
                <w:rFonts w:ascii="Arial" w:eastAsia="Times New Roman" w:hAnsi="Arial" w:cs="Arial"/>
                <w:color w:val="000000"/>
                <w:sz w:val="16"/>
                <w:szCs w:val="16"/>
              </w:rPr>
            </w:pPr>
            <w:r>
              <w:rPr>
                <w:rFonts w:ascii="Arial" w:eastAsia="Times New Roman" w:hAnsi="Arial" w:cs="Arial"/>
                <w:color w:val="000000"/>
                <w:sz w:val="16"/>
                <w:szCs w:val="16"/>
              </w:rPr>
              <w:t>Not identified</w:t>
            </w:r>
          </w:p>
        </w:tc>
        <w:tc>
          <w:tcPr>
            <w:tcW w:w="928" w:type="dxa"/>
            <w:tcBorders>
              <w:bottom w:val="single" w:sz="4" w:space="0" w:color="000000" w:themeColor="text1"/>
            </w:tcBorders>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2/22/2011</w:t>
            </w:r>
          </w:p>
        </w:tc>
        <w:tc>
          <w:tcPr>
            <w:tcW w:w="990" w:type="dxa"/>
            <w:tcBorders>
              <w:bottom w:val="single" w:sz="4" w:space="0" w:color="000000" w:themeColor="text1"/>
            </w:tcBorders>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0.21</w:t>
            </w:r>
          </w:p>
        </w:tc>
        <w:tc>
          <w:tcPr>
            <w:tcW w:w="1080" w:type="dxa"/>
            <w:tcBorders>
              <w:bottom w:val="single" w:sz="4" w:space="0" w:color="000000" w:themeColor="text1"/>
            </w:tcBorders>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0.01U</w:t>
            </w:r>
          </w:p>
        </w:tc>
        <w:tc>
          <w:tcPr>
            <w:tcW w:w="1080" w:type="dxa"/>
            <w:tcBorders>
              <w:bottom w:val="single" w:sz="4" w:space="0" w:color="000000" w:themeColor="text1"/>
            </w:tcBorders>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48.0</w:t>
            </w:r>
          </w:p>
        </w:tc>
        <w:tc>
          <w:tcPr>
            <w:tcW w:w="1350" w:type="dxa"/>
            <w:tcBorders>
              <w:bottom w:val="single" w:sz="4" w:space="0" w:color="000000" w:themeColor="text1"/>
            </w:tcBorders>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12.0</w:t>
            </w:r>
          </w:p>
        </w:tc>
        <w:tc>
          <w:tcPr>
            <w:tcW w:w="1080" w:type="dxa"/>
            <w:tcBorders>
              <w:bottom w:val="single" w:sz="4" w:space="0" w:color="000000" w:themeColor="text1"/>
            </w:tcBorders>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24I</w:t>
            </w:r>
          </w:p>
        </w:tc>
        <w:tc>
          <w:tcPr>
            <w:tcW w:w="1260" w:type="dxa"/>
            <w:tcBorders>
              <w:bottom w:val="single" w:sz="4" w:space="0" w:color="000000" w:themeColor="text1"/>
            </w:tcBorders>
            <w:vAlign w:val="bottom"/>
          </w:tcPr>
          <w:p w:rsidR="004016E4" w:rsidRPr="002D3900" w:rsidRDefault="004016E4" w:rsidP="004E5B92">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0.79I</w:t>
            </w:r>
          </w:p>
        </w:tc>
        <w:tc>
          <w:tcPr>
            <w:tcW w:w="900" w:type="dxa"/>
            <w:tcBorders>
              <w:bottom w:val="single" w:sz="4" w:space="0" w:color="000000" w:themeColor="text1"/>
            </w:tcBorders>
            <w:vAlign w:val="bottom"/>
          </w:tcPr>
          <w:p w:rsidR="004016E4" w:rsidRPr="002D3900" w:rsidRDefault="004016E4" w:rsidP="00C533BC">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8.08</w:t>
            </w:r>
          </w:p>
        </w:tc>
        <w:tc>
          <w:tcPr>
            <w:tcW w:w="1350" w:type="dxa"/>
            <w:tcBorders>
              <w:bottom w:val="single" w:sz="4" w:space="0" w:color="000000" w:themeColor="text1"/>
            </w:tcBorders>
            <w:vAlign w:val="bottom"/>
          </w:tcPr>
          <w:p w:rsidR="004016E4" w:rsidRPr="002D3900" w:rsidRDefault="004016E4" w:rsidP="00C533BC">
            <w:pPr>
              <w:jc w:val="center"/>
              <w:rPr>
                <w:rFonts w:ascii="Arial" w:eastAsia="Times New Roman" w:hAnsi="Arial" w:cs="Arial"/>
                <w:color w:val="000000"/>
                <w:sz w:val="16"/>
                <w:szCs w:val="16"/>
              </w:rPr>
            </w:pPr>
            <w:r w:rsidRPr="002D3900">
              <w:rPr>
                <w:rFonts w:ascii="Arial" w:eastAsia="Times New Roman" w:hAnsi="Arial" w:cs="Arial"/>
                <w:color w:val="000000"/>
                <w:sz w:val="16"/>
                <w:szCs w:val="16"/>
              </w:rPr>
              <w:t>7.09</w:t>
            </w:r>
          </w:p>
        </w:tc>
      </w:tr>
      <w:tr w:rsidR="004016E4" w:rsidRPr="002D3900" w:rsidTr="00F42569">
        <w:tc>
          <w:tcPr>
            <w:tcW w:w="3995" w:type="dxa"/>
            <w:gridSpan w:val="3"/>
            <w:tcBorders>
              <w:bottom w:val="single" w:sz="4" w:space="0" w:color="000000" w:themeColor="text1"/>
            </w:tcBorders>
            <w:shd w:val="pct25" w:color="auto" w:fill="auto"/>
          </w:tcPr>
          <w:p w:rsidR="004016E4" w:rsidRPr="002D3900" w:rsidRDefault="004016E4" w:rsidP="00F42569">
            <w:pPr>
              <w:rPr>
                <w:rFonts w:ascii="Arial" w:eastAsia="Times New Roman" w:hAnsi="Arial" w:cs="Arial"/>
                <w:color w:val="000000"/>
                <w:sz w:val="16"/>
                <w:szCs w:val="16"/>
              </w:rPr>
            </w:pPr>
            <w:r w:rsidRPr="002D3900">
              <w:rPr>
                <w:rFonts w:ascii="Arial" w:eastAsia="Times New Roman" w:hAnsi="Arial" w:cs="Arial"/>
                <w:color w:val="000000"/>
                <w:sz w:val="16"/>
                <w:szCs w:val="16"/>
              </w:rPr>
              <w:t>GROUNDWATER MEDIAN</w:t>
            </w:r>
          </w:p>
        </w:tc>
        <w:tc>
          <w:tcPr>
            <w:tcW w:w="990" w:type="dxa"/>
            <w:tcBorders>
              <w:bottom w:val="single" w:sz="4" w:space="0" w:color="000000" w:themeColor="text1"/>
            </w:tcBorders>
            <w:shd w:val="pct25" w:color="auto" w:fill="auto"/>
            <w:vAlign w:val="bottom"/>
          </w:tcPr>
          <w:p w:rsidR="004016E4" w:rsidRDefault="004016E4">
            <w:pPr>
              <w:jc w:val="center"/>
              <w:rPr>
                <w:rFonts w:ascii="Arial" w:hAnsi="Arial" w:cs="Arial"/>
                <w:color w:val="000000"/>
                <w:sz w:val="16"/>
                <w:szCs w:val="16"/>
              </w:rPr>
            </w:pPr>
            <w:r>
              <w:rPr>
                <w:rFonts w:ascii="Arial" w:hAnsi="Arial" w:cs="Arial"/>
                <w:color w:val="000000"/>
                <w:sz w:val="16"/>
                <w:szCs w:val="16"/>
              </w:rPr>
              <w:t>1.4</w:t>
            </w:r>
          </w:p>
        </w:tc>
        <w:tc>
          <w:tcPr>
            <w:tcW w:w="1080" w:type="dxa"/>
            <w:tcBorders>
              <w:bottom w:val="single" w:sz="4" w:space="0" w:color="000000" w:themeColor="text1"/>
            </w:tcBorders>
            <w:shd w:val="pct25" w:color="auto" w:fill="auto"/>
            <w:vAlign w:val="bottom"/>
          </w:tcPr>
          <w:p w:rsidR="004016E4" w:rsidRDefault="004016E4">
            <w:pPr>
              <w:jc w:val="center"/>
              <w:rPr>
                <w:rFonts w:ascii="Arial" w:hAnsi="Arial" w:cs="Arial"/>
                <w:color w:val="000000"/>
                <w:sz w:val="16"/>
                <w:szCs w:val="16"/>
              </w:rPr>
            </w:pPr>
            <w:r>
              <w:rPr>
                <w:rFonts w:ascii="Arial" w:hAnsi="Arial" w:cs="Arial"/>
                <w:color w:val="000000"/>
                <w:sz w:val="16"/>
                <w:szCs w:val="16"/>
              </w:rPr>
              <w:t>BDL</w:t>
            </w:r>
          </w:p>
        </w:tc>
        <w:tc>
          <w:tcPr>
            <w:tcW w:w="1080" w:type="dxa"/>
            <w:tcBorders>
              <w:bottom w:val="single" w:sz="4" w:space="0" w:color="000000" w:themeColor="text1"/>
            </w:tcBorders>
            <w:shd w:val="pct25" w:color="auto" w:fill="auto"/>
            <w:vAlign w:val="bottom"/>
          </w:tcPr>
          <w:p w:rsidR="004016E4" w:rsidRDefault="004016E4">
            <w:pPr>
              <w:jc w:val="center"/>
              <w:rPr>
                <w:rFonts w:ascii="Arial" w:hAnsi="Arial" w:cs="Arial"/>
                <w:color w:val="000000"/>
                <w:sz w:val="16"/>
                <w:szCs w:val="16"/>
              </w:rPr>
            </w:pPr>
            <w:r>
              <w:rPr>
                <w:rFonts w:ascii="Arial" w:hAnsi="Arial" w:cs="Arial"/>
                <w:color w:val="000000"/>
                <w:sz w:val="16"/>
                <w:szCs w:val="16"/>
              </w:rPr>
              <w:t>7.6</w:t>
            </w:r>
          </w:p>
        </w:tc>
        <w:tc>
          <w:tcPr>
            <w:tcW w:w="1350" w:type="dxa"/>
            <w:tcBorders>
              <w:bottom w:val="single" w:sz="4" w:space="0" w:color="000000" w:themeColor="text1"/>
            </w:tcBorders>
            <w:shd w:val="pct25" w:color="auto" w:fill="auto"/>
            <w:vAlign w:val="bottom"/>
          </w:tcPr>
          <w:p w:rsidR="004016E4" w:rsidRDefault="004016E4">
            <w:pPr>
              <w:jc w:val="center"/>
              <w:rPr>
                <w:rFonts w:ascii="Arial" w:hAnsi="Arial" w:cs="Arial"/>
                <w:color w:val="000000"/>
                <w:sz w:val="16"/>
                <w:szCs w:val="16"/>
              </w:rPr>
            </w:pPr>
            <w:r>
              <w:rPr>
                <w:rFonts w:ascii="Arial" w:hAnsi="Arial" w:cs="Arial"/>
                <w:color w:val="000000"/>
                <w:sz w:val="16"/>
                <w:szCs w:val="16"/>
              </w:rPr>
              <w:t>11.0</w:t>
            </w:r>
          </w:p>
        </w:tc>
        <w:tc>
          <w:tcPr>
            <w:tcW w:w="1080" w:type="dxa"/>
            <w:tcBorders>
              <w:bottom w:val="single" w:sz="4" w:space="0" w:color="000000" w:themeColor="text1"/>
            </w:tcBorders>
            <w:shd w:val="pct25" w:color="auto" w:fill="auto"/>
            <w:vAlign w:val="bottom"/>
          </w:tcPr>
          <w:p w:rsidR="004016E4" w:rsidRDefault="004016E4">
            <w:pPr>
              <w:jc w:val="center"/>
              <w:rPr>
                <w:rFonts w:ascii="Arial" w:hAnsi="Arial" w:cs="Arial"/>
                <w:color w:val="000000"/>
                <w:sz w:val="16"/>
                <w:szCs w:val="16"/>
              </w:rPr>
            </w:pPr>
            <w:r>
              <w:rPr>
                <w:rFonts w:ascii="Arial" w:hAnsi="Arial" w:cs="Arial"/>
                <w:color w:val="000000"/>
                <w:sz w:val="16"/>
                <w:szCs w:val="16"/>
              </w:rPr>
              <w:t>19</w:t>
            </w:r>
          </w:p>
        </w:tc>
        <w:tc>
          <w:tcPr>
            <w:tcW w:w="1260" w:type="dxa"/>
            <w:tcBorders>
              <w:bottom w:val="single" w:sz="4" w:space="0" w:color="000000" w:themeColor="text1"/>
            </w:tcBorders>
            <w:shd w:val="pct25" w:color="auto" w:fill="auto"/>
            <w:vAlign w:val="bottom"/>
          </w:tcPr>
          <w:p w:rsidR="004016E4" w:rsidRDefault="004016E4">
            <w:pPr>
              <w:jc w:val="center"/>
              <w:rPr>
                <w:rFonts w:ascii="Arial" w:hAnsi="Arial" w:cs="Arial"/>
                <w:color w:val="000000"/>
                <w:sz w:val="16"/>
                <w:szCs w:val="16"/>
              </w:rPr>
            </w:pPr>
            <w:r>
              <w:rPr>
                <w:rFonts w:ascii="Arial" w:hAnsi="Arial" w:cs="Arial"/>
                <w:color w:val="000000"/>
                <w:sz w:val="16"/>
                <w:szCs w:val="16"/>
              </w:rPr>
              <w:t>0.59</w:t>
            </w:r>
          </w:p>
        </w:tc>
        <w:tc>
          <w:tcPr>
            <w:tcW w:w="900" w:type="dxa"/>
            <w:tcBorders>
              <w:bottom w:val="single" w:sz="4" w:space="0" w:color="000000" w:themeColor="text1"/>
            </w:tcBorders>
            <w:shd w:val="pct25" w:color="auto" w:fill="auto"/>
            <w:vAlign w:val="bottom"/>
          </w:tcPr>
          <w:p w:rsidR="004016E4" w:rsidRDefault="004016E4" w:rsidP="00C533BC">
            <w:pPr>
              <w:jc w:val="center"/>
              <w:rPr>
                <w:rFonts w:ascii="Arial" w:hAnsi="Arial" w:cs="Arial"/>
                <w:color w:val="000000"/>
                <w:sz w:val="16"/>
                <w:szCs w:val="16"/>
              </w:rPr>
            </w:pPr>
            <w:r>
              <w:rPr>
                <w:rFonts w:ascii="Arial" w:hAnsi="Arial" w:cs="Arial"/>
                <w:color w:val="000000"/>
                <w:sz w:val="16"/>
                <w:szCs w:val="16"/>
              </w:rPr>
              <w:t>5.8</w:t>
            </w:r>
          </w:p>
        </w:tc>
        <w:tc>
          <w:tcPr>
            <w:tcW w:w="1350" w:type="dxa"/>
            <w:tcBorders>
              <w:bottom w:val="single" w:sz="4" w:space="0" w:color="000000" w:themeColor="text1"/>
            </w:tcBorders>
            <w:shd w:val="pct25" w:color="auto" w:fill="auto"/>
            <w:vAlign w:val="bottom"/>
          </w:tcPr>
          <w:p w:rsidR="004016E4" w:rsidRDefault="004016E4" w:rsidP="00C533BC">
            <w:pPr>
              <w:jc w:val="center"/>
              <w:rPr>
                <w:rFonts w:ascii="Arial" w:hAnsi="Arial" w:cs="Arial"/>
                <w:color w:val="000000"/>
                <w:sz w:val="16"/>
                <w:szCs w:val="16"/>
              </w:rPr>
            </w:pPr>
            <w:r>
              <w:rPr>
                <w:rFonts w:ascii="Arial" w:hAnsi="Arial" w:cs="Arial"/>
                <w:color w:val="000000"/>
                <w:sz w:val="16"/>
                <w:szCs w:val="16"/>
              </w:rPr>
              <w:t>5.88</w:t>
            </w:r>
          </w:p>
        </w:tc>
      </w:tr>
      <w:tr w:rsidR="004016E4" w:rsidRPr="00C533BC" w:rsidTr="00F42569">
        <w:tc>
          <w:tcPr>
            <w:tcW w:w="3995" w:type="dxa"/>
            <w:gridSpan w:val="3"/>
          </w:tcPr>
          <w:p w:rsidR="004016E4" w:rsidRPr="00C533BC" w:rsidRDefault="004016E4" w:rsidP="003B267C">
            <w:pPr>
              <w:rPr>
                <w:rFonts w:ascii="Arial" w:eastAsia="Times New Roman" w:hAnsi="Arial" w:cs="Arial"/>
                <w:color w:val="000000"/>
                <w:sz w:val="16"/>
                <w:szCs w:val="16"/>
              </w:rPr>
            </w:pPr>
            <w:r w:rsidRPr="00C533BC">
              <w:rPr>
                <w:rFonts w:ascii="Arial" w:eastAsia="Times New Roman" w:hAnsi="Arial" w:cs="Arial"/>
                <w:color w:val="000000"/>
                <w:sz w:val="16"/>
                <w:szCs w:val="16"/>
              </w:rPr>
              <w:t>High Springs Wastewater Plant</w:t>
            </w:r>
            <w:r>
              <w:rPr>
                <w:rFonts w:ascii="Arial" w:eastAsia="Times New Roman" w:hAnsi="Arial" w:cs="Arial"/>
                <w:color w:val="000000"/>
                <w:sz w:val="16"/>
                <w:szCs w:val="16"/>
              </w:rPr>
              <w:t xml:space="preserve"> Effluent</w:t>
            </w:r>
          </w:p>
        </w:tc>
        <w:tc>
          <w:tcPr>
            <w:tcW w:w="990" w:type="dxa"/>
            <w:shd w:val="clear" w:color="auto" w:fill="auto"/>
            <w:vAlign w:val="bottom"/>
          </w:tcPr>
          <w:p w:rsidR="004016E4" w:rsidRPr="00C533BC" w:rsidRDefault="004016E4" w:rsidP="003B267C">
            <w:pPr>
              <w:jc w:val="center"/>
              <w:rPr>
                <w:rFonts w:ascii="Arial" w:eastAsia="Times New Roman" w:hAnsi="Arial" w:cs="Arial"/>
                <w:color w:val="000000"/>
                <w:sz w:val="16"/>
                <w:szCs w:val="16"/>
              </w:rPr>
            </w:pPr>
            <w:r w:rsidRPr="00C533BC">
              <w:rPr>
                <w:rFonts w:ascii="Arial" w:eastAsia="Times New Roman" w:hAnsi="Arial" w:cs="Arial"/>
                <w:color w:val="000000"/>
                <w:sz w:val="16"/>
                <w:szCs w:val="16"/>
              </w:rPr>
              <w:t>3/1/2011</w:t>
            </w:r>
          </w:p>
        </w:tc>
        <w:tc>
          <w:tcPr>
            <w:tcW w:w="1080" w:type="dxa"/>
            <w:shd w:val="clear" w:color="auto" w:fill="auto"/>
            <w:vAlign w:val="bottom"/>
          </w:tcPr>
          <w:p w:rsidR="004016E4" w:rsidRPr="00C533BC" w:rsidRDefault="004016E4" w:rsidP="003B267C">
            <w:pPr>
              <w:jc w:val="center"/>
              <w:rPr>
                <w:rFonts w:ascii="Arial" w:eastAsia="Times New Roman" w:hAnsi="Arial" w:cs="Arial"/>
                <w:color w:val="000000"/>
                <w:sz w:val="16"/>
                <w:szCs w:val="16"/>
              </w:rPr>
            </w:pPr>
            <w:r w:rsidRPr="00C533BC">
              <w:rPr>
                <w:rFonts w:ascii="Arial" w:eastAsia="Times New Roman" w:hAnsi="Arial" w:cs="Arial"/>
                <w:color w:val="000000"/>
                <w:sz w:val="16"/>
                <w:szCs w:val="16"/>
              </w:rPr>
              <w:t>11.0</w:t>
            </w:r>
          </w:p>
        </w:tc>
        <w:tc>
          <w:tcPr>
            <w:tcW w:w="1080" w:type="dxa"/>
            <w:shd w:val="clear" w:color="auto" w:fill="auto"/>
            <w:vAlign w:val="bottom"/>
          </w:tcPr>
          <w:p w:rsidR="004016E4" w:rsidRPr="00C533BC" w:rsidRDefault="004016E4" w:rsidP="003B267C">
            <w:pPr>
              <w:jc w:val="center"/>
              <w:rPr>
                <w:rFonts w:ascii="Arial" w:eastAsia="Times New Roman" w:hAnsi="Arial" w:cs="Arial"/>
                <w:color w:val="000000"/>
                <w:sz w:val="16"/>
                <w:szCs w:val="16"/>
              </w:rPr>
            </w:pPr>
            <w:r w:rsidRPr="00C533BC">
              <w:rPr>
                <w:rFonts w:ascii="Arial" w:eastAsia="Times New Roman" w:hAnsi="Arial" w:cs="Arial"/>
                <w:color w:val="000000"/>
                <w:sz w:val="16"/>
                <w:szCs w:val="16"/>
              </w:rPr>
              <w:t>0.089I</w:t>
            </w:r>
          </w:p>
        </w:tc>
        <w:tc>
          <w:tcPr>
            <w:tcW w:w="1350" w:type="dxa"/>
            <w:shd w:val="clear" w:color="auto" w:fill="auto"/>
            <w:vAlign w:val="bottom"/>
          </w:tcPr>
          <w:p w:rsidR="004016E4" w:rsidRPr="00C533BC" w:rsidRDefault="004016E4" w:rsidP="003B267C">
            <w:pPr>
              <w:jc w:val="center"/>
              <w:rPr>
                <w:rFonts w:ascii="Arial" w:eastAsia="Times New Roman" w:hAnsi="Arial" w:cs="Arial"/>
                <w:color w:val="000000"/>
                <w:sz w:val="16"/>
                <w:szCs w:val="16"/>
              </w:rPr>
            </w:pPr>
            <w:r w:rsidRPr="00C533BC">
              <w:rPr>
                <w:rFonts w:ascii="Arial" w:eastAsia="Times New Roman" w:hAnsi="Arial" w:cs="Arial"/>
                <w:color w:val="000000"/>
                <w:sz w:val="16"/>
                <w:szCs w:val="16"/>
              </w:rPr>
              <w:t>70.0</w:t>
            </w:r>
          </w:p>
        </w:tc>
        <w:tc>
          <w:tcPr>
            <w:tcW w:w="1080" w:type="dxa"/>
            <w:shd w:val="clear" w:color="auto" w:fill="auto"/>
            <w:vAlign w:val="bottom"/>
          </w:tcPr>
          <w:p w:rsidR="004016E4" w:rsidRPr="00C533BC" w:rsidRDefault="004016E4" w:rsidP="003B267C">
            <w:pPr>
              <w:jc w:val="center"/>
              <w:rPr>
                <w:rFonts w:ascii="Arial" w:eastAsia="Times New Roman" w:hAnsi="Arial" w:cs="Arial"/>
                <w:color w:val="000000"/>
                <w:sz w:val="16"/>
                <w:szCs w:val="16"/>
              </w:rPr>
            </w:pPr>
            <w:r w:rsidRPr="00C533BC">
              <w:rPr>
                <w:rFonts w:ascii="Arial" w:eastAsia="Times New Roman" w:hAnsi="Arial" w:cs="Arial"/>
                <w:color w:val="000000"/>
                <w:sz w:val="16"/>
                <w:szCs w:val="16"/>
              </w:rPr>
              <w:t>84.0</w:t>
            </w:r>
          </w:p>
        </w:tc>
        <w:tc>
          <w:tcPr>
            <w:tcW w:w="1260" w:type="dxa"/>
            <w:shd w:val="clear" w:color="auto" w:fill="auto"/>
            <w:vAlign w:val="bottom"/>
          </w:tcPr>
          <w:p w:rsidR="004016E4" w:rsidRPr="00C533BC" w:rsidRDefault="004016E4" w:rsidP="003B267C">
            <w:pPr>
              <w:jc w:val="center"/>
              <w:rPr>
                <w:rFonts w:ascii="Arial" w:eastAsia="Times New Roman" w:hAnsi="Arial" w:cs="Arial"/>
                <w:color w:val="000000"/>
                <w:sz w:val="16"/>
                <w:szCs w:val="16"/>
              </w:rPr>
            </w:pPr>
            <w:r w:rsidRPr="00C533BC">
              <w:rPr>
                <w:rFonts w:ascii="Arial" w:eastAsia="Times New Roman" w:hAnsi="Arial" w:cs="Arial"/>
                <w:color w:val="000000"/>
                <w:sz w:val="16"/>
                <w:szCs w:val="16"/>
              </w:rPr>
              <w:t>203</w:t>
            </w:r>
          </w:p>
        </w:tc>
        <w:tc>
          <w:tcPr>
            <w:tcW w:w="900" w:type="dxa"/>
            <w:shd w:val="clear" w:color="auto" w:fill="auto"/>
            <w:vAlign w:val="bottom"/>
          </w:tcPr>
          <w:p w:rsidR="004016E4" w:rsidRPr="00C533BC" w:rsidRDefault="004016E4" w:rsidP="00C533BC">
            <w:pPr>
              <w:jc w:val="center"/>
              <w:rPr>
                <w:rFonts w:ascii="Arial" w:eastAsia="Times New Roman" w:hAnsi="Arial" w:cs="Arial"/>
                <w:color w:val="000000"/>
                <w:sz w:val="16"/>
                <w:szCs w:val="16"/>
              </w:rPr>
            </w:pPr>
            <w:r w:rsidRPr="00C533BC">
              <w:rPr>
                <w:rFonts w:ascii="Arial" w:eastAsia="Times New Roman" w:hAnsi="Arial" w:cs="Arial"/>
                <w:color w:val="000000"/>
                <w:sz w:val="16"/>
                <w:szCs w:val="16"/>
              </w:rPr>
              <w:t>14.40</w:t>
            </w:r>
          </w:p>
        </w:tc>
        <w:tc>
          <w:tcPr>
            <w:tcW w:w="1350" w:type="dxa"/>
            <w:shd w:val="clear" w:color="auto" w:fill="auto"/>
            <w:vAlign w:val="bottom"/>
          </w:tcPr>
          <w:p w:rsidR="004016E4" w:rsidRPr="00C533BC" w:rsidRDefault="004016E4" w:rsidP="00C533BC">
            <w:pPr>
              <w:jc w:val="center"/>
              <w:rPr>
                <w:rFonts w:ascii="Arial" w:eastAsia="Times New Roman" w:hAnsi="Arial" w:cs="Arial"/>
                <w:color w:val="000000"/>
                <w:sz w:val="16"/>
                <w:szCs w:val="16"/>
              </w:rPr>
            </w:pPr>
            <w:r w:rsidRPr="00C533BC">
              <w:rPr>
                <w:rFonts w:ascii="Arial" w:eastAsia="Times New Roman" w:hAnsi="Arial" w:cs="Arial"/>
                <w:color w:val="000000"/>
                <w:sz w:val="16"/>
                <w:szCs w:val="16"/>
              </w:rPr>
              <w:t>23.25</w:t>
            </w:r>
          </w:p>
        </w:tc>
      </w:tr>
    </w:tbl>
    <w:p w:rsidR="00A77B82" w:rsidRPr="00DB7914" w:rsidRDefault="00C2369C" w:rsidP="00851151">
      <w:pPr>
        <w:rPr>
          <w:b/>
          <w:i/>
          <w:sz w:val="16"/>
          <w:szCs w:val="16"/>
        </w:rPr>
        <w:sectPr w:rsidR="00A77B82" w:rsidRPr="00DB7914" w:rsidSect="00DB7914">
          <w:pgSz w:w="15840" w:h="12240" w:orient="landscape"/>
          <w:pgMar w:top="1170" w:right="1440" w:bottom="1440" w:left="1440" w:header="720" w:footer="720" w:gutter="0"/>
          <w:cols w:space="720"/>
          <w:docGrid w:linePitch="360"/>
        </w:sectPr>
      </w:pPr>
      <w:r w:rsidRPr="00DB7914">
        <w:rPr>
          <w:rFonts w:ascii="Arial" w:hAnsi="Arial" w:cs="Arial"/>
          <w:sz w:val="16"/>
          <w:szCs w:val="16"/>
        </w:rPr>
        <w:t xml:space="preserve">Notes:  U-analyte undetected, associated value is method detection limit; I-estimated concentration, reported value is between the method detection limit and the instrument detection limited; A- reported value is an average of two or more analysis runs.  </w:t>
      </w:r>
      <w:r w:rsidR="005F15F5" w:rsidRPr="00DB7914">
        <w:rPr>
          <w:rFonts w:ascii="Arial" w:hAnsi="Arial" w:cs="Arial"/>
          <w:sz w:val="16"/>
          <w:szCs w:val="16"/>
        </w:rPr>
        <w:t>BDL-below detection limits.</w:t>
      </w:r>
      <w:r w:rsidR="00141D89" w:rsidRPr="00DB7914">
        <w:rPr>
          <w:b/>
          <w:i/>
          <w:sz w:val="16"/>
          <w:szCs w:val="16"/>
        </w:rPr>
        <w:t xml:space="preserve"> </w:t>
      </w:r>
    </w:p>
    <w:p w:rsidR="00866267" w:rsidRDefault="00866267" w:rsidP="00866267">
      <w:pPr>
        <w:pStyle w:val="Heading1"/>
      </w:pPr>
      <w:r>
        <w:lastRenderedPageBreak/>
        <w:t>Results</w:t>
      </w:r>
    </w:p>
    <w:p w:rsidR="00202510" w:rsidRDefault="00202510" w:rsidP="00866267">
      <w:pPr>
        <w:pStyle w:val="Heading2"/>
      </w:pPr>
      <w:r w:rsidRPr="00240B02">
        <w:t>N</w:t>
      </w:r>
      <w:r w:rsidR="008E03CD">
        <w:t>Ox</w:t>
      </w:r>
      <w:r w:rsidRPr="00240B02">
        <w:t xml:space="preserve"> </w:t>
      </w:r>
      <w:r w:rsidR="000A590F">
        <w:t>Detections</w:t>
      </w:r>
    </w:p>
    <w:p w:rsidR="004A1AF3" w:rsidRPr="0023704D" w:rsidRDefault="00027005">
      <w:pPr>
        <w:rPr>
          <w:sz w:val="24"/>
          <w:szCs w:val="24"/>
        </w:rPr>
      </w:pPr>
      <w:r w:rsidRPr="0023704D">
        <w:rPr>
          <w:sz w:val="24"/>
          <w:szCs w:val="24"/>
        </w:rPr>
        <w:t xml:space="preserve">The TMDL for nitrate in the Santa Fe River is 0.35 mg/L and </w:t>
      </w:r>
      <w:r w:rsidR="004E5B92" w:rsidRPr="0023704D">
        <w:rPr>
          <w:sz w:val="24"/>
          <w:szCs w:val="24"/>
        </w:rPr>
        <w:t xml:space="preserve">most </w:t>
      </w:r>
      <w:r w:rsidR="00EB0396" w:rsidRPr="0023704D">
        <w:rPr>
          <w:sz w:val="24"/>
          <w:szCs w:val="24"/>
        </w:rPr>
        <w:t xml:space="preserve">of the </w:t>
      </w:r>
      <w:r w:rsidR="00C2369C" w:rsidRPr="0023704D">
        <w:rPr>
          <w:sz w:val="24"/>
          <w:szCs w:val="24"/>
        </w:rPr>
        <w:t>concentrations of NO</w:t>
      </w:r>
      <w:r w:rsidR="00B33F86" w:rsidRPr="0023704D">
        <w:rPr>
          <w:sz w:val="24"/>
          <w:szCs w:val="24"/>
        </w:rPr>
        <w:t>x</w:t>
      </w:r>
      <w:r w:rsidR="00C2369C" w:rsidRPr="0023704D">
        <w:rPr>
          <w:sz w:val="24"/>
          <w:szCs w:val="24"/>
        </w:rPr>
        <w:t xml:space="preserve"> </w:t>
      </w:r>
      <w:r w:rsidR="004E5B92" w:rsidRPr="0023704D">
        <w:rPr>
          <w:sz w:val="24"/>
          <w:szCs w:val="24"/>
        </w:rPr>
        <w:t xml:space="preserve">in the spring and ground water samples </w:t>
      </w:r>
      <w:r w:rsidR="00C2369C" w:rsidRPr="0023704D">
        <w:rPr>
          <w:sz w:val="24"/>
          <w:szCs w:val="24"/>
        </w:rPr>
        <w:t>were higher than that value</w:t>
      </w:r>
      <w:r w:rsidR="004E5B92" w:rsidRPr="0023704D">
        <w:rPr>
          <w:sz w:val="24"/>
          <w:szCs w:val="24"/>
        </w:rPr>
        <w:t xml:space="preserve"> (</w:t>
      </w:r>
      <w:r w:rsidR="004E5B92" w:rsidRPr="00BE1268">
        <w:rPr>
          <w:b/>
          <w:sz w:val="24"/>
          <w:szCs w:val="24"/>
        </w:rPr>
        <w:t>Table 1</w:t>
      </w:r>
      <w:r w:rsidR="004E5B92" w:rsidRPr="0023704D">
        <w:rPr>
          <w:sz w:val="24"/>
          <w:szCs w:val="24"/>
        </w:rPr>
        <w:t>)</w:t>
      </w:r>
      <w:r w:rsidR="00C2369C" w:rsidRPr="0023704D">
        <w:rPr>
          <w:sz w:val="24"/>
          <w:szCs w:val="24"/>
        </w:rPr>
        <w:t>.</w:t>
      </w:r>
      <w:r w:rsidR="00B33F86" w:rsidRPr="0023704D">
        <w:rPr>
          <w:sz w:val="24"/>
          <w:szCs w:val="24"/>
        </w:rPr>
        <w:t xml:space="preserve">  </w:t>
      </w:r>
      <w:r w:rsidR="00BE1268">
        <w:rPr>
          <w:sz w:val="24"/>
          <w:szCs w:val="24"/>
        </w:rPr>
        <w:t xml:space="preserve">Spring sampling locations and </w:t>
      </w:r>
      <w:r w:rsidR="00CD1BB4" w:rsidRPr="0023704D">
        <w:rPr>
          <w:sz w:val="24"/>
          <w:szCs w:val="24"/>
        </w:rPr>
        <w:t xml:space="preserve">NOx concentrations in the spring samples are shown in </w:t>
      </w:r>
      <w:r w:rsidR="00CD1BB4" w:rsidRPr="0023704D">
        <w:rPr>
          <w:b/>
          <w:sz w:val="24"/>
          <w:szCs w:val="24"/>
        </w:rPr>
        <w:t>Figure 2</w:t>
      </w:r>
      <w:r w:rsidR="00CD1BB4" w:rsidRPr="0023704D">
        <w:rPr>
          <w:sz w:val="24"/>
          <w:szCs w:val="24"/>
        </w:rPr>
        <w:t>.</w:t>
      </w:r>
    </w:p>
    <w:p w:rsidR="00CD1BB4" w:rsidRDefault="00CD1BB4">
      <w:pPr>
        <w:rPr>
          <w:sz w:val="24"/>
          <w:szCs w:val="24"/>
        </w:rPr>
      </w:pPr>
      <w:r w:rsidRPr="0023704D">
        <w:rPr>
          <w:sz w:val="24"/>
          <w:szCs w:val="24"/>
        </w:rPr>
        <w:t xml:space="preserve">The range in NOx concentrations in the wells and springs of the main springsheds of this area showed some variability, particularly </w:t>
      </w:r>
      <w:r w:rsidR="004B05EF">
        <w:rPr>
          <w:sz w:val="24"/>
          <w:szCs w:val="24"/>
        </w:rPr>
        <w:t>in</w:t>
      </w:r>
      <w:r w:rsidR="004B05EF" w:rsidRPr="0023704D">
        <w:rPr>
          <w:sz w:val="24"/>
          <w:szCs w:val="24"/>
        </w:rPr>
        <w:t xml:space="preserve"> </w:t>
      </w:r>
      <w:r w:rsidRPr="0023704D">
        <w:rPr>
          <w:sz w:val="24"/>
          <w:szCs w:val="24"/>
        </w:rPr>
        <w:t xml:space="preserve">wells </w:t>
      </w:r>
      <w:r w:rsidR="004B05EF">
        <w:rPr>
          <w:sz w:val="24"/>
          <w:szCs w:val="24"/>
        </w:rPr>
        <w:t>at</w:t>
      </w:r>
      <w:r w:rsidRPr="0023704D">
        <w:rPr>
          <w:sz w:val="24"/>
          <w:szCs w:val="24"/>
        </w:rPr>
        <w:t xml:space="preserve"> known sources (e.g., wastewater plants).</w:t>
      </w:r>
      <w:r>
        <w:rPr>
          <w:sz w:val="24"/>
          <w:szCs w:val="24"/>
        </w:rPr>
        <w:t xml:space="preserve"> </w:t>
      </w:r>
      <w:r w:rsidRPr="0023704D">
        <w:rPr>
          <w:sz w:val="24"/>
          <w:szCs w:val="24"/>
        </w:rPr>
        <w:t xml:space="preserve"> All springs but two, Hornsby and Poe</w:t>
      </w:r>
      <w:r w:rsidR="004B05EF">
        <w:rPr>
          <w:sz w:val="24"/>
          <w:szCs w:val="24"/>
        </w:rPr>
        <w:t>,</w:t>
      </w:r>
      <w:r w:rsidRPr="0023704D">
        <w:rPr>
          <w:sz w:val="24"/>
          <w:szCs w:val="24"/>
        </w:rPr>
        <w:t xml:space="preserve"> had NOx</w:t>
      </w:r>
      <w:r w:rsidRPr="0023704D">
        <w:rPr>
          <w:sz w:val="24"/>
          <w:szCs w:val="24"/>
          <w:vertAlign w:val="subscript"/>
        </w:rPr>
        <w:t xml:space="preserve"> </w:t>
      </w:r>
      <w:r w:rsidRPr="0023704D">
        <w:rPr>
          <w:sz w:val="24"/>
          <w:szCs w:val="24"/>
        </w:rPr>
        <w:t>concentrations greater than 0.8 mg/L.  The springs with the highest NOx</w:t>
      </w:r>
      <w:r w:rsidRPr="0023704D" w:rsidDel="00D00DF6">
        <w:rPr>
          <w:sz w:val="24"/>
          <w:szCs w:val="24"/>
        </w:rPr>
        <w:t xml:space="preserve"> </w:t>
      </w:r>
      <w:r w:rsidRPr="0023704D">
        <w:rPr>
          <w:sz w:val="24"/>
          <w:szCs w:val="24"/>
        </w:rPr>
        <w:t>concentrations are in the Ginnie-</w:t>
      </w:r>
      <w:r w:rsidR="00502B9E">
        <w:rPr>
          <w:sz w:val="24"/>
          <w:szCs w:val="24"/>
        </w:rPr>
        <w:t>Gilchrist-Blue</w:t>
      </w:r>
      <w:r w:rsidRPr="0023704D">
        <w:rPr>
          <w:sz w:val="24"/>
          <w:szCs w:val="24"/>
        </w:rPr>
        <w:t xml:space="preserve"> Blue springshed.  </w:t>
      </w:r>
      <w:r w:rsidR="00F00233">
        <w:rPr>
          <w:sz w:val="24"/>
          <w:szCs w:val="24"/>
        </w:rPr>
        <w:t>The results organized by springshed are discussed below.</w:t>
      </w:r>
    </w:p>
    <w:p w:rsidR="00CD1BB4" w:rsidRDefault="00415BB1">
      <w:pPr>
        <w:rPr>
          <w:sz w:val="24"/>
          <w:szCs w:val="24"/>
        </w:rPr>
      </w:pPr>
      <w:r w:rsidRPr="00415BB1">
        <w:rPr>
          <w:sz w:val="24"/>
          <w:szCs w:val="24"/>
          <w:u w:val="single"/>
        </w:rPr>
        <w:t>H</w:t>
      </w:r>
      <w:r w:rsidR="005466E6">
        <w:rPr>
          <w:sz w:val="24"/>
          <w:szCs w:val="24"/>
          <w:u w:val="single"/>
        </w:rPr>
        <w:t>ornsby Springshed</w:t>
      </w:r>
      <w:r w:rsidR="00F00233">
        <w:rPr>
          <w:sz w:val="24"/>
          <w:szCs w:val="24"/>
          <w:u w:val="single"/>
        </w:rPr>
        <w:t xml:space="preserve">.  </w:t>
      </w:r>
      <w:r w:rsidR="00CD1BB4" w:rsidRPr="0023704D">
        <w:rPr>
          <w:sz w:val="24"/>
          <w:szCs w:val="24"/>
        </w:rPr>
        <w:t xml:space="preserve">NOx concentrations in </w:t>
      </w:r>
      <w:r w:rsidR="00BE1268">
        <w:rPr>
          <w:sz w:val="24"/>
          <w:szCs w:val="24"/>
        </w:rPr>
        <w:t xml:space="preserve">springs and private wells in the </w:t>
      </w:r>
      <w:r w:rsidR="00CD1BB4" w:rsidRPr="0023704D">
        <w:rPr>
          <w:sz w:val="24"/>
          <w:szCs w:val="24"/>
        </w:rPr>
        <w:t xml:space="preserve">Hornsby springshed ranged from 0.23 </w:t>
      </w:r>
      <w:r w:rsidR="004B05EF">
        <w:rPr>
          <w:sz w:val="24"/>
          <w:szCs w:val="24"/>
        </w:rPr>
        <w:t>mg/L</w:t>
      </w:r>
      <w:r w:rsidR="00BE1268">
        <w:rPr>
          <w:sz w:val="24"/>
          <w:szCs w:val="24"/>
        </w:rPr>
        <w:t xml:space="preserve"> in the</w:t>
      </w:r>
      <w:r w:rsidR="00CD1BB4" w:rsidRPr="0023704D">
        <w:rPr>
          <w:sz w:val="24"/>
          <w:szCs w:val="24"/>
        </w:rPr>
        <w:t xml:space="preserve"> Hornsby spring vent to 12 mg/L in well AAJ3890, a </w:t>
      </w:r>
      <w:r w:rsidR="00BE1268">
        <w:rPr>
          <w:sz w:val="24"/>
          <w:szCs w:val="24"/>
        </w:rPr>
        <w:t>private</w:t>
      </w:r>
      <w:r w:rsidR="00CD1BB4" w:rsidRPr="0023704D">
        <w:rPr>
          <w:sz w:val="24"/>
          <w:szCs w:val="24"/>
        </w:rPr>
        <w:t xml:space="preserve"> well near </w:t>
      </w:r>
      <w:r w:rsidR="00BE1268">
        <w:rPr>
          <w:sz w:val="24"/>
          <w:szCs w:val="24"/>
        </w:rPr>
        <w:t>several potential sources (</w:t>
      </w:r>
      <w:r w:rsidR="00CD1BB4" w:rsidRPr="0023704D">
        <w:rPr>
          <w:sz w:val="24"/>
          <w:szCs w:val="24"/>
        </w:rPr>
        <w:t>a wastewater treatment site</w:t>
      </w:r>
      <w:r w:rsidR="00BE1268">
        <w:rPr>
          <w:sz w:val="24"/>
          <w:szCs w:val="24"/>
        </w:rPr>
        <w:t>, an</w:t>
      </w:r>
      <w:r w:rsidR="00CD1BB4" w:rsidRPr="0023704D">
        <w:rPr>
          <w:sz w:val="24"/>
          <w:szCs w:val="24"/>
        </w:rPr>
        <w:t xml:space="preserve"> agricultural field</w:t>
      </w:r>
      <w:r w:rsidR="00401B35">
        <w:rPr>
          <w:sz w:val="24"/>
          <w:szCs w:val="24"/>
        </w:rPr>
        <w:t xml:space="preserve"> and a former meat-packing plant</w:t>
      </w:r>
      <w:r w:rsidR="00BE1268">
        <w:rPr>
          <w:sz w:val="24"/>
          <w:szCs w:val="24"/>
        </w:rPr>
        <w:t>)</w:t>
      </w:r>
      <w:r w:rsidR="00401B35">
        <w:rPr>
          <w:sz w:val="24"/>
          <w:szCs w:val="24"/>
        </w:rPr>
        <w:t>.</w:t>
      </w:r>
      <w:r w:rsidR="00CD1BB4" w:rsidRPr="0023704D">
        <w:rPr>
          <w:sz w:val="24"/>
          <w:szCs w:val="24"/>
        </w:rPr>
        <w:t xml:space="preserve">  </w:t>
      </w:r>
    </w:p>
    <w:p w:rsidR="00CD1BB4" w:rsidRDefault="00415BB1">
      <w:pPr>
        <w:rPr>
          <w:sz w:val="24"/>
          <w:szCs w:val="24"/>
        </w:rPr>
      </w:pPr>
      <w:r w:rsidRPr="00415BB1">
        <w:rPr>
          <w:sz w:val="24"/>
          <w:szCs w:val="24"/>
          <w:u w:val="single"/>
        </w:rPr>
        <w:t>P</w:t>
      </w:r>
      <w:r w:rsidR="005466E6">
        <w:rPr>
          <w:sz w:val="24"/>
          <w:szCs w:val="24"/>
          <w:u w:val="single"/>
        </w:rPr>
        <w:t>oe-Lilly Springshed</w:t>
      </w:r>
      <w:r w:rsidR="00F00233">
        <w:rPr>
          <w:sz w:val="24"/>
          <w:szCs w:val="24"/>
          <w:u w:val="single"/>
        </w:rPr>
        <w:t xml:space="preserve">.  </w:t>
      </w:r>
      <w:r w:rsidR="00CD1BB4" w:rsidRPr="0023704D">
        <w:rPr>
          <w:sz w:val="24"/>
          <w:szCs w:val="24"/>
        </w:rPr>
        <w:t xml:space="preserve">NOx concentrations in </w:t>
      </w:r>
      <w:r w:rsidR="00BE1268">
        <w:rPr>
          <w:sz w:val="24"/>
          <w:szCs w:val="24"/>
        </w:rPr>
        <w:t xml:space="preserve">the private wells and springs sampled in the </w:t>
      </w:r>
      <w:r w:rsidR="00CD1BB4" w:rsidRPr="0023704D">
        <w:rPr>
          <w:sz w:val="24"/>
          <w:szCs w:val="24"/>
        </w:rPr>
        <w:t xml:space="preserve">Poe-Lily springshed ranged from 0.11 </w:t>
      </w:r>
      <w:r w:rsidR="004B05EF">
        <w:rPr>
          <w:sz w:val="24"/>
          <w:szCs w:val="24"/>
        </w:rPr>
        <w:t xml:space="preserve">mg/L </w:t>
      </w:r>
      <w:r w:rsidR="00CD1BB4" w:rsidRPr="0023704D">
        <w:rPr>
          <w:sz w:val="24"/>
          <w:szCs w:val="24"/>
        </w:rPr>
        <w:t xml:space="preserve">in </w:t>
      </w:r>
      <w:r w:rsidR="004B05EF">
        <w:rPr>
          <w:sz w:val="24"/>
          <w:szCs w:val="24"/>
        </w:rPr>
        <w:t xml:space="preserve">the </w:t>
      </w:r>
      <w:r w:rsidR="00CD1BB4" w:rsidRPr="0023704D">
        <w:rPr>
          <w:sz w:val="24"/>
          <w:szCs w:val="24"/>
        </w:rPr>
        <w:t xml:space="preserve">Poe Spring vent to 1.4 mg/L in well AAM0898. </w:t>
      </w:r>
    </w:p>
    <w:p w:rsidR="00CD1BB4" w:rsidRDefault="00415BB1">
      <w:pPr>
        <w:rPr>
          <w:sz w:val="24"/>
          <w:szCs w:val="24"/>
        </w:rPr>
      </w:pPr>
      <w:r w:rsidRPr="00415BB1">
        <w:rPr>
          <w:sz w:val="24"/>
          <w:szCs w:val="24"/>
          <w:u w:val="single"/>
        </w:rPr>
        <w:t>G</w:t>
      </w:r>
      <w:r w:rsidR="005466E6">
        <w:rPr>
          <w:sz w:val="24"/>
          <w:szCs w:val="24"/>
          <w:u w:val="single"/>
        </w:rPr>
        <w:t>innie- Gilchrist Blue Springshed</w:t>
      </w:r>
      <w:r w:rsidR="00F00233">
        <w:rPr>
          <w:sz w:val="24"/>
          <w:szCs w:val="24"/>
          <w:u w:val="single"/>
        </w:rPr>
        <w:t xml:space="preserve">.  </w:t>
      </w:r>
      <w:r w:rsidR="00CD1BB4" w:rsidRPr="0023704D">
        <w:rPr>
          <w:sz w:val="24"/>
          <w:szCs w:val="24"/>
        </w:rPr>
        <w:t xml:space="preserve"> </w:t>
      </w:r>
      <w:r w:rsidR="00BE1268">
        <w:rPr>
          <w:sz w:val="24"/>
          <w:szCs w:val="24"/>
        </w:rPr>
        <w:t xml:space="preserve">The NOx concentrations in </w:t>
      </w:r>
      <w:r w:rsidR="00CD1BB4" w:rsidRPr="0023704D">
        <w:rPr>
          <w:sz w:val="24"/>
          <w:szCs w:val="24"/>
        </w:rPr>
        <w:t>the Ginnie-</w:t>
      </w:r>
      <w:r w:rsidR="00502B9E">
        <w:rPr>
          <w:sz w:val="24"/>
          <w:szCs w:val="24"/>
        </w:rPr>
        <w:t>Gilchrist-Blue</w:t>
      </w:r>
      <w:r w:rsidR="00CD1BB4" w:rsidRPr="0023704D">
        <w:rPr>
          <w:sz w:val="24"/>
          <w:szCs w:val="24"/>
        </w:rPr>
        <w:t xml:space="preserve"> springshed</w:t>
      </w:r>
      <w:r w:rsidR="00BE1268">
        <w:rPr>
          <w:sz w:val="24"/>
          <w:szCs w:val="24"/>
        </w:rPr>
        <w:t xml:space="preserve"> spring and private well samples</w:t>
      </w:r>
      <w:r w:rsidR="00CD1BB4" w:rsidRPr="0023704D">
        <w:rPr>
          <w:sz w:val="24"/>
          <w:szCs w:val="24"/>
        </w:rPr>
        <w:t xml:space="preserve"> range</w:t>
      </w:r>
      <w:r w:rsidR="00BE1268">
        <w:rPr>
          <w:sz w:val="24"/>
          <w:szCs w:val="24"/>
        </w:rPr>
        <w:t>d</w:t>
      </w:r>
      <w:r w:rsidR="00CD1BB4" w:rsidRPr="0023704D">
        <w:rPr>
          <w:sz w:val="24"/>
          <w:szCs w:val="24"/>
        </w:rPr>
        <w:t xml:space="preserve"> from 1.0 at the Dogwood Spring vent to 3.4 mg/L in well AAK7015 at the Newberry Cemetery </w:t>
      </w:r>
      <w:r w:rsidR="00401B35">
        <w:rPr>
          <w:sz w:val="24"/>
          <w:szCs w:val="24"/>
        </w:rPr>
        <w:t xml:space="preserve">adjacent to the </w:t>
      </w:r>
      <w:r w:rsidR="00CD1BB4" w:rsidRPr="0023704D">
        <w:rPr>
          <w:sz w:val="24"/>
          <w:szCs w:val="24"/>
        </w:rPr>
        <w:t xml:space="preserve">WWTF.  Highest NOx concentrations measured in spring samples were from Ginnie Spring (1.5 mg/L) and </w:t>
      </w:r>
      <w:r w:rsidR="00502B9E">
        <w:rPr>
          <w:sz w:val="24"/>
          <w:szCs w:val="24"/>
        </w:rPr>
        <w:t>Gilchrist-Blue</w:t>
      </w:r>
      <w:r w:rsidR="00CD1BB4" w:rsidRPr="0023704D">
        <w:rPr>
          <w:sz w:val="24"/>
          <w:szCs w:val="24"/>
        </w:rPr>
        <w:t xml:space="preserve"> Spring (2.1 mg/L</w:t>
      </w:r>
    </w:p>
    <w:p w:rsidR="004A1AF3" w:rsidRDefault="008F40B2">
      <w:pPr>
        <w:rPr>
          <w:sz w:val="24"/>
          <w:szCs w:val="24"/>
        </w:rPr>
      </w:pPr>
      <w:r w:rsidRPr="0023704D">
        <w:rPr>
          <w:sz w:val="24"/>
          <w:szCs w:val="24"/>
        </w:rPr>
        <w:t>T</w:t>
      </w:r>
      <w:r w:rsidR="004B05EF">
        <w:rPr>
          <w:sz w:val="24"/>
          <w:szCs w:val="24"/>
        </w:rPr>
        <w:t>wo</w:t>
      </w:r>
      <w:r w:rsidRPr="0023704D">
        <w:rPr>
          <w:sz w:val="24"/>
          <w:szCs w:val="24"/>
        </w:rPr>
        <w:t xml:space="preserve"> of the 2</w:t>
      </w:r>
      <w:r w:rsidR="00401B35">
        <w:rPr>
          <w:sz w:val="24"/>
          <w:szCs w:val="24"/>
        </w:rPr>
        <w:t>1</w:t>
      </w:r>
      <w:r w:rsidRPr="0023704D">
        <w:rPr>
          <w:sz w:val="24"/>
          <w:szCs w:val="24"/>
        </w:rPr>
        <w:t xml:space="preserve"> wells sampled had nitrate concentrations greater than the ground water standard of 10 mg/L:  AAE6052 (2</w:t>
      </w:r>
      <w:r w:rsidR="0046210C">
        <w:rPr>
          <w:sz w:val="24"/>
          <w:szCs w:val="24"/>
        </w:rPr>
        <w:t>3</w:t>
      </w:r>
      <w:r w:rsidR="00C00F8C">
        <w:rPr>
          <w:sz w:val="24"/>
          <w:szCs w:val="24"/>
        </w:rPr>
        <w:t xml:space="preserve"> mg/L);</w:t>
      </w:r>
      <w:r w:rsidRPr="0023704D">
        <w:rPr>
          <w:sz w:val="24"/>
          <w:szCs w:val="24"/>
        </w:rPr>
        <w:t xml:space="preserve"> and AAJ3890 (12 mg/L) within the Hornsby Spring springshed.  </w:t>
      </w:r>
      <w:r w:rsidR="00FA1BD1">
        <w:rPr>
          <w:sz w:val="24"/>
          <w:szCs w:val="24"/>
        </w:rPr>
        <w:t>The elevated NOx concentrations in t</w:t>
      </w:r>
      <w:r w:rsidRPr="0023704D">
        <w:rPr>
          <w:sz w:val="24"/>
          <w:szCs w:val="24"/>
        </w:rPr>
        <w:t xml:space="preserve">hese wells had been </w:t>
      </w:r>
      <w:r w:rsidR="00FA1BD1">
        <w:rPr>
          <w:sz w:val="24"/>
          <w:szCs w:val="24"/>
        </w:rPr>
        <w:t>identified</w:t>
      </w:r>
      <w:r w:rsidRPr="0023704D">
        <w:rPr>
          <w:sz w:val="24"/>
          <w:szCs w:val="24"/>
        </w:rPr>
        <w:t xml:space="preserve"> previously by </w:t>
      </w:r>
      <w:r w:rsidR="00401B35">
        <w:rPr>
          <w:sz w:val="24"/>
          <w:szCs w:val="24"/>
        </w:rPr>
        <w:t>EPD and ACHD</w:t>
      </w:r>
      <w:r w:rsidR="00401B35" w:rsidRPr="0023704D">
        <w:rPr>
          <w:sz w:val="24"/>
          <w:szCs w:val="24"/>
        </w:rPr>
        <w:t xml:space="preserve"> </w:t>
      </w:r>
      <w:r w:rsidR="00FA1BD1">
        <w:rPr>
          <w:sz w:val="24"/>
          <w:szCs w:val="24"/>
        </w:rPr>
        <w:t xml:space="preserve">and they </w:t>
      </w:r>
      <w:r w:rsidRPr="0023704D">
        <w:rPr>
          <w:sz w:val="24"/>
          <w:szCs w:val="24"/>
        </w:rPr>
        <w:t>were s</w:t>
      </w:r>
      <w:r w:rsidR="00FA1BD1">
        <w:rPr>
          <w:sz w:val="24"/>
          <w:szCs w:val="24"/>
        </w:rPr>
        <w:t xml:space="preserve">elected for </w:t>
      </w:r>
      <w:r w:rsidRPr="0023704D">
        <w:rPr>
          <w:sz w:val="24"/>
          <w:szCs w:val="24"/>
        </w:rPr>
        <w:t>this study to a</w:t>
      </w:r>
      <w:r w:rsidR="00FA1BD1">
        <w:rPr>
          <w:sz w:val="24"/>
          <w:szCs w:val="24"/>
        </w:rPr>
        <w:t xml:space="preserve">id in evaluating the </w:t>
      </w:r>
      <w:r w:rsidRPr="0023704D">
        <w:rPr>
          <w:sz w:val="24"/>
          <w:szCs w:val="24"/>
        </w:rPr>
        <w:t>nitrate sources.</w:t>
      </w:r>
    </w:p>
    <w:p w:rsidR="00CD1BB4" w:rsidRPr="0023704D" w:rsidRDefault="00CD1BB4">
      <w:pPr>
        <w:rPr>
          <w:sz w:val="24"/>
          <w:szCs w:val="24"/>
        </w:rPr>
      </w:pPr>
    </w:p>
    <w:p w:rsidR="00E11472" w:rsidRPr="00240B02" w:rsidRDefault="00E11472" w:rsidP="00E11472">
      <w:pPr>
        <w:pStyle w:val="Heading2"/>
      </w:pPr>
      <w:r w:rsidRPr="00240B02">
        <w:t>Chemical Tracers</w:t>
      </w:r>
    </w:p>
    <w:p w:rsidR="00E11472" w:rsidRPr="0023704D" w:rsidRDefault="00E11472" w:rsidP="00E11472">
      <w:pPr>
        <w:rPr>
          <w:sz w:val="24"/>
          <w:szCs w:val="24"/>
        </w:rPr>
      </w:pPr>
      <w:r w:rsidRPr="0023704D">
        <w:rPr>
          <w:sz w:val="24"/>
          <w:szCs w:val="24"/>
        </w:rPr>
        <w:t xml:space="preserve">Samples were analyzed for several inorganic chemicals that can be used to help evaluate the sources of nitrate in private wells.  When these data are plotted, their relationship to one another and background concentrations can sometimes help us better understand potential influences on the ground water chemistry.  In this study, samples were collected for </w:t>
      </w:r>
      <w:r w:rsidR="0053685D" w:rsidRPr="0023704D">
        <w:rPr>
          <w:sz w:val="24"/>
          <w:szCs w:val="24"/>
        </w:rPr>
        <w:t xml:space="preserve">sulfate, </w:t>
      </w:r>
      <w:r w:rsidRPr="0023704D">
        <w:rPr>
          <w:sz w:val="24"/>
          <w:szCs w:val="24"/>
        </w:rPr>
        <w:lastRenderedPageBreak/>
        <w:t xml:space="preserve">chloride, potassium, and boron.  </w:t>
      </w:r>
      <w:r w:rsidR="00412A1B" w:rsidRPr="0023704D">
        <w:rPr>
          <w:sz w:val="24"/>
          <w:szCs w:val="24"/>
        </w:rPr>
        <w:t>In addition, the samples were analyzed for sulfate, which can be an indicator of denitrification.</w:t>
      </w:r>
    </w:p>
    <w:p w:rsidR="00E11472" w:rsidRPr="0023704D" w:rsidRDefault="00E11472" w:rsidP="00E11472">
      <w:pPr>
        <w:rPr>
          <w:sz w:val="24"/>
          <w:szCs w:val="24"/>
        </w:rPr>
      </w:pPr>
      <w:r w:rsidRPr="0023704D">
        <w:rPr>
          <w:sz w:val="24"/>
          <w:szCs w:val="24"/>
        </w:rPr>
        <w:t>Chloride and potassium are common constituents of both inorganic fertilizer and domestic wastewater</w:t>
      </w:r>
      <w:r w:rsidR="00A30F30" w:rsidRPr="0023704D">
        <w:rPr>
          <w:sz w:val="24"/>
          <w:szCs w:val="24"/>
        </w:rPr>
        <w:t xml:space="preserve"> from wastewater plants and residential septic tanks</w:t>
      </w:r>
      <w:r w:rsidRPr="0023704D">
        <w:rPr>
          <w:sz w:val="24"/>
          <w:szCs w:val="24"/>
        </w:rPr>
        <w:t xml:space="preserve">.  High concentrations of these also correlate with elevated specific conductance and, in some cases, boron.  </w:t>
      </w:r>
      <w:r w:rsidR="009C390A" w:rsidRPr="0023704D">
        <w:rPr>
          <w:sz w:val="24"/>
          <w:szCs w:val="24"/>
        </w:rPr>
        <w:t xml:space="preserve">Chloride can be associated with fertilizer as a component of potassium chloride but it also occurs </w:t>
      </w:r>
      <w:r w:rsidR="00A30F30" w:rsidRPr="0023704D">
        <w:rPr>
          <w:sz w:val="24"/>
          <w:szCs w:val="24"/>
        </w:rPr>
        <w:t xml:space="preserve">as </w:t>
      </w:r>
      <w:r w:rsidR="009C390A" w:rsidRPr="0023704D">
        <w:rPr>
          <w:sz w:val="24"/>
          <w:szCs w:val="24"/>
        </w:rPr>
        <w:t xml:space="preserve">a strong signal for treated domestic wastewater.  </w:t>
      </w:r>
      <w:r w:rsidRPr="0023704D">
        <w:rPr>
          <w:sz w:val="24"/>
          <w:szCs w:val="24"/>
        </w:rPr>
        <w:t xml:space="preserve">Boron can also be associated with both fertilizer and domestic wastewater.  Boron is an essential trace nutrient for </w:t>
      </w:r>
      <w:r w:rsidR="005851EF" w:rsidRPr="0023704D">
        <w:rPr>
          <w:sz w:val="24"/>
          <w:szCs w:val="24"/>
        </w:rPr>
        <w:t>peanuts, which are grown in this area</w:t>
      </w:r>
      <w:r w:rsidRPr="0023704D">
        <w:rPr>
          <w:sz w:val="24"/>
          <w:szCs w:val="24"/>
        </w:rPr>
        <w:t xml:space="preserve"> and is applied where it is deficient in soils (</w:t>
      </w:r>
      <w:r w:rsidR="00E60A20" w:rsidRPr="0023704D">
        <w:rPr>
          <w:sz w:val="24"/>
          <w:szCs w:val="24"/>
        </w:rPr>
        <w:t>0.5 to 0.75</w:t>
      </w:r>
      <w:r w:rsidRPr="0023704D">
        <w:rPr>
          <w:sz w:val="24"/>
          <w:szCs w:val="24"/>
        </w:rPr>
        <w:t xml:space="preserve"> lb boron/acre in fertilizer [</w:t>
      </w:r>
      <w:r w:rsidR="00060EFD" w:rsidRPr="0023704D">
        <w:rPr>
          <w:sz w:val="24"/>
          <w:szCs w:val="24"/>
        </w:rPr>
        <w:t>IFAS, 2003</w:t>
      </w:r>
      <w:r w:rsidRPr="0023704D">
        <w:rPr>
          <w:sz w:val="24"/>
          <w:szCs w:val="24"/>
        </w:rPr>
        <w:t xml:space="preserve">]), however its most significant occurrence </w:t>
      </w:r>
      <w:r w:rsidR="0008691D" w:rsidRPr="0023704D">
        <w:rPr>
          <w:sz w:val="24"/>
          <w:szCs w:val="24"/>
        </w:rPr>
        <w:t xml:space="preserve">as a human influence is </w:t>
      </w:r>
      <w:r w:rsidRPr="0023704D">
        <w:rPr>
          <w:sz w:val="24"/>
          <w:szCs w:val="24"/>
        </w:rPr>
        <w:t xml:space="preserve">from domestic wastewater where it is derived from perborate-containing laundry and dish detergents.  </w:t>
      </w:r>
    </w:p>
    <w:p w:rsidR="00EA5EBC" w:rsidRDefault="004B05EF" w:rsidP="00E11472">
      <w:pPr>
        <w:rPr>
          <w:sz w:val="24"/>
          <w:szCs w:val="24"/>
        </w:rPr>
      </w:pPr>
      <w:r>
        <w:rPr>
          <w:sz w:val="24"/>
          <w:szCs w:val="24"/>
        </w:rPr>
        <w:t>S</w:t>
      </w:r>
      <w:r w:rsidR="00B01D8C" w:rsidRPr="0023704D">
        <w:rPr>
          <w:sz w:val="24"/>
          <w:szCs w:val="24"/>
        </w:rPr>
        <w:t xml:space="preserve">everal of the ground water samples collected during this study were intentionally collected </w:t>
      </w:r>
      <w:r w:rsidR="000F1980" w:rsidRPr="0023704D">
        <w:rPr>
          <w:sz w:val="24"/>
          <w:szCs w:val="24"/>
        </w:rPr>
        <w:t xml:space="preserve">from wells at or </w:t>
      </w:r>
      <w:r w:rsidR="00B01D8C" w:rsidRPr="0023704D">
        <w:rPr>
          <w:sz w:val="24"/>
          <w:szCs w:val="24"/>
        </w:rPr>
        <w:t>near domestic wastewater treatment sites to help characterize their chemical signatures.</w:t>
      </w:r>
      <w:r w:rsidR="00C533BC" w:rsidRPr="0023704D">
        <w:rPr>
          <w:sz w:val="24"/>
          <w:szCs w:val="24"/>
        </w:rPr>
        <w:t xml:space="preserve">  In addition, one domestic wastewater effluent sample was obtained.</w:t>
      </w:r>
      <w:r w:rsidR="000F1980" w:rsidRPr="0023704D">
        <w:rPr>
          <w:sz w:val="24"/>
          <w:szCs w:val="24"/>
        </w:rPr>
        <w:t xml:space="preserve">  The sample from a High Springs Wastewater Plant (</w:t>
      </w:r>
      <w:r w:rsidR="000F1980" w:rsidRPr="0023704D">
        <w:rPr>
          <w:b/>
          <w:sz w:val="24"/>
          <w:szCs w:val="24"/>
        </w:rPr>
        <w:t>Table 1</w:t>
      </w:r>
      <w:r w:rsidR="000F1980" w:rsidRPr="0023704D">
        <w:rPr>
          <w:sz w:val="24"/>
          <w:szCs w:val="24"/>
        </w:rPr>
        <w:t xml:space="preserve">) </w:t>
      </w:r>
      <w:r w:rsidR="00C533BC" w:rsidRPr="0023704D">
        <w:rPr>
          <w:sz w:val="24"/>
          <w:szCs w:val="24"/>
        </w:rPr>
        <w:t xml:space="preserve">contained chloride, boron and potassium concentrations at least 10 times higher than the median concentration </w:t>
      </w:r>
      <w:r>
        <w:rPr>
          <w:sz w:val="24"/>
          <w:szCs w:val="24"/>
        </w:rPr>
        <w:t xml:space="preserve">of </w:t>
      </w:r>
      <w:r w:rsidR="00C533BC" w:rsidRPr="0023704D">
        <w:rPr>
          <w:sz w:val="24"/>
          <w:szCs w:val="24"/>
        </w:rPr>
        <w:t xml:space="preserve">the ground water samples. </w:t>
      </w:r>
      <w:r w:rsidR="00F60199" w:rsidRPr="0023704D">
        <w:rPr>
          <w:sz w:val="24"/>
          <w:szCs w:val="24"/>
        </w:rPr>
        <w:t xml:space="preserve">Only one other sample, from a </w:t>
      </w:r>
      <w:r w:rsidR="00401B35">
        <w:rPr>
          <w:sz w:val="24"/>
          <w:szCs w:val="24"/>
        </w:rPr>
        <w:t>private</w:t>
      </w:r>
      <w:r w:rsidR="00401B35" w:rsidRPr="0023704D">
        <w:rPr>
          <w:sz w:val="24"/>
          <w:szCs w:val="24"/>
        </w:rPr>
        <w:t xml:space="preserve"> </w:t>
      </w:r>
      <w:r w:rsidR="00F60199" w:rsidRPr="0023704D">
        <w:rPr>
          <w:sz w:val="24"/>
          <w:szCs w:val="24"/>
        </w:rPr>
        <w:t>well near Alachua’s wastewater sprayfield</w:t>
      </w:r>
      <w:r>
        <w:rPr>
          <w:sz w:val="24"/>
          <w:szCs w:val="24"/>
        </w:rPr>
        <w:t>,</w:t>
      </w:r>
      <w:r w:rsidR="00F60199" w:rsidRPr="0023704D">
        <w:rPr>
          <w:sz w:val="24"/>
          <w:szCs w:val="24"/>
        </w:rPr>
        <w:t xml:space="preserve"> had concentrations similar to these (AAJ3890 in </w:t>
      </w:r>
      <w:r w:rsidR="00F60199" w:rsidRPr="00FA1BD1">
        <w:rPr>
          <w:b/>
          <w:sz w:val="24"/>
          <w:szCs w:val="24"/>
        </w:rPr>
        <w:t>Table 1</w:t>
      </w:r>
      <w:r w:rsidR="00F60199" w:rsidRPr="0023704D">
        <w:rPr>
          <w:sz w:val="24"/>
          <w:szCs w:val="24"/>
        </w:rPr>
        <w:t xml:space="preserve">).  The potential influence of domestic wastewater from effluent sites or septic tanks on other wells </w:t>
      </w:r>
      <w:r w:rsidR="00EA5EBC" w:rsidRPr="0023704D">
        <w:rPr>
          <w:sz w:val="24"/>
          <w:szCs w:val="24"/>
        </w:rPr>
        <w:t>and for</w:t>
      </w:r>
      <w:r w:rsidR="00F60199" w:rsidRPr="0023704D">
        <w:rPr>
          <w:sz w:val="24"/>
          <w:szCs w:val="24"/>
        </w:rPr>
        <w:t xml:space="preserve"> springs c</w:t>
      </w:r>
      <w:r w:rsidR="00EA5EBC" w:rsidRPr="0023704D">
        <w:rPr>
          <w:sz w:val="24"/>
          <w:szCs w:val="24"/>
        </w:rPr>
        <w:t>an</w:t>
      </w:r>
      <w:r w:rsidR="00F60199" w:rsidRPr="0023704D">
        <w:rPr>
          <w:sz w:val="24"/>
          <w:szCs w:val="24"/>
        </w:rPr>
        <w:t xml:space="preserve"> be evaluated by comparing the concentrations of these against the medians for all wells and springs.  </w:t>
      </w:r>
      <w:r w:rsidR="00EA5EBC" w:rsidRPr="0023704D">
        <w:rPr>
          <w:sz w:val="24"/>
          <w:szCs w:val="24"/>
        </w:rPr>
        <w:t>We found the concentration of chloride and boron to be particularly</w:t>
      </w:r>
      <w:r w:rsidR="000D6FAC" w:rsidRPr="0023704D">
        <w:rPr>
          <w:sz w:val="24"/>
          <w:szCs w:val="24"/>
        </w:rPr>
        <w:t xml:space="preserve"> useful as they correlate </w:t>
      </w:r>
      <w:r w:rsidR="009C390A" w:rsidRPr="0023704D">
        <w:rPr>
          <w:sz w:val="24"/>
          <w:szCs w:val="24"/>
        </w:rPr>
        <w:t xml:space="preserve">fairly </w:t>
      </w:r>
      <w:r w:rsidR="000D6FAC" w:rsidRPr="0023704D">
        <w:rPr>
          <w:sz w:val="24"/>
          <w:szCs w:val="24"/>
        </w:rPr>
        <w:t>well</w:t>
      </w:r>
      <w:r w:rsidR="009C390A" w:rsidRPr="0023704D">
        <w:rPr>
          <w:sz w:val="24"/>
          <w:szCs w:val="24"/>
        </w:rPr>
        <w:t xml:space="preserve"> in domestic wastewater</w:t>
      </w:r>
      <w:r w:rsidR="00EA5EBC" w:rsidRPr="0023704D">
        <w:rPr>
          <w:sz w:val="24"/>
          <w:szCs w:val="24"/>
        </w:rPr>
        <w:t xml:space="preserve">.  This </w:t>
      </w:r>
      <w:r w:rsidR="0008691D" w:rsidRPr="0023704D">
        <w:rPr>
          <w:sz w:val="24"/>
          <w:szCs w:val="24"/>
        </w:rPr>
        <w:t>relationship</w:t>
      </w:r>
      <w:r w:rsidR="00EA5EBC" w:rsidRPr="0023704D">
        <w:rPr>
          <w:sz w:val="24"/>
          <w:szCs w:val="24"/>
        </w:rPr>
        <w:t xml:space="preserve"> is shown in </w:t>
      </w:r>
      <w:r w:rsidR="00EA5EBC" w:rsidRPr="0023704D">
        <w:rPr>
          <w:b/>
          <w:sz w:val="24"/>
          <w:szCs w:val="24"/>
        </w:rPr>
        <w:t xml:space="preserve">Figure </w:t>
      </w:r>
      <w:r w:rsidR="000D6FAC" w:rsidRPr="0023704D">
        <w:rPr>
          <w:b/>
          <w:sz w:val="24"/>
          <w:szCs w:val="24"/>
        </w:rPr>
        <w:t>3</w:t>
      </w:r>
      <w:r w:rsidR="00EA5EBC" w:rsidRPr="0023704D">
        <w:rPr>
          <w:sz w:val="24"/>
          <w:szCs w:val="24"/>
        </w:rPr>
        <w:t>.</w:t>
      </w:r>
    </w:p>
    <w:p w:rsidR="00FA1BD1" w:rsidRPr="0023704D" w:rsidRDefault="00FA1BD1" w:rsidP="00FA1BD1">
      <w:pPr>
        <w:rPr>
          <w:sz w:val="24"/>
          <w:szCs w:val="24"/>
        </w:rPr>
      </w:pPr>
      <w:r w:rsidRPr="0023704D">
        <w:rPr>
          <w:sz w:val="24"/>
          <w:szCs w:val="24"/>
        </w:rPr>
        <w:t>This analysis showed that 4 of the 9 spring samples and 4 of the 21 ground water samples are above the median concentrations for both chloride and boron.  These samples also have above-median potassium concentrations.  These samples may be influenced by domestic wastewater.  The springs with the highest chloride and boron concentrations are Poe and Hornsby, and Devils Ear Spring also has slightly above-median chloride, boron and potassium concentrations.  Two of the wells with above median chloride and boron concentrations are in the Hornsby springshed, one is in the Ginnie-</w:t>
      </w:r>
      <w:r>
        <w:rPr>
          <w:sz w:val="24"/>
          <w:szCs w:val="24"/>
        </w:rPr>
        <w:t>Gilchrist-Blue</w:t>
      </w:r>
      <w:r w:rsidRPr="0023704D">
        <w:rPr>
          <w:sz w:val="24"/>
          <w:szCs w:val="24"/>
        </w:rPr>
        <w:t xml:space="preserve"> springshed (near a wastewater application site) and the other is not in any of the identified springsheds.  </w:t>
      </w:r>
    </w:p>
    <w:p w:rsidR="00FA1BD1" w:rsidRPr="0023704D" w:rsidRDefault="00FA1BD1" w:rsidP="00E11472">
      <w:pPr>
        <w:rPr>
          <w:sz w:val="24"/>
          <w:szCs w:val="24"/>
        </w:rPr>
      </w:pPr>
    </w:p>
    <w:p w:rsidR="00EA5EBC" w:rsidRDefault="00EA5EBC" w:rsidP="00E11472">
      <w:r>
        <w:rPr>
          <w:noProof/>
        </w:rPr>
        <w:lastRenderedPageBreak/>
        <w:drawing>
          <wp:inline distT="0" distB="0" distL="0" distR="0">
            <wp:extent cx="6124575" cy="4882649"/>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l="27885" t="22088" r="14423" b="20281"/>
                    <a:stretch>
                      <a:fillRect/>
                    </a:stretch>
                  </pic:blipFill>
                  <pic:spPr bwMode="auto">
                    <a:xfrm>
                      <a:off x="0" y="0"/>
                      <a:ext cx="6124860" cy="4882876"/>
                    </a:xfrm>
                    <a:prstGeom prst="rect">
                      <a:avLst/>
                    </a:prstGeom>
                    <a:noFill/>
                    <a:ln w="9525">
                      <a:noFill/>
                      <a:miter lim="800000"/>
                      <a:headEnd/>
                      <a:tailEnd/>
                    </a:ln>
                  </pic:spPr>
                </pic:pic>
              </a:graphicData>
            </a:graphic>
          </wp:inline>
        </w:drawing>
      </w:r>
    </w:p>
    <w:p w:rsidR="00EA5EBC" w:rsidRPr="00866267" w:rsidRDefault="003B267C" w:rsidP="00866267">
      <w:pPr>
        <w:jc w:val="center"/>
        <w:rPr>
          <w:b/>
        </w:rPr>
      </w:pPr>
      <w:r w:rsidRPr="00866267">
        <w:rPr>
          <w:b/>
        </w:rPr>
        <w:t xml:space="preserve">Figure </w:t>
      </w:r>
      <w:r w:rsidR="000D6FAC">
        <w:rPr>
          <w:b/>
        </w:rPr>
        <w:t xml:space="preserve">3. </w:t>
      </w:r>
      <w:r w:rsidR="00874A65">
        <w:rPr>
          <w:b/>
        </w:rPr>
        <w:t xml:space="preserve"> Relationship of Boron to C</w:t>
      </w:r>
      <w:r w:rsidRPr="00866267">
        <w:rPr>
          <w:b/>
        </w:rPr>
        <w:t>h</w:t>
      </w:r>
      <w:r w:rsidR="00840746">
        <w:rPr>
          <w:b/>
        </w:rPr>
        <w:t>l</w:t>
      </w:r>
      <w:r w:rsidRPr="00866267">
        <w:rPr>
          <w:b/>
        </w:rPr>
        <w:t>o</w:t>
      </w:r>
      <w:r w:rsidR="00874A65">
        <w:rPr>
          <w:b/>
        </w:rPr>
        <w:t>ride Concentrations in Ground Water and Spring S</w:t>
      </w:r>
      <w:r w:rsidRPr="00866267">
        <w:rPr>
          <w:b/>
        </w:rPr>
        <w:t>amples</w:t>
      </w:r>
    </w:p>
    <w:p w:rsidR="00FA1BD1" w:rsidRDefault="00FA1BD1" w:rsidP="000A54F7">
      <w:pPr>
        <w:rPr>
          <w:sz w:val="24"/>
          <w:szCs w:val="24"/>
        </w:rPr>
      </w:pPr>
    </w:p>
    <w:p w:rsidR="00491E88" w:rsidRPr="0023704D" w:rsidRDefault="00A82704" w:rsidP="000A54F7">
      <w:pPr>
        <w:rPr>
          <w:sz w:val="24"/>
          <w:szCs w:val="24"/>
        </w:rPr>
      </w:pPr>
      <w:r w:rsidRPr="0023704D">
        <w:rPr>
          <w:sz w:val="24"/>
          <w:szCs w:val="24"/>
        </w:rPr>
        <w:t xml:space="preserve">While these </w:t>
      </w:r>
      <w:r w:rsidR="00E11472" w:rsidRPr="0023704D">
        <w:rPr>
          <w:sz w:val="24"/>
          <w:szCs w:val="24"/>
        </w:rPr>
        <w:t xml:space="preserve">samples may indicate </w:t>
      </w:r>
      <w:r w:rsidRPr="0023704D">
        <w:rPr>
          <w:sz w:val="24"/>
          <w:szCs w:val="24"/>
        </w:rPr>
        <w:t>domestic wastewater</w:t>
      </w:r>
      <w:r w:rsidR="00E11472" w:rsidRPr="0023704D">
        <w:rPr>
          <w:sz w:val="24"/>
          <w:szCs w:val="24"/>
        </w:rPr>
        <w:t xml:space="preserve"> influence causing elevated chloride and boron, that evidence alone does not confirm the source of elevated </w:t>
      </w:r>
      <w:r w:rsidR="00A146A3" w:rsidRPr="0023704D">
        <w:rPr>
          <w:sz w:val="24"/>
          <w:szCs w:val="24"/>
        </w:rPr>
        <w:t>NO</w:t>
      </w:r>
      <w:r w:rsidR="008E03CD" w:rsidRPr="0023704D">
        <w:rPr>
          <w:sz w:val="24"/>
          <w:szCs w:val="24"/>
        </w:rPr>
        <w:t>x</w:t>
      </w:r>
      <w:r w:rsidR="001B0A57" w:rsidRPr="0023704D">
        <w:rPr>
          <w:sz w:val="24"/>
          <w:szCs w:val="24"/>
        </w:rPr>
        <w:t>, nor do elevated chloride and boron necessarily coincide with elevated NO</w:t>
      </w:r>
      <w:r w:rsidR="008E03CD" w:rsidRPr="0023704D">
        <w:rPr>
          <w:sz w:val="24"/>
          <w:szCs w:val="24"/>
        </w:rPr>
        <w:t>x</w:t>
      </w:r>
      <w:r w:rsidR="00A146A3" w:rsidRPr="0023704D">
        <w:rPr>
          <w:sz w:val="24"/>
          <w:szCs w:val="24"/>
          <w:vertAlign w:val="subscript"/>
        </w:rPr>
        <w:t>.</w:t>
      </w:r>
      <w:r w:rsidR="001B0A57" w:rsidRPr="0023704D">
        <w:rPr>
          <w:sz w:val="24"/>
          <w:szCs w:val="24"/>
        </w:rPr>
        <w:t>.  The attenuation of boron and chloride in ground water occurs mainly through dilution, which is why these parameters are considered conservative tracers</w:t>
      </w:r>
      <w:r w:rsidR="00E05058" w:rsidRPr="0023704D">
        <w:rPr>
          <w:sz w:val="24"/>
          <w:szCs w:val="24"/>
        </w:rPr>
        <w:t xml:space="preserve">.  However, nitrate in NOx can be reduced through other means, most notably denitrification.  There is some evidence that the nitrate in some of the springs has been reduced by denitrification, which can cause </w:t>
      </w:r>
      <w:r w:rsidR="009E7FDD" w:rsidRPr="0023704D">
        <w:rPr>
          <w:sz w:val="24"/>
          <w:szCs w:val="24"/>
        </w:rPr>
        <w:t xml:space="preserve">reduction of sulfur and increased concentrations of sulfate in the water.  We noted that sulfate concentrations were elevated in </w:t>
      </w:r>
      <w:r w:rsidR="00874A65" w:rsidRPr="0023704D">
        <w:rPr>
          <w:sz w:val="24"/>
          <w:szCs w:val="24"/>
        </w:rPr>
        <w:t>Hornsby and Poe Springs</w:t>
      </w:r>
      <w:r w:rsidR="00CF4292" w:rsidRPr="0023704D">
        <w:rPr>
          <w:sz w:val="24"/>
          <w:szCs w:val="24"/>
        </w:rPr>
        <w:t>,</w:t>
      </w:r>
      <w:r w:rsidR="00874A65" w:rsidRPr="0023704D">
        <w:rPr>
          <w:sz w:val="24"/>
          <w:szCs w:val="24"/>
        </w:rPr>
        <w:t xml:space="preserve"> </w:t>
      </w:r>
      <w:r w:rsidR="00CF4292" w:rsidRPr="0023704D">
        <w:rPr>
          <w:sz w:val="24"/>
          <w:szCs w:val="24"/>
        </w:rPr>
        <w:t xml:space="preserve">well </w:t>
      </w:r>
      <w:r w:rsidR="00874A65" w:rsidRPr="0023704D">
        <w:rPr>
          <w:sz w:val="24"/>
          <w:szCs w:val="24"/>
        </w:rPr>
        <w:t xml:space="preserve">AAJ3890 (near wastewater application site), and </w:t>
      </w:r>
      <w:r w:rsidR="00CF4292" w:rsidRPr="0023704D">
        <w:rPr>
          <w:sz w:val="24"/>
          <w:szCs w:val="24"/>
        </w:rPr>
        <w:t xml:space="preserve">well </w:t>
      </w:r>
      <w:r w:rsidR="00874A65" w:rsidRPr="0023704D">
        <w:rPr>
          <w:sz w:val="24"/>
          <w:szCs w:val="24"/>
        </w:rPr>
        <w:t>AAK7044</w:t>
      </w:r>
      <w:r w:rsidR="00491E88" w:rsidRPr="0023704D">
        <w:rPr>
          <w:sz w:val="24"/>
          <w:szCs w:val="24"/>
        </w:rPr>
        <w:t xml:space="preserve">, all of which had chloride and boron signatures potentially indicative of wastewater influence.  </w:t>
      </w:r>
      <w:r w:rsidR="00491E88" w:rsidRPr="0023704D">
        <w:rPr>
          <w:sz w:val="24"/>
          <w:szCs w:val="24"/>
        </w:rPr>
        <w:lastRenderedPageBreak/>
        <w:t xml:space="preserve">This could be </w:t>
      </w:r>
      <w:r w:rsidR="00CF4292" w:rsidRPr="0023704D">
        <w:rPr>
          <w:sz w:val="24"/>
          <w:szCs w:val="24"/>
        </w:rPr>
        <w:t>due to</w:t>
      </w:r>
      <w:r w:rsidR="00491E88" w:rsidRPr="0023704D">
        <w:rPr>
          <w:sz w:val="24"/>
          <w:szCs w:val="24"/>
        </w:rPr>
        <w:t xml:space="preserve"> denitrification</w:t>
      </w:r>
      <w:r w:rsidR="00CF4292" w:rsidRPr="0023704D">
        <w:rPr>
          <w:sz w:val="24"/>
          <w:szCs w:val="24"/>
        </w:rPr>
        <w:t xml:space="preserve"> of nitrate in wastewater, which has its own organic food source for bacteria</w:t>
      </w:r>
      <w:r w:rsidR="00491E88" w:rsidRPr="0023704D">
        <w:rPr>
          <w:sz w:val="24"/>
          <w:szCs w:val="24"/>
        </w:rPr>
        <w:t>.</w:t>
      </w:r>
      <w:r w:rsidR="00A146A3" w:rsidRPr="0023704D">
        <w:rPr>
          <w:sz w:val="24"/>
          <w:szCs w:val="24"/>
        </w:rPr>
        <w:t xml:space="preserve"> </w:t>
      </w:r>
      <w:r w:rsidR="00E11472" w:rsidRPr="0023704D">
        <w:rPr>
          <w:sz w:val="24"/>
          <w:szCs w:val="24"/>
        </w:rPr>
        <w:t xml:space="preserve"> </w:t>
      </w:r>
    </w:p>
    <w:p w:rsidR="00E11472" w:rsidRPr="0023704D" w:rsidRDefault="00354614" w:rsidP="000A54F7">
      <w:pPr>
        <w:rPr>
          <w:sz w:val="24"/>
          <w:szCs w:val="24"/>
        </w:rPr>
      </w:pPr>
      <w:r w:rsidRPr="0023704D">
        <w:rPr>
          <w:sz w:val="24"/>
          <w:szCs w:val="24"/>
        </w:rPr>
        <w:t xml:space="preserve">Elevated NOx in the absence of these signatures, which was observed in the majority of the spring and well samples, could be related to other sources such as inorganic fertilizer or animal waste.  </w:t>
      </w:r>
      <w:r w:rsidR="00E11472" w:rsidRPr="0023704D">
        <w:rPr>
          <w:sz w:val="24"/>
          <w:szCs w:val="24"/>
        </w:rPr>
        <w:t>The use of isotopic tracers can provide better confidence in our interpretations of nitrate sources</w:t>
      </w:r>
      <w:r w:rsidR="00491E88" w:rsidRPr="0023704D">
        <w:rPr>
          <w:sz w:val="24"/>
          <w:szCs w:val="24"/>
        </w:rPr>
        <w:t xml:space="preserve"> and denitrification</w:t>
      </w:r>
      <w:r w:rsidR="00E11472" w:rsidRPr="0023704D">
        <w:rPr>
          <w:sz w:val="24"/>
          <w:szCs w:val="24"/>
        </w:rPr>
        <w:t>.</w:t>
      </w:r>
    </w:p>
    <w:p w:rsidR="004757C6" w:rsidRPr="00D75201" w:rsidRDefault="004757C6" w:rsidP="00B45E50">
      <w:pPr>
        <w:pStyle w:val="Heading2"/>
      </w:pPr>
      <w:r w:rsidRPr="00D75201">
        <w:t>Isotopic Tracers</w:t>
      </w:r>
    </w:p>
    <w:p w:rsidR="004757C6" w:rsidRPr="0023704D" w:rsidRDefault="004757C6" w:rsidP="004757C6">
      <w:pPr>
        <w:rPr>
          <w:sz w:val="24"/>
          <w:szCs w:val="24"/>
        </w:rPr>
      </w:pPr>
      <w:r w:rsidRPr="0023704D">
        <w:rPr>
          <w:sz w:val="24"/>
          <w:szCs w:val="24"/>
        </w:rPr>
        <w:t xml:space="preserve">Measurements of nitrogen and oxygen isotope ratios, </w:t>
      </w:r>
      <w:r w:rsidRPr="0023704D">
        <w:rPr>
          <w:sz w:val="24"/>
          <w:szCs w:val="24"/>
          <w:vertAlign w:val="superscript"/>
        </w:rPr>
        <w:t>15</w:t>
      </w:r>
      <w:r w:rsidRPr="0023704D">
        <w:rPr>
          <w:sz w:val="24"/>
          <w:szCs w:val="24"/>
        </w:rPr>
        <w:t>N/</w:t>
      </w:r>
      <w:r w:rsidRPr="0023704D">
        <w:rPr>
          <w:sz w:val="24"/>
          <w:szCs w:val="24"/>
          <w:vertAlign w:val="superscript"/>
        </w:rPr>
        <w:t>14</w:t>
      </w:r>
      <w:r w:rsidRPr="0023704D">
        <w:rPr>
          <w:sz w:val="24"/>
          <w:szCs w:val="24"/>
        </w:rPr>
        <w:t xml:space="preserve">N and </w:t>
      </w:r>
      <w:r w:rsidRPr="0023704D">
        <w:rPr>
          <w:sz w:val="24"/>
          <w:szCs w:val="24"/>
          <w:vertAlign w:val="superscript"/>
        </w:rPr>
        <w:t>18</w:t>
      </w:r>
      <w:r w:rsidRPr="0023704D">
        <w:rPr>
          <w:sz w:val="24"/>
          <w:szCs w:val="24"/>
        </w:rPr>
        <w:t>O/</w:t>
      </w:r>
      <w:r w:rsidRPr="0023704D">
        <w:rPr>
          <w:sz w:val="24"/>
          <w:szCs w:val="24"/>
          <w:vertAlign w:val="superscript"/>
        </w:rPr>
        <w:t>16</w:t>
      </w:r>
      <w:r w:rsidRPr="0023704D">
        <w:rPr>
          <w:sz w:val="24"/>
          <w:szCs w:val="24"/>
        </w:rPr>
        <w:t>O</w:t>
      </w:r>
      <w:r w:rsidRPr="0023704D">
        <w:rPr>
          <w:sz w:val="24"/>
          <w:szCs w:val="24"/>
          <w:vertAlign w:val="subscript"/>
        </w:rPr>
        <w:t>NO3</w:t>
      </w:r>
      <w:r w:rsidRPr="0023704D">
        <w:rPr>
          <w:sz w:val="24"/>
          <w:szCs w:val="24"/>
        </w:rPr>
        <w:t>, have been used for years to help differentiate between sources of nitrate in ground water and to evaluate whether nitrogen concentration changes are due to the mixing of nitrate sources or to denitrification (</w:t>
      </w:r>
      <w:r w:rsidR="00CB2650">
        <w:rPr>
          <w:sz w:val="24"/>
          <w:szCs w:val="24"/>
        </w:rPr>
        <w:t xml:space="preserve">Kendall and McDowell, 1988; </w:t>
      </w:r>
      <w:r w:rsidRPr="0023704D">
        <w:rPr>
          <w:sz w:val="24"/>
          <w:szCs w:val="24"/>
        </w:rPr>
        <w:t>Roadcap et al., 2002</w:t>
      </w:r>
      <w:r w:rsidR="00A12C56">
        <w:rPr>
          <w:sz w:val="24"/>
          <w:szCs w:val="24"/>
        </w:rPr>
        <w:t>; Xue et al, 2009)</w:t>
      </w:r>
      <w:r w:rsidRPr="0023704D">
        <w:rPr>
          <w:sz w:val="24"/>
          <w:szCs w:val="24"/>
        </w:rPr>
        <w:t>.  These ratios for nitrogen and oxygen isotopes are represented in the delta notation, δ</w:t>
      </w:r>
      <w:r w:rsidRPr="0023704D">
        <w:rPr>
          <w:sz w:val="24"/>
          <w:szCs w:val="24"/>
          <w:vertAlign w:val="superscript"/>
        </w:rPr>
        <w:t>15</w:t>
      </w:r>
      <w:r w:rsidRPr="0023704D">
        <w:rPr>
          <w:sz w:val="24"/>
          <w:szCs w:val="24"/>
        </w:rPr>
        <w:t>N and δ</w:t>
      </w:r>
      <w:r w:rsidRPr="0023704D">
        <w:rPr>
          <w:sz w:val="24"/>
          <w:szCs w:val="24"/>
          <w:vertAlign w:val="superscript"/>
        </w:rPr>
        <w:t>18</w:t>
      </w:r>
      <w:r w:rsidRPr="0023704D">
        <w:rPr>
          <w:sz w:val="24"/>
          <w:szCs w:val="24"/>
        </w:rPr>
        <w:t>O, respectively and</w:t>
      </w:r>
      <w:r w:rsidR="00A70969" w:rsidRPr="0023704D">
        <w:rPr>
          <w:sz w:val="24"/>
          <w:szCs w:val="24"/>
        </w:rPr>
        <w:t xml:space="preserve"> are</w:t>
      </w:r>
      <w:r w:rsidRPr="0023704D">
        <w:rPr>
          <w:sz w:val="24"/>
          <w:szCs w:val="24"/>
        </w:rPr>
        <w:t xml:space="preserve"> reported as parts per thousand (‰) deviations from recognized standards.  </w:t>
      </w:r>
    </w:p>
    <w:p w:rsidR="004757C6" w:rsidRDefault="004757C6" w:rsidP="004757C6">
      <w:pPr>
        <w:rPr>
          <w:sz w:val="24"/>
          <w:szCs w:val="24"/>
        </w:rPr>
      </w:pPr>
      <w:r w:rsidRPr="0023704D">
        <w:rPr>
          <w:sz w:val="24"/>
          <w:szCs w:val="24"/>
        </w:rPr>
        <w:t>Over the years, researchers have associated isotopic ratios in ground water with a variety of sources and fro</w:t>
      </w:r>
      <w:r w:rsidR="00A70969" w:rsidRPr="0023704D">
        <w:rPr>
          <w:sz w:val="24"/>
          <w:szCs w:val="24"/>
        </w:rPr>
        <w:t>m that data</w:t>
      </w:r>
      <w:r w:rsidRPr="0023704D">
        <w:rPr>
          <w:sz w:val="24"/>
          <w:szCs w:val="24"/>
        </w:rPr>
        <w:t xml:space="preserve"> general δ</w:t>
      </w:r>
      <w:r w:rsidRPr="0023704D">
        <w:rPr>
          <w:sz w:val="24"/>
          <w:szCs w:val="24"/>
          <w:vertAlign w:val="superscript"/>
        </w:rPr>
        <w:t>15</w:t>
      </w:r>
      <w:r w:rsidRPr="0023704D">
        <w:rPr>
          <w:sz w:val="24"/>
          <w:szCs w:val="24"/>
        </w:rPr>
        <w:t xml:space="preserve">N ranges have been assigned for the types of sources.  These are shown along the x axis in </w:t>
      </w:r>
      <w:r w:rsidRPr="0023704D">
        <w:rPr>
          <w:b/>
          <w:sz w:val="24"/>
          <w:szCs w:val="24"/>
        </w:rPr>
        <w:t>Figure</w:t>
      </w:r>
      <w:r w:rsidR="00361573" w:rsidRPr="0023704D">
        <w:rPr>
          <w:b/>
          <w:sz w:val="24"/>
          <w:szCs w:val="24"/>
        </w:rPr>
        <w:t xml:space="preserve"> 4. </w:t>
      </w:r>
      <w:r w:rsidRPr="0023704D">
        <w:rPr>
          <w:b/>
          <w:sz w:val="24"/>
          <w:szCs w:val="24"/>
        </w:rPr>
        <w:t xml:space="preserve"> </w:t>
      </w:r>
      <w:r w:rsidRPr="0023704D">
        <w:rPr>
          <w:sz w:val="24"/>
          <w:szCs w:val="24"/>
        </w:rPr>
        <w:t xml:space="preserve">The three </w:t>
      </w:r>
      <w:r w:rsidR="00C26868" w:rsidRPr="0023704D">
        <w:rPr>
          <w:sz w:val="24"/>
          <w:szCs w:val="24"/>
        </w:rPr>
        <w:t>main nitrogen</w:t>
      </w:r>
      <w:r w:rsidRPr="0023704D">
        <w:rPr>
          <w:sz w:val="24"/>
          <w:szCs w:val="24"/>
        </w:rPr>
        <w:t xml:space="preserve"> source categories are inorganic (from </w:t>
      </w:r>
      <w:r w:rsidR="00256D8B" w:rsidRPr="0023704D">
        <w:rPr>
          <w:sz w:val="24"/>
          <w:szCs w:val="24"/>
        </w:rPr>
        <w:t xml:space="preserve">fertilizer), organic (from animal waste or domestic wastewater), and soil (which includes nitrogen from any source that is assimilated by the soil and accumulated in soil organic matter).  </w:t>
      </w:r>
    </w:p>
    <w:p w:rsidR="00FA1BD1" w:rsidRPr="0023704D" w:rsidRDefault="00FA1BD1" w:rsidP="00FA1BD1">
      <w:pPr>
        <w:rPr>
          <w:sz w:val="24"/>
          <w:szCs w:val="24"/>
        </w:rPr>
      </w:pPr>
      <w:r w:rsidRPr="0023704D">
        <w:rPr>
          <w:sz w:val="24"/>
          <w:szCs w:val="24"/>
        </w:rPr>
        <w:t>Inorganic nitrogen sources like fertilizers and mineralized fertilizer residues have δ</w:t>
      </w:r>
      <w:r w:rsidRPr="0023704D">
        <w:rPr>
          <w:sz w:val="24"/>
          <w:szCs w:val="24"/>
          <w:vertAlign w:val="superscript"/>
        </w:rPr>
        <w:t>15</w:t>
      </w:r>
      <w:r w:rsidRPr="0023704D">
        <w:rPr>
          <w:sz w:val="24"/>
          <w:szCs w:val="24"/>
        </w:rPr>
        <w:t>N values in the range of -4 to approximately 4‰.  Organic sources of nitrogen like septic tank effluent and animal manure have δ</w:t>
      </w:r>
      <w:r w:rsidRPr="0023704D">
        <w:rPr>
          <w:sz w:val="24"/>
          <w:szCs w:val="24"/>
          <w:vertAlign w:val="superscript"/>
        </w:rPr>
        <w:t>15</w:t>
      </w:r>
      <w:r w:rsidRPr="0023704D">
        <w:rPr>
          <w:sz w:val="24"/>
          <w:szCs w:val="24"/>
        </w:rPr>
        <w:t>N values in the range of approximately 7 to 20‰.  Soil nitrogen, which includes the nitrogen that has been assimilated by the soil from a variety of sources, may be represented by δ</w:t>
      </w:r>
      <w:r w:rsidRPr="0023704D">
        <w:rPr>
          <w:sz w:val="24"/>
          <w:szCs w:val="24"/>
          <w:vertAlign w:val="superscript"/>
        </w:rPr>
        <w:t>15</w:t>
      </w:r>
      <w:r w:rsidRPr="0023704D">
        <w:rPr>
          <w:sz w:val="24"/>
          <w:szCs w:val="24"/>
        </w:rPr>
        <w:t>N values ranging from approximately 0 to 12‰.  Soil nitrogen may be less of a factor where soils have low organic carbon content, such as the sandy soils in this area, because these types of soils do not much retain nitrogen.</w:t>
      </w:r>
    </w:p>
    <w:p w:rsidR="00F00233" w:rsidRPr="0023704D" w:rsidRDefault="00F00233" w:rsidP="00F00233">
      <w:pPr>
        <w:rPr>
          <w:sz w:val="24"/>
          <w:szCs w:val="24"/>
        </w:rPr>
      </w:pPr>
      <w:r w:rsidRPr="0023704D">
        <w:rPr>
          <w:sz w:val="24"/>
          <w:szCs w:val="24"/>
        </w:rPr>
        <w:t>One factor that complicates the interpretation of data when using δ</w:t>
      </w:r>
      <w:r w:rsidRPr="0023704D">
        <w:rPr>
          <w:sz w:val="24"/>
          <w:szCs w:val="24"/>
          <w:vertAlign w:val="superscript"/>
        </w:rPr>
        <w:t>15</w:t>
      </w:r>
      <w:r w:rsidRPr="0023704D">
        <w:rPr>
          <w:sz w:val="24"/>
          <w:szCs w:val="24"/>
        </w:rPr>
        <w:t>N data to attribute nitrate to types of source is fractionation of the nitrogen isotopes.  Fractionation, through either chemical or biological processes, usually results in the product becoming enriched in the lighter isotopes and the residual, which is what we measure, being enriched in the heavier isotope.  The common fractionation mechanism for stable isotopes in NO</w:t>
      </w:r>
      <w:r w:rsidRPr="0023704D">
        <w:rPr>
          <w:sz w:val="24"/>
          <w:szCs w:val="24"/>
          <w:vertAlign w:val="subscript"/>
        </w:rPr>
        <w:t xml:space="preserve">3 </w:t>
      </w:r>
      <w:r w:rsidRPr="0023704D">
        <w:rPr>
          <w:sz w:val="24"/>
          <w:szCs w:val="24"/>
        </w:rPr>
        <w:t xml:space="preserve">is denitrification.  In it, the lighter </w:t>
      </w:r>
      <w:r w:rsidRPr="0023704D">
        <w:rPr>
          <w:sz w:val="24"/>
          <w:szCs w:val="24"/>
          <w:vertAlign w:val="superscript"/>
        </w:rPr>
        <w:t>14</w:t>
      </w:r>
      <w:r w:rsidRPr="0023704D">
        <w:rPr>
          <w:sz w:val="24"/>
          <w:szCs w:val="24"/>
        </w:rPr>
        <w:t xml:space="preserve">N isotope is consumed by bacteria which leave a residual </w:t>
      </w:r>
      <w:r w:rsidRPr="0023704D">
        <w:rPr>
          <w:sz w:val="24"/>
          <w:szCs w:val="24"/>
          <w:vertAlign w:val="superscript"/>
        </w:rPr>
        <w:t>15</w:t>
      </w:r>
      <w:r w:rsidRPr="0023704D">
        <w:rPr>
          <w:sz w:val="24"/>
          <w:szCs w:val="24"/>
        </w:rPr>
        <w:t>N/</w:t>
      </w:r>
      <w:r w:rsidRPr="0023704D">
        <w:rPr>
          <w:sz w:val="24"/>
          <w:szCs w:val="24"/>
          <w:vertAlign w:val="superscript"/>
        </w:rPr>
        <w:t>14</w:t>
      </w:r>
      <w:r w:rsidRPr="0023704D">
        <w:rPr>
          <w:sz w:val="24"/>
          <w:szCs w:val="24"/>
        </w:rPr>
        <w:t xml:space="preserve">N product that is enriched in the heavier </w:t>
      </w:r>
      <w:r w:rsidRPr="0023704D">
        <w:rPr>
          <w:sz w:val="24"/>
          <w:szCs w:val="24"/>
          <w:vertAlign w:val="superscript"/>
        </w:rPr>
        <w:t>15</w:t>
      </w:r>
      <w:r w:rsidRPr="0023704D">
        <w:rPr>
          <w:sz w:val="24"/>
          <w:szCs w:val="24"/>
        </w:rPr>
        <w:t xml:space="preserve">N isotope. </w:t>
      </w:r>
    </w:p>
    <w:p w:rsidR="00FA1BD1" w:rsidRDefault="00FA1BD1" w:rsidP="004757C6">
      <w:pPr>
        <w:rPr>
          <w:sz w:val="24"/>
          <w:szCs w:val="24"/>
        </w:rPr>
      </w:pPr>
    </w:p>
    <w:p w:rsidR="00840746" w:rsidRPr="00FA1BD1" w:rsidRDefault="00FA1BD1" w:rsidP="00840746">
      <w:pPr>
        <w:jc w:val="center"/>
        <w:rPr>
          <w:rFonts w:cs="Arial"/>
          <w:b/>
          <w:szCs w:val="20"/>
        </w:rPr>
      </w:pPr>
      <w:r w:rsidRPr="00840746">
        <w:rPr>
          <w:noProof/>
          <w:sz w:val="24"/>
          <w:szCs w:val="24"/>
        </w:rPr>
        <w:object w:dxaOrig="7227" w:dyaOrig="5423">
          <v:shape id="_x0000_i1026" type="#_x0000_t75" style="width:516pt;height:387pt" o:ole="">
            <v:imagedata r:id="rId15" o:title=""/>
          </v:shape>
          <o:OLEObject Type="Embed" ProgID="PowerPoint.Slide.12" ShapeID="_x0000_i1026" DrawAspect="Content" ObjectID="_1379999492" r:id="rId16"/>
        </w:object>
      </w:r>
      <w:r w:rsidR="00840746" w:rsidRPr="00840746">
        <w:rPr>
          <w:rFonts w:cs="Arial"/>
          <w:b/>
          <w:sz w:val="20"/>
          <w:szCs w:val="20"/>
        </w:rPr>
        <w:t xml:space="preserve"> </w:t>
      </w:r>
      <w:r w:rsidR="00840746" w:rsidRPr="00FA1BD1">
        <w:rPr>
          <w:rFonts w:cs="Arial"/>
          <w:b/>
          <w:szCs w:val="20"/>
        </w:rPr>
        <w:t>Figure 4.  Potential sources of nitrate in ground water and springs (labeled) and denitification potential based on isotopic ratios (modified after Roadcap et al, 2002)</w:t>
      </w:r>
    </w:p>
    <w:p w:rsidR="00840746" w:rsidRDefault="00840746" w:rsidP="001B0A57">
      <w:pPr>
        <w:rPr>
          <w:sz w:val="24"/>
          <w:szCs w:val="24"/>
        </w:rPr>
      </w:pPr>
    </w:p>
    <w:p w:rsidR="004757C6" w:rsidRPr="0023704D" w:rsidRDefault="00840746" w:rsidP="004757C6">
      <w:pPr>
        <w:rPr>
          <w:sz w:val="24"/>
          <w:szCs w:val="24"/>
        </w:rPr>
      </w:pPr>
      <w:r>
        <w:rPr>
          <w:sz w:val="24"/>
          <w:szCs w:val="24"/>
        </w:rPr>
        <w:t>I</w:t>
      </w:r>
      <w:r w:rsidR="004757C6" w:rsidRPr="0023704D">
        <w:rPr>
          <w:sz w:val="24"/>
          <w:szCs w:val="24"/>
        </w:rPr>
        <w:t>n recent years,</w:t>
      </w:r>
      <w:r w:rsidR="00FA1BD1">
        <w:rPr>
          <w:sz w:val="24"/>
          <w:szCs w:val="24"/>
        </w:rPr>
        <w:t xml:space="preserve"> researchers began to employ a “</w:t>
      </w:r>
      <w:r w:rsidR="004757C6" w:rsidRPr="0023704D">
        <w:rPr>
          <w:sz w:val="24"/>
          <w:szCs w:val="24"/>
        </w:rPr>
        <w:t>dual isotope method” to help evaluate the denitrification that is occurring in ground water.  The second isotope in this dual approach is δ</w:t>
      </w:r>
      <w:r w:rsidR="004757C6" w:rsidRPr="0023704D">
        <w:rPr>
          <w:sz w:val="24"/>
          <w:szCs w:val="24"/>
          <w:vertAlign w:val="superscript"/>
        </w:rPr>
        <w:t>18</w:t>
      </w:r>
      <w:r w:rsidR="004757C6" w:rsidRPr="0023704D">
        <w:rPr>
          <w:sz w:val="24"/>
          <w:szCs w:val="24"/>
        </w:rPr>
        <w:t>O</w:t>
      </w:r>
      <w:r w:rsidR="00A70969" w:rsidRPr="0023704D">
        <w:rPr>
          <w:sz w:val="24"/>
          <w:szCs w:val="24"/>
          <w:vertAlign w:val="subscript"/>
        </w:rPr>
        <w:t>NO3</w:t>
      </w:r>
      <w:r w:rsidR="004757C6" w:rsidRPr="0023704D">
        <w:rPr>
          <w:sz w:val="24"/>
          <w:szCs w:val="24"/>
        </w:rPr>
        <w:t xml:space="preserve">, which is the ratio of the heavier </w:t>
      </w:r>
      <w:r w:rsidR="004757C6" w:rsidRPr="0023704D">
        <w:rPr>
          <w:sz w:val="24"/>
          <w:szCs w:val="24"/>
          <w:vertAlign w:val="superscript"/>
        </w:rPr>
        <w:t>18</w:t>
      </w:r>
      <w:r w:rsidR="004757C6" w:rsidRPr="0023704D">
        <w:rPr>
          <w:sz w:val="24"/>
          <w:szCs w:val="24"/>
        </w:rPr>
        <w:t>O in NO</w:t>
      </w:r>
      <w:r w:rsidR="004757C6" w:rsidRPr="0023704D">
        <w:rPr>
          <w:sz w:val="24"/>
          <w:szCs w:val="24"/>
          <w:vertAlign w:val="subscript"/>
        </w:rPr>
        <w:t>3</w:t>
      </w:r>
      <w:r w:rsidR="004757C6" w:rsidRPr="0023704D">
        <w:rPr>
          <w:sz w:val="24"/>
          <w:szCs w:val="24"/>
        </w:rPr>
        <w:t xml:space="preserve"> to the lighter </w:t>
      </w:r>
      <w:r w:rsidR="004757C6" w:rsidRPr="0023704D">
        <w:rPr>
          <w:sz w:val="24"/>
          <w:szCs w:val="24"/>
          <w:vertAlign w:val="superscript"/>
        </w:rPr>
        <w:t>16</w:t>
      </w:r>
      <w:r w:rsidR="004757C6" w:rsidRPr="0023704D">
        <w:rPr>
          <w:sz w:val="24"/>
          <w:szCs w:val="24"/>
        </w:rPr>
        <w:t xml:space="preserve">O.  Denitrification results in the preferential fractionation of the lighter </w:t>
      </w:r>
      <w:r w:rsidR="004757C6" w:rsidRPr="0023704D">
        <w:rPr>
          <w:sz w:val="24"/>
          <w:szCs w:val="24"/>
          <w:vertAlign w:val="superscript"/>
        </w:rPr>
        <w:t>16</w:t>
      </w:r>
      <w:r w:rsidR="004757C6" w:rsidRPr="0023704D">
        <w:rPr>
          <w:sz w:val="24"/>
          <w:szCs w:val="24"/>
        </w:rPr>
        <w:t xml:space="preserve">O and enrichment of the heavier </w:t>
      </w:r>
      <w:r w:rsidR="004757C6" w:rsidRPr="0023704D">
        <w:rPr>
          <w:sz w:val="24"/>
          <w:szCs w:val="24"/>
          <w:vertAlign w:val="superscript"/>
        </w:rPr>
        <w:t>18</w:t>
      </w:r>
      <w:r w:rsidR="004757C6" w:rsidRPr="0023704D">
        <w:rPr>
          <w:sz w:val="24"/>
          <w:szCs w:val="24"/>
        </w:rPr>
        <w:t>O in the residu</w:t>
      </w:r>
      <w:r w:rsidR="00A70969" w:rsidRPr="0023704D">
        <w:rPr>
          <w:sz w:val="24"/>
          <w:szCs w:val="24"/>
        </w:rPr>
        <w:t>e</w:t>
      </w:r>
      <w:r w:rsidR="004757C6" w:rsidRPr="0023704D">
        <w:rPr>
          <w:sz w:val="24"/>
          <w:szCs w:val="24"/>
        </w:rPr>
        <w:t>.  Research has shown that when plotted against one another, the enriched δ</w:t>
      </w:r>
      <w:r w:rsidR="004757C6" w:rsidRPr="0023704D">
        <w:rPr>
          <w:sz w:val="24"/>
          <w:szCs w:val="24"/>
          <w:vertAlign w:val="superscript"/>
        </w:rPr>
        <w:t>18</w:t>
      </w:r>
      <w:r w:rsidR="004757C6" w:rsidRPr="0023704D">
        <w:rPr>
          <w:sz w:val="24"/>
          <w:szCs w:val="24"/>
        </w:rPr>
        <w:t>O can indicate that the corresponding δ</w:t>
      </w:r>
      <w:r w:rsidR="004757C6" w:rsidRPr="0023704D">
        <w:rPr>
          <w:sz w:val="24"/>
          <w:szCs w:val="24"/>
          <w:vertAlign w:val="superscript"/>
        </w:rPr>
        <w:t>15</w:t>
      </w:r>
      <w:r w:rsidR="004757C6" w:rsidRPr="0023704D">
        <w:rPr>
          <w:sz w:val="24"/>
          <w:szCs w:val="24"/>
        </w:rPr>
        <w:t xml:space="preserve">N value is influenced by denitrification.  When samples from multiple points at the same site are plotted, the enrichment of the two isotopes due to denitrification generally results in a </w:t>
      </w:r>
      <w:r w:rsidR="00FD44FA" w:rsidRPr="0023704D">
        <w:rPr>
          <w:sz w:val="24"/>
          <w:szCs w:val="24"/>
        </w:rPr>
        <w:t xml:space="preserve">slope of </w:t>
      </w:r>
      <w:r w:rsidR="00C26868" w:rsidRPr="0023704D">
        <w:rPr>
          <w:sz w:val="24"/>
          <w:szCs w:val="24"/>
        </w:rPr>
        <w:t>roughly</w:t>
      </w:r>
      <w:r w:rsidR="00FD44FA" w:rsidRPr="0023704D">
        <w:rPr>
          <w:sz w:val="24"/>
          <w:szCs w:val="24"/>
        </w:rPr>
        <w:t xml:space="preserve"> 2 to 1 (Roadcap </w:t>
      </w:r>
      <w:r w:rsidR="004757C6" w:rsidRPr="0023704D">
        <w:rPr>
          <w:sz w:val="24"/>
          <w:szCs w:val="24"/>
        </w:rPr>
        <w:t>et al, 2002).</w:t>
      </w:r>
    </w:p>
    <w:p w:rsidR="005F65A7" w:rsidRDefault="00874A65" w:rsidP="008E03CD">
      <w:pPr>
        <w:rPr>
          <w:color w:val="000000" w:themeColor="text1"/>
          <w:sz w:val="24"/>
          <w:szCs w:val="24"/>
        </w:rPr>
      </w:pPr>
      <w:r w:rsidRPr="0023704D">
        <w:rPr>
          <w:color w:val="000000" w:themeColor="text1"/>
          <w:sz w:val="24"/>
          <w:szCs w:val="24"/>
        </w:rPr>
        <w:t>Assuming that soil nitrogen contribution to the NOx is minimal, which is reasonable based on the low organic content of the soils in this area, the dual isotope plot indicates that the</w:t>
      </w:r>
      <w:r w:rsidR="00354614" w:rsidRPr="0023704D">
        <w:rPr>
          <w:color w:val="000000" w:themeColor="text1"/>
          <w:sz w:val="24"/>
          <w:szCs w:val="24"/>
        </w:rPr>
        <w:t xml:space="preserve"> source </w:t>
      </w:r>
      <w:r w:rsidR="00354614" w:rsidRPr="0023704D">
        <w:rPr>
          <w:color w:val="000000" w:themeColor="text1"/>
          <w:sz w:val="24"/>
          <w:szCs w:val="24"/>
        </w:rPr>
        <w:lastRenderedPageBreak/>
        <w:t>of nitrate in the majority of the spring and ground water samples is inorganic fertilizer.</w:t>
      </w:r>
      <w:r w:rsidRPr="0023704D">
        <w:rPr>
          <w:color w:val="000000" w:themeColor="text1"/>
          <w:sz w:val="24"/>
          <w:szCs w:val="24"/>
        </w:rPr>
        <w:t xml:space="preserve"> </w:t>
      </w:r>
      <w:r w:rsidR="008E03CD" w:rsidRPr="0023704D">
        <w:rPr>
          <w:color w:val="000000" w:themeColor="text1"/>
          <w:sz w:val="24"/>
          <w:szCs w:val="24"/>
        </w:rPr>
        <w:t xml:space="preserve"> When the </w:t>
      </w:r>
      <w:r w:rsidR="008E03CD" w:rsidRPr="0023704D">
        <w:rPr>
          <w:sz w:val="24"/>
          <w:szCs w:val="24"/>
        </w:rPr>
        <w:t>isotope data from this study are plotted, 23 of the 31 stations sampled indicate that the NO</w:t>
      </w:r>
      <w:r w:rsidR="008E03CD" w:rsidRPr="0023704D">
        <w:rPr>
          <w:sz w:val="24"/>
          <w:szCs w:val="24"/>
          <w:vertAlign w:val="subscript"/>
        </w:rPr>
        <w:t>3</w:t>
      </w:r>
      <w:r w:rsidR="008E03CD" w:rsidRPr="0023704D">
        <w:rPr>
          <w:sz w:val="24"/>
          <w:szCs w:val="24"/>
        </w:rPr>
        <w:t xml:space="preserve"> is from inorganic sources, with the majority of samples falling within or on the boundary of </w:t>
      </w:r>
      <w:r w:rsidR="008E03CD" w:rsidRPr="0023704D">
        <w:rPr>
          <w:color w:val="000000" w:themeColor="text1"/>
          <w:sz w:val="24"/>
          <w:szCs w:val="24"/>
        </w:rPr>
        <w:t xml:space="preserve">mineralized reduced N fertilizer and are trending slightly towards dentrification.   </w:t>
      </w:r>
    </w:p>
    <w:p w:rsidR="008E03CD" w:rsidRPr="0023704D" w:rsidRDefault="008E03CD" w:rsidP="008E03CD">
      <w:pPr>
        <w:rPr>
          <w:sz w:val="24"/>
          <w:szCs w:val="24"/>
        </w:rPr>
      </w:pPr>
      <w:r w:rsidRPr="0023704D">
        <w:rPr>
          <w:sz w:val="24"/>
          <w:szCs w:val="24"/>
        </w:rPr>
        <w:t xml:space="preserve">Nitrate levels in two of the wells, AAE6052 </w:t>
      </w:r>
      <w:r w:rsidR="00401B35">
        <w:rPr>
          <w:sz w:val="24"/>
          <w:szCs w:val="24"/>
        </w:rPr>
        <w:t>(</w:t>
      </w:r>
      <w:r w:rsidR="004B05EF">
        <w:rPr>
          <w:sz w:val="24"/>
          <w:szCs w:val="24"/>
        </w:rPr>
        <w:t xml:space="preserve">Whistling Pines </w:t>
      </w:r>
      <w:r w:rsidR="00401B35">
        <w:rPr>
          <w:sz w:val="24"/>
          <w:szCs w:val="24"/>
        </w:rPr>
        <w:t xml:space="preserve">site where biolsolids are applied) </w:t>
      </w:r>
      <w:r w:rsidRPr="0023704D">
        <w:rPr>
          <w:sz w:val="24"/>
          <w:szCs w:val="24"/>
        </w:rPr>
        <w:t>and</w:t>
      </w:r>
      <w:r w:rsidR="005F65A7">
        <w:rPr>
          <w:sz w:val="24"/>
          <w:szCs w:val="24"/>
        </w:rPr>
        <w:t xml:space="preserve"> </w:t>
      </w:r>
      <w:r w:rsidRPr="0023704D">
        <w:rPr>
          <w:sz w:val="24"/>
          <w:szCs w:val="24"/>
        </w:rPr>
        <w:t>AAJ3890 exceed 10 mg/L (23 and 12.0 mg/L respectively).   Well AAE6052 is directly adjacent to a center pivot field and surrounded by land use identified as hay fields.   Land use directly south and east of well AAJ3890 is defined as field crops in SRWMD land use coverage.  Ad</w:t>
      </w:r>
      <w:r w:rsidR="0023704D">
        <w:rPr>
          <w:sz w:val="24"/>
          <w:szCs w:val="24"/>
        </w:rPr>
        <w:t>d</w:t>
      </w:r>
      <w:r w:rsidRPr="0023704D">
        <w:rPr>
          <w:sz w:val="24"/>
          <w:szCs w:val="24"/>
        </w:rPr>
        <w:t xml:space="preserve">itionally, </w:t>
      </w:r>
      <w:r w:rsidR="00401B35">
        <w:rPr>
          <w:sz w:val="24"/>
          <w:szCs w:val="24"/>
        </w:rPr>
        <w:t xml:space="preserve">the City of </w:t>
      </w:r>
      <w:r w:rsidRPr="0023704D">
        <w:rPr>
          <w:sz w:val="24"/>
          <w:szCs w:val="24"/>
        </w:rPr>
        <w:t xml:space="preserve">Alachua has a spray field and series of WWTF monitoring wells in acreage </w:t>
      </w:r>
      <w:r w:rsidR="004B05EF">
        <w:rPr>
          <w:sz w:val="24"/>
          <w:szCs w:val="24"/>
        </w:rPr>
        <w:t xml:space="preserve">close </w:t>
      </w:r>
      <w:r w:rsidRPr="0023704D">
        <w:rPr>
          <w:sz w:val="24"/>
          <w:szCs w:val="24"/>
        </w:rPr>
        <w:t>to this property, which could explain elevated concentrations of chloride, boron and potassium in the sample from this well.</w:t>
      </w:r>
    </w:p>
    <w:p w:rsidR="002A5E04" w:rsidRPr="0023704D" w:rsidRDefault="008E03CD" w:rsidP="008E03CD">
      <w:pPr>
        <w:rPr>
          <w:color w:val="000000" w:themeColor="text1"/>
          <w:sz w:val="24"/>
          <w:szCs w:val="24"/>
        </w:rPr>
      </w:pPr>
      <w:r w:rsidRPr="0023704D">
        <w:rPr>
          <w:color w:val="000000" w:themeColor="text1"/>
          <w:sz w:val="24"/>
          <w:szCs w:val="24"/>
        </w:rPr>
        <w:t xml:space="preserve">Isotopic signatures in </w:t>
      </w:r>
      <w:r w:rsidR="004B05EF">
        <w:rPr>
          <w:color w:val="000000" w:themeColor="text1"/>
          <w:sz w:val="24"/>
          <w:szCs w:val="24"/>
        </w:rPr>
        <w:t>4</w:t>
      </w:r>
      <w:r w:rsidR="002A5E04" w:rsidRPr="0023704D">
        <w:rPr>
          <w:color w:val="000000" w:themeColor="text1"/>
          <w:sz w:val="24"/>
          <w:szCs w:val="24"/>
        </w:rPr>
        <w:t xml:space="preserve"> well samples </w:t>
      </w:r>
      <w:r w:rsidRPr="0023704D">
        <w:rPr>
          <w:color w:val="000000" w:themeColor="text1"/>
          <w:sz w:val="24"/>
          <w:szCs w:val="24"/>
        </w:rPr>
        <w:t>indicate</w:t>
      </w:r>
      <w:r w:rsidR="002A5E04" w:rsidRPr="0023704D">
        <w:rPr>
          <w:color w:val="000000" w:themeColor="text1"/>
          <w:sz w:val="24"/>
          <w:szCs w:val="24"/>
        </w:rPr>
        <w:t xml:space="preserve"> the </w:t>
      </w:r>
      <w:r w:rsidRPr="0023704D">
        <w:rPr>
          <w:color w:val="000000" w:themeColor="text1"/>
          <w:sz w:val="24"/>
          <w:szCs w:val="24"/>
        </w:rPr>
        <w:t>nitrate is from</w:t>
      </w:r>
      <w:r w:rsidR="002A5E04" w:rsidRPr="0023704D">
        <w:rPr>
          <w:color w:val="000000" w:themeColor="text1"/>
          <w:sz w:val="24"/>
          <w:szCs w:val="24"/>
        </w:rPr>
        <w:t xml:space="preserve"> </w:t>
      </w:r>
      <w:r w:rsidR="005F65A7">
        <w:rPr>
          <w:color w:val="000000" w:themeColor="text1"/>
          <w:sz w:val="24"/>
          <w:szCs w:val="24"/>
        </w:rPr>
        <w:t xml:space="preserve">mainly </w:t>
      </w:r>
      <w:r w:rsidR="0023704D">
        <w:rPr>
          <w:color w:val="000000" w:themeColor="text1"/>
          <w:sz w:val="24"/>
          <w:szCs w:val="24"/>
        </w:rPr>
        <w:t xml:space="preserve">organic sources, which from chemical data </w:t>
      </w:r>
      <w:r w:rsidR="006B3F38">
        <w:rPr>
          <w:color w:val="000000" w:themeColor="text1"/>
          <w:sz w:val="24"/>
          <w:szCs w:val="24"/>
        </w:rPr>
        <w:t xml:space="preserve">and several of their locations </w:t>
      </w:r>
      <w:r w:rsidR="0023704D">
        <w:rPr>
          <w:color w:val="000000" w:themeColor="text1"/>
          <w:sz w:val="24"/>
          <w:szCs w:val="24"/>
        </w:rPr>
        <w:t>appear to be domestic wastewater sites</w:t>
      </w:r>
      <w:r w:rsidR="002A5E04" w:rsidRPr="0023704D">
        <w:rPr>
          <w:color w:val="000000" w:themeColor="text1"/>
          <w:sz w:val="24"/>
          <w:szCs w:val="24"/>
        </w:rPr>
        <w:t xml:space="preserve">.  </w:t>
      </w:r>
      <w:r w:rsidR="004B05EF">
        <w:rPr>
          <w:color w:val="000000" w:themeColor="text1"/>
          <w:sz w:val="24"/>
          <w:szCs w:val="24"/>
        </w:rPr>
        <w:t>Three</w:t>
      </w:r>
      <w:r w:rsidR="004B05EF" w:rsidRPr="0023704D">
        <w:rPr>
          <w:color w:val="000000" w:themeColor="text1"/>
          <w:sz w:val="24"/>
          <w:szCs w:val="24"/>
        </w:rPr>
        <w:t xml:space="preserve"> </w:t>
      </w:r>
      <w:r w:rsidR="002A5E04" w:rsidRPr="0023704D">
        <w:rPr>
          <w:color w:val="000000" w:themeColor="text1"/>
          <w:sz w:val="24"/>
          <w:szCs w:val="24"/>
        </w:rPr>
        <w:t xml:space="preserve">of these </w:t>
      </w:r>
      <w:r w:rsidR="004B05EF">
        <w:rPr>
          <w:color w:val="000000" w:themeColor="text1"/>
          <w:sz w:val="24"/>
          <w:szCs w:val="24"/>
        </w:rPr>
        <w:t>4</w:t>
      </w:r>
      <w:r w:rsidR="002A5E04" w:rsidRPr="0023704D">
        <w:rPr>
          <w:color w:val="000000" w:themeColor="text1"/>
          <w:sz w:val="24"/>
          <w:szCs w:val="24"/>
        </w:rPr>
        <w:t xml:space="preserve"> wells are in direct proximity to wastewater treatment </w:t>
      </w:r>
      <w:r w:rsidRPr="0023704D">
        <w:rPr>
          <w:color w:val="000000" w:themeColor="text1"/>
          <w:sz w:val="24"/>
          <w:szCs w:val="24"/>
        </w:rPr>
        <w:t>facilities.  AAK7015 (Newberry C</w:t>
      </w:r>
      <w:r w:rsidR="002A5E04" w:rsidRPr="0023704D">
        <w:rPr>
          <w:color w:val="000000" w:themeColor="text1"/>
          <w:sz w:val="24"/>
          <w:szCs w:val="24"/>
        </w:rPr>
        <w:t xml:space="preserve">emetery) is </w:t>
      </w:r>
      <w:r w:rsidR="004B05EF">
        <w:rPr>
          <w:color w:val="000000" w:themeColor="text1"/>
          <w:sz w:val="24"/>
          <w:szCs w:val="24"/>
        </w:rPr>
        <w:t>north</w:t>
      </w:r>
      <w:r w:rsidR="00C00F8C">
        <w:rPr>
          <w:color w:val="000000" w:themeColor="text1"/>
          <w:sz w:val="24"/>
          <w:szCs w:val="24"/>
        </w:rPr>
        <w:t xml:space="preserve"> of Newberry WWTF; </w:t>
      </w:r>
      <w:r w:rsidR="002A5E04" w:rsidRPr="0023704D">
        <w:rPr>
          <w:color w:val="000000" w:themeColor="text1"/>
          <w:sz w:val="24"/>
          <w:szCs w:val="24"/>
        </w:rPr>
        <w:t xml:space="preserve">Hornsby is due west of Camp Kulaqua WWTF;  AAK7008 is on Camp Kulaqua  WWTP property adjacent to a percolation pond.  </w:t>
      </w:r>
    </w:p>
    <w:p w:rsidR="00B342E2" w:rsidRPr="006B3F38" w:rsidRDefault="006B3F38" w:rsidP="006B3F38">
      <w:pPr>
        <w:rPr>
          <w:sz w:val="24"/>
          <w:szCs w:val="24"/>
        </w:rPr>
      </w:pPr>
      <w:r>
        <w:rPr>
          <w:sz w:val="24"/>
          <w:szCs w:val="24"/>
        </w:rPr>
        <w:t>When plotted,</w:t>
      </w:r>
      <w:r w:rsidR="004B05EF">
        <w:rPr>
          <w:sz w:val="24"/>
          <w:szCs w:val="24"/>
        </w:rPr>
        <w:t xml:space="preserve"> </w:t>
      </w:r>
      <w:r w:rsidR="00C72FBF">
        <w:rPr>
          <w:sz w:val="24"/>
          <w:szCs w:val="24"/>
        </w:rPr>
        <w:t>(</w:t>
      </w:r>
      <w:r w:rsidR="00E767D6" w:rsidRPr="00FA1BD1">
        <w:rPr>
          <w:b/>
          <w:sz w:val="24"/>
          <w:szCs w:val="24"/>
        </w:rPr>
        <w:t>Figure 4</w:t>
      </w:r>
      <w:r w:rsidR="00C72FBF">
        <w:rPr>
          <w:sz w:val="24"/>
          <w:szCs w:val="24"/>
        </w:rPr>
        <w:t>)</w:t>
      </w:r>
      <w:r>
        <w:rPr>
          <w:sz w:val="24"/>
          <w:szCs w:val="24"/>
        </w:rPr>
        <w:t xml:space="preserve"> the isotopic signatures from the s</w:t>
      </w:r>
      <w:r w:rsidR="0053685D" w:rsidRPr="006B3F38">
        <w:rPr>
          <w:sz w:val="24"/>
          <w:szCs w:val="24"/>
        </w:rPr>
        <w:t xml:space="preserve">amples from </w:t>
      </w:r>
      <w:r w:rsidRPr="006B3F38">
        <w:rPr>
          <w:sz w:val="24"/>
          <w:szCs w:val="24"/>
        </w:rPr>
        <w:t>Hornsby S</w:t>
      </w:r>
      <w:r w:rsidR="002A48C5" w:rsidRPr="006B3F38">
        <w:rPr>
          <w:sz w:val="24"/>
          <w:szCs w:val="24"/>
        </w:rPr>
        <w:t xml:space="preserve">pring, Poe </w:t>
      </w:r>
      <w:r w:rsidR="00C72FBF">
        <w:rPr>
          <w:sz w:val="24"/>
          <w:szCs w:val="24"/>
        </w:rPr>
        <w:t>S</w:t>
      </w:r>
      <w:r w:rsidR="002A48C5" w:rsidRPr="006B3F38">
        <w:rPr>
          <w:sz w:val="24"/>
          <w:szCs w:val="24"/>
        </w:rPr>
        <w:t>pring</w:t>
      </w:r>
      <w:r w:rsidR="00983643" w:rsidRPr="006B3F38">
        <w:rPr>
          <w:sz w:val="24"/>
          <w:szCs w:val="24"/>
        </w:rPr>
        <w:t>,</w:t>
      </w:r>
      <w:r>
        <w:rPr>
          <w:sz w:val="24"/>
          <w:szCs w:val="24"/>
        </w:rPr>
        <w:t xml:space="preserve"> well </w:t>
      </w:r>
      <w:r w:rsidR="0053685D" w:rsidRPr="006B3F38">
        <w:rPr>
          <w:sz w:val="24"/>
          <w:szCs w:val="24"/>
        </w:rPr>
        <w:t>AAK7008</w:t>
      </w:r>
      <w:r w:rsidR="004B05EF">
        <w:rPr>
          <w:sz w:val="24"/>
          <w:szCs w:val="24"/>
        </w:rPr>
        <w:t xml:space="preserve"> (located in a horse pasture)</w:t>
      </w:r>
      <w:r w:rsidR="0053685D" w:rsidRPr="006B3F38">
        <w:rPr>
          <w:sz w:val="24"/>
          <w:szCs w:val="24"/>
        </w:rPr>
        <w:t>,</w:t>
      </w:r>
      <w:r w:rsidR="00983643" w:rsidRPr="006B3F38">
        <w:rPr>
          <w:sz w:val="24"/>
          <w:szCs w:val="24"/>
        </w:rPr>
        <w:t xml:space="preserve"> and the High Springs WWTP </w:t>
      </w:r>
      <w:r w:rsidR="002A48C5" w:rsidRPr="006B3F38">
        <w:rPr>
          <w:sz w:val="24"/>
          <w:szCs w:val="24"/>
        </w:rPr>
        <w:t xml:space="preserve">indicate </w:t>
      </w:r>
      <w:r>
        <w:rPr>
          <w:sz w:val="24"/>
          <w:szCs w:val="24"/>
        </w:rPr>
        <w:t xml:space="preserve">that the samples have been subjected to denitrification to the point that attributing the samples to a specific nitrate source type is difficult.  However, the elevated chloride and boron concentrations in all of these samples indicate that domestic wastewater </w:t>
      </w:r>
      <w:r w:rsidR="005F65A7">
        <w:rPr>
          <w:sz w:val="24"/>
          <w:szCs w:val="24"/>
        </w:rPr>
        <w:t>could be</w:t>
      </w:r>
      <w:r>
        <w:rPr>
          <w:sz w:val="24"/>
          <w:szCs w:val="24"/>
        </w:rPr>
        <w:t xml:space="preserve"> a significant component.  For the High Springs WWTP effluent sample, it is of course the only component and well AAK7008 is </w:t>
      </w:r>
      <w:r w:rsidR="004B05EF">
        <w:rPr>
          <w:sz w:val="24"/>
          <w:szCs w:val="24"/>
        </w:rPr>
        <w:t xml:space="preserve">near </w:t>
      </w:r>
      <w:r>
        <w:rPr>
          <w:sz w:val="24"/>
          <w:szCs w:val="24"/>
        </w:rPr>
        <w:t xml:space="preserve">a wastewater </w:t>
      </w:r>
      <w:r w:rsidR="005F65A7">
        <w:rPr>
          <w:sz w:val="24"/>
          <w:szCs w:val="24"/>
        </w:rPr>
        <w:t xml:space="preserve">treatment </w:t>
      </w:r>
      <w:r>
        <w:rPr>
          <w:sz w:val="24"/>
          <w:szCs w:val="24"/>
        </w:rPr>
        <w:t>site.</w:t>
      </w:r>
      <w:r w:rsidR="002A48C5" w:rsidRPr="006B3F38">
        <w:rPr>
          <w:sz w:val="24"/>
          <w:szCs w:val="24"/>
        </w:rPr>
        <w:t xml:space="preserve">  </w:t>
      </w:r>
      <w:r w:rsidR="002A5E04" w:rsidRPr="006B3F38">
        <w:rPr>
          <w:sz w:val="24"/>
          <w:szCs w:val="24"/>
        </w:rPr>
        <w:t xml:space="preserve">   </w:t>
      </w:r>
    </w:p>
    <w:p w:rsidR="00E53292" w:rsidRDefault="00E53292" w:rsidP="006B3F38">
      <w:pPr>
        <w:rPr>
          <w:sz w:val="24"/>
          <w:szCs w:val="24"/>
        </w:rPr>
      </w:pPr>
      <w:r w:rsidRPr="006B3F38">
        <w:rPr>
          <w:sz w:val="24"/>
          <w:szCs w:val="24"/>
        </w:rPr>
        <w:t>Isotope data from well AAK7037, which lies outside the delineated recha</w:t>
      </w:r>
      <w:r w:rsidR="006B3F38">
        <w:rPr>
          <w:sz w:val="24"/>
          <w:szCs w:val="24"/>
        </w:rPr>
        <w:t>rge area, is within the range for an</w:t>
      </w:r>
      <w:r w:rsidRPr="006B3F38">
        <w:rPr>
          <w:sz w:val="24"/>
          <w:szCs w:val="24"/>
        </w:rPr>
        <w:t xml:space="preserve"> </w:t>
      </w:r>
      <w:r w:rsidR="006B3F38">
        <w:rPr>
          <w:sz w:val="24"/>
          <w:szCs w:val="24"/>
        </w:rPr>
        <w:t xml:space="preserve">organic source but chemical tracer data do not suggest a domestic wastewater source.  </w:t>
      </w:r>
      <w:r w:rsidR="00BF1147">
        <w:rPr>
          <w:sz w:val="24"/>
          <w:szCs w:val="24"/>
        </w:rPr>
        <w:t xml:space="preserve">Similarly, </w:t>
      </w:r>
      <w:r w:rsidR="00B76D10">
        <w:rPr>
          <w:sz w:val="24"/>
          <w:szCs w:val="24"/>
        </w:rPr>
        <w:t xml:space="preserve">the sample from </w:t>
      </w:r>
      <w:r w:rsidR="00BF1147">
        <w:rPr>
          <w:sz w:val="24"/>
          <w:szCs w:val="24"/>
        </w:rPr>
        <w:t>well AAK7030 has an isotopic signature in the organic range</w:t>
      </w:r>
      <w:r w:rsidR="00B76D10">
        <w:rPr>
          <w:sz w:val="24"/>
          <w:szCs w:val="24"/>
        </w:rPr>
        <w:t xml:space="preserve"> but it does not have chemical signatures that clearly point to wastewater as a source</w:t>
      </w:r>
      <w:r w:rsidR="00BF1147">
        <w:rPr>
          <w:sz w:val="24"/>
          <w:szCs w:val="24"/>
        </w:rPr>
        <w:t xml:space="preserve">.  </w:t>
      </w:r>
      <w:r w:rsidR="006B3F38">
        <w:rPr>
          <w:sz w:val="24"/>
          <w:szCs w:val="24"/>
        </w:rPr>
        <w:t>It is possible that the nitr</w:t>
      </w:r>
      <w:r w:rsidR="00B76D10">
        <w:rPr>
          <w:sz w:val="24"/>
          <w:szCs w:val="24"/>
        </w:rPr>
        <w:t>ate in these</w:t>
      </w:r>
      <w:r w:rsidR="006B3F38">
        <w:rPr>
          <w:sz w:val="24"/>
          <w:szCs w:val="24"/>
        </w:rPr>
        <w:t xml:space="preserve"> sample</w:t>
      </w:r>
      <w:r w:rsidR="00F11024">
        <w:rPr>
          <w:sz w:val="24"/>
          <w:szCs w:val="24"/>
        </w:rPr>
        <w:t>s</w:t>
      </w:r>
      <w:r w:rsidR="006B3F38">
        <w:rPr>
          <w:sz w:val="24"/>
          <w:szCs w:val="24"/>
        </w:rPr>
        <w:t xml:space="preserve"> is from another type of organic source such as animal waste or septic tank</w:t>
      </w:r>
      <w:r w:rsidR="00B76D10">
        <w:rPr>
          <w:sz w:val="24"/>
          <w:szCs w:val="24"/>
        </w:rPr>
        <w:t>s</w:t>
      </w:r>
      <w:r w:rsidR="006B3F38">
        <w:rPr>
          <w:sz w:val="24"/>
          <w:szCs w:val="24"/>
        </w:rPr>
        <w:t xml:space="preserve"> where </w:t>
      </w:r>
      <w:r w:rsidR="00BF1147">
        <w:rPr>
          <w:sz w:val="24"/>
          <w:szCs w:val="24"/>
        </w:rPr>
        <w:t>chlorine and boron use is low</w:t>
      </w:r>
      <w:r w:rsidR="006B3F38">
        <w:rPr>
          <w:sz w:val="24"/>
          <w:szCs w:val="24"/>
        </w:rPr>
        <w:t>.</w:t>
      </w:r>
      <w:r w:rsidR="00F11024">
        <w:rPr>
          <w:sz w:val="24"/>
          <w:szCs w:val="24"/>
        </w:rPr>
        <w:t xml:space="preserve">  It is also possible that these</w:t>
      </w:r>
      <w:r w:rsidR="00D82D32">
        <w:rPr>
          <w:sz w:val="24"/>
          <w:szCs w:val="24"/>
        </w:rPr>
        <w:t xml:space="preserve"> wells are influenced by a mixture of organic and inorganic sources, which may be typical of residential settings.</w:t>
      </w:r>
      <w:r w:rsidR="00BF1147">
        <w:rPr>
          <w:sz w:val="24"/>
          <w:szCs w:val="24"/>
        </w:rPr>
        <w:t xml:space="preserve">  </w:t>
      </w:r>
    </w:p>
    <w:p w:rsidR="00F00233" w:rsidRDefault="00F00233" w:rsidP="006B3F38">
      <w:pPr>
        <w:rPr>
          <w:sz w:val="24"/>
          <w:szCs w:val="24"/>
        </w:rPr>
      </w:pPr>
    </w:p>
    <w:p w:rsidR="00F00233" w:rsidRPr="006B3F38" w:rsidRDefault="00F00233" w:rsidP="006B3F38">
      <w:pPr>
        <w:rPr>
          <w:sz w:val="24"/>
          <w:szCs w:val="24"/>
        </w:rPr>
      </w:pPr>
    </w:p>
    <w:p w:rsidR="00240B02" w:rsidRDefault="00240B02" w:rsidP="00E767D6">
      <w:pPr>
        <w:pStyle w:val="Heading1"/>
      </w:pPr>
      <w:r w:rsidRPr="0023704D">
        <w:lastRenderedPageBreak/>
        <w:t>Summary</w:t>
      </w:r>
      <w:r w:rsidR="00FD44FA" w:rsidRPr="0023704D">
        <w:t xml:space="preserve"> of </w:t>
      </w:r>
      <w:r w:rsidR="00866267" w:rsidRPr="0023704D">
        <w:t>Findings</w:t>
      </w:r>
    </w:p>
    <w:p w:rsidR="0046210C" w:rsidRPr="0046210C" w:rsidRDefault="0046210C" w:rsidP="0046210C"/>
    <w:p w:rsidR="00D82D32" w:rsidRPr="004B05EF" w:rsidRDefault="00B76D10" w:rsidP="00D82D32">
      <w:pPr>
        <w:pStyle w:val="ListParagraph"/>
        <w:numPr>
          <w:ilvl w:val="0"/>
          <w:numId w:val="13"/>
        </w:numPr>
        <w:rPr>
          <w:rFonts w:asciiTheme="majorHAnsi" w:hAnsiTheme="majorHAnsi"/>
          <w:b/>
          <w:sz w:val="24"/>
          <w:szCs w:val="24"/>
        </w:rPr>
      </w:pPr>
      <w:r w:rsidRPr="004B05EF">
        <w:rPr>
          <w:sz w:val="24"/>
          <w:szCs w:val="24"/>
        </w:rPr>
        <w:t>Isotope and chemical signatures in t</w:t>
      </w:r>
      <w:r w:rsidR="009B73E6" w:rsidRPr="004B05EF">
        <w:rPr>
          <w:sz w:val="24"/>
          <w:szCs w:val="24"/>
        </w:rPr>
        <w:t>he majority of s</w:t>
      </w:r>
      <w:r w:rsidRPr="004B05EF">
        <w:rPr>
          <w:sz w:val="24"/>
          <w:szCs w:val="24"/>
        </w:rPr>
        <w:t xml:space="preserve">prings and wells in their springsheds that were </w:t>
      </w:r>
      <w:r w:rsidR="00F11024" w:rsidRPr="004B05EF">
        <w:rPr>
          <w:sz w:val="24"/>
          <w:szCs w:val="24"/>
        </w:rPr>
        <w:t>sampled indicate</w:t>
      </w:r>
      <w:r w:rsidRPr="004B05EF">
        <w:rPr>
          <w:sz w:val="24"/>
          <w:szCs w:val="24"/>
        </w:rPr>
        <w:t xml:space="preserve"> that the NOx in the water is </w:t>
      </w:r>
      <w:r w:rsidR="00F11024" w:rsidRPr="004B05EF">
        <w:rPr>
          <w:sz w:val="24"/>
          <w:szCs w:val="24"/>
        </w:rPr>
        <w:t>from</w:t>
      </w:r>
      <w:r w:rsidRPr="004B05EF">
        <w:rPr>
          <w:sz w:val="24"/>
          <w:szCs w:val="24"/>
        </w:rPr>
        <w:t xml:space="preserve"> inorganic fertilizers.  This would suggest that inorganic fertilizer is </w:t>
      </w:r>
      <w:r w:rsidR="00631665" w:rsidRPr="004B05EF">
        <w:rPr>
          <w:sz w:val="24"/>
          <w:szCs w:val="24"/>
        </w:rPr>
        <w:t xml:space="preserve">the </w:t>
      </w:r>
      <w:r w:rsidRPr="004B05EF">
        <w:rPr>
          <w:sz w:val="24"/>
          <w:szCs w:val="24"/>
        </w:rPr>
        <w:t>ma</w:t>
      </w:r>
      <w:r w:rsidR="00631665" w:rsidRPr="004B05EF">
        <w:rPr>
          <w:sz w:val="24"/>
          <w:szCs w:val="24"/>
        </w:rPr>
        <w:t>in</w:t>
      </w:r>
      <w:r w:rsidRPr="004B05EF">
        <w:rPr>
          <w:sz w:val="24"/>
          <w:szCs w:val="24"/>
        </w:rPr>
        <w:t xml:space="preserve"> </w:t>
      </w:r>
      <w:r w:rsidR="00F11024" w:rsidRPr="004B05EF">
        <w:rPr>
          <w:sz w:val="24"/>
          <w:szCs w:val="24"/>
        </w:rPr>
        <w:t>source of NOx in the Santa Fe River</w:t>
      </w:r>
      <w:r w:rsidR="00631665" w:rsidRPr="004B05EF">
        <w:rPr>
          <w:sz w:val="24"/>
          <w:szCs w:val="24"/>
        </w:rPr>
        <w:t xml:space="preserve"> to be addressed under the BMAP</w:t>
      </w:r>
      <w:r w:rsidR="00F11024" w:rsidRPr="004B05EF">
        <w:rPr>
          <w:sz w:val="24"/>
          <w:szCs w:val="24"/>
        </w:rPr>
        <w:t>.  However, the isotope and chemical signatures in sample</w:t>
      </w:r>
      <w:r w:rsidR="00631665" w:rsidRPr="004B05EF">
        <w:rPr>
          <w:sz w:val="24"/>
          <w:szCs w:val="24"/>
        </w:rPr>
        <w:t>s</w:t>
      </w:r>
      <w:r w:rsidR="00F11024" w:rsidRPr="004B05EF">
        <w:rPr>
          <w:sz w:val="24"/>
          <w:szCs w:val="24"/>
        </w:rPr>
        <w:t xml:space="preserve"> from two of the major springs, Poe and Hornsby, indicate that domestic wastewater may be a significant </w:t>
      </w:r>
      <w:r w:rsidR="00631665" w:rsidRPr="004B05EF">
        <w:rPr>
          <w:sz w:val="24"/>
          <w:szCs w:val="24"/>
        </w:rPr>
        <w:t>source</w:t>
      </w:r>
      <w:r w:rsidR="00F11024" w:rsidRPr="004B05EF">
        <w:rPr>
          <w:sz w:val="24"/>
          <w:szCs w:val="24"/>
        </w:rPr>
        <w:t xml:space="preserve"> of NOx in the water they discharge.</w:t>
      </w:r>
      <w:r w:rsidR="00631665" w:rsidRPr="004B05EF">
        <w:rPr>
          <w:sz w:val="24"/>
          <w:szCs w:val="24"/>
        </w:rPr>
        <w:t xml:space="preserve">  </w:t>
      </w:r>
    </w:p>
    <w:p w:rsidR="00D82D32" w:rsidRPr="004B05EF" w:rsidRDefault="00F11024" w:rsidP="00C7176D">
      <w:pPr>
        <w:pStyle w:val="ListParagraph"/>
        <w:numPr>
          <w:ilvl w:val="0"/>
          <w:numId w:val="11"/>
        </w:numPr>
        <w:rPr>
          <w:sz w:val="24"/>
          <w:szCs w:val="24"/>
        </w:rPr>
      </w:pPr>
      <w:r w:rsidRPr="004B05EF">
        <w:rPr>
          <w:sz w:val="24"/>
          <w:szCs w:val="24"/>
        </w:rPr>
        <w:t>NOx concentrations in the spring</w:t>
      </w:r>
      <w:r w:rsidR="004B05EF">
        <w:rPr>
          <w:sz w:val="24"/>
          <w:szCs w:val="24"/>
        </w:rPr>
        <w:t>s</w:t>
      </w:r>
      <w:r w:rsidRPr="004B05EF">
        <w:rPr>
          <w:sz w:val="24"/>
          <w:szCs w:val="24"/>
        </w:rPr>
        <w:t xml:space="preserve"> samples collected during this study range from 0.11 to 2.1 mg/L.  The springs with the higher NOx concentrations appear to be related to inorganic fertilizer sources.  Hornsby and Poe Springs, which may be influenced by wastewater, had the lowest NOx concentrations.</w:t>
      </w:r>
    </w:p>
    <w:p w:rsidR="00C7176D" w:rsidRPr="004B05EF" w:rsidRDefault="00D82D32" w:rsidP="00C7176D">
      <w:pPr>
        <w:pStyle w:val="ListParagraph"/>
        <w:numPr>
          <w:ilvl w:val="0"/>
          <w:numId w:val="11"/>
        </w:numPr>
        <w:rPr>
          <w:sz w:val="24"/>
          <w:szCs w:val="24"/>
        </w:rPr>
      </w:pPr>
      <w:r w:rsidRPr="004B05EF">
        <w:rPr>
          <w:sz w:val="24"/>
          <w:szCs w:val="24"/>
        </w:rPr>
        <w:t xml:space="preserve">Several of the wells that were sampled and one wastewater effluent sample were selected to intentionally target known wastewater application sites to help in the interpretation </w:t>
      </w:r>
      <w:r w:rsidR="004B05EF">
        <w:rPr>
          <w:sz w:val="24"/>
          <w:szCs w:val="24"/>
        </w:rPr>
        <w:t xml:space="preserve">of the </w:t>
      </w:r>
      <w:r w:rsidRPr="004B05EF">
        <w:rPr>
          <w:sz w:val="24"/>
          <w:szCs w:val="24"/>
        </w:rPr>
        <w:t>data.  These were helpful in characterizing the chloride, boron and potassium signatures as well as the isotope ratios</w:t>
      </w:r>
      <w:r w:rsidR="00631665" w:rsidRPr="004B05EF">
        <w:rPr>
          <w:sz w:val="24"/>
          <w:szCs w:val="24"/>
        </w:rPr>
        <w:t xml:space="preserve"> and amount of denitrification that is going on</w:t>
      </w:r>
      <w:r w:rsidRPr="004B05EF">
        <w:rPr>
          <w:sz w:val="24"/>
          <w:szCs w:val="24"/>
        </w:rPr>
        <w:t>.</w:t>
      </w:r>
    </w:p>
    <w:p w:rsidR="00631665" w:rsidRPr="004B05EF" w:rsidRDefault="00631665" w:rsidP="00C7176D">
      <w:pPr>
        <w:pStyle w:val="ListParagraph"/>
        <w:numPr>
          <w:ilvl w:val="0"/>
          <w:numId w:val="11"/>
        </w:numPr>
        <w:rPr>
          <w:sz w:val="24"/>
          <w:szCs w:val="24"/>
        </w:rPr>
      </w:pPr>
      <w:r w:rsidRPr="004B05EF">
        <w:rPr>
          <w:sz w:val="24"/>
          <w:szCs w:val="24"/>
        </w:rPr>
        <w:t>The amount of denitrification, which can generally be assessed using the dual isotope method and the sulfate data, appears to vary between springs.  The isotopic signatures from the majority of the springs, which were influenced by inorganic nitrogen sources, indicated some but not a great amount of denitrification.  However, the signatures from Poe and Hornsby Springs</w:t>
      </w:r>
      <w:r w:rsidR="003C7C45" w:rsidRPr="004B05EF">
        <w:rPr>
          <w:sz w:val="24"/>
          <w:szCs w:val="24"/>
        </w:rPr>
        <w:t>, apparently influenced by domestic wastewater sources, indicated that the nitrate had been subjected to a greater amount of denitrification.</w:t>
      </w:r>
      <w:r w:rsidRPr="004B05EF">
        <w:rPr>
          <w:sz w:val="24"/>
          <w:szCs w:val="24"/>
        </w:rPr>
        <w:t xml:space="preserve"> </w:t>
      </w:r>
      <w:r w:rsidR="003C7C45" w:rsidRPr="004B05EF">
        <w:rPr>
          <w:sz w:val="24"/>
          <w:szCs w:val="24"/>
        </w:rPr>
        <w:t xml:space="preserve"> The difference between these springs could be related to the NOx sources and presence of favorable conditions for denitrification to occur.</w:t>
      </w:r>
    </w:p>
    <w:p w:rsidR="005F65A7" w:rsidRDefault="00D82D32" w:rsidP="00C7176D">
      <w:pPr>
        <w:pStyle w:val="ListParagraph"/>
        <w:numPr>
          <w:ilvl w:val="0"/>
          <w:numId w:val="11"/>
        </w:numPr>
        <w:rPr>
          <w:sz w:val="24"/>
          <w:szCs w:val="24"/>
        </w:rPr>
      </w:pPr>
      <w:r w:rsidRPr="004B05EF">
        <w:rPr>
          <w:sz w:val="24"/>
          <w:szCs w:val="24"/>
        </w:rPr>
        <w:t xml:space="preserve">It is possible to draw some conclusions as to land use influences on the types of </w:t>
      </w:r>
      <w:r w:rsidR="00631665" w:rsidRPr="004B05EF">
        <w:rPr>
          <w:sz w:val="24"/>
          <w:szCs w:val="24"/>
        </w:rPr>
        <w:t>NOx</w:t>
      </w:r>
      <w:r w:rsidRPr="004B05EF">
        <w:rPr>
          <w:sz w:val="24"/>
          <w:szCs w:val="24"/>
        </w:rPr>
        <w:t xml:space="preserve"> sources in the springs and wells.  Generally, springs and wells within springsheds that were dominated by agricultural land uses such as row crop and pasture were more likely to be influenced by inorganic nitrogen sources (fertilizer).  Springs and wells in springsheds and subspringshed areas with more residential development and with wastewater disposal </w:t>
      </w:r>
      <w:r w:rsidR="00631665" w:rsidRPr="004B05EF">
        <w:rPr>
          <w:sz w:val="24"/>
          <w:szCs w:val="24"/>
        </w:rPr>
        <w:t>have a greater likelihood of being</w:t>
      </w:r>
      <w:r w:rsidRPr="004B05EF">
        <w:rPr>
          <w:sz w:val="24"/>
          <w:szCs w:val="24"/>
        </w:rPr>
        <w:t xml:space="preserve"> influenced by wastewater.  </w:t>
      </w:r>
      <w:r w:rsidR="00631665" w:rsidRPr="004B05EF">
        <w:rPr>
          <w:sz w:val="24"/>
          <w:szCs w:val="24"/>
        </w:rPr>
        <w:t>The design of a permanent monitoring network to evaluate the effectiveness of activities under the BMAP should take into account these types of land uses and their likely contributions to the springs.</w:t>
      </w:r>
    </w:p>
    <w:p w:rsidR="00D82D32" w:rsidRPr="004B05EF" w:rsidRDefault="005F65A7" w:rsidP="00C7176D">
      <w:pPr>
        <w:pStyle w:val="ListParagraph"/>
        <w:numPr>
          <w:ilvl w:val="0"/>
          <w:numId w:val="11"/>
        </w:numPr>
        <w:rPr>
          <w:sz w:val="24"/>
          <w:szCs w:val="24"/>
        </w:rPr>
      </w:pPr>
      <w:r>
        <w:rPr>
          <w:sz w:val="24"/>
          <w:szCs w:val="24"/>
        </w:rPr>
        <w:t>These findings will be updated and refined as additional data are gathered.  A second sampling of the ground water network was conducted in July 2011 and the results of that sampling will be included in the final report.</w:t>
      </w:r>
      <w:r w:rsidR="00D82D32" w:rsidRPr="004B05EF">
        <w:rPr>
          <w:sz w:val="24"/>
          <w:szCs w:val="24"/>
        </w:rPr>
        <w:t xml:space="preserve"> </w:t>
      </w:r>
    </w:p>
    <w:p w:rsidR="002E29AB" w:rsidRPr="0023704D" w:rsidRDefault="002E29AB" w:rsidP="0023704D">
      <w:pPr>
        <w:pStyle w:val="Heading1"/>
      </w:pPr>
      <w:r w:rsidRPr="0023704D">
        <w:lastRenderedPageBreak/>
        <w:t>References</w:t>
      </w:r>
    </w:p>
    <w:p w:rsidR="00755AF6" w:rsidRPr="0023704D" w:rsidRDefault="007E0BBC">
      <w:pPr>
        <w:rPr>
          <w:sz w:val="24"/>
          <w:szCs w:val="24"/>
        </w:rPr>
      </w:pPr>
      <w:r w:rsidRPr="0023704D">
        <w:rPr>
          <w:sz w:val="24"/>
          <w:szCs w:val="24"/>
        </w:rPr>
        <w:t>Aravena, R., and W. D. Robertson, 1998.  Use of Multiple Isotopes Tracers to Evaluate Denitrification in Ground Water:  Study of Nitrate from a Large-Flux Septic System Plume.  Ground Water, Vol. 36. No. 6.</w:t>
      </w:r>
    </w:p>
    <w:p w:rsidR="00060EFD" w:rsidRPr="0023704D" w:rsidRDefault="00060EFD">
      <w:pPr>
        <w:rPr>
          <w:sz w:val="24"/>
          <w:szCs w:val="24"/>
        </w:rPr>
      </w:pPr>
      <w:r w:rsidRPr="0023704D">
        <w:rPr>
          <w:sz w:val="24"/>
          <w:szCs w:val="24"/>
        </w:rPr>
        <w:t>IFAS Extension, May 2003.  Agronomy Notes.  University of Florida.</w:t>
      </w:r>
    </w:p>
    <w:p w:rsidR="00DF0950" w:rsidRPr="0023704D" w:rsidRDefault="00DF0950">
      <w:pPr>
        <w:rPr>
          <w:sz w:val="24"/>
          <w:szCs w:val="24"/>
        </w:rPr>
      </w:pPr>
      <w:r w:rsidRPr="0023704D">
        <w:rPr>
          <w:sz w:val="24"/>
          <w:szCs w:val="24"/>
        </w:rPr>
        <w:t>Kendall, C., and J. J. McDow</w:t>
      </w:r>
      <w:r w:rsidR="00480087" w:rsidRPr="0023704D">
        <w:rPr>
          <w:sz w:val="24"/>
          <w:szCs w:val="24"/>
        </w:rPr>
        <w:t>ell (Eds.), 1998.  Isotope Trac</w:t>
      </w:r>
      <w:r w:rsidRPr="0023704D">
        <w:rPr>
          <w:sz w:val="24"/>
          <w:szCs w:val="24"/>
        </w:rPr>
        <w:t>e</w:t>
      </w:r>
      <w:r w:rsidR="00480087" w:rsidRPr="0023704D">
        <w:rPr>
          <w:sz w:val="24"/>
          <w:szCs w:val="24"/>
        </w:rPr>
        <w:t>r</w:t>
      </w:r>
      <w:r w:rsidRPr="0023704D">
        <w:rPr>
          <w:sz w:val="24"/>
          <w:szCs w:val="24"/>
        </w:rPr>
        <w:t>s in Catchment Hydrology.  Elsevier Science B. V., Amsterdam.  Pp. 519-576.</w:t>
      </w:r>
    </w:p>
    <w:p w:rsidR="00AB2C1B" w:rsidRPr="003C7C45" w:rsidRDefault="00AB2C1B" w:rsidP="00AB2C1B">
      <w:pPr>
        <w:rPr>
          <w:sz w:val="24"/>
          <w:szCs w:val="24"/>
        </w:rPr>
      </w:pPr>
      <w:r w:rsidRPr="003C7C45">
        <w:rPr>
          <w:sz w:val="24"/>
          <w:szCs w:val="24"/>
        </w:rPr>
        <w:t xml:space="preserve">Kincaid, T.R., Meyer, B.A., and Radtke, J., 2009. Western Santa Fe River Basin Groundwater Resource Model, Modeling Results &amp; Methods. Presentation for the Suwannee River Water Management District, St. Johns River Water Management District, and the U.S. Geological Survey at the CCDA Waters Bottling Facility in High Springs Florida on August 3, 2009. GeoHydros, LLC, Reno NV: </w:t>
      </w:r>
      <w:hyperlink r:id="rId17" w:history="1">
        <w:r w:rsidRPr="003C7C45">
          <w:rPr>
            <w:rStyle w:val="Hyperlink"/>
            <w:color w:val="auto"/>
            <w:sz w:val="24"/>
            <w:szCs w:val="24"/>
          </w:rPr>
          <w:t>www.geohydros.com/CCNA/</w:t>
        </w:r>
      </w:hyperlink>
      <w:r w:rsidRPr="003C7C45">
        <w:rPr>
          <w:sz w:val="24"/>
          <w:szCs w:val="24"/>
        </w:rPr>
        <w:t xml:space="preserve"> - last accessed 6/28/11.</w:t>
      </w:r>
    </w:p>
    <w:p w:rsidR="00DB2D52" w:rsidRPr="0023704D" w:rsidRDefault="00DB2D52">
      <w:pPr>
        <w:rPr>
          <w:sz w:val="24"/>
          <w:szCs w:val="24"/>
        </w:rPr>
      </w:pPr>
      <w:r w:rsidRPr="0023704D">
        <w:rPr>
          <w:sz w:val="24"/>
          <w:szCs w:val="24"/>
        </w:rPr>
        <w:t xml:space="preserve">Newton, J. L., and R. W. Hicks, 2010.  Old Post Office Lane </w:t>
      </w:r>
      <w:r w:rsidR="0030088C" w:rsidRPr="0023704D">
        <w:rPr>
          <w:sz w:val="24"/>
          <w:szCs w:val="24"/>
        </w:rPr>
        <w:t>Nitrate Study, Eustis, Lake Cou</w:t>
      </w:r>
      <w:r w:rsidRPr="0023704D">
        <w:rPr>
          <w:sz w:val="24"/>
          <w:szCs w:val="24"/>
        </w:rPr>
        <w:t>n</w:t>
      </w:r>
      <w:r w:rsidR="0030088C" w:rsidRPr="0023704D">
        <w:rPr>
          <w:sz w:val="24"/>
          <w:szCs w:val="24"/>
        </w:rPr>
        <w:t>t</w:t>
      </w:r>
      <w:r w:rsidRPr="0023704D">
        <w:rPr>
          <w:sz w:val="24"/>
          <w:szCs w:val="24"/>
        </w:rPr>
        <w:t xml:space="preserve">y, Florida, Preliminary Contamination Assessment Report.  </w:t>
      </w:r>
      <w:r w:rsidR="00113463" w:rsidRPr="0023704D">
        <w:rPr>
          <w:sz w:val="24"/>
          <w:szCs w:val="24"/>
        </w:rPr>
        <w:t xml:space="preserve">FDEP </w:t>
      </w:r>
      <w:r w:rsidRPr="0023704D">
        <w:rPr>
          <w:sz w:val="24"/>
          <w:szCs w:val="24"/>
        </w:rPr>
        <w:t>SIS Report No. 2010-03</w:t>
      </w:r>
    </w:p>
    <w:p w:rsidR="00AF13A6" w:rsidRDefault="00AF13A6">
      <w:pPr>
        <w:rPr>
          <w:sz w:val="24"/>
          <w:szCs w:val="24"/>
        </w:rPr>
      </w:pPr>
      <w:r w:rsidRPr="0023704D">
        <w:rPr>
          <w:sz w:val="24"/>
          <w:szCs w:val="24"/>
        </w:rPr>
        <w:t>Roadcap, G. S., K. C. Hackley, and H. H. Hwang, 2002.  Application of Nitrogen and Oxygen Isotopes to Identify Sources of Nitrate.  Report to the Illinois GW Consortium, S. Illinois Univ.</w:t>
      </w:r>
    </w:p>
    <w:p w:rsidR="003C7C45" w:rsidRPr="0023704D" w:rsidRDefault="003C7C45">
      <w:pPr>
        <w:rPr>
          <w:sz w:val="24"/>
          <w:szCs w:val="24"/>
        </w:rPr>
      </w:pPr>
      <w:r>
        <w:rPr>
          <w:sz w:val="24"/>
          <w:szCs w:val="24"/>
        </w:rPr>
        <w:t>Xue, D., J. Botte, B. DeBaets, F. Accoe, A. Nestler, P. Taylor, O. Van Cleemput, &lt;. Bergludn and P. Boeckx, 2009.  Present Limitations and Future Prospects of Stable Isotope Methods for Nitrate Source Identification in Surface- and Groundwater.  Water Research, 43 (2009) 1159-1170.</w:t>
      </w:r>
    </w:p>
    <w:sectPr w:rsidR="003C7C45" w:rsidRPr="0023704D" w:rsidSect="0074240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006B" w:rsidRDefault="0040006B" w:rsidP="00D70797">
      <w:pPr>
        <w:spacing w:after="0" w:line="240" w:lineRule="auto"/>
      </w:pPr>
      <w:r>
        <w:separator/>
      </w:r>
    </w:p>
  </w:endnote>
  <w:endnote w:type="continuationSeparator" w:id="0">
    <w:p w:rsidR="0040006B" w:rsidRDefault="0040006B" w:rsidP="00D707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34235"/>
      <w:docPartObj>
        <w:docPartGallery w:val="Page Numbers (Bottom of Page)"/>
        <w:docPartUnique/>
      </w:docPartObj>
    </w:sdtPr>
    <w:sdtContent>
      <w:p w:rsidR="005466E6" w:rsidRDefault="00E44365">
        <w:pPr>
          <w:pStyle w:val="Footer"/>
          <w:jc w:val="right"/>
        </w:pPr>
        <w:fldSimple w:instr=" PAGE   \* MERGEFORMAT ">
          <w:r w:rsidR="00EE7DE3">
            <w:rPr>
              <w:noProof/>
            </w:rPr>
            <w:t>1</w:t>
          </w:r>
        </w:fldSimple>
      </w:p>
    </w:sdtContent>
  </w:sdt>
  <w:p w:rsidR="005466E6" w:rsidRDefault="005466E6" w:rsidP="00A77B82">
    <w:pPr>
      <w:rPr>
        <w:rFonts w:ascii="Arial" w:hAnsi="Arial" w:cs="Arial"/>
        <w:b/>
        <w:i/>
      </w:rPr>
    </w:pPr>
    <w:r w:rsidRPr="006A65A1">
      <w:rPr>
        <w:rFonts w:cs="Arial"/>
        <w:color w:val="548DD4" w:themeColor="text2" w:themeTint="99"/>
        <w:sz w:val="20"/>
        <w:szCs w:val="20"/>
      </w:rPr>
      <w:t>DRAFT</w:t>
    </w:r>
    <w:r w:rsidRPr="00A77B82">
      <w:rPr>
        <w:rFonts w:ascii="Arial" w:hAnsi="Arial" w:cs="Arial"/>
        <w:b/>
        <w:i/>
      </w:rPr>
      <w:t xml:space="preserve"> </w:t>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6E6" w:rsidRDefault="005466E6">
    <w:pPr>
      <w:pStyle w:val="Footer"/>
    </w:pPr>
  </w:p>
  <w:p w:rsidR="005466E6" w:rsidRPr="00343233" w:rsidRDefault="005466E6" w:rsidP="0034323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006B" w:rsidRDefault="0040006B" w:rsidP="00D70797">
      <w:pPr>
        <w:spacing w:after="0" w:line="240" w:lineRule="auto"/>
      </w:pPr>
      <w:r>
        <w:separator/>
      </w:r>
    </w:p>
  </w:footnote>
  <w:footnote w:type="continuationSeparator" w:id="0">
    <w:p w:rsidR="0040006B" w:rsidRDefault="0040006B" w:rsidP="00D70797">
      <w:pPr>
        <w:spacing w:after="0" w:line="240" w:lineRule="auto"/>
      </w:pPr>
      <w:r>
        <w:continuationSeparator/>
      </w:r>
    </w:p>
  </w:footnote>
  <w:footnote w:id="1">
    <w:p w:rsidR="005466E6" w:rsidRPr="00B33F86" w:rsidRDefault="005466E6">
      <w:pPr>
        <w:pStyle w:val="FootnoteText"/>
        <w:rPr>
          <w:vertAlign w:val="subscript"/>
        </w:rPr>
      </w:pPr>
      <w:r>
        <w:rPr>
          <w:rStyle w:val="FootnoteReference"/>
        </w:rPr>
        <w:footnoteRef/>
      </w:r>
      <w:r>
        <w:t xml:space="preserve"> NO</w:t>
      </w:r>
      <w:r w:rsidRPr="000F30C6">
        <w:rPr>
          <w:vertAlign w:val="subscript"/>
        </w:rPr>
        <w:t>2</w:t>
      </w:r>
      <w:r>
        <w:t xml:space="preserve"> occurs at very low concentrations in water if at all, thus the total concentration of NO</w:t>
      </w:r>
      <w:r w:rsidRPr="000F30C6">
        <w:rPr>
          <w:vertAlign w:val="subscript"/>
        </w:rPr>
        <w:t>2</w:t>
      </w:r>
      <w:r>
        <w:t>+NO</w:t>
      </w:r>
      <w:r w:rsidRPr="000F30C6">
        <w:rPr>
          <w:vertAlign w:val="subscript"/>
        </w:rPr>
        <w:t>3</w:t>
      </w:r>
      <w:r>
        <w:t xml:space="preserve"> is equivalent to NO</w:t>
      </w:r>
      <w:r w:rsidRPr="000F30C6">
        <w:rPr>
          <w:vertAlign w:val="subscript"/>
        </w:rPr>
        <w:t>3</w:t>
      </w:r>
      <w:r>
        <w:t xml:space="preserve"> alone.  Mono nitrogen oxides are often referred to by the generic term NOx</w:t>
      </w:r>
      <w:r>
        <w:rPr>
          <w:vertAlign w:val="subscript"/>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6E6" w:rsidRDefault="005466E6">
    <w:pPr>
      <w:pStyle w:val="Header"/>
    </w:pPr>
  </w:p>
  <w:p w:rsidR="005466E6" w:rsidRDefault="005466E6" w:rsidP="00FD50F7">
    <w:pPr>
      <w:pStyle w:val="Header"/>
      <w:jc w:val="right"/>
      <w:rPr>
        <w:b/>
        <w:color w:val="548DD4" w:themeColor="text2" w:themeTint="99"/>
        <w:sz w:val="28"/>
        <w:szCs w:val="28"/>
      </w:rPr>
    </w:pPr>
    <w:r w:rsidRPr="008F691F">
      <w:rPr>
        <w:b/>
        <w:color w:val="548DD4" w:themeColor="text2" w:themeTint="99"/>
        <w:sz w:val="28"/>
        <w:szCs w:val="28"/>
      </w:rPr>
      <w:t>DRAFT</w:t>
    </w:r>
    <w:r>
      <w:rPr>
        <w:b/>
        <w:color w:val="548DD4" w:themeColor="text2" w:themeTint="99"/>
        <w:sz w:val="28"/>
        <w:szCs w:val="28"/>
      </w:rPr>
      <w:t xml:space="preserve">    </w:t>
    </w:r>
    <w:r w:rsidRPr="008F691F">
      <w:rPr>
        <w:b/>
        <w:color w:val="548DD4" w:themeColor="text2" w:themeTint="99"/>
        <w:sz w:val="28"/>
        <w:szCs w:val="28"/>
      </w:rPr>
      <w:tab/>
    </w:r>
    <w:r>
      <w:rPr>
        <w:b/>
        <w:color w:val="548DD4" w:themeColor="text2" w:themeTint="99"/>
        <w:sz w:val="28"/>
        <w:szCs w:val="28"/>
      </w:rPr>
      <w:t xml:space="preserve">                                                  Santa Fe River Basin</w:t>
    </w:r>
  </w:p>
  <w:p w:rsidR="005466E6" w:rsidRDefault="005466E6" w:rsidP="00FD50F7">
    <w:pPr>
      <w:pStyle w:val="Header"/>
      <w:jc w:val="right"/>
      <w:rPr>
        <w:b/>
        <w:color w:val="548DD4" w:themeColor="text2" w:themeTint="99"/>
        <w:sz w:val="28"/>
        <w:szCs w:val="28"/>
      </w:rPr>
    </w:pPr>
    <w:r>
      <w:rPr>
        <w:b/>
        <w:color w:val="548DD4" w:themeColor="text2" w:themeTint="99"/>
        <w:sz w:val="28"/>
        <w:szCs w:val="28"/>
      </w:rPr>
      <w:t>TMDL Sampling Event Summary</w:t>
    </w:r>
  </w:p>
  <w:p w:rsidR="005466E6" w:rsidRDefault="00E44365" w:rsidP="00FD50F7">
    <w:pPr>
      <w:pStyle w:val="Header"/>
      <w:jc w:val="right"/>
    </w:pPr>
    <w:r w:rsidRPr="00E44365">
      <w:rPr>
        <w:b/>
        <w:noProof/>
        <w:color w:val="548DD4" w:themeColor="text2" w:themeTint="99"/>
        <w:sz w:val="28"/>
        <w:szCs w:val="28"/>
      </w:rPr>
      <w:pict>
        <v:shapetype id="_x0000_t32" coordsize="21600,21600" o:spt="32" o:oned="t" path="m,l21600,21600e" filled="f">
          <v:path arrowok="t" fillok="f" o:connecttype="none"/>
          <o:lock v:ext="edit" shapetype="t"/>
        </v:shapetype>
        <v:shape id="_x0000_s9217" type="#_x0000_t32" style="position:absolute;left:0;text-align:left;margin-left:0;margin-top:5.65pt;width:472.5pt;height:.05pt;z-index:251658240" o:connectortype="straight" strokecolor="#548dd4 [1951]" strokeweight="2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F6541"/>
    <w:multiLevelType w:val="hybridMultilevel"/>
    <w:tmpl w:val="56206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642AC8"/>
    <w:multiLevelType w:val="hybridMultilevel"/>
    <w:tmpl w:val="CE842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CD1079"/>
    <w:multiLevelType w:val="hybridMultilevel"/>
    <w:tmpl w:val="448AC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BA0135"/>
    <w:multiLevelType w:val="hybridMultilevel"/>
    <w:tmpl w:val="DE18C4F6"/>
    <w:lvl w:ilvl="0" w:tplc="B862FF88">
      <w:start w:val="1"/>
      <w:numFmt w:val="bullet"/>
      <w:lvlText w:val="o"/>
      <w:lvlJc w:val="left"/>
      <w:pPr>
        <w:tabs>
          <w:tab w:val="num" w:pos="720"/>
        </w:tabs>
        <w:ind w:left="720" w:hanging="360"/>
      </w:pPr>
      <w:rPr>
        <w:rFonts w:ascii="Courier New" w:hAnsi="Courier New" w:hint="default"/>
      </w:rPr>
    </w:lvl>
    <w:lvl w:ilvl="1" w:tplc="B31265B6">
      <w:start w:val="1409"/>
      <w:numFmt w:val="bullet"/>
      <w:lvlText w:val="•"/>
      <w:lvlJc w:val="left"/>
      <w:pPr>
        <w:tabs>
          <w:tab w:val="num" w:pos="1440"/>
        </w:tabs>
        <w:ind w:left="1440" w:hanging="360"/>
      </w:pPr>
      <w:rPr>
        <w:rFonts w:ascii="Arial" w:hAnsi="Arial" w:hint="default"/>
      </w:rPr>
    </w:lvl>
    <w:lvl w:ilvl="2" w:tplc="986A88EE" w:tentative="1">
      <w:start w:val="1"/>
      <w:numFmt w:val="bullet"/>
      <w:lvlText w:val="o"/>
      <w:lvlJc w:val="left"/>
      <w:pPr>
        <w:tabs>
          <w:tab w:val="num" w:pos="2160"/>
        </w:tabs>
        <w:ind w:left="2160" w:hanging="360"/>
      </w:pPr>
      <w:rPr>
        <w:rFonts w:ascii="Courier New" w:hAnsi="Courier New" w:hint="default"/>
      </w:rPr>
    </w:lvl>
    <w:lvl w:ilvl="3" w:tplc="9C1C76B6" w:tentative="1">
      <w:start w:val="1"/>
      <w:numFmt w:val="bullet"/>
      <w:lvlText w:val="o"/>
      <w:lvlJc w:val="left"/>
      <w:pPr>
        <w:tabs>
          <w:tab w:val="num" w:pos="2880"/>
        </w:tabs>
        <w:ind w:left="2880" w:hanging="360"/>
      </w:pPr>
      <w:rPr>
        <w:rFonts w:ascii="Courier New" w:hAnsi="Courier New" w:hint="default"/>
      </w:rPr>
    </w:lvl>
    <w:lvl w:ilvl="4" w:tplc="7F00B890" w:tentative="1">
      <w:start w:val="1"/>
      <w:numFmt w:val="bullet"/>
      <w:lvlText w:val="o"/>
      <w:lvlJc w:val="left"/>
      <w:pPr>
        <w:tabs>
          <w:tab w:val="num" w:pos="3600"/>
        </w:tabs>
        <w:ind w:left="3600" w:hanging="360"/>
      </w:pPr>
      <w:rPr>
        <w:rFonts w:ascii="Courier New" w:hAnsi="Courier New" w:hint="default"/>
      </w:rPr>
    </w:lvl>
    <w:lvl w:ilvl="5" w:tplc="F7227E14" w:tentative="1">
      <w:start w:val="1"/>
      <w:numFmt w:val="bullet"/>
      <w:lvlText w:val="o"/>
      <w:lvlJc w:val="left"/>
      <w:pPr>
        <w:tabs>
          <w:tab w:val="num" w:pos="4320"/>
        </w:tabs>
        <w:ind w:left="4320" w:hanging="360"/>
      </w:pPr>
      <w:rPr>
        <w:rFonts w:ascii="Courier New" w:hAnsi="Courier New" w:hint="default"/>
      </w:rPr>
    </w:lvl>
    <w:lvl w:ilvl="6" w:tplc="2EDAAE12" w:tentative="1">
      <w:start w:val="1"/>
      <w:numFmt w:val="bullet"/>
      <w:lvlText w:val="o"/>
      <w:lvlJc w:val="left"/>
      <w:pPr>
        <w:tabs>
          <w:tab w:val="num" w:pos="5040"/>
        </w:tabs>
        <w:ind w:left="5040" w:hanging="360"/>
      </w:pPr>
      <w:rPr>
        <w:rFonts w:ascii="Courier New" w:hAnsi="Courier New" w:hint="default"/>
      </w:rPr>
    </w:lvl>
    <w:lvl w:ilvl="7" w:tplc="5B5AEF7E" w:tentative="1">
      <w:start w:val="1"/>
      <w:numFmt w:val="bullet"/>
      <w:lvlText w:val="o"/>
      <w:lvlJc w:val="left"/>
      <w:pPr>
        <w:tabs>
          <w:tab w:val="num" w:pos="5760"/>
        </w:tabs>
        <w:ind w:left="5760" w:hanging="360"/>
      </w:pPr>
      <w:rPr>
        <w:rFonts w:ascii="Courier New" w:hAnsi="Courier New" w:hint="default"/>
      </w:rPr>
    </w:lvl>
    <w:lvl w:ilvl="8" w:tplc="678E28DC" w:tentative="1">
      <w:start w:val="1"/>
      <w:numFmt w:val="bullet"/>
      <w:lvlText w:val="o"/>
      <w:lvlJc w:val="left"/>
      <w:pPr>
        <w:tabs>
          <w:tab w:val="num" w:pos="6480"/>
        </w:tabs>
        <w:ind w:left="6480" w:hanging="360"/>
      </w:pPr>
      <w:rPr>
        <w:rFonts w:ascii="Courier New" w:hAnsi="Courier New" w:hint="default"/>
      </w:rPr>
    </w:lvl>
  </w:abstractNum>
  <w:abstractNum w:abstractNumId="4">
    <w:nsid w:val="3C03752E"/>
    <w:multiLevelType w:val="hybridMultilevel"/>
    <w:tmpl w:val="ED34A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1F87AB9"/>
    <w:multiLevelType w:val="hybridMultilevel"/>
    <w:tmpl w:val="CA56F3C6"/>
    <w:lvl w:ilvl="0" w:tplc="7F44D312">
      <w:start w:val="1"/>
      <w:numFmt w:val="bullet"/>
      <w:lvlText w:val="•"/>
      <w:lvlJc w:val="left"/>
      <w:pPr>
        <w:tabs>
          <w:tab w:val="num" w:pos="720"/>
        </w:tabs>
        <w:ind w:left="720" w:hanging="360"/>
      </w:pPr>
      <w:rPr>
        <w:rFonts w:ascii="Times New Roman" w:hAnsi="Times New Roman" w:hint="default"/>
      </w:rPr>
    </w:lvl>
    <w:lvl w:ilvl="1" w:tplc="06DA3944" w:tentative="1">
      <w:start w:val="1"/>
      <w:numFmt w:val="bullet"/>
      <w:lvlText w:val="•"/>
      <w:lvlJc w:val="left"/>
      <w:pPr>
        <w:tabs>
          <w:tab w:val="num" w:pos="1440"/>
        </w:tabs>
        <w:ind w:left="1440" w:hanging="360"/>
      </w:pPr>
      <w:rPr>
        <w:rFonts w:ascii="Times New Roman" w:hAnsi="Times New Roman" w:hint="default"/>
      </w:rPr>
    </w:lvl>
    <w:lvl w:ilvl="2" w:tplc="3536C7D2" w:tentative="1">
      <w:start w:val="1"/>
      <w:numFmt w:val="bullet"/>
      <w:lvlText w:val="•"/>
      <w:lvlJc w:val="left"/>
      <w:pPr>
        <w:tabs>
          <w:tab w:val="num" w:pos="2160"/>
        </w:tabs>
        <w:ind w:left="2160" w:hanging="360"/>
      </w:pPr>
      <w:rPr>
        <w:rFonts w:ascii="Times New Roman" w:hAnsi="Times New Roman" w:hint="default"/>
      </w:rPr>
    </w:lvl>
    <w:lvl w:ilvl="3" w:tplc="80E8B508" w:tentative="1">
      <w:start w:val="1"/>
      <w:numFmt w:val="bullet"/>
      <w:lvlText w:val="•"/>
      <w:lvlJc w:val="left"/>
      <w:pPr>
        <w:tabs>
          <w:tab w:val="num" w:pos="2880"/>
        </w:tabs>
        <w:ind w:left="2880" w:hanging="360"/>
      </w:pPr>
      <w:rPr>
        <w:rFonts w:ascii="Times New Roman" w:hAnsi="Times New Roman" w:hint="default"/>
      </w:rPr>
    </w:lvl>
    <w:lvl w:ilvl="4" w:tplc="8E06DDB4" w:tentative="1">
      <w:start w:val="1"/>
      <w:numFmt w:val="bullet"/>
      <w:lvlText w:val="•"/>
      <w:lvlJc w:val="left"/>
      <w:pPr>
        <w:tabs>
          <w:tab w:val="num" w:pos="3600"/>
        </w:tabs>
        <w:ind w:left="3600" w:hanging="360"/>
      </w:pPr>
      <w:rPr>
        <w:rFonts w:ascii="Times New Roman" w:hAnsi="Times New Roman" w:hint="default"/>
      </w:rPr>
    </w:lvl>
    <w:lvl w:ilvl="5" w:tplc="DDACA5D8" w:tentative="1">
      <w:start w:val="1"/>
      <w:numFmt w:val="bullet"/>
      <w:lvlText w:val="•"/>
      <w:lvlJc w:val="left"/>
      <w:pPr>
        <w:tabs>
          <w:tab w:val="num" w:pos="4320"/>
        </w:tabs>
        <w:ind w:left="4320" w:hanging="360"/>
      </w:pPr>
      <w:rPr>
        <w:rFonts w:ascii="Times New Roman" w:hAnsi="Times New Roman" w:hint="default"/>
      </w:rPr>
    </w:lvl>
    <w:lvl w:ilvl="6" w:tplc="BBDC6256" w:tentative="1">
      <w:start w:val="1"/>
      <w:numFmt w:val="bullet"/>
      <w:lvlText w:val="•"/>
      <w:lvlJc w:val="left"/>
      <w:pPr>
        <w:tabs>
          <w:tab w:val="num" w:pos="5040"/>
        </w:tabs>
        <w:ind w:left="5040" w:hanging="360"/>
      </w:pPr>
      <w:rPr>
        <w:rFonts w:ascii="Times New Roman" w:hAnsi="Times New Roman" w:hint="default"/>
      </w:rPr>
    </w:lvl>
    <w:lvl w:ilvl="7" w:tplc="08AAADF4" w:tentative="1">
      <w:start w:val="1"/>
      <w:numFmt w:val="bullet"/>
      <w:lvlText w:val="•"/>
      <w:lvlJc w:val="left"/>
      <w:pPr>
        <w:tabs>
          <w:tab w:val="num" w:pos="5760"/>
        </w:tabs>
        <w:ind w:left="5760" w:hanging="360"/>
      </w:pPr>
      <w:rPr>
        <w:rFonts w:ascii="Times New Roman" w:hAnsi="Times New Roman" w:hint="default"/>
      </w:rPr>
    </w:lvl>
    <w:lvl w:ilvl="8" w:tplc="013E11C6" w:tentative="1">
      <w:start w:val="1"/>
      <w:numFmt w:val="bullet"/>
      <w:lvlText w:val="•"/>
      <w:lvlJc w:val="left"/>
      <w:pPr>
        <w:tabs>
          <w:tab w:val="num" w:pos="6480"/>
        </w:tabs>
        <w:ind w:left="6480" w:hanging="360"/>
      </w:pPr>
      <w:rPr>
        <w:rFonts w:ascii="Times New Roman" w:hAnsi="Times New Roman" w:hint="default"/>
      </w:rPr>
    </w:lvl>
  </w:abstractNum>
  <w:abstractNum w:abstractNumId="6">
    <w:nsid w:val="4E927D0C"/>
    <w:multiLevelType w:val="hybridMultilevel"/>
    <w:tmpl w:val="FEF6D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F996ED9"/>
    <w:multiLevelType w:val="hybridMultilevel"/>
    <w:tmpl w:val="87149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AD97110"/>
    <w:multiLevelType w:val="hybridMultilevel"/>
    <w:tmpl w:val="7DFE0000"/>
    <w:lvl w:ilvl="0" w:tplc="4120CA80">
      <w:start w:val="1"/>
      <w:numFmt w:val="bullet"/>
      <w:lvlText w:val="•"/>
      <w:lvlJc w:val="left"/>
      <w:pPr>
        <w:tabs>
          <w:tab w:val="num" w:pos="720"/>
        </w:tabs>
        <w:ind w:left="720" w:hanging="360"/>
      </w:pPr>
      <w:rPr>
        <w:rFonts w:ascii="Arial" w:hAnsi="Arial" w:hint="default"/>
      </w:rPr>
    </w:lvl>
    <w:lvl w:ilvl="1" w:tplc="31109FDA">
      <w:start w:val="1100"/>
      <w:numFmt w:val="bullet"/>
      <w:lvlText w:val="–"/>
      <w:lvlJc w:val="left"/>
      <w:pPr>
        <w:tabs>
          <w:tab w:val="num" w:pos="1440"/>
        </w:tabs>
        <w:ind w:left="1440" w:hanging="360"/>
      </w:pPr>
      <w:rPr>
        <w:rFonts w:ascii="Arial" w:hAnsi="Arial" w:hint="default"/>
      </w:rPr>
    </w:lvl>
    <w:lvl w:ilvl="2" w:tplc="F9BC49D6" w:tentative="1">
      <w:start w:val="1"/>
      <w:numFmt w:val="bullet"/>
      <w:lvlText w:val="•"/>
      <w:lvlJc w:val="left"/>
      <w:pPr>
        <w:tabs>
          <w:tab w:val="num" w:pos="2160"/>
        </w:tabs>
        <w:ind w:left="2160" w:hanging="360"/>
      </w:pPr>
      <w:rPr>
        <w:rFonts w:ascii="Arial" w:hAnsi="Arial" w:hint="default"/>
      </w:rPr>
    </w:lvl>
    <w:lvl w:ilvl="3" w:tplc="2744DAA6" w:tentative="1">
      <w:start w:val="1"/>
      <w:numFmt w:val="bullet"/>
      <w:lvlText w:val="•"/>
      <w:lvlJc w:val="left"/>
      <w:pPr>
        <w:tabs>
          <w:tab w:val="num" w:pos="2880"/>
        </w:tabs>
        <w:ind w:left="2880" w:hanging="360"/>
      </w:pPr>
      <w:rPr>
        <w:rFonts w:ascii="Arial" w:hAnsi="Arial" w:hint="default"/>
      </w:rPr>
    </w:lvl>
    <w:lvl w:ilvl="4" w:tplc="BFA4A95C" w:tentative="1">
      <w:start w:val="1"/>
      <w:numFmt w:val="bullet"/>
      <w:lvlText w:val="•"/>
      <w:lvlJc w:val="left"/>
      <w:pPr>
        <w:tabs>
          <w:tab w:val="num" w:pos="3600"/>
        </w:tabs>
        <w:ind w:left="3600" w:hanging="360"/>
      </w:pPr>
      <w:rPr>
        <w:rFonts w:ascii="Arial" w:hAnsi="Arial" w:hint="default"/>
      </w:rPr>
    </w:lvl>
    <w:lvl w:ilvl="5" w:tplc="97C26106" w:tentative="1">
      <w:start w:val="1"/>
      <w:numFmt w:val="bullet"/>
      <w:lvlText w:val="•"/>
      <w:lvlJc w:val="left"/>
      <w:pPr>
        <w:tabs>
          <w:tab w:val="num" w:pos="4320"/>
        </w:tabs>
        <w:ind w:left="4320" w:hanging="360"/>
      </w:pPr>
      <w:rPr>
        <w:rFonts w:ascii="Arial" w:hAnsi="Arial" w:hint="default"/>
      </w:rPr>
    </w:lvl>
    <w:lvl w:ilvl="6" w:tplc="BB568B0E" w:tentative="1">
      <w:start w:val="1"/>
      <w:numFmt w:val="bullet"/>
      <w:lvlText w:val="•"/>
      <w:lvlJc w:val="left"/>
      <w:pPr>
        <w:tabs>
          <w:tab w:val="num" w:pos="5040"/>
        </w:tabs>
        <w:ind w:left="5040" w:hanging="360"/>
      </w:pPr>
      <w:rPr>
        <w:rFonts w:ascii="Arial" w:hAnsi="Arial" w:hint="default"/>
      </w:rPr>
    </w:lvl>
    <w:lvl w:ilvl="7" w:tplc="FAB20040" w:tentative="1">
      <w:start w:val="1"/>
      <w:numFmt w:val="bullet"/>
      <w:lvlText w:val="•"/>
      <w:lvlJc w:val="left"/>
      <w:pPr>
        <w:tabs>
          <w:tab w:val="num" w:pos="5760"/>
        </w:tabs>
        <w:ind w:left="5760" w:hanging="360"/>
      </w:pPr>
      <w:rPr>
        <w:rFonts w:ascii="Arial" w:hAnsi="Arial" w:hint="default"/>
      </w:rPr>
    </w:lvl>
    <w:lvl w:ilvl="8" w:tplc="F71CB1BA" w:tentative="1">
      <w:start w:val="1"/>
      <w:numFmt w:val="bullet"/>
      <w:lvlText w:val="•"/>
      <w:lvlJc w:val="left"/>
      <w:pPr>
        <w:tabs>
          <w:tab w:val="num" w:pos="6480"/>
        </w:tabs>
        <w:ind w:left="6480" w:hanging="360"/>
      </w:pPr>
      <w:rPr>
        <w:rFonts w:ascii="Arial" w:hAnsi="Arial" w:hint="default"/>
      </w:rPr>
    </w:lvl>
  </w:abstractNum>
  <w:abstractNum w:abstractNumId="9">
    <w:nsid w:val="6ECB3B5E"/>
    <w:multiLevelType w:val="hybridMultilevel"/>
    <w:tmpl w:val="7FE88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17578BB"/>
    <w:multiLevelType w:val="hybridMultilevel"/>
    <w:tmpl w:val="F92CB4BC"/>
    <w:lvl w:ilvl="0" w:tplc="11B47882">
      <w:start w:val="1"/>
      <w:numFmt w:val="bullet"/>
      <w:lvlText w:val="•"/>
      <w:lvlJc w:val="left"/>
      <w:pPr>
        <w:tabs>
          <w:tab w:val="num" w:pos="720"/>
        </w:tabs>
        <w:ind w:left="720" w:hanging="360"/>
      </w:pPr>
      <w:rPr>
        <w:rFonts w:ascii="Arial" w:hAnsi="Arial" w:hint="default"/>
      </w:rPr>
    </w:lvl>
    <w:lvl w:ilvl="1" w:tplc="9EC44018" w:tentative="1">
      <w:start w:val="1"/>
      <w:numFmt w:val="bullet"/>
      <w:lvlText w:val="•"/>
      <w:lvlJc w:val="left"/>
      <w:pPr>
        <w:tabs>
          <w:tab w:val="num" w:pos="1440"/>
        </w:tabs>
        <w:ind w:left="1440" w:hanging="360"/>
      </w:pPr>
      <w:rPr>
        <w:rFonts w:ascii="Arial" w:hAnsi="Arial" w:hint="default"/>
      </w:rPr>
    </w:lvl>
    <w:lvl w:ilvl="2" w:tplc="282EF1B6" w:tentative="1">
      <w:start w:val="1"/>
      <w:numFmt w:val="bullet"/>
      <w:lvlText w:val="•"/>
      <w:lvlJc w:val="left"/>
      <w:pPr>
        <w:tabs>
          <w:tab w:val="num" w:pos="2160"/>
        </w:tabs>
        <w:ind w:left="2160" w:hanging="360"/>
      </w:pPr>
      <w:rPr>
        <w:rFonts w:ascii="Arial" w:hAnsi="Arial" w:hint="default"/>
      </w:rPr>
    </w:lvl>
    <w:lvl w:ilvl="3" w:tplc="900462F8" w:tentative="1">
      <w:start w:val="1"/>
      <w:numFmt w:val="bullet"/>
      <w:lvlText w:val="•"/>
      <w:lvlJc w:val="left"/>
      <w:pPr>
        <w:tabs>
          <w:tab w:val="num" w:pos="2880"/>
        </w:tabs>
        <w:ind w:left="2880" w:hanging="360"/>
      </w:pPr>
      <w:rPr>
        <w:rFonts w:ascii="Arial" w:hAnsi="Arial" w:hint="default"/>
      </w:rPr>
    </w:lvl>
    <w:lvl w:ilvl="4" w:tplc="48B4A2EA" w:tentative="1">
      <w:start w:val="1"/>
      <w:numFmt w:val="bullet"/>
      <w:lvlText w:val="•"/>
      <w:lvlJc w:val="left"/>
      <w:pPr>
        <w:tabs>
          <w:tab w:val="num" w:pos="3600"/>
        </w:tabs>
        <w:ind w:left="3600" w:hanging="360"/>
      </w:pPr>
      <w:rPr>
        <w:rFonts w:ascii="Arial" w:hAnsi="Arial" w:hint="default"/>
      </w:rPr>
    </w:lvl>
    <w:lvl w:ilvl="5" w:tplc="5BBCC0D0" w:tentative="1">
      <w:start w:val="1"/>
      <w:numFmt w:val="bullet"/>
      <w:lvlText w:val="•"/>
      <w:lvlJc w:val="left"/>
      <w:pPr>
        <w:tabs>
          <w:tab w:val="num" w:pos="4320"/>
        </w:tabs>
        <w:ind w:left="4320" w:hanging="360"/>
      </w:pPr>
      <w:rPr>
        <w:rFonts w:ascii="Arial" w:hAnsi="Arial" w:hint="default"/>
      </w:rPr>
    </w:lvl>
    <w:lvl w:ilvl="6" w:tplc="74B4B392" w:tentative="1">
      <w:start w:val="1"/>
      <w:numFmt w:val="bullet"/>
      <w:lvlText w:val="•"/>
      <w:lvlJc w:val="left"/>
      <w:pPr>
        <w:tabs>
          <w:tab w:val="num" w:pos="5040"/>
        </w:tabs>
        <w:ind w:left="5040" w:hanging="360"/>
      </w:pPr>
      <w:rPr>
        <w:rFonts w:ascii="Arial" w:hAnsi="Arial" w:hint="default"/>
      </w:rPr>
    </w:lvl>
    <w:lvl w:ilvl="7" w:tplc="558C6482" w:tentative="1">
      <w:start w:val="1"/>
      <w:numFmt w:val="bullet"/>
      <w:lvlText w:val="•"/>
      <w:lvlJc w:val="left"/>
      <w:pPr>
        <w:tabs>
          <w:tab w:val="num" w:pos="5760"/>
        </w:tabs>
        <w:ind w:left="5760" w:hanging="360"/>
      </w:pPr>
      <w:rPr>
        <w:rFonts w:ascii="Arial" w:hAnsi="Arial" w:hint="default"/>
      </w:rPr>
    </w:lvl>
    <w:lvl w:ilvl="8" w:tplc="350EB09C" w:tentative="1">
      <w:start w:val="1"/>
      <w:numFmt w:val="bullet"/>
      <w:lvlText w:val="•"/>
      <w:lvlJc w:val="left"/>
      <w:pPr>
        <w:tabs>
          <w:tab w:val="num" w:pos="6480"/>
        </w:tabs>
        <w:ind w:left="6480" w:hanging="360"/>
      </w:pPr>
      <w:rPr>
        <w:rFonts w:ascii="Arial" w:hAnsi="Arial" w:hint="default"/>
      </w:rPr>
    </w:lvl>
  </w:abstractNum>
  <w:abstractNum w:abstractNumId="11">
    <w:nsid w:val="76B95C0B"/>
    <w:multiLevelType w:val="hybridMultilevel"/>
    <w:tmpl w:val="B6F0A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D90575C"/>
    <w:multiLevelType w:val="hybridMultilevel"/>
    <w:tmpl w:val="7908BD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7DEB66BA"/>
    <w:multiLevelType w:val="hybridMultilevel"/>
    <w:tmpl w:val="61A8F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6"/>
  </w:num>
  <w:num w:numId="4">
    <w:abstractNumId w:val="10"/>
  </w:num>
  <w:num w:numId="5">
    <w:abstractNumId w:val="8"/>
  </w:num>
  <w:num w:numId="6">
    <w:abstractNumId w:val="3"/>
  </w:num>
  <w:num w:numId="7">
    <w:abstractNumId w:val="7"/>
  </w:num>
  <w:num w:numId="8">
    <w:abstractNumId w:val="4"/>
  </w:num>
  <w:num w:numId="9">
    <w:abstractNumId w:val="9"/>
  </w:num>
  <w:num w:numId="10">
    <w:abstractNumId w:val="11"/>
  </w:num>
  <w:num w:numId="11">
    <w:abstractNumId w:val="13"/>
  </w:num>
  <w:num w:numId="12">
    <w:abstractNumId w:val="12"/>
  </w:num>
  <w:num w:numId="13">
    <w:abstractNumId w:val="0"/>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9218"/>
    <o:shapelayout v:ext="edit">
      <o:idmap v:ext="edit" data="9"/>
      <o:rules v:ext="edit">
        <o:r id="V:Rule2" type="connector" idref="#_x0000_s9217"/>
      </o:rules>
    </o:shapelayout>
  </w:hdrShapeDefaults>
  <w:footnotePr>
    <w:footnote w:id="-1"/>
    <w:footnote w:id="0"/>
  </w:footnotePr>
  <w:endnotePr>
    <w:endnote w:id="-1"/>
    <w:endnote w:id="0"/>
  </w:endnotePr>
  <w:compat/>
  <w:rsids>
    <w:rsidRoot w:val="00F14C58"/>
    <w:rsid w:val="00005B2C"/>
    <w:rsid w:val="00010800"/>
    <w:rsid w:val="00020E9F"/>
    <w:rsid w:val="000261D3"/>
    <w:rsid w:val="00027005"/>
    <w:rsid w:val="00042733"/>
    <w:rsid w:val="000515F6"/>
    <w:rsid w:val="0005209E"/>
    <w:rsid w:val="000553B5"/>
    <w:rsid w:val="00056EAB"/>
    <w:rsid w:val="00060EFD"/>
    <w:rsid w:val="0007316A"/>
    <w:rsid w:val="00082AB6"/>
    <w:rsid w:val="00083092"/>
    <w:rsid w:val="00083726"/>
    <w:rsid w:val="0008691D"/>
    <w:rsid w:val="00092360"/>
    <w:rsid w:val="000969BF"/>
    <w:rsid w:val="000A143B"/>
    <w:rsid w:val="000A54F7"/>
    <w:rsid w:val="000A590F"/>
    <w:rsid w:val="000A59C1"/>
    <w:rsid w:val="000A7DAF"/>
    <w:rsid w:val="000B4DEE"/>
    <w:rsid w:val="000C2CE0"/>
    <w:rsid w:val="000D05D6"/>
    <w:rsid w:val="000D6FAC"/>
    <w:rsid w:val="000D76ED"/>
    <w:rsid w:val="000E7E34"/>
    <w:rsid w:val="000F1980"/>
    <w:rsid w:val="000F30C6"/>
    <w:rsid w:val="000F3659"/>
    <w:rsid w:val="001009FC"/>
    <w:rsid w:val="0010491C"/>
    <w:rsid w:val="00113463"/>
    <w:rsid w:val="00114099"/>
    <w:rsid w:val="00117BD7"/>
    <w:rsid w:val="0012137C"/>
    <w:rsid w:val="00124A64"/>
    <w:rsid w:val="0012642F"/>
    <w:rsid w:val="00134A8C"/>
    <w:rsid w:val="001367D8"/>
    <w:rsid w:val="00141D89"/>
    <w:rsid w:val="001543C2"/>
    <w:rsid w:val="00165811"/>
    <w:rsid w:val="00167736"/>
    <w:rsid w:val="0017553D"/>
    <w:rsid w:val="001821B2"/>
    <w:rsid w:val="00182DB5"/>
    <w:rsid w:val="001A07CD"/>
    <w:rsid w:val="001B0A57"/>
    <w:rsid w:val="001C6667"/>
    <w:rsid w:val="001D31DF"/>
    <w:rsid w:val="001F2C50"/>
    <w:rsid w:val="00202510"/>
    <w:rsid w:val="00207A5D"/>
    <w:rsid w:val="00212014"/>
    <w:rsid w:val="00220647"/>
    <w:rsid w:val="00222A69"/>
    <w:rsid w:val="00230DE9"/>
    <w:rsid w:val="002331EF"/>
    <w:rsid w:val="0023704D"/>
    <w:rsid w:val="00240B02"/>
    <w:rsid w:val="00241158"/>
    <w:rsid w:val="00241BB7"/>
    <w:rsid w:val="00241C21"/>
    <w:rsid w:val="00244D0E"/>
    <w:rsid w:val="0025095D"/>
    <w:rsid w:val="00254786"/>
    <w:rsid w:val="00256D8B"/>
    <w:rsid w:val="00260CFD"/>
    <w:rsid w:val="00271F3C"/>
    <w:rsid w:val="00281AC1"/>
    <w:rsid w:val="002848FC"/>
    <w:rsid w:val="00287602"/>
    <w:rsid w:val="002A0ADF"/>
    <w:rsid w:val="002A48C5"/>
    <w:rsid w:val="002A5E04"/>
    <w:rsid w:val="002A7B9B"/>
    <w:rsid w:val="002D00D6"/>
    <w:rsid w:val="002D2B64"/>
    <w:rsid w:val="002D3900"/>
    <w:rsid w:val="002E29AB"/>
    <w:rsid w:val="002F3644"/>
    <w:rsid w:val="0030088C"/>
    <w:rsid w:val="00303469"/>
    <w:rsid w:val="00307AC1"/>
    <w:rsid w:val="00311EF0"/>
    <w:rsid w:val="0031747D"/>
    <w:rsid w:val="00324D4C"/>
    <w:rsid w:val="0033444F"/>
    <w:rsid w:val="00343233"/>
    <w:rsid w:val="00351FCC"/>
    <w:rsid w:val="0035205C"/>
    <w:rsid w:val="00353F36"/>
    <w:rsid w:val="00354614"/>
    <w:rsid w:val="00361573"/>
    <w:rsid w:val="003677C6"/>
    <w:rsid w:val="00380F18"/>
    <w:rsid w:val="003812E2"/>
    <w:rsid w:val="00383E13"/>
    <w:rsid w:val="003848CD"/>
    <w:rsid w:val="003A358A"/>
    <w:rsid w:val="003A77B0"/>
    <w:rsid w:val="003B138A"/>
    <w:rsid w:val="003B267C"/>
    <w:rsid w:val="003C26F6"/>
    <w:rsid w:val="003C3489"/>
    <w:rsid w:val="003C7C45"/>
    <w:rsid w:val="003D5795"/>
    <w:rsid w:val="003E1279"/>
    <w:rsid w:val="003E55E9"/>
    <w:rsid w:val="003F3E47"/>
    <w:rsid w:val="003F6457"/>
    <w:rsid w:val="0040006B"/>
    <w:rsid w:val="004016E4"/>
    <w:rsid w:val="00401B35"/>
    <w:rsid w:val="00407F0C"/>
    <w:rsid w:val="004102DC"/>
    <w:rsid w:val="00411739"/>
    <w:rsid w:val="00412A1B"/>
    <w:rsid w:val="00412AB3"/>
    <w:rsid w:val="00415BB1"/>
    <w:rsid w:val="00420D4A"/>
    <w:rsid w:val="00450A3E"/>
    <w:rsid w:val="00455B33"/>
    <w:rsid w:val="0046210C"/>
    <w:rsid w:val="00473096"/>
    <w:rsid w:val="004757C6"/>
    <w:rsid w:val="00480087"/>
    <w:rsid w:val="00485E22"/>
    <w:rsid w:val="00491E88"/>
    <w:rsid w:val="004925EB"/>
    <w:rsid w:val="004A1AF3"/>
    <w:rsid w:val="004B05EF"/>
    <w:rsid w:val="004B0C47"/>
    <w:rsid w:val="004B2858"/>
    <w:rsid w:val="004B3A33"/>
    <w:rsid w:val="004C49ED"/>
    <w:rsid w:val="004C4FFA"/>
    <w:rsid w:val="004D0112"/>
    <w:rsid w:val="004D37E1"/>
    <w:rsid w:val="004D5705"/>
    <w:rsid w:val="004D6ECC"/>
    <w:rsid w:val="004E5B92"/>
    <w:rsid w:val="004F0363"/>
    <w:rsid w:val="00502B9E"/>
    <w:rsid w:val="005057F6"/>
    <w:rsid w:val="00505EB2"/>
    <w:rsid w:val="00515C54"/>
    <w:rsid w:val="00517173"/>
    <w:rsid w:val="00524150"/>
    <w:rsid w:val="0052777F"/>
    <w:rsid w:val="0053217B"/>
    <w:rsid w:val="00533A65"/>
    <w:rsid w:val="005355B2"/>
    <w:rsid w:val="0053685D"/>
    <w:rsid w:val="005466E6"/>
    <w:rsid w:val="0054697C"/>
    <w:rsid w:val="00570ED7"/>
    <w:rsid w:val="005749D5"/>
    <w:rsid w:val="00575ABF"/>
    <w:rsid w:val="005761CD"/>
    <w:rsid w:val="005851EF"/>
    <w:rsid w:val="00590DB7"/>
    <w:rsid w:val="00595630"/>
    <w:rsid w:val="00597FD4"/>
    <w:rsid w:val="005B37DF"/>
    <w:rsid w:val="005B5590"/>
    <w:rsid w:val="005C250B"/>
    <w:rsid w:val="005C6BFA"/>
    <w:rsid w:val="005D04B1"/>
    <w:rsid w:val="005D1102"/>
    <w:rsid w:val="005D24CA"/>
    <w:rsid w:val="005D64EE"/>
    <w:rsid w:val="005D6B3D"/>
    <w:rsid w:val="005E30ED"/>
    <w:rsid w:val="005E4130"/>
    <w:rsid w:val="005E4999"/>
    <w:rsid w:val="005E5095"/>
    <w:rsid w:val="005F15F5"/>
    <w:rsid w:val="005F2314"/>
    <w:rsid w:val="005F65A7"/>
    <w:rsid w:val="005F70D8"/>
    <w:rsid w:val="00605494"/>
    <w:rsid w:val="006073A3"/>
    <w:rsid w:val="00612DDF"/>
    <w:rsid w:val="00614F57"/>
    <w:rsid w:val="006179AA"/>
    <w:rsid w:val="00623874"/>
    <w:rsid w:val="006251AC"/>
    <w:rsid w:val="00625D26"/>
    <w:rsid w:val="00626700"/>
    <w:rsid w:val="00631665"/>
    <w:rsid w:val="0063575A"/>
    <w:rsid w:val="00637DA7"/>
    <w:rsid w:val="00650E88"/>
    <w:rsid w:val="00657FDF"/>
    <w:rsid w:val="0067044C"/>
    <w:rsid w:val="00676A8E"/>
    <w:rsid w:val="006816FE"/>
    <w:rsid w:val="00691C36"/>
    <w:rsid w:val="00692CF9"/>
    <w:rsid w:val="00695614"/>
    <w:rsid w:val="00696883"/>
    <w:rsid w:val="006A65A1"/>
    <w:rsid w:val="006B3F38"/>
    <w:rsid w:val="006B5260"/>
    <w:rsid w:val="006B6A52"/>
    <w:rsid w:val="006C26EA"/>
    <w:rsid w:val="006D41E1"/>
    <w:rsid w:val="006E380C"/>
    <w:rsid w:val="006E7A00"/>
    <w:rsid w:val="007112D7"/>
    <w:rsid w:val="007139F4"/>
    <w:rsid w:val="00742403"/>
    <w:rsid w:val="00754D8C"/>
    <w:rsid w:val="00755AF6"/>
    <w:rsid w:val="00757DA9"/>
    <w:rsid w:val="00772EDB"/>
    <w:rsid w:val="007735DD"/>
    <w:rsid w:val="00775A72"/>
    <w:rsid w:val="00787352"/>
    <w:rsid w:val="007A494E"/>
    <w:rsid w:val="007B14AC"/>
    <w:rsid w:val="007B3B6F"/>
    <w:rsid w:val="007D3416"/>
    <w:rsid w:val="007D451C"/>
    <w:rsid w:val="007E0BBC"/>
    <w:rsid w:val="007F003D"/>
    <w:rsid w:val="007F39B4"/>
    <w:rsid w:val="008006F6"/>
    <w:rsid w:val="00800E01"/>
    <w:rsid w:val="008236BE"/>
    <w:rsid w:val="008301D3"/>
    <w:rsid w:val="0083164F"/>
    <w:rsid w:val="00832BEA"/>
    <w:rsid w:val="00840746"/>
    <w:rsid w:val="008424BA"/>
    <w:rsid w:val="00844BFC"/>
    <w:rsid w:val="0085067E"/>
    <w:rsid w:val="00851151"/>
    <w:rsid w:val="008519E3"/>
    <w:rsid w:val="008601FA"/>
    <w:rsid w:val="008656E4"/>
    <w:rsid w:val="00866267"/>
    <w:rsid w:val="00872921"/>
    <w:rsid w:val="00874A65"/>
    <w:rsid w:val="00876D18"/>
    <w:rsid w:val="00895837"/>
    <w:rsid w:val="008A2102"/>
    <w:rsid w:val="008A28EB"/>
    <w:rsid w:val="008A4546"/>
    <w:rsid w:val="008A4B11"/>
    <w:rsid w:val="008B0289"/>
    <w:rsid w:val="008B7446"/>
    <w:rsid w:val="008E03CD"/>
    <w:rsid w:val="008E1E2C"/>
    <w:rsid w:val="008E2473"/>
    <w:rsid w:val="008E3B5B"/>
    <w:rsid w:val="008E700D"/>
    <w:rsid w:val="008F40B2"/>
    <w:rsid w:val="0090601A"/>
    <w:rsid w:val="00923E7D"/>
    <w:rsid w:val="009261D0"/>
    <w:rsid w:val="0093228E"/>
    <w:rsid w:val="00936FA3"/>
    <w:rsid w:val="009424B7"/>
    <w:rsid w:val="00947293"/>
    <w:rsid w:val="00951697"/>
    <w:rsid w:val="0095448F"/>
    <w:rsid w:val="0096185A"/>
    <w:rsid w:val="00975E6A"/>
    <w:rsid w:val="00981B69"/>
    <w:rsid w:val="00983643"/>
    <w:rsid w:val="00993358"/>
    <w:rsid w:val="009A0438"/>
    <w:rsid w:val="009A7292"/>
    <w:rsid w:val="009B73E6"/>
    <w:rsid w:val="009C048F"/>
    <w:rsid w:val="009C13A8"/>
    <w:rsid w:val="009C281C"/>
    <w:rsid w:val="009C390A"/>
    <w:rsid w:val="009C3CA9"/>
    <w:rsid w:val="009E19BB"/>
    <w:rsid w:val="009E64E1"/>
    <w:rsid w:val="009E7FDD"/>
    <w:rsid w:val="009F01F5"/>
    <w:rsid w:val="009F424E"/>
    <w:rsid w:val="009F7BCB"/>
    <w:rsid w:val="00A059A8"/>
    <w:rsid w:val="00A05D57"/>
    <w:rsid w:val="00A12C56"/>
    <w:rsid w:val="00A146A3"/>
    <w:rsid w:val="00A24EC7"/>
    <w:rsid w:val="00A25711"/>
    <w:rsid w:val="00A30F30"/>
    <w:rsid w:val="00A47BB9"/>
    <w:rsid w:val="00A54BAB"/>
    <w:rsid w:val="00A5562B"/>
    <w:rsid w:val="00A70969"/>
    <w:rsid w:val="00A7282D"/>
    <w:rsid w:val="00A76A60"/>
    <w:rsid w:val="00A77B82"/>
    <w:rsid w:val="00A80F20"/>
    <w:rsid w:val="00A82704"/>
    <w:rsid w:val="00A953D5"/>
    <w:rsid w:val="00AB2C1B"/>
    <w:rsid w:val="00AB2DEE"/>
    <w:rsid w:val="00AB3A4B"/>
    <w:rsid w:val="00AC39CA"/>
    <w:rsid w:val="00AD2BE6"/>
    <w:rsid w:val="00AE1DB0"/>
    <w:rsid w:val="00AE7F59"/>
    <w:rsid w:val="00AF13A6"/>
    <w:rsid w:val="00B01D8C"/>
    <w:rsid w:val="00B06F43"/>
    <w:rsid w:val="00B102B1"/>
    <w:rsid w:val="00B11DD6"/>
    <w:rsid w:val="00B235C1"/>
    <w:rsid w:val="00B335C6"/>
    <w:rsid w:val="00B33F86"/>
    <w:rsid w:val="00B342E2"/>
    <w:rsid w:val="00B3631A"/>
    <w:rsid w:val="00B378C1"/>
    <w:rsid w:val="00B41A86"/>
    <w:rsid w:val="00B44FC6"/>
    <w:rsid w:val="00B45E50"/>
    <w:rsid w:val="00B54D78"/>
    <w:rsid w:val="00B56FD1"/>
    <w:rsid w:val="00B73E4D"/>
    <w:rsid w:val="00B76D10"/>
    <w:rsid w:val="00B93071"/>
    <w:rsid w:val="00B93F63"/>
    <w:rsid w:val="00BA4D64"/>
    <w:rsid w:val="00BB06D3"/>
    <w:rsid w:val="00BC4D02"/>
    <w:rsid w:val="00BC5FCC"/>
    <w:rsid w:val="00BD2593"/>
    <w:rsid w:val="00BE1268"/>
    <w:rsid w:val="00BE3966"/>
    <w:rsid w:val="00BF0611"/>
    <w:rsid w:val="00BF1147"/>
    <w:rsid w:val="00C00F8C"/>
    <w:rsid w:val="00C13AB8"/>
    <w:rsid w:val="00C16FB9"/>
    <w:rsid w:val="00C17A23"/>
    <w:rsid w:val="00C2369C"/>
    <w:rsid w:val="00C23A55"/>
    <w:rsid w:val="00C26868"/>
    <w:rsid w:val="00C34C9E"/>
    <w:rsid w:val="00C3517C"/>
    <w:rsid w:val="00C533BC"/>
    <w:rsid w:val="00C571B3"/>
    <w:rsid w:val="00C57E53"/>
    <w:rsid w:val="00C624E6"/>
    <w:rsid w:val="00C7176D"/>
    <w:rsid w:val="00C72FBF"/>
    <w:rsid w:val="00C77356"/>
    <w:rsid w:val="00C80FC8"/>
    <w:rsid w:val="00C860F2"/>
    <w:rsid w:val="00C9409B"/>
    <w:rsid w:val="00CA6903"/>
    <w:rsid w:val="00CB1F17"/>
    <w:rsid w:val="00CB2650"/>
    <w:rsid w:val="00CC7872"/>
    <w:rsid w:val="00CD1BB4"/>
    <w:rsid w:val="00CD1D6E"/>
    <w:rsid w:val="00CD758C"/>
    <w:rsid w:val="00CF4292"/>
    <w:rsid w:val="00D00DF6"/>
    <w:rsid w:val="00D029B1"/>
    <w:rsid w:val="00D05F1B"/>
    <w:rsid w:val="00D11F94"/>
    <w:rsid w:val="00D1733A"/>
    <w:rsid w:val="00D24B6F"/>
    <w:rsid w:val="00D24F04"/>
    <w:rsid w:val="00D458C6"/>
    <w:rsid w:val="00D5074E"/>
    <w:rsid w:val="00D5750F"/>
    <w:rsid w:val="00D62372"/>
    <w:rsid w:val="00D70797"/>
    <w:rsid w:val="00D73CAA"/>
    <w:rsid w:val="00D75201"/>
    <w:rsid w:val="00D82D32"/>
    <w:rsid w:val="00DA3AD8"/>
    <w:rsid w:val="00DA74BA"/>
    <w:rsid w:val="00DB1346"/>
    <w:rsid w:val="00DB27C7"/>
    <w:rsid w:val="00DB2D52"/>
    <w:rsid w:val="00DB7914"/>
    <w:rsid w:val="00DC2A94"/>
    <w:rsid w:val="00DC3C57"/>
    <w:rsid w:val="00DC5BCE"/>
    <w:rsid w:val="00DD1A52"/>
    <w:rsid w:val="00DD2B1D"/>
    <w:rsid w:val="00DD65B7"/>
    <w:rsid w:val="00DE0522"/>
    <w:rsid w:val="00DE15B9"/>
    <w:rsid w:val="00DE6763"/>
    <w:rsid w:val="00DF0950"/>
    <w:rsid w:val="00DF5B47"/>
    <w:rsid w:val="00E01732"/>
    <w:rsid w:val="00E05058"/>
    <w:rsid w:val="00E11472"/>
    <w:rsid w:val="00E148A1"/>
    <w:rsid w:val="00E14A41"/>
    <w:rsid w:val="00E3049E"/>
    <w:rsid w:val="00E44365"/>
    <w:rsid w:val="00E47C1D"/>
    <w:rsid w:val="00E53292"/>
    <w:rsid w:val="00E54ACF"/>
    <w:rsid w:val="00E60A20"/>
    <w:rsid w:val="00E61BAE"/>
    <w:rsid w:val="00E64DBF"/>
    <w:rsid w:val="00E719B4"/>
    <w:rsid w:val="00E73A0B"/>
    <w:rsid w:val="00E767D6"/>
    <w:rsid w:val="00E77F51"/>
    <w:rsid w:val="00E81826"/>
    <w:rsid w:val="00E83430"/>
    <w:rsid w:val="00E9392B"/>
    <w:rsid w:val="00E970FF"/>
    <w:rsid w:val="00EA5EBC"/>
    <w:rsid w:val="00EA636F"/>
    <w:rsid w:val="00EA6BA0"/>
    <w:rsid w:val="00EA7337"/>
    <w:rsid w:val="00EB0396"/>
    <w:rsid w:val="00EB70B7"/>
    <w:rsid w:val="00EC2107"/>
    <w:rsid w:val="00EC7A9C"/>
    <w:rsid w:val="00ED19C4"/>
    <w:rsid w:val="00ED5DB1"/>
    <w:rsid w:val="00EE7DE3"/>
    <w:rsid w:val="00F00233"/>
    <w:rsid w:val="00F0757E"/>
    <w:rsid w:val="00F11024"/>
    <w:rsid w:val="00F14C58"/>
    <w:rsid w:val="00F1777B"/>
    <w:rsid w:val="00F25188"/>
    <w:rsid w:val="00F42569"/>
    <w:rsid w:val="00F505E4"/>
    <w:rsid w:val="00F56BE8"/>
    <w:rsid w:val="00F60199"/>
    <w:rsid w:val="00F74267"/>
    <w:rsid w:val="00F939A8"/>
    <w:rsid w:val="00FA1BD1"/>
    <w:rsid w:val="00FA4DD9"/>
    <w:rsid w:val="00FA773A"/>
    <w:rsid w:val="00FB5E70"/>
    <w:rsid w:val="00FC3020"/>
    <w:rsid w:val="00FC5828"/>
    <w:rsid w:val="00FD0ED1"/>
    <w:rsid w:val="00FD24C6"/>
    <w:rsid w:val="00FD4029"/>
    <w:rsid w:val="00FD44FA"/>
    <w:rsid w:val="00FD50F7"/>
    <w:rsid w:val="00FF3B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403"/>
  </w:style>
  <w:style w:type="paragraph" w:styleId="Heading1">
    <w:name w:val="heading 1"/>
    <w:basedOn w:val="Normal"/>
    <w:next w:val="Normal"/>
    <w:link w:val="Heading1Char"/>
    <w:uiPriority w:val="9"/>
    <w:qFormat/>
    <w:rsid w:val="00B45E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45E5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54A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F09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0950"/>
    <w:rPr>
      <w:rFonts w:ascii="Tahoma" w:hAnsi="Tahoma" w:cs="Tahoma"/>
      <w:sz w:val="16"/>
      <w:szCs w:val="16"/>
    </w:rPr>
  </w:style>
  <w:style w:type="paragraph" w:styleId="Header">
    <w:name w:val="header"/>
    <w:basedOn w:val="Normal"/>
    <w:link w:val="HeaderChar"/>
    <w:uiPriority w:val="99"/>
    <w:unhideWhenUsed/>
    <w:rsid w:val="00D707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0797"/>
  </w:style>
  <w:style w:type="paragraph" w:styleId="Footer">
    <w:name w:val="footer"/>
    <w:basedOn w:val="Normal"/>
    <w:link w:val="FooterChar"/>
    <w:uiPriority w:val="99"/>
    <w:unhideWhenUsed/>
    <w:rsid w:val="00D707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0797"/>
  </w:style>
  <w:style w:type="character" w:styleId="CommentReference">
    <w:name w:val="annotation reference"/>
    <w:basedOn w:val="DefaultParagraphFont"/>
    <w:uiPriority w:val="99"/>
    <w:semiHidden/>
    <w:unhideWhenUsed/>
    <w:rsid w:val="00775A72"/>
    <w:rPr>
      <w:sz w:val="16"/>
      <w:szCs w:val="16"/>
    </w:rPr>
  </w:style>
  <w:style w:type="paragraph" w:styleId="CommentText">
    <w:name w:val="annotation text"/>
    <w:basedOn w:val="Normal"/>
    <w:link w:val="CommentTextChar"/>
    <w:uiPriority w:val="99"/>
    <w:semiHidden/>
    <w:unhideWhenUsed/>
    <w:rsid w:val="00775A72"/>
    <w:pPr>
      <w:spacing w:line="240" w:lineRule="auto"/>
    </w:pPr>
    <w:rPr>
      <w:sz w:val="20"/>
      <w:szCs w:val="20"/>
    </w:rPr>
  </w:style>
  <w:style w:type="character" w:customStyle="1" w:styleId="CommentTextChar">
    <w:name w:val="Comment Text Char"/>
    <w:basedOn w:val="DefaultParagraphFont"/>
    <w:link w:val="CommentText"/>
    <w:uiPriority w:val="99"/>
    <w:semiHidden/>
    <w:rsid w:val="00775A72"/>
    <w:rPr>
      <w:sz w:val="20"/>
      <w:szCs w:val="20"/>
    </w:rPr>
  </w:style>
  <w:style w:type="paragraph" w:styleId="CommentSubject">
    <w:name w:val="annotation subject"/>
    <w:basedOn w:val="CommentText"/>
    <w:next w:val="CommentText"/>
    <w:link w:val="CommentSubjectChar"/>
    <w:uiPriority w:val="99"/>
    <w:semiHidden/>
    <w:unhideWhenUsed/>
    <w:rsid w:val="00775A72"/>
    <w:rPr>
      <w:b/>
      <w:bCs/>
    </w:rPr>
  </w:style>
  <w:style w:type="character" w:customStyle="1" w:styleId="CommentSubjectChar">
    <w:name w:val="Comment Subject Char"/>
    <w:basedOn w:val="CommentTextChar"/>
    <w:link w:val="CommentSubject"/>
    <w:uiPriority w:val="99"/>
    <w:semiHidden/>
    <w:rsid w:val="00775A72"/>
    <w:rPr>
      <w:b/>
      <w:bCs/>
    </w:rPr>
  </w:style>
  <w:style w:type="paragraph" w:styleId="ListParagraph">
    <w:name w:val="List Paragraph"/>
    <w:basedOn w:val="Normal"/>
    <w:uiPriority w:val="34"/>
    <w:qFormat/>
    <w:rsid w:val="00832BEA"/>
    <w:pPr>
      <w:ind w:left="720"/>
      <w:contextualSpacing/>
    </w:pPr>
  </w:style>
  <w:style w:type="paragraph" w:styleId="Title">
    <w:name w:val="Title"/>
    <w:basedOn w:val="Normal"/>
    <w:next w:val="Normal"/>
    <w:link w:val="TitleChar"/>
    <w:uiPriority w:val="10"/>
    <w:qFormat/>
    <w:rsid w:val="00B45E5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45E50"/>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B45E5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45E50"/>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182DB5"/>
    <w:rPr>
      <w:i/>
      <w:iCs/>
      <w:color w:val="000000" w:themeColor="text1"/>
    </w:rPr>
  </w:style>
  <w:style w:type="character" w:customStyle="1" w:styleId="QuoteChar">
    <w:name w:val="Quote Char"/>
    <w:basedOn w:val="DefaultParagraphFont"/>
    <w:link w:val="Quote"/>
    <w:uiPriority w:val="29"/>
    <w:rsid w:val="00182DB5"/>
    <w:rPr>
      <w:i/>
      <w:iCs/>
      <w:color w:val="000000" w:themeColor="text1"/>
    </w:rPr>
  </w:style>
  <w:style w:type="character" w:styleId="Emphasis">
    <w:name w:val="Emphasis"/>
    <w:basedOn w:val="DefaultParagraphFont"/>
    <w:uiPriority w:val="20"/>
    <w:qFormat/>
    <w:rsid w:val="00182DB5"/>
    <w:rPr>
      <w:i/>
      <w:iCs/>
    </w:rPr>
  </w:style>
  <w:style w:type="paragraph" w:styleId="PlainText">
    <w:name w:val="Plain Text"/>
    <w:basedOn w:val="Normal"/>
    <w:link w:val="PlainTextChar"/>
    <w:uiPriority w:val="99"/>
    <w:semiHidden/>
    <w:unhideWhenUsed/>
    <w:rsid w:val="00C17A23"/>
    <w:pPr>
      <w:spacing w:after="0" w:line="240" w:lineRule="auto"/>
    </w:pPr>
    <w:rPr>
      <w:rFonts w:ascii="Calibri" w:eastAsia="@Arial Unicode MS" w:hAnsi="Calibri" w:cs="@Arial Unicode MS"/>
      <w:color w:val="000000"/>
      <w:szCs w:val="20"/>
    </w:rPr>
  </w:style>
  <w:style w:type="character" w:customStyle="1" w:styleId="PlainTextChar">
    <w:name w:val="Plain Text Char"/>
    <w:basedOn w:val="DefaultParagraphFont"/>
    <w:link w:val="PlainText"/>
    <w:uiPriority w:val="99"/>
    <w:semiHidden/>
    <w:rsid w:val="00C17A23"/>
    <w:rPr>
      <w:rFonts w:ascii="Calibri" w:eastAsia="@Arial Unicode MS" w:hAnsi="Calibri" w:cs="@Arial Unicode MS"/>
      <w:color w:val="000000"/>
      <w:szCs w:val="20"/>
    </w:rPr>
  </w:style>
  <w:style w:type="paragraph" w:styleId="NoSpacing">
    <w:name w:val="No Spacing"/>
    <w:uiPriority w:val="1"/>
    <w:qFormat/>
    <w:rsid w:val="002F3644"/>
    <w:pPr>
      <w:spacing w:after="0" w:line="240" w:lineRule="auto"/>
    </w:pPr>
  </w:style>
  <w:style w:type="character" w:styleId="Hyperlink">
    <w:name w:val="Hyperlink"/>
    <w:basedOn w:val="DefaultParagraphFont"/>
    <w:uiPriority w:val="99"/>
    <w:unhideWhenUsed/>
    <w:rsid w:val="00AB2C1B"/>
    <w:rPr>
      <w:color w:val="0000FF"/>
      <w:u w:val="single"/>
    </w:rPr>
  </w:style>
  <w:style w:type="paragraph" w:styleId="FootnoteText">
    <w:name w:val="footnote text"/>
    <w:basedOn w:val="Normal"/>
    <w:link w:val="FootnoteTextChar"/>
    <w:uiPriority w:val="99"/>
    <w:semiHidden/>
    <w:unhideWhenUsed/>
    <w:rsid w:val="00B41A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1A86"/>
    <w:rPr>
      <w:sz w:val="20"/>
      <w:szCs w:val="20"/>
    </w:rPr>
  </w:style>
  <w:style w:type="character" w:styleId="FootnoteReference">
    <w:name w:val="footnote reference"/>
    <w:basedOn w:val="DefaultParagraphFont"/>
    <w:uiPriority w:val="99"/>
    <w:semiHidden/>
    <w:unhideWhenUsed/>
    <w:rsid w:val="00B41A86"/>
    <w:rPr>
      <w:vertAlign w:val="superscript"/>
    </w:rPr>
  </w:style>
  <w:style w:type="character" w:styleId="FollowedHyperlink">
    <w:name w:val="FollowedHyperlink"/>
    <w:basedOn w:val="DefaultParagraphFont"/>
    <w:uiPriority w:val="99"/>
    <w:semiHidden/>
    <w:unhideWhenUsed/>
    <w:rsid w:val="00311EF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28713722">
      <w:bodyDiv w:val="1"/>
      <w:marLeft w:val="0"/>
      <w:marRight w:val="0"/>
      <w:marTop w:val="0"/>
      <w:marBottom w:val="0"/>
      <w:divBdr>
        <w:top w:val="none" w:sz="0" w:space="0" w:color="auto"/>
        <w:left w:val="none" w:sz="0" w:space="0" w:color="auto"/>
        <w:bottom w:val="none" w:sz="0" w:space="0" w:color="auto"/>
        <w:right w:val="none" w:sz="0" w:space="0" w:color="auto"/>
      </w:divBdr>
    </w:div>
    <w:div w:id="214395183">
      <w:bodyDiv w:val="1"/>
      <w:marLeft w:val="0"/>
      <w:marRight w:val="0"/>
      <w:marTop w:val="0"/>
      <w:marBottom w:val="0"/>
      <w:divBdr>
        <w:top w:val="none" w:sz="0" w:space="0" w:color="auto"/>
        <w:left w:val="none" w:sz="0" w:space="0" w:color="auto"/>
        <w:bottom w:val="none" w:sz="0" w:space="0" w:color="auto"/>
        <w:right w:val="none" w:sz="0" w:space="0" w:color="auto"/>
      </w:divBdr>
      <w:divsChild>
        <w:div w:id="459539974">
          <w:marLeft w:val="547"/>
          <w:marRight w:val="0"/>
          <w:marTop w:val="86"/>
          <w:marBottom w:val="0"/>
          <w:divBdr>
            <w:top w:val="none" w:sz="0" w:space="0" w:color="auto"/>
            <w:left w:val="none" w:sz="0" w:space="0" w:color="auto"/>
            <w:bottom w:val="none" w:sz="0" w:space="0" w:color="auto"/>
            <w:right w:val="none" w:sz="0" w:space="0" w:color="auto"/>
          </w:divBdr>
        </w:div>
        <w:div w:id="547768364">
          <w:marLeft w:val="547"/>
          <w:marRight w:val="0"/>
          <w:marTop w:val="86"/>
          <w:marBottom w:val="0"/>
          <w:divBdr>
            <w:top w:val="none" w:sz="0" w:space="0" w:color="auto"/>
            <w:left w:val="none" w:sz="0" w:space="0" w:color="auto"/>
            <w:bottom w:val="none" w:sz="0" w:space="0" w:color="auto"/>
            <w:right w:val="none" w:sz="0" w:space="0" w:color="auto"/>
          </w:divBdr>
        </w:div>
        <w:div w:id="1398282849">
          <w:marLeft w:val="547"/>
          <w:marRight w:val="0"/>
          <w:marTop w:val="86"/>
          <w:marBottom w:val="0"/>
          <w:divBdr>
            <w:top w:val="none" w:sz="0" w:space="0" w:color="auto"/>
            <w:left w:val="none" w:sz="0" w:space="0" w:color="auto"/>
            <w:bottom w:val="none" w:sz="0" w:space="0" w:color="auto"/>
            <w:right w:val="none" w:sz="0" w:space="0" w:color="auto"/>
          </w:divBdr>
        </w:div>
        <w:div w:id="112985796">
          <w:marLeft w:val="547"/>
          <w:marRight w:val="0"/>
          <w:marTop w:val="86"/>
          <w:marBottom w:val="0"/>
          <w:divBdr>
            <w:top w:val="none" w:sz="0" w:space="0" w:color="auto"/>
            <w:left w:val="none" w:sz="0" w:space="0" w:color="auto"/>
            <w:bottom w:val="none" w:sz="0" w:space="0" w:color="auto"/>
            <w:right w:val="none" w:sz="0" w:space="0" w:color="auto"/>
          </w:divBdr>
        </w:div>
        <w:div w:id="670530349">
          <w:marLeft w:val="547"/>
          <w:marRight w:val="0"/>
          <w:marTop w:val="86"/>
          <w:marBottom w:val="0"/>
          <w:divBdr>
            <w:top w:val="none" w:sz="0" w:space="0" w:color="auto"/>
            <w:left w:val="none" w:sz="0" w:space="0" w:color="auto"/>
            <w:bottom w:val="none" w:sz="0" w:space="0" w:color="auto"/>
            <w:right w:val="none" w:sz="0" w:space="0" w:color="auto"/>
          </w:divBdr>
        </w:div>
      </w:divsChild>
    </w:div>
    <w:div w:id="692347719">
      <w:bodyDiv w:val="1"/>
      <w:marLeft w:val="0"/>
      <w:marRight w:val="0"/>
      <w:marTop w:val="0"/>
      <w:marBottom w:val="0"/>
      <w:divBdr>
        <w:top w:val="none" w:sz="0" w:space="0" w:color="auto"/>
        <w:left w:val="none" w:sz="0" w:space="0" w:color="auto"/>
        <w:bottom w:val="none" w:sz="0" w:space="0" w:color="auto"/>
        <w:right w:val="none" w:sz="0" w:space="0" w:color="auto"/>
      </w:divBdr>
      <w:divsChild>
        <w:div w:id="1608468588">
          <w:marLeft w:val="547"/>
          <w:marRight w:val="0"/>
          <w:marTop w:val="96"/>
          <w:marBottom w:val="0"/>
          <w:divBdr>
            <w:top w:val="none" w:sz="0" w:space="0" w:color="auto"/>
            <w:left w:val="none" w:sz="0" w:space="0" w:color="auto"/>
            <w:bottom w:val="none" w:sz="0" w:space="0" w:color="auto"/>
            <w:right w:val="none" w:sz="0" w:space="0" w:color="auto"/>
          </w:divBdr>
        </w:div>
        <w:div w:id="1904488056">
          <w:marLeft w:val="547"/>
          <w:marRight w:val="0"/>
          <w:marTop w:val="96"/>
          <w:marBottom w:val="0"/>
          <w:divBdr>
            <w:top w:val="none" w:sz="0" w:space="0" w:color="auto"/>
            <w:left w:val="none" w:sz="0" w:space="0" w:color="auto"/>
            <w:bottom w:val="none" w:sz="0" w:space="0" w:color="auto"/>
            <w:right w:val="none" w:sz="0" w:space="0" w:color="auto"/>
          </w:divBdr>
        </w:div>
        <w:div w:id="1011419826">
          <w:marLeft w:val="1166"/>
          <w:marRight w:val="0"/>
          <w:marTop w:val="86"/>
          <w:marBottom w:val="0"/>
          <w:divBdr>
            <w:top w:val="none" w:sz="0" w:space="0" w:color="auto"/>
            <w:left w:val="none" w:sz="0" w:space="0" w:color="auto"/>
            <w:bottom w:val="none" w:sz="0" w:space="0" w:color="auto"/>
            <w:right w:val="none" w:sz="0" w:space="0" w:color="auto"/>
          </w:divBdr>
        </w:div>
        <w:div w:id="1310940147">
          <w:marLeft w:val="1166"/>
          <w:marRight w:val="0"/>
          <w:marTop w:val="86"/>
          <w:marBottom w:val="0"/>
          <w:divBdr>
            <w:top w:val="none" w:sz="0" w:space="0" w:color="auto"/>
            <w:left w:val="none" w:sz="0" w:space="0" w:color="auto"/>
            <w:bottom w:val="none" w:sz="0" w:space="0" w:color="auto"/>
            <w:right w:val="none" w:sz="0" w:space="0" w:color="auto"/>
          </w:divBdr>
        </w:div>
        <w:div w:id="599684041">
          <w:marLeft w:val="547"/>
          <w:marRight w:val="0"/>
          <w:marTop w:val="96"/>
          <w:marBottom w:val="0"/>
          <w:divBdr>
            <w:top w:val="none" w:sz="0" w:space="0" w:color="auto"/>
            <w:left w:val="none" w:sz="0" w:space="0" w:color="auto"/>
            <w:bottom w:val="none" w:sz="0" w:space="0" w:color="auto"/>
            <w:right w:val="none" w:sz="0" w:space="0" w:color="auto"/>
          </w:divBdr>
        </w:div>
        <w:div w:id="20329091">
          <w:marLeft w:val="547"/>
          <w:marRight w:val="0"/>
          <w:marTop w:val="96"/>
          <w:marBottom w:val="0"/>
          <w:divBdr>
            <w:top w:val="none" w:sz="0" w:space="0" w:color="auto"/>
            <w:left w:val="none" w:sz="0" w:space="0" w:color="auto"/>
            <w:bottom w:val="none" w:sz="0" w:space="0" w:color="auto"/>
            <w:right w:val="none" w:sz="0" w:space="0" w:color="auto"/>
          </w:divBdr>
        </w:div>
        <w:div w:id="1502937212">
          <w:marLeft w:val="547"/>
          <w:marRight w:val="0"/>
          <w:marTop w:val="96"/>
          <w:marBottom w:val="0"/>
          <w:divBdr>
            <w:top w:val="none" w:sz="0" w:space="0" w:color="auto"/>
            <w:left w:val="none" w:sz="0" w:space="0" w:color="auto"/>
            <w:bottom w:val="none" w:sz="0" w:space="0" w:color="auto"/>
            <w:right w:val="none" w:sz="0" w:space="0" w:color="auto"/>
          </w:divBdr>
        </w:div>
      </w:divsChild>
    </w:div>
    <w:div w:id="794518357">
      <w:bodyDiv w:val="1"/>
      <w:marLeft w:val="0"/>
      <w:marRight w:val="0"/>
      <w:marTop w:val="0"/>
      <w:marBottom w:val="0"/>
      <w:divBdr>
        <w:top w:val="none" w:sz="0" w:space="0" w:color="auto"/>
        <w:left w:val="none" w:sz="0" w:space="0" w:color="auto"/>
        <w:bottom w:val="none" w:sz="0" w:space="0" w:color="auto"/>
        <w:right w:val="none" w:sz="0" w:space="0" w:color="auto"/>
      </w:divBdr>
    </w:div>
    <w:div w:id="871841420">
      <w:bodyDiv w:val="1"/>
      <w:marLeft w:val="0"/>
      <w:marRight w:val="0"/>
      <w:marTop w:val="0"/>
      <w:marBottom w:val="0"/>
      <w:divBdr>
        <w:top w:val="none" w:sz="0" w:space="0" w:color="auto"/>
        <w:left w:val="none" w:sz="0" w:space="0" w:color="auto"/>
        <w:bottom w:val="none" w:sz="0" w:space="0" w:color="auto"/>
        <w:right w:val="none" w:sz="0" w:space="0" w:color="auto"/>
      </w:divBdr>
    </w:div>
    <w:div w:id="944071417">
      <w:bodyDiv w:val="1"/>
      <w:marLeft w:val="0"/>
      <w:marRight w:val="0"/>
      <w:marTop w:val="0"/>
      <w:marBottom w:val="0"/>
      <w:divBdr>
        <w:top w:val="none" w:sz="0" w:space="0" w:color="auto"/>
        <w:left w:val="none" w:sz="0" w:space="0" w:color="auto"/>
        <w:bottom w:val="none" w:sz="0" w:space="0" w:color="auto"/>
        <w:right w:val="none" w:sz="0" w:space="0" w:color="auto"/>
      </w:divBdr>
    </w:div>
    <w:div w:id="1179853472">
      <w:bodyDiv w:val="1"/>
      <w:marLeft w:val="0"/>
      <w:marRight w:val="0"/>
      <w:marTop w:val="0"/>
      <w:marBottom w:val="0"/>
      <w:divBdr>
        <w:top w:val="none" w:sz="0" w:space="0" w:color="auto"/>
        <w:left w:val="none" w:sz="0" w:space="0" w:color="auto"/>
        <w:bottom w:val="none" w:sz="0" w:space="0" w:color="auto"/>
        <w:right w:val="none" w:sz="0" w:space="0" w:color="auto"/>
      </w:divBdr>
    </w:div>
    <w:div w:id="1191532925">
      <w:bodyDiv w:val="1"/>
      <w:marLeft w:val="0"/>
      <w:marRight w:val="0"/>
      <w:marTop w:val="0"/>
      <w:marBottom w:val="0"/>
      <w:divBdr>
        <w:top w:val="none" w:sz="0" w:space="0" w:color="auto"/>
        <w:left w:val="none" w:sz="0" w:space="0" w:color="auto"/>
        <w:bottom w:val="none" w:sz="0" w:space="0" w:color="auto"/>
        <w:right w:val="none" w:sz="0" w:space="0" w:color="auto"/>
      </w:divBdr>
    </w:div>
    <w:div w:id="1201043289">
      <w:bodyDiv w:val="1"/>
      <w:marLeft w:val="0"/>
      <w:marRight w:val="0"/>
      <w:marTop w:val="0"/>
      <w:marBottom w:val="0"/>
      <w:divBdr>
        <w:top w:val="none" w:sz="0" w:space="0" w:color="auto"/>
        <w:left w:val="none" w:sz="0" w:space="0" w:color="auto"/>
        <w:bottom w:val="none" w:sz="0" w:space="0" w:color="auto"/>
        <w:right w:val="none" w:sz="0" w:space="0" w:color="auto"/>
      </w:divBdr>
    </w:div>
    <w:div w:id="1228570618">
      <w:bodyDiv w:val="1"/>
      <w:marLeft w:val="0"/>
      <w:marRight w:val="0"/>
      <w:marTop w:val="0"/>
      <w:marBottom w:val="0"/>
      <w:divBdr>
        <w:top w:val="none" w:sz="0" w:space="0" w:color="auto"/>
        <w:left w:val="none" w:sz="0" w:space="0" w:color="auto"/>
        <w:bottom w:val="none" w:sz="0" w:space="0" w:color="auto"/>
        <w:right w:val="none" w:sz="0" w:space="0" w:color="auto"/>
      </w:divBdr>
    </w:div>
    <w:div w:id="1294824178">
      <w:bodyDiv w:val="1"/>
      <w:marLeft w:val="0"/>
      <w:marRight w:val="0"/>
      <w:marTop w:val="0"/>
      <w:marBottom w:val="0"/>
      <w:divBdr>
        <w:top w:val="none" w:sz="0" w:space="0" w:color="auto"/>
        <w:left w:val="none" w:sz="0" w:space="0" w:color="auto"/>
        <w:bottom w:val="none" w:sz="0" w:space="0" w:color="auto"/>
        <w:right w:val="none" w:sz="0" w:space="0" w:color="auto"/>
      </w:divBdr>
    </w:div>
    <w:div w:id="1295521478">
      <w:bodyDiv w:val="1"/>
      <w:marLeft w:val="0"/>
      <w:marRight w:val="0"/>
      <w:marTop w:val="0"/>
      <w:marBottom w:val="0"/>
      <w:divBdr>
        <w:top w:val="none" w:sz="0" w:space="0" w:color="auto"/>
        <w:left w:val="none" w:sz="0" w:space="0" w:color="auto"/>
        <w:bottom w:val="none" w:sz="0" w:space="0" w:color="auto"/>
        <w:right w:val="none" w:sz="0" w:space="0" w:color="auto"/>
      </w:divBdr>
    </w:div>
    <w:div w:id="1313215522">
      <w:bodyDiv w:val="1"/>
      <w:marLeft w:val="0"/>
      <w:marRight w:val="0"/>
      <w:marTop w:val="0"/>
      <w:marBottom w:val="0"/>
      <w:divBdr>
        <w:top w:val="none" w:sz="0" w:space="0" w:color="auto"/>
        <w:left w:val="none" w:sz="0" w:space="0" w:color="auto"/>
        <w:bottom w:val="none" w:sz="0" w:space="0" w:color="auto"/>
        <w:right w:val="none" w:sz="0" w:space="0" w:color="auto"/>
      </w:divBdr>
    </w:div>
    <w:div w:id="1332947365">
      <w:bodyDiv w:val="1"/>
      <w:marLeft w:val="0"/>
      <w:marRight w:val="0"/>
      <w:marTop w:val="0"/>
      <w:marBottom w:val="0"/>
      <w:divBdr>
        <w:top w:val="none" w:sz="0" w:space="0" w:color="auto"/>
        <w:left w:val="none" w:sz="0" w:space="0" w:color="auto"/>
        <w:bottom w:val="none" w:sz="0" w:space="0" w:color="auto"/>
        <w:right w:val="none" w:sz="0" w:space="0" w:color="auto"/>
      </w:divBdr>
      <w:divsChild>
        <w:div w:id="1855265573">
          <w:marLeft w:val="547"/>
          <w:marRight w:val="0"/>
          <w:marTop w:val="86"/>
          <w:marBottom w:val="0"/>
          <w:divBdr>
            <w:top w:val="none" w:sz="0" w:space="0" w:color="auto"/>
            <w:left w:val="none" w:sz="0" w:space="0" w:color="auto"/>
            <w:bottom w:val="none" w:sz="0" w:space="0" w:color="auto"/>
            <w:right w:val="none" w:sz="0" w:space="0" w:color="auto"/>
          </w:divBdr>
        </w:div>
        <w:div w:id="1696616505">
          <w:marLeft w:val="1166"/>
          <w:marRight w:val="0"/>
          <w:marTop w:val="77"/>
          <w:marBottom w:val="0"/>
          <w:divBdr>
            <w:top w:val="none" w:sz="0" w:space="0" w:color="auto"/>
            <w:left w:val="none" w:sz="0" w:space="0" w:color="auto"/>
            <w:bottom w:val="none" w:sz="0" w:space="0" w:color="auto"/>
            <w:right w:val="none" w:sz="0" w:space="0" w:color="auto"/>
          </w:divBdr>
        </w:div>
        <w:div w:id="1055809859">
          <w:marLeft w:val="1166"/>
          <w:marRight w:val="0"/>
          <w:marTop w:val="77"/>
          <w:marBottom w:val="0"/>
          <w:divBdr>
            <w:top w:val="none" w:sz="0" w:space="0" w:color="auto"/>
            <w:left w:val="none" w:sz="0" w:space="0" w:color="auto"/>
            <w:bottom w:val="none" w:sz="0" w:space="0" w:color="auto"/>
            <w:right w:val="none" w:sz="0" w:space="0" w:color="auto"/>
          </w:divBdr>
        </w:div>
        <w:div w:id="1648969758">
          <w:marLeft w:val="1166"/>
          <w:marRight w:val="0"/>
          <w:marTop w:val="77"/>
          <w:marBottom w:val="0"/>
          <w:divBdr>
            <w:top w:val="none" w:sz="0" w:space="0" w:color="auto"/>
            <w:left w:val="none" w:sz="0" w:space="0" w:color="auto"/>
            <w:bottom w:val="none" w:sz="0" w:space="0" w:color="auto"/>
            <w:right w:val="none" w:sz="0" w:space="0" w:color="auto"/>
          </w:divBdr>
        </w:div>
        <w:div w:id="1370498173">
          <w:marLeft w:val="547"/>
          <w:marRight w:val="0"/>
          <w:marTop w:val="86"/>
          <w:marBottom w:val="0"/>
          <w:divBdr>
            <w:top w:val="none" w:sz="0" w:space="0" w:color="auto"/>
            <w:left w:val="none" w:sz="0" w:space="0" w:color="auto"/>
            <w:bottom w:val="none" w:sz="0" w:space="0" w:color="auto"/>
            <w:right w:val="none" w:sz="0" w:space="0" w:color="auto"/>
          </w:divBdr>
        </w:div>
        <w:div w:id="1371498016">
          <w:marLeft w:val="1166"/>
          <w:marRight w:val="0"/>
          <w:marTop w:val="77"/>
          <w:marBottom w:val="0"/>
          <w:divBdr>
            <w:top w:val="none" w:sz="0" w:space="0" w:color="auto"/>
            <w:left w:val="none" w:sz="0" w:space="0" w:color="auto"/>
            <w:bottom w:val="none" w:sz="0" w:space="0" w:color="auto"/>
            <w:right w:val="none" w:sz="0" w:space="0" w:color="auto"/>
          </w:divBdr>
        </w:div>
        <w:div w:id="76951519">
          <w:marLeft w:val="1166"/>
          <w:marRight w:val="0"/>
          <w:marTop w:val="77"/>
          <w:marBottom w:val="0"/>
          <w:divBdr>
            <w:top w:val="none" w:sz="0" w:space="0" w:color="auto"/>
            <w:left w:val="none" w:sz="0" w:space="0" w:color="auto"/>
            <w:bottom w:val="none" w:sz="0" w:space="0" w:color="auto"/>
            <w:right w:val="none" w:sz="0" w:space="0" w:color="auto"/>
          </w:divBdr>
        </w:div>
        <w:div w:id="362217602">
          <w:marLeft w:val="547"/>
          <w:marRight w:val="0"/>
          <w:marTop w:val="86"/>
          <w:marBottom w:val="0"/>
          <w:divBdr>
            <w:top w:val="none" w:sz="0" w:space="0" w:color="auto"/>
            <w:left w:val="none" w:sz="0" w:space="0" w:color="auto"/>
            <w:bottom w:val="none" w:sz="0" w:space="0" w:color="auto"/>
            <w:right w:val="none" w:sz="0" w:space="0" w:color="auto"/>
          </w:divBdr>
        </w:div>
        <w:div w:id="1987664926">
          <w:marLeft w:val="1166"/>
          <w:marRight w:val="0"/>
          <w:marTop w:val="77"/>
          <w:marBottom w:val="0"/>
          <w:divBdr>
            <w:top w:val="none" w:sz="0" w:space="0" w:color="auto"/>
            <w:left w:val="none" w:sz="0" w:space="0" w:color="auto"/>
            <w:bottom w:val="none" w:sz="0" w:space="0" w:color="auto"/>
            <w:right w:val="none" w:sz="0" w:space="0" w:color="auto"/>
          </w:divBdr>
        </w:div>
        <w:div w:id="252590510">
          <w:marLeft w:val="1166"/>
          <w:marRight w:val="0"/>
          <w:marTop w:val="77"/>
          <w:marBottom w:val="0"/>
          <w:divBdr>
            <w:top w:val="none" w:sz="0" w:space="0" w:color="auto"/>
            <w:left w:val="none" w:sz="0" w:space="0" w:color="auto"/>
            <w:bottom w:val="none" w:sz="0" w:space="0" w:color="auto"/>
            <w:right w:val="none" w:sz="0" w:space="0" w:color="auto"/>
          </w:divBdr>
        </w:div>
      </w:divsChild>
    </w:div>
    <w:div w:id="1567111267">
      <w:bodyDiv w:val="1"/>
      <w:marLeft w:val="0"/>
      <w:marRight w:val="0"/>
      <w:marTop w:val="0"/>
      <w:marBottom w:val="0"/>
      <w:divBdr>
        <w:top w:val="none" w:sz="0" w:space="0" w:color="auto"/>
        <w:left w:val="none" w:sz="0" w:space="0" w:color="auto"/>
        <w:bottom w:val="none" w:sz="0" w:space="0" w:color="auto"/>
        <w:right w:val="none" w:sz="0" w:space="0" w:color="auto"/>
      </w:divBdr>
    </w:div>
    <w:div w:id="1607889567">
      <w:bodyDiv w:val="1"/>
      <w:marLeft w:val="0"/>
      <w:marRight w:val="0"/>
      <w:marTop w:val="0"/>
      <w:marBottom w:val="0"/>
      <w:divBdr>
        <w:top w:val="none" w:sz="0" w:space="0" w:color="auto"/>
        <w:left w:val="none" w:sz="0" w:space="0" w:color="auto"/>
        <w:bottom w:val="none" w:sz="0" w:space="0" w:color="auto"/>
        <w:right w:val="none" w:sz="0" w:space="0" w:color="auto"/>
      </w:divBdr>
      <w:divsChild>
        <w:div w:id="2068140614">
          <w:marLeft w:val="1166"/>
          <w:marRight w:val="0"/>
          <w:marTop w:val="0"/>
          <w:marBottom w:val="0"/>
          <w:divBdr>
            <w:top w:val="none" w:sz="0" w:space="0" w:color="auto"/>
            <w:left w:val="none" w:sz="0" w:space="0" w:color="auto"/>
            <w:bottom w:val="none" w:sz="0" w:space="0" w:color="auto"/>
            <w:right w:val="none" w:sz="0" w:space="0" w:color="auto"/>
          </w:divBdr>
        </w:div>
        <w:div w:id="1664775222">
          <w:marLeft w:val="1166"/>
          <w:marRight w:val="0"/>
          <w:marTop w:val="0"/>
          <w:marBottom w:val="0"/>
          <w:divBdr>
            <w:top w:val="none" w:sz="0" w:space="0" w:color="auto"/>
            <w:left w:val="none" w:sz="0" w:space="0" w:color="auto"/>
            <w:bottom w:val="none" w:sz="0" w:space="0" w:color="auto"/>
            <w:right w:val="none" w:sz="0" w:space="0" w:color="auto"/>
          </w:divBdr>
        </w:div>
      </w:divsChild>
    </w:div>
    <w:div w:id="1688558665">
      <w:bodyDiv w:val="1"/>
      <w:marLeft w:val="0"/>
      <w:marRight w:val="0"/>
      <w:marTop w:val="0"/>
      <w:marBottom w:val="0"/>
      <w:divBdr>
        <w:top w:val="none" w:sz="0" w:space="0" w:color="auto"/>
        <w:left w:val="none" w:sz="0" w:space="0" w:color="auto"/>
        <w:bottom w:val="none" w:sz="0" w:space="0" w:color="auto"/>
        <w:right w:val="none" w:sz="0" w:space="0" w:color="auto"/>
      </w:divBdr>
    </w:div>
    <w:div w:id="2016761349">
      <w:bodyDiv w:val="1"/>
      <w:marLeft w:val="0"/>
      <w:marRight w:val="0"/>
      <w:marTop w:val="0"/>
      <w:marBottom w:val="0"/>
      <w:divBdr>
        <w:top w:val="none" w:sz="0" w:space="0" w:color="auto"/>
        <w:left w:val="none" w:sz="0" w:space="0" w:color="auto"/>
        <w:bottom w:val="none" w:sz="0" w:space="0" w:color="auto"/>
        <w:right w:val="none" w:sz="0" w:space="0" w:color="auto"/>
      </w:divBdr>
      <w:divsChild>
        <w:div w:id="1872569535">
          <w:marLeft w:val="547"/>
          <w:marRight w:val="0"/>
          <w:marTop w:val="96"/>
          <w:marBottom w:val="0"/>
          <w:divBdr>
            <w:top w:val="none" w:sz="0" w:space="0" w:color="auto"/>
            <w:left w:val="none" w:sz="0" w:space="0" w:color="auto"/>
            <w:bottom w:val="none" w:sz="0" w:space="0" w:color="auto"/>
            <w:right w:val="none" w:sz="0" w:space="0" w:color="auto"/>
          </w:divBdr>
        </w:div>
        <w:div w:id="1235241119">
          <w:marLeft w:val="547"/>
          <w:marRight w:val="0"/>
          <w:marTop w:val="96"/>
          <w:marBottom w:val="0"/>
          <w:divBdr>
            <w:top w:val="none" w:sz="0" w:space="0" w:color="auto"/>
            <w:left w:val="none" w:sz="0" w:space="0" w:color="auto"/>
            <w:bottom w:val="none" w:sz="0" w:space="0" w:color="auto"/>
            <w:right w:val="none" w:sz="0" w:space="0" w:color="auto"/>
          </w:divBdr>
        </w:div>
        <w:div w:id="189340356">
          <w:marLeft w:val="547"/>
          <w:marRight w:val="0"/>
          <w:marTop w:val="96"/>
          <w:marBottom w:val="0"/>
          <w:divBdr>
            <w:top w:val="none" w:sz="0" w:space="0" w:color="auto"/>
            <w:left w:val="none" w:sz="0" w:space="0" w:color="auto"/>
            <w:bottom w:val="none" w:sz="0" w:space="0" w:color="auto"/>
            <w:right w:val="none" w:sz="0" w:space="0" w:color="auto"/>
          </w:divBdr>
        </w:div>
        <w:div w:id="1685129417">
          <w:marLeft w:val="547"/>
          <w:marRight w:val="0"/>
          <w:marTop w:val="96"/>
          <w:marBottom w:val="0"/>
          <w:divBdr>
            <w:top w:val="none" w:sz="0" w:space="0" w:color="auto"/>
            <w:left w:val="none" w:sz="0" w:space="0" w:color="auto"/>
            <w:bottom w:val="none" w:sz="0" w:space="0" w:color="auto"/>
            <w:right w:val="none" w:sz="0" w:space="0" w:color="auto"/>
          </w:divBdr>
        </w:div>
        <w:div w:id="528567281">
          <w:marLeft w:val="547"/>
          <w:marRight w:val="0"/>
          <w:marTop w:val="96"/>
          <w:marBottom w:val="0"/>
          <w:divBdr>
            <w:top w:val="none" w:sz="0" w:space="0" w:color="auto"/>
            <w:left w:val="none" w:sz="0" w:space="0" w:color="auto"/>
            <w:bottom w:val="none" w:sz="0" w:space="0" w:color="auto"/>
            <w:right w:val="none" w:sz="0" w:space="0" w:color="auto"/>
          </w:divBdr>
        </w:div>
        <w:div w:id="158817012">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www.geohydros.com/CCNA/" TargetMode="External"/><Relationship Id="rId2" Type="http://schemas.openxmlformats.org/officeDocument/2006/relationships/numbering" Target="numbering.xml"/><Relationship Id="rId16" Type="http://schemas.openxmlformats.org/officeDocument/2006/relationships/package" Target="embeddings/Microsoft_Office_PowerPoint_Slide1.sld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FBF75-6C94-4D2A-881E-707CF7F54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4038</Words>
  <Characters>23019</Characters>
  <Application>Microsoft Office Word</Application>
  <DocSecurity>4</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27003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hicks_rw</dc:creator>
  <cp:lastModifiedBy>holland_k</cp:lastModifiedBy>
  <cp:revision>2</cp:revision>
  <cp:lastPrinted>2011-06-30T20:23:00Z</cp:lastPrinted>
  <dcterms:created xsi:type="dcterms:W3CDTF">2011-10-13T12:25:00Z</dcterms:created>
  <dcterms:modified xsi:type="dcterms:W3CDTF">2011-10-13T12:25:00Z</dcterms:modified>
</cp:coreProperties>
</file>