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027" w:rsidRPr="00540027" w:rsidRDefault="00540027" w:rsidP="00540027">
      <w:pPr>
        <w:spacing w:after="0" w:line="240" w:lineRule="auto"/>
        <w:rPr>
          <w:rFonts w:ascii="Times New Roman" w:eastAsia="Times New Roman" w:hAnsi="Times New Roman" w:cs="Times New Roman"/>
          <w:sz w:val="24"/>
          <w:szCs w:val="24"/>
        </w:rPr>
      </w:pPr>
      <w:r w:rsidRPr="00540027">
        <w:rPr>
          <w:rFonts w:ascii="Verdana" w:eastAsia="Times New Roman" w:hAnsi="Verdana" w:cs="Times New Roman"/>
          <w:b/>
          <w:bCs/>
          <w:color w:val="000000"/>
          <w:sz w:val="29"/>
          <w:szCs w:val="29"/>
        </w:rPr>
        <w:t>DEP fails to protect Wakulla Springs</w:t>
      </w:r>
      <w:r w:rsidRPr="00540027">
        <w:rPr>
          <w:rFonts w:ascii="Verdana" w:eastAsia="Times New Roman" w:hAnsi="Verdana" w:cs="Times New Roman"/>
          <w:b/>
          <w:bCs/>
          <w:color w:val="000000"/>
          <w:sz w:val="26"/>
          <w:szCs w:val="26"/>
        </w:rPr>
        <w:t> </w:t>
      </w:r>
      <w:r w:rsidRPr="00540027">
        <w:rPr>
          <w:rFonts w:ascii="Verdana" w:eastAsia="Times New Roman" w:hAnsi="Verdana" w:cs="Times New Roman"/>
          <w:b/>
          <w:bCs/>
          <w:color w:val="000000"/>
          <w:sz w:val="26"/>
          <w:szCs w:val="26"/>
        </w:rPr>
        <w:br/>
      </w:r>
      <w:r w:rsidRPr="00540027">
        <w:rPr>
          <w:rFonts w:ascii="Verdana" w:eastAsia="Times New Roman" w:hAnsi="Verdana" w:cs="Times New Roman"/>
          <w:b/>
          <w:bCs/>
          <w:color w:val="000000"/>
          <w:sz w:val="26"/>
          <w:szCs w:val="26"/>
        </w:rPr>
        <w:br/>
        <w:t>Imagine a ton of fertilizer dumped every day</w:t>
      </w:r>
      <w:r w:rsidRPr="00540027">
        <w:rPr>
          <w:rFonts w:ascii="Times New Roman" w:eastAsia="Times New Roman" w:hAnsi="Times New Roman" w:cs="Times New Roman"/>
          <w:color w:val="000000"/>
          <w:sz w:val="27"/>
          <w:szCs w:val="27"/>
        </w:rPr>
        <w:br/>
      </w:r>
    </w:p>
    <w:p w:rsidR="00540027" w:rsidRPr="00540027" w:rsidRDefault="00540027" w:rsidP="00540027">
      <w:pPr>
        <w:spacing w:before="100" w:beforeAutospacing="1" w:after="270" w:line="240" w:lineRule="auto"/>
        <w:rPr>
          <w:rFonts w:ascii="Times New Roman" w:eastAsia="Times New Roman" w:hAnsi="Times New Roman" w:cs="Times New Roman"/>
          <w:color w:val="000000"/>
          <w:sz w:val="24"/>
          <w:szCs w:val="24"/>
        </w:rPr>
      </w:pPr>
      <w:r w:rsidRPr="00540027">
        <w:rPr>
          <w:rFonts w:ascii="Arial" w:eastAsia="Times New Roman" w:hAnsi="Arial" w:cs="Arial"/>
          <w:b/>
          <w:bCs/>
          <w:color w:val="000000"/>
          <w:sz w:val="24"/>
          <w:szCs w:val="24"/>
        </w:rPr>
        <w:t>I</w:t>
      </w:r>
      <w:r w:rsidRPr="00540027">
        <w:rPr>
          <w:rFonts w:ascii="Arial" w:eastAsia="Times New Roman" w:hAnsi="Arial" w:cs="Arial"/>
          <w:color w:val="000000"/>
          <w:sz w:val="24"/>
          <w:szCs w:val="24"/>
        </w:rPr>
        <w:t>n 2012, the Department of Environmental Protection established that the maximum allowable level of nitrate in the Upper Wakulla River was 0.35mg/L and that to attain this goal it was necessary to reduce nitrate loads from nonpoint sources such as septic tanks by 56.2 percent. The department recently released a draft Basin Management Action Plan or BMAP that is supposed to set out the strategy for making the required reductions.</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Unfortunately, what the department now proposes as an “action plan” is only a delaying tactic designed to put off taking meaningful action to restore Wakulla Springs for five more years.</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 xml:space="preserve">At the outset of the planning process, the city of Tallahassee provided a cogent analysis of what the city has done to reduce nitrate pollution at the Tallahassee </w:t>
      </w:r>
      <w:proofErr w:type="spellStart"/>
      <w:r w:rsidRPr="00540027">
        <w:rPr>
          <w:rFonts w:ascii="Arial" w:eastAsia="Times New Roman" w:hAnsi="Arial" w:cs="Arial"/>
          <w:color w:val="000000"/>
          <w:sz w:val="24"/>
          <w:szCs w:val="24"/>
        </w:rPr>
        <w:t>sprayfield</w:t>
      </w:r>
      <w:proofErr w:type="spellEnd"/>
      <w:r w:rsidRPr="00540027">
        <w:rPr>
          <w:rFonts w:ascii="Arial" w:eastAsia="Times New Roman" w:hAnsi="Arial" w:cs="Arial"/>
          <w:color w:val="000000"/>
          <w:sz w:val="24"/>
          <w:szCs w:val="24"/>
        </w:rPr>
        <w:t xml:space="preserve"> and, more importantly, what now needs to be done to meet the target goal of 0.35mg/L. While Tallahassee’s wastewater treatment facility had been the largest single source of nitrate loading to the spring, the new advanced treatment facility has reduced its nitrate loading to less than a third of what it was. However, it is clear that additional reductions are required.</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 xml:space="preserve">Most of the remaining sources of nitrate either are not subject to human control, or are not cost-effective to reduce, or the effectiveness of regulation is doubtful. This leaves the 8,600 septic tanks in the uncontained portion of the Wakulla </w:t>
      </w:r>
      <w:proofErr w:type="spellStart"/>
      <w:r w:rsidRPr="00540027">
        <w:rPr>
          <w:rFonts w:ascii="Arial" w:eastAsia="Times New Roman" w:hAnsi="Arial" w:cs="Arial"/>
          <w:color w:val="000000"/>
          <w:sz w:val="24"/>
          <w:szCs w:val="24"/>
        </w:rPr>
        <w:t>springshed</w:t>
      </w:r>
      <w:proofErr w:type="spellEnd"/>
      <w:r w:rsidRPr="00540027">
        <w:rPr>
          <w:rFonts w:ascii="Arial" w:eastAsia="Times New Roman" w:hAnsi="Arial" w:cs="Arial"/>
          <w:color w:val="000000"/>
          <w:sz w:val="24"/>
          <w:szCs w:val="24"/>
        </w:rPr>
        <w:t xml:space="preserve"> south of the Cody Scarp as the best option for additional nitrate reduction.</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This analysis should have been the centerpiece of the planning process and focused attention on finding a solution to the septic tank problem.</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No one from the department has ever suggested in the many public meetings that have been held on the BMAP that the analysis presented by the city was wrong, or that other sources of nitrate should addressed first. Members of the public who participated in the meetings over and over again stressed the importance of addressing the septic tank issue.</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 xml:space="preserve">The necessity of addressing septic tank pollution was confirmed by the department’s own study, the Nitrogen Sourcing Inventory and Loading Estimates for the Wakulla Contributing Area. The Nitrogen Sourcing Inventory concluded that roughly 376 tons of nitrate was going into the Upper </w:t>
      </w:r>
      <w:proofErr w:type="spellStart"/>
      <w:r w:rsidRPr="00540027">
        <w:rPr>
          <w:rFonts w:ascii="Arial" w:eastAsia="Times New Roman" w:hAnsi="Arial" w:cs="Arial"/>
          <w:color w:val="000000"/>
          <w:sz w:val="24"/>
          <w:szCs w:val="24"/>
        </w:rPr>
        <w:t>Floridan</w:t>
      </w:r>
      <w:proofErr w:type="spellEnd"/>
      <w:r w:rsidRPr="00540027">
        <w:rPr>
          <w:rFonts w:ascii="Arial" w:eastAsia="Times New Roman" w:hAnsi="Arial" w:cs="Arial"/>
          <w:color w:val="000000"/>
          <w:sz w:val="24"/>
          <w:szCs w:val="24"/>
        </w:rPr>
        <w:t xml:space="preserve"> Aquifer every year. While the draft plan acknowledges that septic tanks are “now the largest sources of nitrates to the ground water contributing more than one-third of the estimated loading,” the Nitrogen Sourcing Inventory shows that the actual loading from septic tanks is more than half of the estimated pollution going into the Upper </w:t>
      </w:r>
      <w:proofErr w:type="spellStart"/>
      <w:r w:rsidRPr="00540027">
        <w:rPr>
          <w:rFonts w:ascii="Arial" w:eastAsia="Times New Roman" w:hAnsi="Arial" w:cs="Arial"/>
          <w:color w:val="000000"/>
          <w:sz w:val="24"/>
          <w:szCs w:val="24"/>
        </w:rPr>
        <w:t>Floridan</w:t>
      </w:r>
      <w:proofErr w:type="spellEnd"/>
      <w:r w:rsidRPr="00540027">
        <w:rPr>
          <w:rFonts w:ascii="Arial" w:eastAsia="Times New Roman" w:hAnsi="Arial" w:cs="Arial"/>
          <w:color w:val="000000"/>
          <w:sz w:val="24"/>
          <w:szCs w:val="24"/>
        </w:rPr>
        <w:t xml:space="preserve"> Aquifer.</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lastRenderedPageBreak/>
        <w:br/>
        <w:t>However, instead of requiring that pollutant loads be reduced in order to meet the standard as required by the statute, the department has determined that those responsible will only have to make a “sufficient effort” to reduce pollution, with the department as the sole judge of what is a “sufficient effort.” On its face, the law seems to be reasonably protective; in practice, the agency’s discretion is exercised to allow our springs and rivers to go on being polluted year after year.</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The “action” that the “plan” envisions to address the critical septic tank issue is yet another planning process — the so-called OSTDS Initiative. The initiative is “to identify effective management strategies for the basin, and develop the strategies and milestones.” Five years after the plan is adopted (and who knows when that will be?), the responsible stakeholders “will be ready to implement agreed upon OSTDS reduction strategies.” The operative words here are “agreed upon.” So far, it is not clear that the “responsible stakeholders” have agreed to any OSTDS reduction strategy.</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 xml:space="preserve">The 376 tons of nitrate going into the Upper </w:t>
      </w:r>
      <w:proofErr w:type="spellStart"/>
      <w:r w:rsidRPr="00540027">
        <w:rPr>
          <w:rFonts w:ascii="Arial" w:eastAsia="Times New Roman" w:hAnsi="Arial" w:cs="Arial"/>
          <w:color w:val="000000"/>
          <w:sz w:val="24"/>
          <w:szCs w:val="24"/>
        </w:rPr>
        <w:t>Floridan</w:t>
      </w:r>
      <w:proofErr w:type="spellEnd"/>
      <w:r w:rsidRPr="00540027">
        <w:rPr>
          <w:rFonts w:ascii="Arial" w:eastAsia="Times New Roman" w:hAnsi="Arial" w:cs="Arial"/>
          <w:color w:val="000000"/>
          <w:sz w:val="24"/>
          <w:szCs w:val="24"/>
        </w:rPr>
        <w:t xml:space="preserve"> Aquifer annually is the same as if someone drove a pickup truck onto the dock at Wakulla Springs and shoveled a ton of fertilizer into the spring every day of the year. Obviously, the park rangers would not allow that — why does the department continue to permit our springs to be polluted?</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The fact is that although nearly all of Florida’s major springs have suffered from nitrate pollution for years, to date the department has not restored a single spring to ecological health, Because of the large investment in the advanced wastewater treatment plant by the city of Tallahassee, there actually is the possibility that Wakulla, now the largest freshwater spring in the world, could once more be a “crystal bowl of light,” but this will happen only if we have the will to take meaningful action now.</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The weak and ineffectual plan proposed by the department will not lead to the necessary reduction in nitrate loads. What we need is a BMAP that provides realistic, but stringent, nitrogen reduction measures. All options need to be on the table and evaluated for their cost effectiveness. In order to do so, the plan needs to contain detailed allocations of the pollutant load as required by the statute. Perhaps most of all we need an open and transparent process that values and is responsive to citizen input. So far the BMAP process has been a missed opportunity for our communities to come together and protect a priceless piece of our common heritage for future generations. </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Rob Williams is a staff attorney for the Center for Earth Jurisprudence (</w:t>
      </w:r>
      <w:hyperlink r:id="rId4" w:history="1">
        <w:r w:rsidRPr="00540027">
          <w:rPr>
            <w:rFonts w:ascii="Arial" w:eastAsia="Times New Roman" w:hAnsi="Arial" w:cs="Arial"/>
            <w:color w:val="0000FF"/>
            <w:sz w:val="24"/>
            <w:szCs w:val="24"/>
            <w:u w:val="single"/>
          </w:rPr>
          <w:t>http://earthjuris.org</w:t>
        </w:r>
      </w:hyperlink>
      <w:r w:rsidRPr="00540027">
        <w:rPr>
          <w:rFonts w:ascii="Arial" w:eastAsia="Times New Roman" w:hAnsi="Arial" w:cs="Arial"/>
          <w:color w:val="000000"/>
          <w:sz w:val="24"/>
          <w:szCs w:val="24"/>
        </w:rPr>
        <w:t>). Contact him at </w:t>
      </w:r>
      <w:hyperlink r:id="rId5" w:tgtFrame="_blanks" w:history="1">
        <w:r w:rsidRPr="00540027">
          <w:rPr>
            <w:rFonts w:ascii="Arial" w:eastAsia="Times New Roman" w:hAnsi="Arial" w:cs="Arial"/>
            <w:color w:val="0000FF"/>
            <w:sz w:val="24"/>
            <w:szCs w:val="24"/>
            <w:u w:val="single"/>
          </w:rPr>
          <w:t>rob@floridalegal.org</w:t>
        </w:r>
      </w:hyperlink>
      <w:r w:rsidRPr="00540027">
        <w:rPr>
          <w:rFonts w:ascii="Arial" w:eastAsia="Times New Roman" w:hAnsi="Arial" w:cs="Arial"/>
          <w:color w:val="000000"/>
          <w:sz w:val="24"/>
          <w:szCs w:val="24"/>
        </w:rPr>
        <w:t>.</w:t>
      </w:r>
    </w:p>
    <w:p w:rsidR="00540027" w:rsidRPr="00540027" w:rsidRDefault="00540027" w:rsidP="00540027">
      <w:pPr>
        <w:spacing w:after="0" w:line="240" w:lineRule="auto"/>
        <w:rPr>
          <w:rFonts w:ascii="Times New Roman" w:eastAsia="Times New Roman" w:hAnsi="Times New Roman" w:cs="Times New Roman"/>
          <w:sz w:val="24"/>
          <w:szCs w:val="24"/>
        </w:rPr>
      </w:pPr>
      <w:r w:rsidRPr="00540027">
        <w:rPr>
          <w:rFonts w:ascii="Times New Roman" w:eastAsia="Times New Roman" w:hAnsi="Times New Roman" w:cs="Times New Roman"/>
          <w:color w:val="000000"/>
          <w:sz w:val="27"/>
          <w:szCs w:val="27"/>
        </w:rPr>
        <w:br/>
      </w:r>
      <w:r w:rsidRPr="00540027">
        <w:rPr>
          <w:rFonts w:ascii="Times New Roman" w:eastAsia="Times New Roman" w:hAnsi="Times New Roman" w:cs="Times New Roman"/>
          <w:color w:val="000000"/>
          <w:sz w:val="27"/>
          <w:szCs w:val="27"/>
        </w:rPr>
        <w:br/>
      </w:r>
    </w:p>
    <w:p w:rsidR="00540027" w:rsidRPr="00540027" w:rsidRDefault="00540027" w:rsidP="00540027">
      <w:pPr>
        <w:spacing w:after="0" w:line="240" w:lineRule="auto"/>
        <w:rPr>
          <w:rFonts w:ascii="Times New Roman" w:eastAsia="Times New Roman" w:hAnsi="Times New Roman" w:cs="Times New Roman"/>
          <w:sz w:val="24"/>
          <w:szCs w:val="24"/>
        </w:rPr>
      </w:pPr>
      <w:r w:rsidRPr="00540027">
        <w:rPr>
          <w:rFonts w:ascii="Times New Roman" w:eastAsia="Times New Roman" w:hAnsi="Times New Roman" w:cs="Times New Roman"/>
          <w:sz w:val="24"/>
          <w:szCs w:val="24"/>
        </w:rPr>
        <w:pict>
          <v:rect id="_x0000_i1025" style="width:0;height:1.5pt" o:hralign="center" o:hrstd="t" o:hrnoshade="t" o:hr="t" fillcolor="black" stroked="f"/>
        </w:pict>
      </w:r>
    </w:p>
    <w:p w:rsidR="00540027" w:rsidRDefault="00540027" w:rsidP="00540027">
      <w:pPr>
        <w:rPr>
          <w:rFonts w:ascii="Verdana" w:eastAsia="Times New Roman" w:hAnsi="Verdana" w:cs="Times New Roman"/>
          <w:b/>
          <w:bCs/>
          <w:color w:val="000000"/>
          <w:sz w:val="29"/>
          <w:szCs w:val="29"/>
        </w:rPr>
      </w:pPr>
      <w:r w:rsidRPr="00540027">
        <w:rPr>
          <w:rFonts w:ascii="Times New Roman" w:eastAsia="Times New Roman" w:hAnsi="Times New Roman" w:cs="Times New Roman"/>
          <w:color w:val="000000"/>
          <w:sz w:val="27"/>
          <w:szCs w:val="27"/>
        </w:rPr>
        <w:br/>
      </w:r>
    </w:p>
    <w:p w:rsidR="00540027" w:rsidRPr="00540027" w:rsidRDefault="00540027" w:rsidP="00540027">
      <w:pPr>
        <w:rPr>
          <w:rFonts w:ascii="Times New Roman" w:eastAsia="Times New Roman" w:hAnsi="Times New Roman" w:cs="Times New Roman"/>
          <w:sz w:val="24"/>
          <w:szCs w:val="24"/>
        </w:rPr>
      </w:pPr>
      <w:r>
        <w:rPr>
          <w:rFonts w:ascii="Verdana" w:eastAsia="Times New Roman" w:hAnsi="Verdana" w:cs="Times New Roman"/>
          <w:b/>
          <w:bCs/>
          <w:color w:val="000000"/>
          <w:sz w:val="29"/>
          <w:szCs w:val="29"/>
        </w:rPr>
        <w:br w:type="page"/>
      </w:r>
      <w:bookmarkStart w:id="0" w:name="_GoBack"/>
      <w:bookmarkEnd w:id="0"/>
      <w:r w:rsidRPr="00540027">
        <w:rPr>
          <w:rFonts w:ascii="Verdana" w:eastAsia="Times New Roman" w:hAnsi="Verdana" w:cs="Times New Roman"/>
          <w:b/>
          <w:bCs/>
          <w:color w:val="000000"/>
          <w:sz w:val="29"/>
          <w:szCs w:val="29"/>
        </w:rPr>
        <w:lastRenderedPageBreak/>
        <w:t>Don’t wait for state to act on our springs</w:t>
      </w:r>
    </w:p>
    <w:p w:rsidR="00540027" w:rsidRPr="00540027" w:rsidRDefault="00540027" w:rsidP="00540027">
      <w:pPr>
        <w:spacing w:before="100" w:beforeAutospacing="1" w:after="270" w:line="240" w:lineRule="auto"/>
        <w:rPr>
          <w:rFonts w:ascii="Times New Roman" w:eastAsia="Times New Roman" w:hAnsi="Times New Roman" w:cs="Times New Roman"/>
          <w:color w:val="000000"/>
          <w:sz w:val="24"/>
          <w:szCs w:val="24"/>
        </w:rPr>
      </w:pPr>
      <w:r w:rsidRPr="00540027">
        <w:rPr>
          <w:rFonts w:ascii="Arial" w:eastAsia="Times New Roman" w:hAnsi="Arial" w:cs="Arial"/>
          <w:b/>
          <w:bCs/>
          <w:color w:val="000000"/>
          <w:sz w:val="27"/>
          <w:szCs w:val="27"/>
        </w:rPr>
        <w:br/>
      </w:r>
      <w:r w:rsidRPr="00540027">
        <w:rPr>
          <w:rFonts w:ascii="Arial" w:eastAsia="Times New Roman" w:hAnsi="Arial" w:cs="Arial"/>
          <w:b/>
          <w:bCs/>
          <w:color w:val="000000"/>
          <w:sz w:val="24"/>
          <w:szCs w:val="24"/>
        </w:rPr>
        <w:t>S</w:t>
      </w:r>
      <w:r w:rsidRPr="00540027">
        <w:rPr>
          <w:rFonts w:ascii="Arial" w:eastAsia="Times New Roman" w:hAnsi="Arial" w:cs="Arial"/>
          <w:color w:val="000000"/>
          <w:sz w:val="24"/>
          <w:szCs w:val="24"/>
        </w:rPr>
        <w:t xml:space="preserve">everal weeks ago, the Florida Springs Institute released the Wakulla Springs Restoration Plan, a definitive assessment of the past, present and potential future of the Wakulla </w:t>
      </w:r>
      <w:proofErr w:type="spellStart"/>
      <w:r w:rsidRPr="00540027">
        <w:rPr>
          <w:rFonts w:ascii="Arial" w:eastAsia="Times New Roman" w:hAnsi="Arial" w:cs="Arial"/>
          <w:color w:val="000000"/>
          <w:sz w:val="24"/>
          <w:szCs w:val="24"/>
        </w:rPr>
        <w:t>Springshed</w:t>
      </w:r>
      <w:proofErr w:type="spellEnd"/>
      <w:r w:rsidRPr="00540027">
        <w:rPr>
          <w:rFonts w:ascii="Arial" w:eastAsia="Times New Roman" w:hAnsi="Arial" w:cs="Arial"/>
          <w:color w:val="000000"/>
          <w:sz w:val="24"/>
          <w:szCs w:val="24"/>
        </w:rPr>
        <w:t xml:space="preserve">. If you haven’t had a chance yet, I urge you to visit the institute’s website (http:// </w:t>
      </w:r>
      <w:proofErr w:type="spellStart"/>
      <w:r w:rsidRPr="00540027">
        <w:rPr>
          <w:rFonts w:ascii="Arial" w:eastAsia="Times New Roman" w:hAnsi="Arial" w:cs="Arial"/>
          <w:color w:val="000000"/>
          <w:sz w:val="24"/>
          <w:szCs w:val="24"/>
        </w:rPr>
        <w:t>floridaspringsinstitute</w:t>
      </w:r>
      <w:proofErr w:type="spellEnd"/>
      <w:r w:rsidRPr="00540027">
        <w:rPr>
          <w:rFonts w:ascii="Arial" w:eastAsia="Times New Roman" w:hAnsi="Arial" w:cs="Arial"/>
          <w:color w:val="000000"/>
          <w:sz w:val="24"/>
          <w:szCs w:val="24"/>
        </w:rPr>
        <w:t xml:space="preserve">. org) and at least read the plan’s executive summary. It’s only four pages long and is packed with essential information for all </w:t>
      </w:r>
      <w:proofErr w:type="spellStart"/>
      <w:r w:rsidRPr="00540027">
        <w:rPr>
          <w:rFonts w:ascii="Arial" w:eastAsia="Times New Roman" w:hAnsi="Arial" w:cs="Arial"/>
          <w:color w:val="000000"/>
          <w:sz w:val="24"/>
          <w:szCs w:val="24"/>
        </w:rPr>
        <w:t>springshed</w:t>
      </w:r>
      <w:proofErr w:type="spellEnd"/>
      <w:r w:rsidRPr="00540027">
        <w:rPr>
          <w:rFonts w:ascii="Arial" w:eastAsia="Times New Roman" w:hAnsi="Arial" w:cs="Arial"/>
          <w:color w:val="000000"/>
          <w:sz w:val="24"/>
          <w:szCs w:val="24"/>
        </w:rPr>
        <w:t xml:space="preserve"> residents.</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 xml:space="preserve">As a professional earth scientist, I find the Wakulla Springs Restoration Plan an impressively thorough synthesis of the existing literature, seamlessly weaving together the anthropogenic impairments occurring to the basin’s hydrological, geological and biological systems. The scientific issues facing the </w:t>
      </w:r>
      <w:proofErr w:type="spellStart"/>
      <w:r w:rsidRPr="00540027">
        <w:rPr>
          <w:rFonts w:ascii="Arial" w:eastAsia="Times New Roman" w:hAnsi="Arial" w:cs="Arial"/>
          <w:color w:val="000000"/>
          <w:sz w:val="24"/>
          <w:szCs w:val="24"/>
        </w:rPr>
        <w:t>springshed</w:t>
      </w:r>
      <w:proofErr w:type="spellEnd"/>
      <w:r w:rsidRPr="00540027">
        <w:rPr>
          <w:rFonts w:ascii="Arial" w:eastAsia="Times New Roman" w:hAnsi="Arial" w:cs="Arial"/>
          <w:color w:val="000000"/>
          <w:sz w:val="24"/>
          <w:szCs w:val="24"/>
        </w:rPr>
        <w:t xml:space="preserve"> are complex, and the authors have done yeoman’s work in bringing them together in one place.</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 xml:space="preserve">As a concerned citizen and lifelong environmentalist, I find the Restoration Plan a cause for both frustration and hope. It is frustrating not only because the plan clearly details the continued dark water and nitrate degradation of Wakulla Springs, but also because it is an indictment of the state government’s compromised approach to groundwater issues. Bowing to political pressure, the Northwest Florida Water Management District has dragged its feet for decades in drawing up Minimum Flows and Levels guidelines that would codify sustainable aquifer use in the Wakulla </w:t>
      </w:r>
      <w:proofErr w:type="spellStart"/>
      <w:r w:rsidRPr="00540027">
        <w:rPr>
          <w:rFonts w:ascii="Arial" w:eastAsia="Times New Roman" w:hAnsi="Arial" w:cs="Arial"/>
          <w:color w:val="000000"/>
          <w:sz w:val="24"/>
          <w:szCs w:val="24"/>
        </w:rPr>
        <w:t>Springshed</w:t>
      </w:r>
      <w:proofErr w:type="spellEnd"/>
      <w:r w:rsidRPr="00540027">
        <w:rPr>
          <w:rFonts w:ascii="Arial" w:eastAsia="Times New Roman" w:hAnsi="Arial" w:cs="Arial"/>
          <w:color w:val="000000"/>
          <w:sz w:val="24"/>
          <w:szCs w:val="24"/>
        </w:rPr>
        <w:t>. Currently, there is no plan to adopt enforceable MFLs until 2023 at the earliest. In addition, progress toward a Basin Management Action Plan from the Florida Department of Environmental Protection to control nitrate loading has been slow and beset by budget cuts.</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 xml:space="preserve">However, the release of the Restoration Plan also inspires hope, because it is brimming with specific recommendations that can be implemented locally without waiting for the state. Scientifically informed local action is an achievable path to sustainability with the right infrastructure priorities: for instance, fast tracking an expansion of wastewater service in northern Wakulla and southern Leon Counties. Recent empirical studies show that over half of the nitrate pollutants entering the </w:t>
      </w:r>
      <w:proofErr w:type="spellStart"/>
      <w:r w:rsidRPr="00540027">
        <w:rPr>
          <w:rFonts w:ascii="Arial" w:eastAsia="Times New Roman" w:hAnsi="Arial" w:cs="Arial"/>
          <w:color w:val="000000"/>
          <w:sz w:val="24"/>
          <w:szCs w:val="24"/>
        </w:rPr>
        <w:t>springshed</w:t>
      </w:r>
      <w:proofErr w:type="spellEnd"/>
      <w:r w:rsidRPr="00540027">
        <w:rPr>
          <w:rFonts w:ascii="Arial" w:eastAsia="Times New Roman" w:hAnsi="Arial" w:cs="Arial"/>
          <w:color w:val="000000"/>
          <w:sz w:val="24"/>
          <w:szCs w:val="24"/>
        </w:rPr>
        <w:t xml:space="preserve"> do so through leaking septic tanks in this region, and thus a permanent, timely solution to this problem is an unequivocal necessity. Local governments should also further strengthen fertilizer and water use ordinances, particularly for landscaping and residential applications that are of limited economic value.</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 xml:space="preserve">Unfortunately, the political reality in Florida is that counting on the Legislature or state regulatory agencies to take meaningful action on groundwater issues is like waiting for </w:t>
      </w:r>
      <w:proofErr w:type="spellStart"/>
      <w:r w:rsidRPr="00540027">
        <w:rPr>
          <w:rFonts w:ascii="Arial" w:eastAsia="Times New Roman" w:hAnsi="Arial" w:cs="Arial"/>
          <w:color w:val="000000"/>
          <w:sz w:val="24"/>
          <w:szCs w:val="24"/>
        </w:rPr>
        <w:t>Godot</w:t>
      </w:r>
      <w:proofErr w:type="spellEnd"/>
      <w:r w:rsidRPr="00540027">
        <w:rPr>
          <w:rFonts w:ascii="Arial" w:eastAsia="Times New Roman" w:hAnsi="Arial" w:cs="Arial"/>
          <w:color w:val="000000"/>
          <w:sz w:val="24"/>
          <w:szCs w:val="24"/>
        </w:rPr>
        <w:t>.</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The fate of Wakulla Springs, the health of our aquifer and the integrity of our region’s drinking water supply cannot rest on promises that are perpetually 10 years in the future.</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lastRenderedPageBreak/>
        <w:t xml:space="preserve">This fall’s quiet election season is a unique opportunity for the water issues that are so critical to North Florida’s future to be brought to the forefront of local public discourse. Now is the time for citizens of the Wakulla </w:t>
      </w:r>
      <w:proofErr w:type="spellStart"/>
      <w:r w:rsidRPr="00540027">
        <w:rPr>
          <w:rFonts w:ascii="Arial" w:eastAsia="Times New Roman" w:hAnsi="Arial" w:cs="Arial"/>
          <w:color w:val="000000"/>
          <w:sz w:val="24"/>
          <w:szCs w:val="24"/>
        </w:rPr>
        <w:t>Springshed</w:t>
      </w:r>
      <w:proofErr w:type="spellEnd"/>
      <w:r w:rsidRPr="00540027">
        <w:rPr>
          <w:rFonts w:ascii="Arial" w:eastAsia="Times New Roman" w:hAnsi="Arial" w:cs="Arial"/>
          <w:color w:val="000000"/>
          <w:sz w:val="24"/>
          <w:szCs w:val="24"/>
        </w:rPr>
        <w:t xml:space="preserve"> to educate ourselves, and to support candidates for public office who are committed to implementing the comprehensive solutions outlined in the Wakulla Spring Restoration Plan at the county and city level. </w:t>
      </w:r>
      <w:r w:rsidRPr="00540027">
        <w:rPr>
          <w:rFonts w:ascii="Arial" w:eastAsia="Times New Roman" w:hAnsi="Arial" w:cs="Arial"/>
          <w:color w:val="000000"/>
          <w:sz w:val="24"/>
          <w:szCs w:val="24"/>
        </w:rPr>
        <w:br/>
      </w:r>
      <w:r w:rsidRPr="00540027">
        <w:rPr>
          <w:rFonts w:ascii="Arial" w:eastAsia="Times New Roman" w:hAnsi="Arial" w:cs="Arial"/>
          <w:color w:val="000000"/>
          <w:sz w:val="24"/>
          <w:szCs w:val="24"/>
        </w:rPr>
        <w:br/>
        <w:t xml:space="preserve">Ryan </w:t>
      </w:r>
      <w:proofErr w:type="spellStart"/>
      <w:r w:rsidRPr="00540027">
        <w:rPr>
          <w:rFonts w:ascii="Arial" w:eastAsia="Times New Roman" w:hAnsi="Arial" w:cs="Arial"/>
          <w:color w:val="000000"/>
          <w:sz w:val="24"/>
          <w:szCs w:val="24"/>
        </w:rPr>
        <w:t>Truchelut</w:t>
      </w:r>
      <w:proofErr w:type="spellEnd"/>
      <w:r w:rsidRPr="00540027">
        <w:rPr>
          <w:rFonts w:ascii="Arial" w:eastAsia="Times New Roman" w:hAnsi="Arial" w:cs="Arial"/>
          <w:color w:val="000000"/>
          <w:sz w:val="24"/>
          <w:szCs w:val="24"/>
        </w:rPr>
        <w:t xml:space="preserve"> is a professional agricultural meteorologist and doctoral candidate in the Department of Earth, Ocean, and Atmospheric Science at Florida State University. He is also a candidate for Leon Soil &amp; Water Conservation District 4 Supervisor. Contact him at</w:t>
      </w:r>
      <w:hyperlink r:id="rId6" w:tgtFrame="_blanks" w:history="1">
        <w:r w:rsidRPr="00540027">
          <w:rPr>
            <w:rFonts w:ascii="Arial" w:eastAsia="Times New Roman" w:hAnsi="Arial" w:cs="Arial"/>
            <w:color w:val="0000FF"/>
            <w:sz w:val="24"/>
            <w:szCs w:val="24"/>
            <w:u w:val="single"/>
          </w:rPr>
          <w:t>ryan.truchelut@gmail.com</w:t>
        </w:r>
      </w:hyperlink>
      <w:r w:rsidRPr="00540027">
        <w:rPr>
          <w:rFonts w:ascii="Arial" w:eastAsia="Times New Roman" w:hAnsi="Arial" w:cs="Arial"/>
          <w:color w:val="000000"/>
          <w:sz w:val="24"/>
          <w:szCs w:val="24"/>
        </w:rPr>
        <w:t>.</w:t>
      </w:r>
    </w:p>
    <w:p w:rsidR="00540027" w:rsidRDefault="00540027" w:rsidP="00540027"/>
    <w:sectPr w:rsidR="005400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027"/>
    <w:rsid w:val="00317EBA"/>
    <w:rsid w:val="00540027"/>
    <w:rsid w:val="005B1D4E"/>
    <w:rsid w:val="00B1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DC71E4-CC1C-4E62-97B7-DB67AC6F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168037">
      <w:bodyDiv w:val="1"/>
      <w:marLeft w:val="0"/>
      <w:marRight w:val="0"/>
      <w:marTop w:val="0"/>
      <w:marBottom w:val="0"/>
      <w:divBdr>
        <w:top w:val="none" w:sz="0" w:space="0" w:color="auto"/>
        <w:left w:val="none" w:sz="0" w:space="0" w:color="auto"/>
        <w:bottom w:val="none" w:sz="0" w:space="0" w:color="auto"/>
        <w:right w:val="none" w:sz="0" w:space="0" w:color="auto"/>
      </w:divBdr>
    </w:div>
    <w:div w:id="211015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yan.truchelut@gmail.com" TargetMode="External"/><Relationship Id="rId5" Type="http://schemas.openxmlformats.org/officeDocument/2006/relationships/hyperlink" Target="mailto:rob@floridalegal.org" TargetMode="External"/><Relationship Id="rId4" Type="http://schemas.openxmlformats.org/officeDocument/2006/relationships/hyperlink" Target="http://earthjuri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Katz, Brian</dc:creator>
  <cp:keywords/>
  <dc:description/>
  <cp:lastModifiedBy>Katz, Brian</cp:lastModifiedBy>
  <cp:revision>1</cp:revision>
  <cp:lastPrinted>2014-10-13T14:06:00Z</cp:lastPrinted>
  <dcterms:created xsi:type="dcterms:W3CDTF">2014-10-13T13:56:00Z</dcterms:created>
  <dcterms:modified xsi:type="dcterms:W3CDTF">2014-10-13T14:10:00Z</dcterms:modified>
</cp:coreProperties>
</file>