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D80" w:rsidRPr="007D5ECA" w:rsidRDefault="00B71D80" w:rsidP="007A56D3">
      <w:pPr>
        <w:ind w:right="720"/>
        <w:jc w:val="center"/>
        <w:rPr>
          <w:rFonts w:ascii="Book Antiqua" w:hAnsi="Book Antiqua"/>
          <w:b/>
        </w:rPr>
      </w:pPr>
    </w:p>
    <w:p w:rsidR="00B71D80" w:rsidRPr="007D5ECA" w:rsidRDefault="00B71D80" w:rsidP="007A56D3">
      <w:pPr>
        <w:ind w:right="720"/>
        <w:jc w:val="center"/>
        <w:rPr>
          <w:rFonts w:ascii="Book Antiqua" w:hAnsi="Book Antiqua"/>
          <w:b/>
        </w:rPr>
      </w:pPr>
    </w:p>
    <w:p w:rsidR="00B71D80" w:rsidRPr="007D5ECA" w:rsidRDefault="00B71D80" w:rsidP="007A56D3">
      <w:pPr>
        <w:ind w:right="720"/>
        <w:jc w:val="center"/>
        <w:rPr>
          <w:rFonts w:ascii="Book Antiqua" w:hAnsi="Book Antiqua"/>
          <w:b/>
        </w:rPr>
      </w:pPr>
    </w:p>
    <w:p w:rsidR="00B71D80" w:rsidRPr="007D5ECA" w:rsidRDefault="00B71D80" w:rsidP="007A56D3">
      <w:pPr>
        <w:ind w:right="720"/>
        <w:jc w:val="center"/>
        <w:rPr>
          <w:rFonts w:ascii="Book Antiqua" w:hAnsi="Book Antiqua"/>
          <w:b/>
        </w:rPr>
      </w:pPr>
      <w:r w:rsidRPr="007D5ECA">
        <w:rPr>
          <w:rFonts w:ascii="Book Antiqua" w:hAnsi="Book Antiqua"/>
          <w:b/>
        </w:rPr>
        <w:t>Division of Environmental Assessment and Restoration</w:t>
      </w:r>
    </w:p>
    <w:p w:rsidR="00B71D80" w:rsidRPr="007D5ECA" w:rsidRDefault="00B71D80" w:rsidP="007A56D3">
      <w:pPr>
        <w:ind w:right="720"/>
        <w:jc w:val="center"/>
        <w:rPr>
          <w:rFonts w:ascii="Book Antiqua" w:hAnsi="Book Antiqua"/>
          <w:b/>
        </w:rPr>
      </w:pPr>
    </w:p>
    <w:p w:rsidR="00B71D80" w:rsidRDefault="00B71D80" w:rsidP="007A56D3">
      <w:pPr>
        <w:ind w:right="720"/>
        <w:jc w:val="center"/>
        <w:rPr>
          <w:rFonts w:ascii="Book Antiqua" w:hAnsi="Book Antiqua"/>
          <w:b/>
        </w:rPr>
      </w:pPr>
      <w:r w:rsidRPr="007D5ECA">
        <w:rPr>
          <w:rFonts w:ascii="Book Antiqua" w:hAnsi="Book Antiqua"/>
          <w:b/>
        </w:rPr>
        <w:t>Business Plan 2012</w:t>
      </w:r>
    </w:p>
    <w:p w:rsidR="00B71D80" w:rsidRPr="007D5ECA" w:rsidRDefault="00B71D80" w:rsidP="007A56D3">
      <w:pPr>
        <w:ind w:right="720"/>
        <w:jc w:val="center"/>
        <w:rPr>
          <w:rFonts w:ascii="Book Antiqua" w:hAnsi="Book Antiqua"/>
          <w:b/>
        </w:rPr>
      </w:pPr>
      <w:r>
        <w:rPr>
          <w:rFonts w:ascii="Book Antiqua" w:hAnsi="Book Antiqua"/>
          <w:b/>
        </w:rPr>
        <w:t>Quarterly Update- April 2012</w:t>
      </w:r>
    </w:p>
    <w:p w:rsidR="00B71D80" w:rsidRPr="007D5ECA" w:rsidRDefault="00B71D80" w:rsidP="007A56D3">
      <w:pPr>
        <w:ind w:right="720"/>
        <w:jc w:val="center"/>
        <w:rPr>
          <w:rFonts w:ascii="Book Antiqua" w:hAnsi="Book Antiqua"/>
          <w:b/>
        </w:rPr>
      </w:pPr>
    </w:p>
    <w:p w:rsidR="00B71D80" w:rsidRPr="007D5ECA" w:rsidRDefault="00B71D80" w:rsidP="007A56D3">
      <w:pPr>
        <w:ind w:right="720"/>
        <w:jc w:val="center"/>
        <w:rPr>
          <w:rFonts w:ascii="Book Antiqua" w:hAnsi="Book Antiqua"/>
          <w:b/>
        </w:rPr>
      </w:pPr>
    </w:p>
    <w:p w:rsidR="00B71D80" w:rsidRPr="007D5ECA" w:rsidRDefault="00B71D80" w:rsidP="007A56D3">
      <w:pPr>
        <w:ind w:right="720"/>
        <w:jc w:val="center"/>
        <w:rPr>
          <w:rFonts w:ascii="Book Antiqua" w:hAnsi="Book Antiqua"/>
          <w:b/>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alt="Suwannee River, Florida" style="position:absolute;left:0;text-align:left;margin-left:3pt;margin-top:11.45pt;width:417.85pt;height:278.85pt;z-index:251655168;visibility:visible;mso-wrap-distance-left:0;mso-wrap-distance-right:0;mso-position-vertical-relative:line" o:allowoverlap="f">
            <v:imagedata r:id="rId7" o:title=""/>
            <w10:wrap type="square"/>
          </v:shape>
        </w:pict>
      </w:r>
    </w:p>
    <w:p w:rsidR="00B71D80" w:rsidRPr="007D5ECA" w:rsidRDefault="00B71D80" w:rsidP="007A56D3">
      <w:pPr>
        <w:ind w:right="720"/>
        <w:jc w:val="center"/>
        <w:rPr>
          <w:rFonts w:ascii="Book Antiqua" w:hAnsi="Book Antiqua"/>
          <w:b/>
        </w:rPr>
      </w:pPr>
    </w:p>
    <w:p w:rsidR="00B71D80" w:rsidRPr="007D5ECA" w:rsidRDefault="00B71D80" w:rsidP="007A56D3">
      <w:pPr>
        <w:ind w:right="720"/>
        <w:jc w:val="center"/>
        <w:rPr>
          <w:rFonts w:ascii="Book Antiqua" w:hAnsi="Book Antiqua"/>
          <w:b/>
        </w:rPr>
      </w:pPr>
    </w:p>
    <w:p w:rsidR="00B71D80" w:rsidRPr="007D5ECA" w:rsidRDefault="00B71D80" w:rsidP="007A56D3">
      <w:pPr>
        <w:ind w:right="720"/>
        <w:jc w:val="center"/>
        <w:rPr>
          <w:rFonts w:ascii="Book Antiqua" w:hAnsi="Book Antiqua"/>
          <w:b/>
        </w:rPr>
      </w:pPr>
    </w:p>
    <w:p w:rsidR="00B71D80" w:rsidRPr="007D5ECA" w:rsidRDefault="00B71D80" w:rsidP="007A56D3">
      <w:pPr>
        <w:ind w:right="720"/>
        <w:jc w:val="center"/>
        <w:rPr>
          <w:rFonts w:ascii="Book Antiqua" w:hAnsi="Book Antiqua"/>
          <w:b/>
        </w:rPr>
      </w:pPr>
    </w:p>
    <w:p w:rsidR="00B71D80" w:rsidRPr="007D5ECA" w:rsidRDefault="00B71D80" w:rsidP="007A56D3">
      <w:pPr>
        <w:ind w:right="720"/>
        <w:jc w:val="center"/>
        <w:rPr>
          <w:rFonts w:ascii="Book Antiqua" w:hAnsi="Book Antiqua"/>
          <w:b/>
        </w:rPr>
      </w:pPr>
    </w:p>
    <w:p w:rsidR="00B71D80" w:rsidRPr="007D5ECA" w:rsidRDefault="00B71D80" w:rsidP="007A56D3">
      <w:pPr>
        <w:ind w:right="720"/>
        <w:jc w:val="center"/>
        <w:rPr>
          <w:rFonts w:ascii="Book Antiqua" w:hAnsi="Book Antiqua"/>
          <w:b/>
        </w:rPr>
      </w:pPr>
    </w:p>
    <w:p w:rsidR="00B71D80" w:rsidRPr="007D5ECA" w:rsidRDefault="00B71D80" w:rsidP="007A56D3">
      <w:pPr>
        <w:ind w:right="720"/>
        <w:jc w:val="center"/>
        <w:rPr>
          <w:rFonts w:ascii="Book Antiqua" w:hAnsi="Book Antiqua"/>
          <w:b/>
        </w:rPr>
      </w:pPr>
    </w:p>
    <w:p w:rsidR="00B71D80" w:rsidRPr="007D5ECA" w:rsidRDefault="00B71D80" w:rsidP="007A56D3">
      <w:pPr>
        <w:ind w:right="720"/>
        <w:jc w:val="center"/>
        <w:rPr>
          <w:rFonts w:ascii="Book Antiqua" w:hAnsi="Book Antiqua"/>
          <w:b/>
        </w:rPr>
      </w:pPr>
    </w:p>
    <w:p w:rsidR="00B71D80" w:rsidRPr="007D5ECA" w:rsidRDefault="00B71D80" w:rsidP="007A56D3">
      <w:pPr>
        <w:ind w:right="720"/>
        <w:jc w:val="center"/>
        <w:rPr>
          <w:rFonts w:ascii="Book Antiqua" w:hAnsi="Book Antiqua"/>
          <w:b/>
        </w:rPr>
      </w:pPr>
    </w:p>
    <w:p w:rsidR="00B71D80" w:rsidRPr="007D5ECA" w:rsidRDefault="00B71D80" w:rsidP="007A56D3">
      <w:pPr>
        <w:ind w:right="720"/>
        <w:jc w:val="center"/>
        <w:rPr>
          <w:rFonts w:ascii="Book Antiqua" w:hAnsi="Book Antiqua"/>
          <w:b/>
        </w:rPr>
      </w:pPr>
    </w:p>
    <w:p w:rsidR="00B71D80" w:rsidRPr="007D5ECA" w:rsidRDefault="00B71D80" w:rsidP="007A56D3">
      <w:pPr>
        <w:ind w:right="720"/>
        <w:jc w:val="center"/>
        <w:rPr>
          <w:rFonts w:ascii="Book Antiqua" w:hAnsi="Book Antiqua"/>
          <w:b/>
        </w:rPr>
      </w:pPr>
    </w:p>
    <w:p w:rsidR="00B71D80" w:rsidRPr="007D5ECA" w:rsidRDefault="00B71D80" w:rsidP="007A56D3">
      <w:pPr>
        <w:ind w:right="720"/>
        <w:jc w:val="center"/>
        <w:rPr>
          <w:rFonts w:ascii="Book Antiqua" w:hAnsi="Book Antiqua"/>
          <w:b/>
        </w:rPr>
      </w:pPr>
    </w:p>
    <w:p w:rsidR="00B71D80" w:rsidRPr="007D5ECA" w:rsidRDefault="00B71D80" w:rsidP="007A56D3">
      <w:pPr>
        <w:ind w:right="720"/>
        <w:jc w:val="center"/>
        <w:rPr>
          <w:rFonts w:ascii="Book Antiqua" w:hAnsi="Book Antiqua"/>
          <w:b/>
        </w:rPr>
      </w:pPr>
    </w:p>
    <w:p w:rsidR="00B71D80" w:rsidRPr="007D5ECA" w:rsidRDefault="00B71D80" w:rsidP="007A56D3">
      <w:pPr>
        <w:ind w:right="720"/>
        <w:jc w:val="center"/>
        <w:rPr>
          <w:rFonts w:ascii="Book Antiqua" w:hAnsi="Book Antiqua"/>
          <w:b/>
        </w:rPr>
      </w:pPr>
    </w:p>
    <w:p w:rsidR="00B71D80" w:rsidRPr="007D5ECA" w:rsidRDefault="00B71D80" w:rsidP="007A56D3">
      <w:pPr>
        <w:ind w:right="720"/>
        <w:jc w:val="center"/>
        <w:rPr>
          <w:rFonts w:ascii="Book Antiqua" w:hAnsi="Book Antiqua"/>
          <w:b/>
        </w:rPr>
      </w:pPr>
    </w:p>
    <w:p w:rsidR="00B71D80" w:rsidRDefault="00B71D80" w:rsidP="007A56D3">
      <w:pPr>
        <w:ind w:right="720"/>
        <w:jc w:val="center"/>
        <w:rPr>
          <w:rFonts w:ascii="Book Antiqua" w:hAnsi="Book Antiqua"/>
          <w:b/>
        </w:rPr>
      </w:pPr>
    </w:p>
    <w:p w:rsidR="00B71D80" w:rsidRDefault="00B71D80" w:rsidP="007A56D3">
      <w:pPr>
        <w:ind w:right="720"/>
        <w:jc w:val="center"/>
        <w:rPr>
          <w:rFonts w:ascii="Book Antiqua" w:hAnsi="Book Antiqua"/>
          <w:b/>
        </w:rPr>
      </w:pPr>
    </w:p>
    <w:p w:rsidR="00B71D80" w:rsidRDefault="00B71D80" w:rsidP="007A56D3">
      <w:pPr>
        <w:ind w:right="720"/>
        <w:jc w:val="center"/>
        <w:rPr>
          <w:rFonts w:ascii="Book Antiqua" w:hAnsi="Book Antiqua"/>
          <w:b/>
        </w:rPr>
      </w:pPr>
    </w:p>
    <w:p w:rsidR="00B71D80" w:rsidRDefault="00B71D80" w:rsidP="007A56D3">
      <w:pPr>
        <w:ind w:right="720"/>
        <w:jc w:val="center"/>
        <w:rPr>
          <w:rFonts w:ascii="Book Antiqua" w:hAnsi="Book Antiqua"/>
          <w:b/>
        </w:rPr>
      </w:pPr>
    </w:p>
    <w:p w:rsidR="00B71D80" w:rsidRDefault="00B71D80" w:rsidP="007A56D3">
      <w:pPr>
        <w:ind w:right="720"/>
        <w:jc w:val="center"/>
        <w:rPr>
          <w:rFonts w:ascii="Book Antiqua" w:hAnsi="Book Antiqua"/>
          <w:b/>
        </w:rPr>
      </w:pPr>
    </w:p>
    <w:p w:rsidR="00B71D80" w:rsidRDefault="00B71D80" w:rsidP="007A56D3">
      <w:pPr>
        <w:ind w:right="720"/>
        <w:jc w:val="center"/>
        <w:rPr>
          <w:rFonts w:ascii="Book Antiqua" w:hAnsi="Book Antiqua"/>
          <w:b/>
        </w:rPr>
      </w:pPr>
    </w:p>
    <w:p w:rsidR="00B71D80" w:rsidRDefault="00B71D80" w:rsidP="007A56D3">
      <w:pPr>
        <w:ind w:right="720"/>
        <w:jc w:val="center"/>
        <w:rPr>
          <w:rFonts w:ascii="Book Antiqua" w:hAnsi="Book Antiqua"/>
          <w:b/>
        </w:rPr>
      </w:pPr>
    </w:p>
    <w:p w:rsidR="00B71D80" w:rsidRPr="007D5ECA" w:rsidRDefault="00B71D80" w:rsidP="007A56D3">
      <w:pPr>
        <w:ind w:right="720"/>
        <w:jc w:val="center"/>
        <w:rPr>
          <w:rFonts w:ascii="Book Antiqua" w:hAnsi="Book Antiqua"/>
          <w:b/>
        </w:rPr>
      </w:pPr>
      <w:r w:rsidRPr="007D5ECA">
        <w:rPr>
          <w:rFonts w:ascii="Book Antiqua" w:hAnsi="Book Antiqua"/>
          <w:b/>
        </w:rPr>
        <w:t>Florida Department of Environmental Protection</w:t>
      </w:r>
    </w:p>
    <w:p w:rsidR="00B71D80" w:rsidRPr="007D5ECA" w:rsidRDefault="00B71D80" w:rsidP="007A56D3">
      <w:pPr>
        <w:ind w:right="720"/>
        <w:jc w:val="center"/>
        <w:rPr>
          <w:rFonts w:ascii="Book Antiqua" w:hAnsi="Book Antiqua"/>
          <w:b/>
        </w:rPr>
      </w:pPr>
    </w:p>
    <w:p w:rsidR="00B71D80" w:rsidRPr="007D5ECA" w:rsidRDefault="00B71D80" w:rsidP="007A56D3">
      <w:pPr>
        <w:ind w:right="720"/>
        <w:jc w:val="center"/>
        <w:rPr>
          <w:rFonts w:ascii="Book Antiqua" w:hAnsi="Book Antiqua"/>
          <w:b/>
        </w:rPr>
      </w:pPr>
    </w:p>
    <w:p w:rsidR="00B71D80" w:rsidRPr="007D5ECA" w:rsidRDefault="00B71D80" w:rsidP="007A56D3">
      <w:pPr>
        <w:ind w:right="720"/>
        <w:jc w:val="center"/>
        <w:rPr>
          <w:rFonts w:ascii="Book Antiqua" w:hAnsi="Book Antiqua"/>
          <w:b/>
        </w:rPr>
      </w:pPr>
    </w:p>
    <w:p w:rsidR="00B71D80" w:rsidRPr="007D5ECA" w:rsidRDefault="00B71D80" w:rsidP="007A56D3">
      <w:pPr>
        <w:spacing w:after="200" w:line="276" w:lineRule="auto"/>
        <w:ind w:right="720"/>
        <w:rPr>
          <w:rFonts w:ascii="Book Antiqua" w:hAnsi="Book Antiqua"/>
        </w:rPr>
      </w:pPr>
      <w:r w:rsidRPr="007D5ECA">
        <w:rPr>
          <w:rFonts w:ascii="Book Antiqua" w:hAnsi="Book Antiqua"/>
        </w:rPr>
        <w:br w:type="page"/>
      </w:r>
    </w:p>
    <w:p w:rsidR="00B71D80" w:rsidRPr="007D5ECA" w:rsidRDefault="00B71D80" w:rsidP="007A56D3">
      <w:pPr>
        <w:ind w:right="720"/>
        <w:rPr>
          <w:rFonts w:ascii="Book Antiqua" w:hAnsi="Book Antiqua"/>
        </w:rPr>
      </w:pPr>
    </w:p>
    <w:p w:rsidR="00B71D80" w:rsidRPr="007D5ECA" w:rsidRDefault="00B71D80" w:rsidP="007A56D3">
      <w:pPr>
        <w:ind w:right="720"/>
        <w:rPr>
          <w:rFonts w:ascii="Book Antiqua" w:hAnsi="Book Antiqua"/>
          <w:caps/>
        </w:rPr>
      </w:pPr>
      <w:r w:rsidRPr="007D5ECA">
        <w:rPr>
          <w:rFonts w:ascii="Book Antiqua" w:hAnsi="Book Antiqua"/>
          <w:b/>
          <w:caps/>
          <w:u w:val="single"/>
        </w:rPr>
        <w:t>The Division’s Mission</w:t>
      </w:r>
    </w:p>
    <w:p w:rsidR="00B71D80" w:rsidRPr="007D5ECA" w:rsidRDefault="00B71D80" w:rsidP="007A56D3">
      <w:pPr>
        <w:ind w:right="720"/>
        <w:rPr>
          <w:rFonts w:ascii="Book Antiqua" w:hAnsi="Book Antiqua"/>
          <w:i/>
        </w:rPr>
      </w:pPr>
      <w:r w:rsidRPr="007D5ECA">
        <w:rPr>
          <w:rFonts w:ascii="Book Antiqua" w:hAnsi="Book Antiqua"/>
        </w:rPr>
        <w:t>The Division’s mission is to assess, protect, and restore Florida’s waters.  As we implement our mission, the Division will be guided by the following core principles</w:t>
      </w:r>
      <w:r w:rsidRPr="007D5ECA">
        <w:rPr>
          <w:rFonts w:ascii="Book Antiqua" w:hAnsi="Book Antiqua"/>
          <w:i/>
        </w:rPr>
        <w:t>:</w:t>
      </w:r>
    </w:p>
    <w:p w:rsidR="00B71D80" w:rsidRPr="007D5ECA" w:rsidRDefault="00B71D80" w:rsidP="007A56D3">
      <w:pPr>
        <w:ind w:right="720"/>
        <w:rPr>
          <w:rFonts w:ascii="Book Antiqua" w:hAnsi="Book Antiqua"/>
        </w:rPr>
      </w:pPr>
    </w:p>
    <w:p w:rsidR="00B71D80" w:rsidRPr="007D5ECA" w:rsidRDefault="00B71D80" w:rsidP="007A56D3">
      <w:pPr>
        <w:ind w:right="720"/>
        <w:rPr>
          <w:rFonts w:ascii="Book Antiqua" w:hAnsi="Book Antiqua" w:cs="Calibri"/>
          <w:b/>
        </w:rPr>
      </w:pPr>
      <w:r w:rsidRPr="007D5ECA">
        <w:rPr>
          <w:rFonts w:ascii="Book Antiqua" w:hAnsi="Book Antiqua" w:cs="Calibri"/>
          <w:b/>
        </w:rPr>
        <w:t>Using science to ensure an efficient use of resources:</w:t>
      </w:r>
    </w:p>
    <w:p w:rsidR="00B71D80" w:rsidRPr="007D5ECA" w:rsidRDefault="00B71D80" w:rsidP="007A56D3">
      <w:pPr>
        <w:ind w:right="720"/>
        <w:rPr>
          <w:rFonts w:ascii="Book Antiqua" w:hAnsi="Book Antiqua"/>
        </w:rPr>
      </w:pPr>
      <w:r w:rsidRPr="007D5ECA">
        <w:rPr>
          <w:rFonts w:ascii="Book Antiqua" w:hAnsi="Book Antiqua"/>
        </w:rPr>
        <w:t xml:space="preserve">The Division uses science to establish more accurate water quality criteria and a more functional water quality standards system to assure that all actions have environmental value and do not impose unnecessary costs on the public.  </w:t>
      </w:r>
    </w:p>
    <w:p w:rsidR="00B71D80" w:rsidRPr="007D5ECA" w:rsidRDefault="00B71D80" w:rsidP="007A56D3">
      <w:pPr>
        <w:autoSpaceDE w:val="0"/>
        <w:autoSpaceDN w:val="0"/>
        <w:adjustRightInd w:val="0"/>
        <w:ind w:right="720"/>
        <w:rPr>
          <w:rFonts w:ascii="Book Antiqua" w:hAnsi="Book Antiqua"/>
        </w:rPr>
      </w:pPr>
    </w:p>
    <w:p w:rsidR="00B71D80" w:rsidRPr="007D5ECA" w:rsidRDefault="00B71D80" w:rsidP="007A56D3">
      <w:pPr>
        <w:autoSpaceDE w:val="0"/>
        <w:autoSpaceDN w:val="0"/>
        <w:adjustRightInd w:val="0"/>
        <w:ind w:right="720"/>
        <w:rPr>
          <w:rFonts w:ascii="Book Antiqua" w:hAnsi="Book Antiqua"/>
        </w:rPr>
      </w:pPr>
      <w:r w:rsidRPr="007D5ECA">
        <w:rPr>
          <w:rFonts w:ascii="Book Antiqua" w:hAnsi="Book Antiqua"/>
          <w:b/>
        </w:rPr>
        <w:t>Using science to more accurately assess and more cost-effectively restore waters</w:t>
      </w:r>
      <w:r w:rsidRPr="007D5ECA">
        <w:rPr>
          <w:rFonts w:ascii="Book Antiqua" w:hAnsi="Book Antiqua"/>
        </w:rPr>
        <w:t>:</w:t>
      </w:r>
    </w:p>
    <w:p w:rsidR="00B71D80" w:rsidRPr="007D5ECA" w:rsidRDefault="00B71D80" w:rsidP="007A56D3">
      <w:pPr>
        <w:autoSpaceDE w:val="0"/>
        <w:autoSpaceDN w:val="0"/>
        <w:adjustRightInd w:val="0"/>
        <w:ind w:right="720"/>
        <w:rPr>
          <w:rFonts w:ascii="Book Antiqua" w:hAnsi="Book Antiqua"/>
        </w:rPr>
      </w:pPr>
      <w:r w:rsidRPr="007D5ECA">
        <w:rPr>
          <w:rFonts w:ascii="Book Antiqua" w:hAnsi="Book Antiqua"/>
        </w:rPr>
        <w:t xml:space="preserve">The Division utilizes advances in scientific instruments, analytical methods and restoration technologies to yield more reliable water quality assessments and more cost-effective restoration.  </w:t>
      </w:r>
    </w:p>
    <w:p w:rsidR="00B71D80" w:rsidRPr="007D5ECA" w:rsidRDefault="00B71D80" w:rsidP="007A56D3">
      <w:pPr>
        <w:ind w:right="720"/>
        <w:rPr>
          <w:rFonts w:ascii="Book Antiqua" w:hAnsi="Book Antiqua"/>
        </w:rPr>
      </w:pPr>
    </w:p>
    <w:p w:rsidR="00B71D80" w:rsidRPr="007D5ECA" w:rsidRDefault="00B71D80" w:rsidP="007A56D3">
      <w:pPr>
        <w:autoSpaceDE w:val="0"/>
        <w:autoSpaceDN w:val="0"/>
        <w:adjustRightInd w:val="0"/>
        <w:ind w:right="720"/>
        <w:rPr>
          <w:rFonts w:ascii="Book Antiqua" w:hAnsi="Book Antiqua"/>
          <w:b/>
        </w:rPr>
      </w:pPr>
      <w:r w:rsidRPr="007D5ECA">
        <w:rPr>
          <w:rFonts w:ascii="Book Antiqua" w:hAnsi="Book Antiqua"/>
          <w:b/>
        </w:rPr>
        <w:t xml:space="preserve">Streamlining process and maximizing partnerships and outreach to yield greater </w:t>
      </w:r>
      <w:r>
        <w:rPr>
          <w:noProof/>
        </w:rPr>
        <w:pict>
          <v:shape id="Picture 4" o:spid="_x0000_s1027" type="#_x0000_t75" alt="Surface water sampling" style="position:absolute;margin-left:-6.4pt;margin-top:7.35pt;width:258.4pt;height:193.8pt;z-index:251660288;visibility:visible;mso-wrap-distance-left:3.75pt;mso-wrap-distance-top:3.75pt;mso-wrap-distance-right:3.75pt;mso-wrap-distance-bottom:3.75pt;mso-position-horizontal-relative:text;mso-position-vertical-relative:line" o:allowoverlap="f">
            <v:imagedata r:id="rId8" o:title=""/>
            <w10:wrap type="square"/>
          </v:shape>
        </w:pict>
      </w:r>
      <w:r w:rsidRPr="007D5ECA">
        <w:rPr>
          <w:rFonts w:ascii="Book Antiqua" w:hAnsi="Book Antiqua"/>
          <w:b/>
        </w:rPr>
        <w:t>environmental results:</w:t>
      </w:r>
    </w:p>
    <w:p w:rsidR="00B71D80" w:rsidRPr="007D5ECA" w:rsidRDefault="00B71D80" w:rsidP="007A56D3">
      <w:pPr>
        <w:autoSpaceDE w:val="0"/>
        <w:autoSpaceDN w:val="0"/>
        <w:adjustRightInd w:val="0"/>
        <w:ind w:right="720"/>
        <w:rPr>
          <w:rFonts w:ascii="Book Antiqua" w:hAnsi="Book Antiqua"/>
        </w:rPr>
      </w:pPr>
      <w:r w:rsidRPr="007D5ECA">
        <w:rPr>
          <w:rFonts w:ascii="Book Antiqua" w:hAnsi="Book Antiqua" w:cs="Calibri"/>
        </w:rPr>
        <w:t xml:space="preserve">The Division works with interested parties to identify cost-effective ways to streamline restoration and take advantage of partnerships to increase restoration activities.  </w:t>
      </w:r>
    </w:p>
    <w:p w:rsidR="00B71D80" w:rsidRPr="007D5ECA" w:rsidRDefault="00B71D80" w:rsidP="007A56D3">
      <w:pPr>
        <w:ind w:right="720"/>
        <w:rPr>
          <w:rFonts w:ascii="Book Antiqua" w:hAnsi="Book Antiqua"/>
        </w:rPr>
      </w:pPr>
    </w:p>
    <w:p w:rsidR="00B71D80" w:rsidRPr="007D5ECA" w:rsidRDefault="00B71D80" w:rsidP="007A56D3">
      <w:pPr>
        <w:ind w:right="720"/>
        <w:rPr>
          <w:rFonts w:ascii="Book Antiqua" w:hAnsi="Book Antiqua"/>
          <w:b/>
        </w:rPr>
      </w:pPr>
      <w:r w:rsidRPr="007D5ECA">
        <w:rPr>
          <w:rFonts w:ascii="Book Antiqua" w:hAnsi="Book Antiqua"/>
          <w:b/>
        </w:rPr>
        <w:t>Identifying and reducing redundancies:</w:t>
      </w:r>
    </w:p>
    <w:p w:rsidR="00B71D80" w:rsidRPr="007D5ECA" w:rsidRDefault="00B71D80" w:rsidP="007A56D3">
      <w:pPr>
        <w:autoSpaceDE w:val="0"/>
        <w:autoSpaceDN w:val="0"/>
        <w:adjustRightInd w:val="0"/>
        <w:ind w:right="720"/>
        <w:rPr>
          <w:rFonts w:ascii="Book Antiqua" w:hAnsi="Book Antiqua" w:cs="Calibri"/>
        </w:rPr>
      </w:pPr>
      <w:r w:rsidRPr="007D5ECA">
        <w:rPr>
          <w:rFonts w:ascii="Book Antiqua" w:hAnsi="Book Antiqua" w:cs="Calibri"/>
        </w:rPr>
        <w:t xml:space="preserve">The Division evaluates water quality monitoring efforts across the Department as well as state, federal and other agencies to promote adequate data collection while minimizing redundancies. </w:t>
      </w:r>
      <w:r>
        <w:rPr>
          <w:rFonts w:ascii="Book Antiqua" w:hAnsi="Book Antiqua" w:cs="Calibri"/>
        </w:rPr>
        <w:t xml:space="preserve"> This frees up resources to direct towards more comprehensive coverage of state waters.</w:t>
      </w:r>
    </w:p>
    <w:p w:rsidR="00B71D80" w:rsidRPr="007D5ECA" w:rsidRDefault="00B71D80" w:rsidP="007A56D3">
      <w:pPr>
        <w:ind w:right="720"/>
        <w:rPr>
          <w:rFonts w:ascii="Book Antiqua" w:hAnsi="Book Antiqua"/>
          <w:b/>
        </w:rPr>
      </w:pPr>
    </w:p>
    <w:p w:rsidR="00B71D80" w:rsidRPr="007D5ECA" w:rsidRDefault="00B71D80" w:rsidP="007A56D3">
      <w:pPr>
        <w:ind w:right="720"/>
        <w:rPr>
          <w:rFonts w:ascii="Book Antiqua" w:hAnsi="Book Antiqua"/>
          <w:b/>
        </w:rPr>
      </w:pPr>
      <w:r w:rsidRPr="007D5ECA">
        <w:rPr>
          <w:rFonts w:ascii="Book Antiqua" w:hAnsi="Book Antiqua"/>
          <w:b/>
        </w:rPr>
        <w:t>Developing staff’s scientific expertise:</w:t>
      </w:r>
    </w:p>
    <w:p w:rsidR="00B71D80" w:rsidRPr="007D5ECA" w:rsidRDefault="00B71D80" w:rsidP="007A56D3">
      <w:pPr>
        <w:ind w:right="720"/>
        <w:rPr>
          <w:rFonts w:ascii="Book Antiqua" w:hAnsi="Book Antiqua"/>
        </w:rPr>
      </w:pPr>
      <w:r w:rsidRPr="007D5ECA">
        <w:rPr>
          <w:rFonts w:ascii="Book Antiqua" w:hAnsi="Book Antiqua"/>
        </w:rPr>
        <w:t>The Division depends upon scientific skills and knowledge to successfully carry out its mission and is committed to training and developing its staff</w:t>
      </w:r>
      <w:r>
        <w:rPr>
          <w:rFonts w:ascii="Book Antiqua" w:hAnsi="Book Antiqua"/>
        </w:rPr>
        <w:t xml:space="preserve"> to better implement our core mission</w:t>
      </w:r>
      <w:r w:rsidRPr="007D5ECA">
        <w:rPr>
          <w:rFonts w:ascii="Book Antiqua" w:hAnsi="Book Antiqua"/>
        </w:rPr>
        <w:t>.</w:t>
      </w:r>
    </w:p>
    <w:p w:rsidR="00B71D80" w:rsidRDefault="00B71D80">
      <w:pPr>
        <w:spacing w:after="200" w:line="276" w:lineRule="auto"/>
        <w:rPr>
          <w:rFonts w:ascii="Book Antiqua" w:hAnsi="Book Antiqua"/>
          <w:i/>
        </w:rPr>
      </w:pPr>
      <w:r>
        <w:rPr>
          <w:rFonts w:ascii="Book Antiqua" w:hAnsi="Book Antiqua"/>
          <w:i/>
        </w:rPr>
        <w:br w:type="page"/>
      </w:r>
    </w:p>
    <w:p w:rsidR="00B71D80" w:rsidRPr="007D5ECA" w:rsidRDefault="00B71D80" w:rsidP="007A56D3">
      <w:pPr>
        <w:ind w:right="720"/>
        <w:rPr>
          <w:rFonts w:ascii="Book Antiqua" w:hAnsi="Book Antiqua"/>
          <w:i/>
        </w:rPr>
      </w:pPr>
    </w:p>
    <w:p w:rsidR="00B71D80" w:rsidRPr="007D5ECA" w:rsidRDefault="00B71D80" w:rsidP="007A56D3">
      <w:pPr>
        <w:ind w:right="720"/>
        <w:rPr>
          <w:rFonts w:ascii="Book Antiqua" w:hAnsi="Book Antiqua"/>
          <w:caps/>
        </w:rPr>
      </w:pPr>
      <w:r>
        <w:rPr>
          <w:noProof/>
        </w:rPr>
        <w:pict>
          <v:shapetype id="_x0000_t202" coordsize="21600,21600" o:spt="202" path="m,l,21600r21600,l21600,xe">
            <v:stroke joinstyle="miter"/>
            <v:path gradientshapeok="t" o:connecttype="rect"/>
          </v:shapetype>
          <v:shape id="_x0000_s1028" type="#_x0000_t202" style="position:absolute;margin-left:355.5pt;margin-top:1.75pt;width:125.15pt;height:16.85pt;z-index:251657216">
            <v:textbox style="mso-next-textbox:#_x0000_s1028">
              <w:txbxContent>
                <w:p w:rsidR="00B71D80" w:rsidRPr="00487CB6" w:rsidRDefault="00B71D80">
                  <w:pPr>
                    <w:rPr>
                      <w:sz w:val="16"/>
                      <w:szCs w:val="16"/>
                    </w:rPr>
                  </w:pPr>
                  <w:r w:rsidRPr="00487CB6">
                    <w:rPr>
                      <w:sz w:val="16"/>
                      <w:szCs w:val="16"/>
                    </w:rPr>
                    <w:t>WATER Q</w:t>
                  </w:r>
                  <w:r>
                    <w:rPr>
                      <w:sz w:val="16"/>
                      <w:szCs w:val="16"/>
                    </w:rPr>
                    <w:t>UAL</w:t>
                  </w:r>
                  <w:r w:rsidRPr="00487CB6">
                    <w:rPr>
                      <w:sz w:val="16"/>
                      <w:szCs w:val="16"/>
                    </w:rPr>
                    <w:t xml:space="preserve">ITY </w:t>
                  </w:r>
                  <w:r>
                    <w:rPr>
                      <w:sz w:val="16"/>
                      <w:szCs w:val="16"/>
                    </w:rPr>
                    <w:t>PROCESS</w:t>
                  </w:r>
                </w:p>
              </w:txbxContent>
            </v:textbox>
          </v:shape>
        </w:pict>
      </w:r>
      <w:r w:rsidRPr="007D5ECA">
        <w:rPr>
          <w:rFonts w:ascii="Book Antiqua" w:hAnsi="Book Antiqua"/>
          <w:b/>
          <w:caps/>
          <w:u w:val="single"/>
        </w:rPr>
        <w:t>Organization</w:t>
      </w:r>
    </w:p>
    <w:p w:rsidR="00B71D80" w:rsidRPr="007D5ECA" w:rsidRDefault="00B71D80" w:rsidP="007A56D3">
      <w:pPr>
        <w:ind w:right="720"/>
        <w:rPr>
          <w:rFonts w:ascii="Book Antiqua" w:hAnsi="Book Antiqua"/>
        </w:rPr>
      </w:pPr>
      <w:r>
        <w:rPr>
          <w:noProof/>
        </w:rPr>
        <w:pict>
          <v:shape id="Object 3" o:spid="_x0000_s1029" type="#_x0000_t75" style="position:absolute;margin-left:357.75pt;margin-top:9.5pt;width:115.2pt;height:159.75pt;z-index:251656192;visibility:visible">
            <v:imagedata r:id="rId9" o:title="" croptop="-276f" cropbottom="-276f"/>
            <w10:wrap type="square"/>
          </v:shape>
        </w:pict>
      </w:r>
    </w:p>
    <w:p w:rsidR="00B71D80" w:rsidRPr="007D5ECA" w:rsidRDefault="00B71D80" w:rsidP="007A56D3">
      <w:pPr>
        <w:ind w:right="720"/>
        <w:rPr>
          <w:rFonts w:ascii="Book Antiqua" w:hAnsi="Book Antiqua"/>
        </w:rPr>
      </w:pPr>
    </w:p>
    <w:p w:rsidR="00B71D80" w:rsidRPr="007D5ECA" w:rsidRDefault="00B71D80" w:rsidP="007A56D3">
      <w:pPr>
        <w:ind w:right="720"/>
        <w:rPr>
          <w:rFonts w:ascii="Book Antiqua" w:hAnsi="Book Antiqua"/>
        </w:rPr>
      </w:pPr>
      <w:r w:rsidRPr="007D5ECA">
        <w:rPr>
          <w:rFonts w:ascii="Book Antiqua" w:hAnsi="Book Antiqua"/>
        </w:rPr>
        <w:t xml:space="preserve">The Division </w:t>
      </w:r>
      <w:r>
        <w:rPr>
          <w:rFonts w:ascii="Book Antiqua" w:hAnsi="Book Antiqua"/>
        </w:rPr>
        <w:t>implements</w:t>
      </w:r>
      <w:r w:rsidRPr="007D5ECA">
        <w:rPr>
          <w:rFonts w:ascii="Book Antiqua" w:hAnsi="Book Antiqua"/>
        </w:rPr>
        <w:t xml:space="preserve"> the statutory water quality process</w:t>
      </w:r>
      <w:r>
        <w:rPr>
          <w:rFonts w:ascii="Book Antiqua" w:hAnsi="Book Antiqua"/>
        </w:rPr>
        <w:t>.</w:t>
      </w:r>
    </w:p>
    <w:p w:rsidR="00B71D80" w:rsidRDefault="00B71D80" w:rsidP="007A56D3">
      <w:pPr>
        <w:ind w:right="720"/>
        <w:rPr>
          <w:rFonts w:ascii="Book Antiqua" w:hAnsi="Book Antiqua" w:cs="Calibri"/>
        </w:rPr>
      </w:pPr>
      <w:r w:rsidRPr="007D5ECA">
        <w:rPr>
          <w:rFonts w:ascii="Book Antiqua" w:hAnsi="Book Antiqua"/>
        </w:rPr>
        <w:t>The Bureau of Assessment and Restoration Support (BARS) develops water quality standards as required by the federal CWA and state law.  In addition, BARS is responsible for the statewide ambient water quality monitoring network for freshwaters and ground water.  BARS uses information from the statewide network and other water quality data to assess and report on water quality in Florida as required by the CWA.  BARS relies on a variety of resources to meet its statewide monitoring commitments including contracted services, Tallahassee staff and OPS staff in three district offices</w:t>
      </w:r>
      <w:r w:rsidRPr="007D5ECA">
        <w:rPr>
          <w:rFonts w:ascii="Book Antiqua" w:hAnsi="Book Antiqua" w:cs="Calibri"/>
        </w:rPr>
        <w:t xml:space="preserve">.  The Division currently has sufficient information to assess approximately 50% (3,180) of Florida’s </w:t>
      </w:r>
    </w:p>
    <w:p w:rsidR="00B71D80" w:rsidRPr="007D5ECA" w:rsidRDefault="00B71D80" w:rsidP="007A56D3">
      <w:pPr>
        <w:ind w:right="720"/>
        <w:rPr>
          <w:rFonts w:ascii="Book Antiqua" w:hAnsi="Book Antiqua" w:cs="Calibri"/>
        </w:rPr>
      </w:pPr>
      <w:r w:rsidRPr="007D5ECA">
        <w:rPr>
          <w:rFonts w:ascii="Book Antiqua" w:hAnsi="Book Antiqua" w:cs="Calibri"/>
        </w:rPr>
        <w:t xml:space="preserve">defined waterbodies, many of which are impaired for one or more parameters.  BARS is also responsible for the Department’s Quality Assurance/Quality Control Program.  This program ensures data collection efforts of the Department’s various programs meet acceptable protocols for reliability and validity.  Currently, BARS has 38 FTE and 35 OPS.  </w:t>
      </w:r>
    </w:p>
    <w:p w:rsidR="00B71D80" w:rsidRPr="007D5ECA" w:rsidRDefault="00B71D80" w:rsidP="007A56D3">
      <w:pPr>
        <w:ind w:right="720"/>
        <w:rPr>
          <w:rFonts w:ascii="Book Antiqua" w:hAnsi="Book Antiqua"/>
        </w:rPr>
      </w:pPr>
    </w:p>
    <w:p w:rsidR="00B71D80" w:rsidRPr="007D5ECA" w:rsidRDefault="00B71D80" w:rsidP="007A56D3">
      <w:pPr>
        <w:ind w:right="720"/>
        <w:rPr>
          <w:rFonts w:ascii="Book Antiqua" w:hAnsi="Book Antiqua"/>
        </w:rPr>
      </w:pPr>
      <w:r w:rsidRPr="007D5ECA">
        <w:rPr>
          <w:rFonts w:ascii="Book Antiqua" w:hAnsi="Book Antiqua"/>
        </w:rPr>
        <w:t>The Bureau of Watershed Restoration (BWR) partners with local stakeholders to develop restoration goals, known as Total Maximum Daily Loads (TMDL), and restoration plans, called Basin Management Action Plans (BMAP).  BWR’s goal is to bring Florida’s impaired waters back into attainment with water quality standards.  The BWR also develops and distributes tools and manuals for best management practices for nonpoint source pollution reduction and implements state and federal grant programs aimed at water pollution reductions.  BWR relies upon district office staff to support monitoring and sampling activities associated with the TMDL program.  BWR is also responsible for springs and groundwater quality assessment.  The Division relies on its water quality data experts to manage, evaluate and clearly present data from more than 100 sources and 23 million records to the public.  BWR has 52 FTE and 21 OPS staff.</w:t>
      </w:r>
    </w:p>
    <w:p w:rsidR="00B71D80" w:rsidRPr="007D5ECA" w:rsidRDefault="00B71D80" w:rsidP="007A56D3">
      <w:pPr>
        <w:ind w:right="720"/>
        <w:rPr>
          <w:rFonts w:ascii="Book Antiqua" w:hAnsi="Book Antiqua"/>
        </w:rPr>
      </w:pPr>
    </w:p>
    <w:p w:rsidR="00B71D80" w:rsidRPr="007D5ECA" w:rsidRDefault="00B71D80" w:rsidP="007A56D3">
      <w:pPr>
        <w:ind w:right="720"/>
        <w:rPr>
          <w:rFonts w:ascii="Book Antiqua" w:hAnsi="Book Antiqua" w:cs="Calibri"/>
        </w:rPr>
      </w:pPr>
      <w:r w:rsidRPr="007D5ECA">
        <w:rPr>
          <w:rFonts w:ascii="Book Antiqua" w:hAnsi="Book Antiqua"/>
        </w:rPr>
        <w:t>Scientific expertise and defensible data are cornerstones to the success of the Division, and much of this support is provided by the Bureau of Laboratories (Lab).  The Lab provides technical support to the Division as well as the rest of the Department and currently has 77 FTE and 22 OPS staff.  In FY 2010/2011, t</w:t>
      </w:r>
      <w:r w:rsidRPr="007D5ECA">
        <w:rPr>
          <w:rFonts w:ascii="Book Antiqua" w:hAnsi="Book Antiqua" w:cs="Calibri"/>
        </w:rPr>
        <w:t xml:space="preserve">he Lab reported results for 134,950 analyses.  The vast majority of analyses (105,697, or 78%) were performed on behalf of Division programs (Total Maximum Daily Load – 35% and ambient programs – 34%).   </w:t>
      </w:r>
      <w:r w:rsidRPr="007D5ECA">
        <w:rPr>
          <w:rFonts w:ascii="Book Antiqua" w:hAnsi="Book Antiqua"/>
        </w:rPr>
        <w:t xml:space="preserve">Lab staff is also instrumental in evaluating new sampling methods and analytical techniques that will result in more accurate water quality assessment and cost-effective restoration.  In addition, Lab staff often provides expertise on high-profile issues such as the Deep Water Horizon oil spill beach monitoring, </w:t>
      </w:r>
      <w:r w:rsidRPr="007D5ECA">
        <w:rPr>
          <w:rFonts w:ascii="Book Antiqua" w:hAnsi="Book Antiqua" w:cs="Calibri"/>
        </w:rPr>
        <w:t>algal bloom investigations, evaluation of innovative restoration technologies, and laboratory analyses for sensitive issues.</w:t>
      </w:r>
    </w:p>
    <w:p w:rsidR="00B71D80" w:rsidRPr="007D5ECA" w:rsidRDefault="00B71D80" w:rsidP="007A56D3">
      <w:pPr>
        <w:ind w:right="720"/>
        <w:rPr>
          <w:rFonts w:ascii="Book Antiqua" w:hAnsi="Book Antiqua"/>
        </w:rPr>
      </w:pPr>
      <w:r>
        <w:rPr>
          <w:noProof/>
        </w:rPr>
        <w:pict>
          <v:shape id="Picture 1" o:spid="_x0000_s1030" type="#_x0000_t75" style="position:absolute;margin-left:9.6pt;margin-top:2.45pt;width:338.6pt;height:228.15pt;z-index:251658240;visibility:visible">
            <v:imagedata r:id="rId10" o:title=""/>
            <w10:wrap type="square"/>
          </v:shape>
        </w:pict>
      </w:r>
    </w:p>
    <w:p w:rsidR="00B71D80" w:rsidRPr="007D5ECA" w:rsidRDefault="00B71D80" w:rsidP="007A56D3">
      <w:pPr>
        <w:ind w:right="720"/>
        <w:rPr>
          <w:rFonts w:ascii="Book Antiqua" w:hAnsi="Book Antiqua"/>
        </w:rPr>
      </w:pPr>
      <w:r w:rsidRPr="007D5ECA">
        <w:rPr>
          <w:rFonts w:ascii="Book Antiqua" w:hAnsi="Book Antiqua"/>
        </w:rPr>
        <w:br w:type="textWrapping" w:clear="all"/>
      </w:r>
    </w:p>
    <w:p w:rsidR="00B71D80" w:rsidRPr="007D5ECA" w:rsidRDefault="00B71D80" w:rsidP="007A56D3">
      <w:pPr>
        <w:ind w:right="720"/>
        <w:rPr>
          <w:rFonts w:ascii="Book Antiqua" w:hAnsi="Book Antiqua"/>
        </w:rPr>
      </w:pPr>
    </w:p>
    <w:p w:rsidR="00B71D80" w:rsidRPr="007D5ECA" w:rsidRDefault="00B71D80" w:rsidP="007A56D3">
      <w:pPr>
        <w:ind w:right="720"/>
        <w:rPr>
          <w:rFonts w:ascii="Book Antiqua" w:hAnsi="Book Antiqua"/>
          <w:b/>
          <w:u w:val="single"/>
        </w:rPr>
      </w:pPr>
      <w:r w:rsidRPr="007D5ECA">
        <w:rPr>
          <w:rFonts w:ascii="Book Antiqua" w:hAnsi="Book Antiqua"/>
          <w:b/>
          <w:caps/>
          <w:u w:val="single"/>
        </w:rPr>
        <w:t>Budget and Staffing</w:t>
      </w:r>
      <w:r w:rsidRPr="007D5ECA">
        <w:rPr>
          <w:rFonts w:ascii="Book Antiqua" w:hAnsi="Book Antiqua"/>
          <w:b/>
          <w:u w:val="single"/>
        </w:rPr>
        <w:t xml:space="preserve"> </w:t>
      </w:r>
    </w:p>
    <w:p w:rsidR="00B71D80" w:rsidRPr="007D5ECA" w:rsidRDefault="00B71D80" w:rsidP="007A56D3">
      <w:pPr>
        <w:ind w:right="720"/>
        <w:rPr>
          <w:rFonts w:ascii="Book Antiqua" w:hAnsi="Book Antiqua" w:cs="Calibri"/>
        </w:rPr>
      </w:pPr>
      <w:r w:rsidRPr="007D5ECA">
        <w:rPr>
          <w:rFonts w:ascii="Book Antiqua" w:hAnsi="Book Antiqua"/>
        </w:rPr>
        <w:t xml:space="preserve">The Division currently has 174 FTE and 79 OPS staff.  The Division </w:t>
      </w:r>
      <w:r w:rsidRPr="007D5ECA">
        <w:rPr>
          <w:rFonts w:ascii="Book Antiqua" w:hAnsi="Book Antiqua" w:cs="Calibri"/>
        </w:rPr>
        <w:t xml:space="preserve">relies extensively on OPS staff to carry out its core mission.  Approximately 34% of the Division staff is OPS.  </w:t>
      </w:r>
      <w:r w:rsidRPr="007D5ECA">
        <w:rPr>
          <w:rFonts w:ascii="Book Antiqua" w:hAnsi="Book Antiqua"/>
        </w:rPr>
        <w:t xml:space="preserve">The Division’s budget consists of approximately $20 million in recurring budget authority and $22.7 million in fixed capital outlay funds, most of which are used for grants to local entities for restoration projects.  </w:t>
      </w:r>
    </w:p>
    <w:p w:rsidR="00B71D80" w:rsidRPr="007D5ECA" w:rsidRDefault="00B71D80" w:rsidP="007A56D3">
      <w:pPr>
        <w:ind w:right="720"/>
        <w:rPr>
          <w:rFonts w:ascii="Book Antiqua" w:hAnsi="Book Antiqua"/>
        </w:rPr>
      </w:pPr>
    </w:p>
    <w:p w:rsidR="00B71D80" w:rsidRPr="007D5ECA" w:rsidRDefault="00B71D80" w:rsidP="007A56D3">
      <w:pPr>
        <w:spacing w:after="200" w:line="276" w:lineRule="auto"/>
        <w:ind w:right="720"/>
        <w:rPr>
          <w:rFonts w:ascii="Book Antiqua" w:hAnsi="Book Antiqua"/>
        </w:rPr>
      </w:pPr>
      <w:r w:rsidRPr="00EC2915">
        <w:rPr>
          <w:rFonts w:ascii="Book Antiqua" w:hAnsi="Book Antiqua"/>
          <w:noProof/>
        </w:rPr>
        <w:pict>
          <v:shape id="Chart 1" o:spid="_x0000_i1025" type="#_x0000_t75" style="width:395.25pt;height:251.2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izp983AAAAAUBAAAPAAAAZHJzL2Rvd25y&#10;ZXYueG1sTI/BTsMwEETvSPyDtUjcqN1ASBviVAiBOKAKUXrocRsvSUS8jmy3DX+P4QKXlUYzmnlb&#10;rSY7iCP50DvWMJ8pEMSNMz23GrbvT1cLECEiGxwck4YvCrCqz88qLI078RsdN7EVqYRDiRq6GMdS&#10;ytB0ZDHM3EicvA/nLcYkfSuNx1Mqt4PMlLqVFntOCx2O9NBR87k5WA0v65uiWU7Xz5mnYuFo/vha&#10;7JTWlxfT/R2ISFP8C8MPfkKHOjHt3YFNEIOG9Ej8vckrlioHsdeQqywHWVfyP339DQAA//8DAFBL&#10;AwQUAAYACAAAACEA4k0VDREBAAA5AgAADgAAAGRycy9lMm9Eb2MueG1snJHLasMwEEX3hf6DmH2j&#10;2C1pYmxnEwpdddN+wFQaxQJbEiMlbv++QxL6WBWyu6OBw5mrdvsxjepInH0MHVSLJSgKJlof9h28&#10;vT7drUHlgsHiGAN18EkZtv3tTTunhuo4xNESK4GE3Mypg6GU1GidzUAT5kVMFGTpIk9YZOS9toyz&#10;0KdR18vlSs+RbeJoKGd53Z2X0J/4zpEpL85lKmoUu3W9Fp0iqa42NSiWdP9YrUC9d/BQbSrQfYvN&#10;njEN3lys8AqpCX0Qh2/UDguqA/srUGZALsIyzSldpMzVpAtATv+/6uicN7SL5jBRKOe+mUYs8tl5&#10;8ClLhY23HfCzPXWn/1zctz+z5N8/3n8BAAD//wMAUEsDBBQABgAIAAAAIQCrFs1GuQAAACIBAAAZ&#10;AAAAZHJzL19yZWxzL2Uyb0RvYy54bWwucmVsc4SPzQrCMBCE74LvEPZu03oQkSa9iNCr1AdY0u0P&#10;tknIRrFvb9CLguBxdphvdsrqMU/iToFHZxUUWQ6CrHHtaHsFl+a02YPgiLbFyVlSsBBDpder8kwT&#10;xhTiYfQsEsWygiFGf5CSzUAzcuY82eR0LswYkwy99Giu2JPc5vlOhk8G6C+mqFsFoW4LEM3iU/N/&#10;tuu60dDRmdtMNv6okGbAEBMQQ09RwUvy+1pk6VOQupRfy/QTAAD//wMAUEsDBBQABgAIAAAAIQBm&#10;7SG/EwEAAK4BAAAgAAAAZHJzL2NoYXJ0cy9fcmVscy9jaGFydDEueG1sLnJlbHOEkE1rwzAMhu+D&#10;/Ydg2HF12sMYpU4Zawc9lEHX3QJDcZTEm2MHW8mSfz/10LLCYBdbn4+kd7UeW5sMGKLxTon5LBUJ&#10;Ou1L42ol3o8v948iiQSuBOsdKjFhFOvs9mZ1QAvETbExXUyY4qISDVG3lDLqBluIM9+h40zlQwvE&#10;bqhlB/oLapSLNH2Q4TdDZFfMZFcqEXblXCTHqePJ/7N9VRmNG6/7Fh39MUJ6i6/FJ2piKIQaSYnK&#10;WOSV5fMyP3fGu0XKF/P7hkSsRMwHg7aBHsMH5fuJM5fafLN9OnCg6EvmsVGjwwA2vwSKUz1oMoOh&#10;k/ltqOFPNxBYlNHG8zJ7X/Kd25EwOLBCZit5pXL2AwAA//8DAFBLAwQUAAYACAAAACEAb6K2OIME&#10;AAB5CwAAFQAAAGRycy9jaGFydHMvY2hhcnQxLnhtbJxWWW/jNhB+L9D/wDIGmm03sS7rcGOnPpCi&#10;gIO68e4WBRYIGIm2taVJgaSd+N93SEqOnUa7QV8kci7O8XE4V9dPG4Z2VKpS8AH2Lz2MKM9FUfLV&#10;AH/8cHORYqQ04QVhgtMB3lOFr4fff3eV9/M1kXpRkZwiMMJVPx/gtdZVv9tV+ZpuiLoUFeXAWwq5&#10;IRq2ctUtJHkE4xvWDTwv7lojuDZA/oeBDSl5oy/foi+WyzKnU5FvN5Rr54WkjGjIgFqXlcJDCK4g&#10;mvqZF6EdYZAX3DVERvjKESi/+LhwRBuB4epSM2oXT+Yry3w9vCL9B1Hs5xL0SZ8pvdB7Ru2mMpRq&#10;Ls2voMs7K9M9kCxdziUyhw7w4UDS18NpuStNwdB4W6yoRg97NMo1EPUe3fyNfO/C96/AlB6aL1gy&#10;ZuHbOAULbX1kZC+2GtwxlMb9igk9kpS4iGuBvF+VdGIqbsg7IvcTwYRUJ/lRFM7K+2Xx5Miey5CQ&#10;BZUnlGL2wJQRVWvx+IkAAo+ybGgzSkBnVnJ6fAJ4edDMifVEaXlHl8bUcni+oBzKNtnouaQKimtr&#10;+kNn1Anft7KidlYYtPN6vXZeHLfz0q/o+an3zlTChgOBTQhcIxNapSdiy7XLUuKSWmkEeR5gDxuJ&#10;3XBhL6ksFJrSHWWiMug21na2upXNVqPk10p/Qbok+nNLmIHOreClFhJuZ5te8KreSCmq1NfOC2u9&#10;D7fT2Vv8i2r58e1o/hb5Xi0/EzmA6Tex+1GjO6ogGAsBNJfiC821aosrbvTJg1ERco8W26oSUqMF&#10;lTvoFwppgfSagjcVXIL/BguZfi6Z21hgwrKGKmDclIpvN99E7LgdseNOK2JBqxWx4047YseddsSO&#10;O+2IHXdOEAuBHRDrOv5EFHR4f447+Cd09v7szLt/90u9/XxuCZ8PBHyBr68t/9d7dwvso2FNvPEK&#10;+L3AC9OorcgN6MOkl2ZR3CbWYDzO4qTnpW1iDaRDP42yOGwTa5AcBlHmJ16bWANgP/Cz0A9azTVA&#10;TXpwbpqcmgOoPdfAbRoIWuwZVLoOfeiiptfOqcyhVxz1YBA8SCxLCa8Wgyswah4/29ZB5vlFMJvj&#10;V4OuKC8M2JldzUXdxaXrXe7ZMfwN4dB8ZvYZMvunW4CM84TC0+bE968RmyfmMobMxqEXRjBPpGmc&#10;BLWSs+Jd+lkW97LUT4Isif0gcuzHhh32gJwlmRcEceyFYer464afBFHiRT34xIAH37Ih3FPHgdDE&#10;ZJaH8E1SPpXqD872zp4dJEDkMDSoegJQgpXFTcmgRZC+HZ/ohNWPJtNODRjHUoyjxwEOepEHQ1tO&#10;qgFewhQDy01VDLDiK4wIW8FUl2sJ/e2F9oszSG4w8Oo5FQBgSlSdEeuCyRHMFIwbs3S5hN46U/Uc&#10;4SIyE4abbd4+/3zLx+KfV/0zoxtHel/RJcyiA/zzhl8wbVwE38gLBiWOkUNDP9HIVR2Um8VsfHVt&#10;AMtzIglMaC+HscNc5YLN+/QJHlRO2JRogiRMQgMsfy+c28cT8/BfAAAA//8DAFBLAQItABQABgAI&#10;AAAAIQCk8pWRHAEAAF4CAAATAAAAAAAAAAAAAAAAAAAAAABbQ29udGVudF9UeXBlc10ueG1sUEsB&#10;Ai0AFAAGAAgAAAAhADj9If/WAAAAlAEAAAsAAAAAAAAAAAAAAAAATQEAAF9yZWxzLy5yZWxzUEsB&#10;Ai0AFAAGAAgAAAAhAGLOn3zcAAAABQEAAA8AAAAAAAAAAAAAAAAATAIAAGRycy9kb3ducmV2Lnht&#10;bFBLAQItABQABgAIAAAAIQDiTRUNEQEAADkCAAAOAAAAAAAAAAAAAAAAAFUDAABkcnMvZTJvRG9j&#10;LnhtbFBLAQItABQABgAIAAAAIQCrFs1GuQAAACIBAAAZAAAAAAAAAAAAAAAAAJIEAABkcnMvX3Jl&#10;bHMvZTJvRG9jLnhtbC5yZWxzUEsBAi0AFAAGAAgAAAAhAGbtIb8TAQAArgEAACAAAAAAAAAAAAAA&#10;AAAAggUAAGRycy9jaGFydHMvX3JlbHMvY2hhcnQxLnhtbC5yZWxzUEsBAi0AFAAGAAgAAAAhAG+i&#10;tjiDBAAAeQsAABUAAAAAAAAAAAAAAAAA0wYAAGRycy9jaGFydHMvY2hhcnQxLnhtbFBLBQYAAAAA&#10;BwAHAMsBAACJCwAAAAA=&#10;">
            <v:imagedata r:id="rId11" o:title=""/>
            <o:lock v:ext="edit" aspectratio="f"/>
          </v:shape>
        </w:pict>
      </w:r>
    </w:p>
    <w:p w:rsidR="00B71D80" w:rsidRDefault="00B71D80">
      <w:pPr>
        <w:spacing w:after="200" w:line="276" w:lineRule="auto"/>
        <w:rPr>
          <w:rFonts w:ascii="Book Antiqua" w:hAnsi="Book Antiqua"/>
        </w:rPr>
      </w:pPr>
      <w:r>
        <w:rPr>
          <w:rFonts w:ascii="Book Antiqua" w:hAnsi="Book Antiqua"/>
        </w:rPr>
        <w:br w:type="page"/>
      </w:r>
    </w:p>
    <w:p w:rsidR="00B71D80" w:rsidRPr="007D5ECA" w:rsidRDefault="00B71D80" w:rsidP="007A56D3">
      <w:pPr>
        <w:ind w:right="720"/>
        <w:rPr>
          <w:rFonts w:ascii="Book Antiqua" w:hAnsi="Book Antiqua"/>
        </w:rPr>
      </w:pPr>
    </w:p>
    <w:p w:rsidR="00B71D80" w:rsidRPr="007D5ECA" w:rsidRDefault="00B71D80" w:rsidP="007A56D3">
      <w:pPr>
        <w:ind w:right="720"/>
        <w:rPr>
          <w:rFonts w:ascii="Book Antiqua" w:hAnsi="Book Antiqua"/>
          <w:b/>
          <w:caps/>
          <w:u w:val="single"/>
        </w:rPr>
      </w:pPr>
      <w:r>
        <w:rPr>
          <w:rFonts w:ascii="Book Antiqua" w:hAnsi="Book Antiqua"/>
          <w:b/>
          <w:caps/>
          <w:u w:val="single"/>
        </w:rPr>
        <w:t>Overview of Division Operations</w:t>
      </w:r>
      <w:r w:rsidRPr="007D5ECA">
        <w:rPr>
          <w:rFonts w:ascii="Book Antiqua" w:hAnsi="Book Antiqua"/>
          <w:b/>
          <w:caps/>
          <w:u w:val="single"/>
        </w:rPr>
        <w:t xml:space="preserve"> </w:t>
      </w:r>
    </w:p>
    <w:p w:rsidR="00B71D80" w:rsidRPr="007D5ECA" w:rsidRDefault="00B71D80" w:rsidP="007A56D3">
      <w:pPr>
        <w:ind w:right="720"/>
        <w:rPr>
          <w:rFonts w:ascii="Book Antiqua" w:hAnsi="Book Antiqua"/>
        </w:rPr>
      </w:pPr>
      <w:r w:rsidRPr="007D5ECA">
        <w:rPr>
          <w:rFonts w:ascii="Book Antiqua" w:hAnsi="Book Antiqua"/>
        </w:rPr>
        <w:t xml:space="preserve">Unlike the other regulatory programs, the Division does not directly regulate facilities.  Florida has over </w:t>
      </w:r>
      <w:r w:rsidRPr="007D5ECA">
        <w:rPr>
          <w:rFonts w:ascii="Book Antiqua" w:hAnsi="Book Antiqua"/>
          <w:color w:val="000000"/>
        </w:rPr>
        <w:t>50,000 miles of rivers and streams, 7800 lakes, and 4000 square miles of estuaries</w:t>
      </w:r>
      <w:r w:rsidRPr="007D5ECA">
        <w:rPr>
          <w:rFonts w:ascii="Book Antiqua" w:hAnsi="Book Antiqua" w:cs="Calibri"/>
        </w:rPr>
        <w:t xml:space="preserve">.  </w:t>
      </w:r>
      <w:r w:rsidRPr="007D5ECA">
        <w:rPr>
          <w:rFonts w:ascii="Book Antiqua" w:hAnsi="Book Antiqua"/>
        </w:rPr>
        <w:t>The Division’s workload is largely driven by water quality monitoring and assessment of these waterbodies as well as prioritized restoration activities for those with impairments for one or more parameters.  Each year, the Division monitors its statewide ambient monitoring stations for lakes, streams, and ground water to determine existing water quality and detect water quality trends.  In addition to this ambient monitoring, the Division conducts strategic monitoring of specific waterbodies every year.  Because of the large number of waterbodies in Florida, the Division developed a five-year rotating schedule to evaluate water quality by watershed basins.  Strategic monitoring is conducted in approximately one fifth of the state each year, with waters identified as potentially impaired targeted for monitoring.   The data are assessed in the following year and, at the end of the year, the Division prepares a list of impaired waterbodies and prioritizes the development of TMDL and restoration goals for them.  The TMDL is the first step in the restoration process</w:t>
      </w:r>
      <w:r>
        <w:rPr>
          <w:rFonts w:ascii="Book Antiqua" w:hAnsi="Book Antiqua"/>
        </w:rPr>
        <w:t xml:space="preserve">, followed by the adoption of Basin Management Action Plans, both of which </w:t>
      </w:r>
      <w:r w:rsidRPr="007D5ECA">
        <w:rPr>
          <w:rFonts w:ascii="Book Antiqua" w:hAnsi="Book Antiqua"/>
        </w:rPr>
        <w:t xml:space="preserve">involve additional sampling and analysis to determine causative pollutants and sources.  These activities result in approximately 105,000 laboratory analyses each year.  In addition, the Lab also processes approximately 30,000 analyses for other Department and external clients.  </w:t>
      </w:r>
    </w:p>
    <w:p w:rsidR="00B71D80" w:rsidRPr="007D5ECA" w:rsidRDefault="00B71D80" w:rsidP="007A56D3">
      <w:pPr>
        <w:ind w:right="720"/>
        <w:rPr>
          <w:rFonts w:ascii="Book Antiqua" w:hAnsi="Book Antiqua"/>
        </w:rPr>
      </w:pPr>
    </w:p>
    <w:p w:rsidR="00B71D80" w:rsidRPr="007D5ECA" w:rsidRDefault="00B71D80" w:rsidP="007A56D3">
      <w:pPr>
        <w:ind w:right="720"/>
        <w:rPr>
          <w:rFonts w:ascii="Book Antiqua" w:hAnsi="Book Antiqua"/>
          <w:b/>
          <w:u w:val="single"/>
        </w:rPr>
      </w:pPr>
    </w:p>
    <w:p w:rsidR="00B71D80" w:rsidRPr="007D5ECA" w:rsidRDefault="00B71D80" w:rsidP="007A56D3">
      <w:pPr>
        <w:shd w:val="clear" w:color="auto" w:fill="FFFFFF"/>
        <w:spacing w:after="51"/>
        <w:ind w:right="720"/>
        <w:jc w:val="center"/>
        <w:textAlignment w:val="top"/>
        <w:outlineLvl w:val="0"/>
        <w:rPr>
          <w:rFonts w:ascii="Book Antiqua" w:hAnsi="Book Antiqua"/>
          <w:b/>
          <w:bCs/>
          <w:color w:val="003399"/>
          <w:kern w:val="36"/>
        </w:rPr>
      </w:pPr>
      <w:r w:rsidRPr="007D5ECA">
        <w:rPr>
          <w:rFonts w:ascii="Book Antiqua" w:hAnsi="Book Antiqua"/>
          <w:b/>
          <w:bCs/>
          <w:color w:val="003399"/>
          <w:kern w:val="36"/>
        </w:rPr>
        <w:t>Florida’s Rotating Watershed Basins</w:t>
      </w:r>
    </w:p>
    <w:p w:rsidR="00B71D80" w:rsidRPr="007D5ECA" w:rsidRDefault="00B71D80" w:rsidP="007A56D3">
      <w:pPr>
        <w:shd w:val="clear" w:color="auto" w:fill="FFFFFF"/>
        <w:spacing w:after="102"/>
        <w:ind w:right="720"/>
        <w:jc w:val="center"/>
        <w:textAlignment w:val="top"/>
        <w:rPr>
          <w:rFonts w:ascii="Book Antiqua" w:hAnsi="Book Antiqua"/>
          <w:b/>
          <w:bCs/>
          <w:color w:val="003399"/>
        </w:rPr>
      </w:pPr>
      <w:r w:rsidRPr="007D5ECA">
        <w:rPr>
          <w:rFonts w:ascii="Book Antiqua" w:hAnsi="Book Antiqua"/>
          <w:b/>
          <w:bCs/>
          <w:color w:val="003399"/>
        </w:rPr>
        <w:t> </w:t>
      </w:r>
    </w:p>
    <w:p w:rsidR="00B71D80" w:rsidRPr="007D5ECA" w:rsidRDefault="00B71D80" w:rsidP="007A56D3">
      <w:pPr>
        <w:shd w:val="clear" w:color="auto" w:fill="FFFFFF"/>
        <w:spacing w:after="102"/>
        <w:ind w:right="720"/>
        <w:jc w:val="center"/>
        <w:textAlignment w:val="top"/>
        <w:rPr>
          <w:rFonts w:ascii="Book Antiqua" w:hAnsi="Book Antiqua"/>
          <w:b/>
          <w:bCs/>
          <w:color w:val="000000"/>
        </w:rPr>
      </w:pPr>
      <w:r w:rsidRPr="00EC2915">
        <w:rPr>
          <w:rFonts w:ascii="Book Antiqua" w:hAnsi="Book Antiqua"/>
          <w:b/>
          <w:noProof/>
          <w:color w:val="000000"/>
        </w:rPr>
        <w:pict>
          <v:shape id="Picture 4" o:spid="_x0000_i1026" type="#_x0000_t75" alt="Basin Rotation Map" style="width:223.5pt;height:218.25pt;visibility:visible">
            <v:imagedata r:id="rId12" o:title=""/>
          </v:shape>
        </w:pict>
      </w:r>
    </w:p>
    <w:p w:rsidR="00B71D80" w:rsidRPr="007D5ECA" w:rsidRDefault="00B71D80" w:rsidP="007A56D3">
      <w:pPr>
        <w:ind w:right="720"/>
        <w:rPr>
          <w:rFonts w:ascii="Book Antiqua" w:hAnsi="Book Antiqua"/>
          <w:b/>
          <w:u w:val="single"/>
        </w:rPr>
      </w:pPr>
    </w:p>
    <w:p w:rsidR="00B71D80" w:rsidRPr="007D5ECA" w:rsidRDefault="00B71D80" w:rsidP="007A56D3">
      <w:pPr>
        <w:ind w:right="720"/>
        <w:rPr>
          <w:rFonts w:ascii="Book Antiqua" w:hAnsi="Book Antiqua"/>
          <w:b/>
          <w:u w:val="single"/>
        </w:rPr>
      </w:pPr>
    </w:p>
    <w:p w:rsidR="00B71D80" w:rsidRDefault="00B71D80" w:rsidP="007A56D3">
      <w:pPr>
        <w:ind w:right="720"/>
        <w:rPr>
          <w:rFonts w:ascii="Book Antiqua" w:hAnsi="Book Antiqua"/>
          <w:b/>
          <w:caps/>
          <w:u w:val="single"/>
        </w:rPr>
      </w:pPr>
    </w:p>
    <w:p w:rsidR="00B71D80" w:rsidRPr="007D5ECA" w:rsidRDefault="00B71D80" w:rsidP="007A56D3">
      <w:pPr>
        <w:ind w:right="720"/>
        <w:rPr>
          <w:rFonts w:ascii="Book Antiqua" w:hAnsi="Book Antiqua"/>
        </w:rPr>
      </w:pPr>
      <w:r w:rsidRPr="007D5ECA">
        <w:rPr>
          <w:rFonts w:ascii="Book Antiqua" w:hAnsi="Book Antiqua"/>
        </w:rPr>
        <w:t xml:space="preserve"> </w:t>
      </w:r>
    </w:p>
    <w:p w:rsidR="00B71D80" w:rsidRPr="007D5ECA" w:rsidRDefault="00B71D80" w:rsidP="007A56D3">
      <w:pPr>
        <w:ind w:right="720"/>
        <w:rPr>
          <w:rFonts w:ascii="Book Antiqua" w:hAnsi="Book Antiqua"/>
        </w:rPr>
      </w:pPr>
    </w:p>
    <w:p w:rsidR="00B71D80" w:rsidRPr="007D5ECA" w:rsidRDefault="00B71D80" w:rsidP="007A56D3">
      <w:pPr>
        <w:ind w:right="720"/>
        <w:rPr>
          <w:rFonts w:ascii="Book Antiqua" w:hAnsi="Book Antiqua"/>
          <w:b/>
          <w:caps/>
          <w:u w:val="single"/>
        </w:rPr>
      </w:pPr>
      <w:r w:rsidRPr="007D5ECA">
        <w:rPr>
          <w:rFonts w:ascii="Book Antiqua" w:hAnsi="Book Antiqua"/>
          <w:b/>
          <w:caps/>
          <w:u w:val="single"/>
        </w:rPr>
        <w:t xml:space="preserve">Division’s </w:t>
      </w:r>
      <w:r>
        <w:rPr>
          <w:rFonts w:ascii="Book Antiqua" w:hAnsi="Book Antiqua"/>
          <w:b/>
          <w:caps/>
          <w:u w:val="single"/>
        </w:rPr>
        <w:t xml:space="preserve">Short Term (2 Year) </w:t>
      </w:r>
      <w:r w:rsidRPr="007D5ECA">
        <w:rPr>
          <w:rFonts w:ascii="Book Antiqua" w:hAnsi="Book Antiqua"/>
          <w:b/>
          <w:caps/>
          <w:u w:val="single"/>
        </w:rPr>
        <w:t>Priorities, Objectives and Measures</w:t>
      </w:r>
    </w:p>
    <w:p w:rsidR="00B71D80" w:rsidRPr="007D5ECA" w:rsidRDefault="00B71D80" w:rsidP="007A56D3">
      <w:pPr>
        <w:ind w:right="720"/>
        <w:rPr>
          <w:rFonts w:ascii="Book Antiqua" w:hAnsi="Book Antiqua"/>
          <w:b/>
          <w:u w:val="single"/>
        </w:rPr>
      </w:pPr>
    </w:p>
    <w:p w:rsidR="00B71D80" w:rsidRPr="007D5ECA" w:rsidRDefault="00B71D80" w:rsidP="007A56D3">
      <w:pPr>
        <w:ind w:right="720"/>
        <w:rPr>
          <w:rFonts w:ascii="Book Antiqua" w:hAnsi="Book Antiqua" w:cs="Calibri"/>
          <w:b/>
        </w:rPr>
      </w:pPr>
      <w:r w:rsidRPr="007D5ECA">
        <w:rPr>
          <w:rFonts w:ascii="Book Antiqua" w:hAnsi="Book Antiqua" w:cs="Calibri"/>
          <w:b/>
        </w:rPr>
        <w:t>Establishing Water Quality Standards</w:t>
      </w:r>
    </w:p>
    <w:p w:rsidR="00B71D80" w:rsidRPr="007D5ECA" w:rsidRDefault="00B71D80" w:rsidP="007A56D3">
      <w:pPr>
        <w:ind w:right="720"/>
        <w:rPr>
          <w:rFonts w:ascii="Book Antiqua" w:hAnsi="Book Antiqua" w:cs="Calibri"/>
        </w:rPr>
      </w:pPr>
      <w:r w:rsidRPr="007D5ECA">
        <w:rPr>
          <w:rFonts w:ascii="Book Antiqua" w:hAnsi="Book Antiqua" w:cs="Calibri"/>
        </w:rPr>
        <w:t xml:space="preserve">States are obligated under the federal CWA to adopt water quality standards to restore and maintain the chemical, physical and biological integrity of the Nation’s waters.  </w:t>
      </w:r>
      <w:r w:rsidRPr="007D5ECA">
        <w:rPr>
          <w:rFonts w:ascii="Book Antiqua" w:hAnsi="Book Antiqua"/>
        </w:rPr>
        <w:t xml:space="preserve">The Division is using science to establish more accurate water quality criteria and a more functional standards system so that all agency actions have environmental value and do not impose unnecessary costs.  </w:t>
      </w:r>
      <w:r w:rsidRPr="007D5ECA">
        <w:rPr>
          <w:rFonts w:ascii="Book Antiqua" w:hAnsi="Book Antiqua" w:cs="Calibri"/>
        </w:rPr>
        <w:t xml:space="preserve">  </w:t>
      </w:r>
    </w:p>
    <w:p w:rsidR="00B71D80" w:rsidRPr="007D5ECA" w:rsidRDefault="00B71D80" w:rsidP="007A56D3">
      <w:pPr>
        <w:ind w:right="720"/>
        <w:rPr>
          <w:rFonts w:ascii="Book Antiqua" w:hAnsi="Book Antiqua"/>
        </w:rPr>
      </w:pPr>
    </w:p>
    <w:p w:rsidR="00B71D80" w:rsidRPr="007D5ECA" w:rsidRDefault="00B71D80" w:rsidP="007A56D3">
      <w:pPr>
        <w:ind w:right="720"/>
        <w:rPr>
          <w:rFonts w:ascii="Book Antiqua" w:hAnsi="Book Antiqua"/>
        </w:rPr>
      </w:pPr>
      <w:r w:rsidRPr="007D5ECA">
        <w:rPr>
          <w:rFonts w:ascii="Book Antiqua" w:hAnsi="Book Antiqua"/>
        </w:rPr>
        <w:t xml:space="preserve">As part of this effort, the Division is revising criteria </w:t>
      </w:r>
      <w:r>
        <w:rPr>
          <w:rFonts w:ascii="Book Antiqua" w:hAnsi="Book Antiqua"/>
        </w:rPr>
        <w:t>to more accurately reflect the conditions of Florida’s waters needed to protect aquatic life and human health</w:t>
      </w:r>
      <w:r w:rsidRPr="007D5ECA">
        <w:rPr>
          <w:rFonts w:ascii="Book Antiqua" w:hAnsi="Book Antiqua"/>
        </w:rPr>
        <w:t xml:space="preserve">, which will allow the Division and local officials to focus activities on waters truly in need of restoration.  </w:t>
      </w:r>
      <w:r>
        <w:rPr>
          <w:rFonts w:ascii="Book Antiqua" w:hAnsi="Book Antiqua"/>
        </w:rPr>
        <w:t xml:space="preserve">The Division’s priorities for the next two years include the development of:  numeric nutrient criteria for western panhandle estuaries, dissolved oxygen criteria, human health criteria and triennial review revisions.  In addition, the Division will launch an effort to collect data &amp; information on the unique ecological and water quality conditions of Florida’s </w:t>
      </w:r>
      <w:r w:rsidRPr="007D5ECA">
        <w:rPr>
          <w:rFonts w:ascii="Book Antiqua" w:hAnsi="Book Antiqua"/>
        </w:rPr>
        <w:t>canals</w:t>
      </w:r>
      <w:r>
        <w:rPr>
          <w:rFonts w:ascii="Book Antiqua" w:hAnsi="Book Antiqua"/>
        </w:rPr>
        <w:t xml:space="preserve"> with the goal of determining a set of water quality standards appropriate to protect their use and function.  </w:t>
      </w:r>
    </w:p>
    <w:p w:rsidR="00B71D80" w:rsidRPr="005C4E47" w:rsidRDefault="00B71D80" w:rsidP="005C4E47">
      <w:pPr>
        <w:ind w:right="720"/>
        <w:rPr>
          <w:rFonts w:ascii="Book Antiqua" w:hAnsi="Book Antiqua" w:cs="Calibri"/>
          <w:i/>
        </w:rPr>
      </w:pPr>
    </w:p>
    <w:p w:rsidR="00B71D80" w:rsidRPr="007D5ECA" w:rsidRDefault="00B71D80" w:rsidP="007A56D3">
      <w:pPr>
        <w:ind w:right="720"/>
        <w:rPr>
          <w:rFonts w:ascii="Book Antiqua" w:hAnsi="Book Antiqua" w:cs="Calibri"/>
          <w:b/>
        </w:rPr>
      </w:pPr>
      <w:r w:rsidRPr="007D5ECA">
        <w:rPr>
          <w:rFonts w:ascii="Book Antiqua" w:hAnsi="Book Antiqua" w:cs="Calibri"/>
          <w:b/>
        </w:rPr>
        <w:t>Monitoring and Assessing Water Quality</w:t>
      </w:r>
    </w:p>
    <w:p w:rsidR="00B71D80" w:rsidRPr="007D5ECA" w:rsidRDefault="00B71D80" w:rsidP="007A56D3">
      <w:pPr>
        <w:ind w:right="720"/>
        <w:rPr>
          <w:rFonts w:ascii="Book Antiqua" w:hAnsi="Book Antiqua" w:cs="Calibri"/>
        </w:rPr>
      </w:pPr>
      <w:r w:rsidRPr="007D5ECA">
        <w:rPr>
          <w:rFonts w:ascii="Book Antiqua" w:hAnsi="Book Antiqua" w:cs="Calibri"/>
        </w:rPr>
        <w:t xml:space="preserve">Each year, the Division assesses a group of watershed basins and develops a list (“verified impaired list”) of those not meeting water quality standards and for which TMDLs must be developed.  In addition, the Division develops a study list for waters that require further assessment and data collection.  </w:t>
      </w:r>
    </w:p>
    <w:p w:rsidR="00B71D80" w:rsidRPr="007D5ECA" w:rsidRDefault="00B71D80" w:rsidP="007A56D3">
      <w:pPr>
        <w:ind w:right="720"/>
        <w:rPr>
          <w:rFonts w:ascii="Book Antiqua" w:hAnsi="Book Antiqua" w:cs="Calibri"/>
        </w:rPr>
      </w:pPr>
    </w:p>
    <w:p w:rsidR="00B71D80" w:rsidRDefault="00B71D80" w:rsidP="007A56D3">
      <w:pPr>
        <w:ind w:right="720"/>
        <w:rPr>
          <w:rFonts w:ascii="Book Antiqua" w:hAnsi="Book Antiqua" w:cs="Calibri"/>
        </w:rPr>
      </w:pPr>
      <w:r w:rsidRPr="007D5ECA">
        <w:rPr>
          <w:rFonts w:ascii="Book Antiqua" w:hAnsi="Book Antiqua" w:cs="Calibri"/>
        </w:rPr>
        <w:t>The Division is actively identifying and reducing redundancies in water quality monitoring in the Department and among other state, federal and local agencies as well as stakeholders.  As improvements are implemented, resources can be shifted into restoration, which i</w:t>
      </w:r>
      <w:r>
        <w:rPr>
          <w:rFonts w:ascii="Book Antiqua" w:hAnsi="Book Antiqua" w:cs="Calibri"/>
        </w:rPr>
        <w:t>s currently under-resourced.  The Division’s priorities for the next two years are:  complete assessment and verified list/delist development, create tools and coordinate efforts to track and ensure efficient use of monitoring resources; implement required changes in models and disseminate guidance to implement numeric nutrient criteria; collect, present, report and ensure quality data.</w:t>
      </w:r>
    </w:p>
    <w:p w:rsidR="00B71D80" w:rsidRPr="007D5ECA" w:rsidRDefault="00B71D80" w:rsidP="00E96C83">
      <w:pPr>
        <w:autoSpaceDE w:val="0"/>
        <w:autoSpaceDN w:val="0"/>
        <w:adjustRightInd w:val="0"/>
        <w:ind w:right="720"/>
        <w:rPr>
          <w:rFonts w:ascii="Book Antiqua" w:hAnsi="Book Antiqua" w:cs="Calibri"/>
          <w:b/>
        </w:rPr>
      </w:pPr>
    </w:p>
    <w:p w:rsidR="00B71D80" w:rsidRPr="007D5ECA" w:rsidRDefault="00B71D80" w:rsidP="007A56D3">
      <w:pPr>
        <w:ind w:right="720"/>
        <w:rPr>
          <w:rFonts w:ascii="Book Antiqua" w:hAnsi="Book Antiqua" w:cs="Calibri"/>
          <w:b/>
        </w:rPr>
      </w:pPr>
      <w:r w:rsidRPr="007D5ECA">
        <w:rPr>
          <w:rFonts w:ascii="Book Antiqua" w:hAnsi="Book Antiqua" w:cs="Calibri"/>
          <w:b/>
        </w:rPr>
        <w:t xml:space="preserve">Initiate Restoration of Impaired Waters through TMDL Development </w:t>
      </w:r>
    </w:p>
    <w:p w:rsidR="00B71D80" w:rsidRPr="0018250F" w:rsidRDefault="00B71D80" w:rsidP="0018250F">
      <w:pPr>
        <w:autoSpaceDE w:val="0"/>
        <w:autoSpaceDN w:val="0"/>
        <w:adjustRightInd w:val="0"/>
        <w:ind w:right="720"/>
        <w:rPr>
          <w:rFonts w:ascii="Book Antiqua" w:hAnsi="Book Antiqua"/>
        </w:rPr>
      </w:pPr>
      <w:r w:rsidRPr="007D5ECA">
        <w:rPr>
          <w:rFonts w:ascii="Book Antiqua" w:hAnsi="Book Antiqua" w:cs="Calibri"/>
        </w:rPr>
        <w:t>The Division is required to prioritize TMDL development for those waters on the verified impaired list developed each year.   In addition to TMDL development associated with ongoing assessment and listing efforts, the Division is also satisfying TMDL development mandated by a 1998 EPA settlement agreement.  Currently, there are 2,478 verified impairments in Florida and the Division has completed 324 TMDLs of which 266 are adopted as rules.  The Division is evaluating cost-effective streamlining options for TMDL development, such as allowing local governments to develop restoration goals and plans and allowing adoption of TMDLs by Secretarial Order rather than more time-consuming rulemaking.  In addition, the Division is discussing possible means of streamlining the statement of estimated regulatory costs (SERC) with the Office of General Counsel.  Statutory changes may be necessary to accomplish some of these objectives.</w:t>
      </w:r>
      <w:r>
        <w:rPr>
          <w:rFonts w:ascii="Book Antiqua" w:hAnsi="Book Antiqua" w:cs="Calibri"/>
        </w:rPr>
        <w:t xml:space="preserve">  The Division’s priorities for the next two years are:  development of a mercury TMDL, complete consent decree TMDLs, complete other high-profile TMDLs, develop tools to prioritize fecal TMDL development.  </w:t>
      </w:r>
    </w:p>
    <w:p w:rsidR="00B71D80" w:rsidRPr="007D5ECA" w:rsidRDefault="00B71D80" w:rsidP="007A56D3">
      <w:pPr>
        <w:ind w:left="720" w:right="720"/>
        <w:rPr>
          <w:rFonts w:ascii="Book Antiqua" w:hAnsi="Book Antiqua"/>
          <w:highlight w:val="yellow"/>
        </w:rPr>
      </w:pPr>
    </w:p>
    <w:p w:rsidR="00B71D80" w:rsidRPr="007D5ECA" w:rsidRDefault="00B71D80" w:rsidP="007A56D3">
      <w:pPr>
        <w:ind w:right="720"/>
        <w:rPr>
          <w:rFonts w:ascii="Book Antiqua" w:hAnsi="Book Antiqua" w:cs="Calibri"/>
          <w:b/>
        </w:rPr>
      </w:pPr>
      <w:r w:rsidRPr="007D5ECA">
        <w:rPr>
          <w:rFonts w:ascii="Book Antiqua" w:hAnsi="Book Antiqua" w:cs="Calibri"/>
          <w:b/>
        </w:rPr>
        <w:t xml:space="preserve">Implement Restoration of Florida’s Waters through BMAP Development </w:t>
      </w:r>
      <w:r>
        <w:rPr>
          <w:rFonts w:ascii="Book Antiqua" w:hAnsi="Book Antiqua" w:cs="Calibri"/>
          <w:b/>
        </w:rPr>
        <w:t>and Restoration Grants</w:t>
      </w:r>
    </w:p>
    <w:p w:rsidR="00B71D80" w:rsidRDefault="00B71D80" w:rsidP="007A56D3">
      <w:pPr>
        <w:ind w:right="720"/>
        <w:rPr>
          <w:rFonts w:ascii="Book Antiqua" w:hAnsi="Book Antiqua" w:cs="Calibri"/>
        </w:rPr>
      </w:pPr>
      <w:r w:rsidRPr="007D5ECA">
        <w:rPr>
          <w:rFonts w:ascii="Book Antiqua" w:hAnsi="Book Antiqua" w:cs="Calibri"/>
        </w:rPr>
        <w:t xml:space="preserve">The BMAP program leverages the partnerships of stakeholders in developing water quality restoration plans.  This process is consensus-driven and often times and resource intensive.    To date, nine BMAPs have been adopted covering 75 waterbodies, with 11 more BMAPs covering 68 waterbodies currently in development (see map, below).  </w:t>
      </w:r>
    </w:p>
    <w:p w:rsidR="00B71D80" w:rsidRDefault="00B71D80" w:rsidP="007A56D3">
      <w:pPr>
        <w:ind w:right="720"/>
        <w:rPr>
          <w:rFonts w:ascii="Book Antiqua" w:hAnsi="Book Antiqua" w:cs="Calibri"/>
        </w:rPr>
      </w:pPr>
    </w:p>
    <w:p w:rsidR="00B71D80" w:rsidRPr="007D5ECA" w:rsidRDefault="00B71D80" w:rsidP="007A56D3">
      <w:pPr>
        <w:ind w:right="720"/>
        <w:rPr>
          <w:rFonts w:ascii="Book Antiqua" w:hAnsi="Book Antiqua" w:cs="Calibri"/>
        </w:rPr>
      </w:pPr>
    </w:p>
    <w:p w:rsidR="00B71D80" w:rsidRPr="007D5ECA" w:rsidRDefault="00B71D80" w:rsidP="007A56D3">
      <w:pPr>
        <w:ind w:right="720"/>
        <w:rPr>
          <w:rFonts w:ascii="Book Antiqua" w:hAnsi="Book Antiqua" w:cs="Calibri"/>
        </w:rPr>
      </w:pPr>
      <w:r>
        <w:rPr>
          <w:noProof/>
        </w:rPr>
        <w:pict>
          <v:shape id="_x0000_s1031" type="#_x0000_t75" style="position:absolute;margin-left:99.85pt;margin-top:8pt;width:244.45pt;height:316.1pt;z-index:251659264">
            <v:imagedata r:id="rId13" o:title=""/>
          </v:shape>
        </w:pict>
      </w:r>
    </w:p>
    <w:p w:rsidR="00B71D80" w:rsidRPr="007D5ECA" w:rsidRDefault="00B71D80" w:rsidP="007A56D3">
      <w:pPr>
        <w:ind w:right="720"/>
        <w:rPr>
          <w:rFonts w:ascii="Book Antiqua" w:hAnsi="Book Antiqua" w:cs="Calibri"/>
        </w:rPr>
      </w:pPr>
    </w:p>
    <w:p w:rsidR="00B71D80" w:rsidRPr="007D5ECA" w:rsidRDefault="00B71D80" w:rsidP="007A56D3">
      <w:pPr>
        <w:ind w:right="720"/>
        <w:rPr>
          <w:rFonts w:ascii="Book Antiqua" w:hAnsi="Book Antiqua" w:cs="Calibri"/>
        </w:rPr>
      </w:pPr>
    </w:p>
    <w:p w:rsidR="00B71D80" w:rsidRPr="007D5ECA" w:rsidRDefault="00B71D80" w:rsidP="007A56D3">
      <w:pPr>
        <w:ind w:right="720"/>
        <w:rPr>
          <w:rFonts w:ascii="Book Antiqua" w:hAnsi="Book Antiqua" w:cs="Calibri"/>
          <w:i/>
        </w:rPr>
      </w:pPr>
    </w:p>
    <w:p w:rsidR="00B71D80" w:rsidRPr="007D5ECA" w:rsidRDefault="00B71D80" w:rsidP="007A56D3">
      <w:pPr>
        <w:ind w:right="720"/>
        <w:rPr>
          <w:rFonts w:ascii="Book Antiqua" w:hAnsi="Book Antiqua" w:cs="Calibri"/>
          <w:i/>
        </w:rPr>
      </w:pPr>
    </w:p>
    <w:p w:rsidR="00B71D80" w:rsidRPr="007D5ECA" w:rsidRDefault="00B71D80" w:rsidP="007A56D3">
      <w:pPr>
        <w:ind w:right="720"/>
        <w:rPr>
          <w:rFonts w:ascii="Book Antiqua" w:hAnsi="Book Antiqua" w:cs="Calibri"/>
          <w:i/>
        </w:rPr>
      </w:pPr>
    </w:p>
    <w:p w:rsidR="00B71D80" w:rsidRPr="007D5ECA" w:rsidRDefault="00B71D80" w:rsidP="007A56D3">
      <w:pPr>
        <w:ind w:right="720"/>
        <w:rPr>
          <w:rFonts w:ascii="Book Antiqua" w:hAnsi="Book Antiqua" w:cs="Calibri"/>
          <w:i/>
        </w:rPr>
      </w:pPr>
    </w:p>
    <w:p w:rsidR="00B71D80" w:rsidRPr="007D5ECA" w:rsidRDefault="00B71D80" w:rsidP="007A56D3">
      <w:pPr>
        <w:ind w:right="720"/>
        <w:rPr>
          <w:rFonts w:ascii="Book Antiqua" w:hAnsi="Book Antiqua" w:cs="Calibri"/>
          <w:i/>
        </w:rPr>
      </w:pPr>
    </w:p>
    <w:p w:rsidR="00B71D80" w:rsidRPr="007D5ECA" w:rsidRDefault="00B71D80" w:rsidP="007A56D3">
      <w:pPr>
        <w:ind w:right="720"/>
        <w:rPr>
          <w:rFonts w:ascii="Book Antiqua" w:hAnsi="Book Antiqua" w:cs="Calibri"/>
          <w:i/>
        </w:rPr>
      </w:pPr>
    </w:p>
    <w:p w:rsidR="00B71D80" w:rsidRPr="007D5ECA" w:rsidRDefault="00B71D80" w:rsidP="007A56D3">
      <w:pPr>
        <w:ind w:right="720"/>
        <w:rPr>
          <w:rFonts w:ascii="Book Antiqua" w:hAnsi="Book Antiqua" w:cs="Calibri"/>
          <w:i/>
        </w:rPr>
      </w:pPr>
    </w:p>
    <w:p w:rsidR="00B71D80" w:rsidRPr="007D5ECA" w:rsidRDefault="00B71D80" w:rsidP="007A56D3">
      <w:pPr>
        <w:ind w:right="720"/>
        <w:rPr>
          <w:rFonts w:ascii="Book Antiqua" w:hAnsi="Book Antiqua" w:cs="Calibri"/>
          <w:i/>
        </w:rPr>
      </w:pPr>
    </w:p>
    <w:p w:rsidR="00B71D80" w:rsidRPr="007D5ECA" w:rsidRDefault="00B71D80" w:rsidP="007A56D3">
      <w:pPr>
        <w:ind w:right="720"/>
        <w:rPr>
          <w:rFonts w:ascii="Book Antiqua" w:hAnsi="Book Antiqua" w:cs="Calibri"/>
          <w:i/>
        </w:rPr>
      </w:pPr>
    </w:p>
    <w:p w:rsidR="00B71D80" w:rsidRPr="007D5ECA" w:rsidRDefault="00B71D80" w:rsidP="007A56D3">
      <w:pPr>
        <w:ind w:right="720"/>
        <w:rPr>
          <w:rFonts w:ascii="Book Antiqua" w:hAnsi="Book Antiqua" w:cs="Calibri"/>
          <w:i/>
        </w:rPr>
      </w:pPr>
    </w:p>
    <w:p w:rsidR="00B71D80" w:rsidRPr="007D5ECA" w:rsidRDefault="00B71D80" w:rsidP="007A56D3">
      <w:pPr>
        <w:ind w:right="720"/>
        <w:rPr>
          <w:rFonts w:ascii="Book Antiqua" w:hAnsi="Book Antiqua" w:cs="Calibri"/>
          <w:i/>
        </w:rPr>
      </w:pPr>
    </w:p>
    <w:p w:rsidR="00B71D80" w:rsidRPr="007D5ECA" w:rsidRDefault="00B71D80" w:rsidP="007A56D3">
      <w:pPr>
        <w:ind w:right="720"/>
        <w:rPr>
          <w:rFonts w:ascii="Book Antiqua" w:hAnsi="Book Antiqua" w:cs="Calibri"/>
          <w:i/>
        </w:rPr>
      </w:pPr>
    </w:p>
    <w:p w:rsidR="00B71D80" w:rsidRPr="007D5ECA" w:rsidRDefault="00B71D80" w:rsidP="007A56D3">
      <w:pPr>
        <w:ind w:right="720"/>
        <w:rPr>
          <w:rFonts w:ascii="Book Antiqua" w:hAnsi="Book Antiqua" w:cs="Calibri"/>
          <w:i/>
        </w:rPr>
      </w:pPr>
    </w:p>
    <w:p w:rsidR="00B71D80" w:rsidRPr="007D5ECA" w:rsidRDefault="00B71D80" w:rsidP="007A56D3">
      <w:pPr>
        <w:ind w:right="720"/>
        <w:rPr>
          <w:rFonts w:ascii="Book Antiqua" w:hAnsi="Book Antiqua" w:cs="Calibri"/>
          <w:i/>
        </w:rPr>
      </w:pPr>
    </w:p>
    <w:p w:rsidR="00B71D80" w:rsidRPr="007D5ECA" w:rsidRDefault="00B71D80" w:rsidP="007A56D3">
      <w:pPr>
        <w:ind w:right="720"/>
        <w:rPr>
          <w:rFonts w:ascii="Book Antiqua" w:hAnsi="Book Antiqua" w:cs="Calibri"/>
          <w:i/>
        </w:rPr>
      </w:pPr>
    </w:p>
    <w:p w:rsidR="00B71D80" w:rsidRDefault="00B71D80" w:rsidP="007A56D3">
      <w:pPr>
        <w:ind w:right="720"/>
        <w:rPr>
          <w:rFonts w:ascii="Book Antiqua" w:hAnsi="Book Antiqua" w:cs="Calibri"/>
          <w:i/>
        </w:rPr>
      </w:pPr>
    </w:p>
    <w:p w:rsidR="00B71D80" w:rsidRDefault="00B71D80" w:rsidP="007A56D3">
      <w:pPr>
        <w:ind w:right="720"/>
        <w:rPr>
          <w:rFonts w:ascii="Book Antiqua" w:hAnsi="Book Antiqua" w:cs="Calibri"/>
          <w:i/>
        </w:rPr>
      </w:pPr>
    </w:p>
    <w:p w:rsidR="00B71D80" w:rsidRDefault="00B71D80" w:rsidP="007A56D3">
      <w:pPr>
        <w:ind w:right="720"/>
        <w:rPr>
          <w:rFonts w:ascii="Book Antiqua" w:hAnsi="Book Antiqua" w:cs="Calibri"/>
          <w:i/>
        </w:rPr>
      </w:pPr>
    </w:p>
    <w:p w:rsidR="00B71D80" w:rsidRDefault="00B71D80" w:rsidP="007A56D3">
      <w:pPr>
        <w:ind w:right="720"/>
        <w:rPr>
          <w:rFonts w:ascii="Book Antiqua" w:hAnsi="Book Antiqua" w:cs="Calibri"/>
          <w:i/>
        </w:rPr>
      </w:pPr>
    </w:p>
    <w:p w:rsidR="00B71D80" w:rsidRDefault="00B71D80" w:rsidP="007A56D3">
      <w:pPr>
        <w:ind w:right="720"/>
        <w:rPr>
          <w:rFonts w:ascii="Book Antiqua" w:hAnsi="Book Antiqua" w:cs="Calibri"/>
          <w:i/>
        </w:rPr>
      </w:pPr>
    </w:p>
    <w:p w:rsidR="00B71D80" w:rsidRDefault="00B71D80" w:rsidP="007A56D3">
      <w:pPr>
        <w:ind w:right="720"/>
        <w:rPr>
          <w:rFonts w:ascii="Book Antiqua" w:hAnsi="Book Antiqua" w:cs="Calibri"/>
          <w:i/>
        </w:rPr>
      </w:pPr>
    </w:p>
    <w:p w:rsidR="00B71D80" w:rsidRDefault="00B71D80" w:rsidP="007A56D3">
      <w:pPr>
        <w:ind w:right="720"/>
        <w:rPr>
          <w:rFonts w:ascii="Book Antiqua" w:hAnsi="Book Antiqua" w:cs="Calibri"/>
          <w:i/>
        </w:rPr>
      </w:pPr>
    </w:p>
    <w:p w:rsidR="00B71D80" w:rsidRPr="007D5ECA" w:rsidRDefault="00B71D80" w:rsidP="007A56D3">
      <w:pPr>
        <w:ind w:right="720"/>
        <w:rPr>
          <w:rFonts w:ascii="Book Antiqua" w:hAnsi="Book Antiqua" w:cs="Calibri"/>
        </w:rPr>
      </w:pPr>
      <w:r w:rsidRPr="007D5ECA">
        <w:rPr>
          <w:rFonts w:ascii="Book Antiqua" w:hAnsi="Book Antiqua" w:cs="Calibri"/>
        </w:rPr>
        <w:t>The following BMAPs are currently under development and are in the areas identified on the above map:</w:t>
      </w:r>
    </w:p>
    <w:p w:rsidR="00B71D80" w:rsidRPr="007D5ECA" w:rsidRDefault="00B71D80" w:rsidP="007A56D3">
      <w:pPr>
        <w:pStyle w:val="ListParagraph"/>
        <w:numPr>
          <w:ilvl w:val="1"/>
          <w:numId w:val="13"/>
        </w:numPr>
        <w:ind w:right="720"/>
        <w:rPr>
          <w:rFonts w:ascii="Book Antiqua" w:hAnsi="Book Antiqua" w:cs="Calibri"/>
        </w:rPr>
      </w:pPr>
      <w:r w:rsidRPr="007D5ECA">
        <w:rPr>
          <w:rFonts w:ascii="Book Antiqua" w:hAnsi="Book Antiqua" w:cs="Calibri"/>
        </w:rPr>
        <w:t>Suwannee-Santa Fe (6 WBIDs; nutrients &amp; dissolved oxygen)</w:t>
      </w:r>
    </w:p>
    <w:p w:rsidR="00B71D80" w:rsidRPr="007D5ECA" w:rsidRDefault="00B71D80" w:rsidP="007A56D3">
      <w:pPr>
        <w:pStyle w:val="ListParagraph"/>
        <w:numPr>
          <w:ilvl w:val="1"/>
          <w:numId w:val="13"/>
        </w:numPr>
        <w:ind w:right="720"/>
        <w:rPr>
          <w:rFonts w:ascii="Book Antiqua" w:hAnsi="Book Antiqua" w:cs="Calibri"/>
        </w:rPr>
      </w:pPr>
      <w:r>
        <w:rPr>
          <w:rFonts w:ascii="Book Antiqua" w:hAnsi="Book Antiqua" w:cs="Calibri"/>
        </w:rPr>
        <w:t>Wekiva (5 WBIDs; nutrient</w:t>
      </w:r>
      <w:r w:rsidRPr="007D5ECA">
        <w:rPr>
          <w:rFonts w:ascii="Book Antiqua" w:hAnsi="Book Antiqua" w:cs="Calibri"/>
        </w:rPr>
        <w:t>s &amp; dissolved oxygen)</w:t>
      </w:r>
    </w:p>
    <w:p w:rsidR="00B71D80" w:rsidRPr="007D5ECA" w:rsidRDefault="00B71D80" w:rsidP="007A56D3">
      <w:pPr>
        <w:pStyle w:val="ListParagraph"/>
        <w:numPr>
          <w:ilvl w:val="1"/>
          <w:numId w:val="13"/>
        </w:numPr>
        <w:ind w:right="720"/>
        <w:rPr>
          <w:rFonts w:ascii="Book Antiqua" w:hAnsi="Book Antiqua" w:cs="Calibri"/>
        </w:rPr>
      </w:pPr>
      <w:r w:rsidRPr="007D5ECA">
        <w:rPr>
          <w:rFonts w:ascii="Book Antiqua" w:hAnsi="Book Antiqua" w:cs="Calibri"/>
        </w:rPr>
        <w:t>Upper Peace (11 WBIDs; nutrients &amp; fecal coliform)</w:t>
      </w:r>
    </w:p>
    <w:p w:rsidR="00B71D80" w:rsidRPr="007D5ECA" w:rsidRDefault="00B71D80" w:rsidP="007A56D3">
      <w:pPr>
        <w:pStyle w:val="ListParagraph"/>
        <w:numPr>
          <w:ilvl w:val="1"/>
          <w:numId w:val="13"/>
        </w:numPr>
        <w:ind w:right="720"/>
        <w:rPr>
          <w:rFonts w:ascii="Book Antiqua" w:hAnsi="Book Antiqua" w:cs="Calibri"/>
        </w:rPr>
      </w:pPr>
      <w:r w:rsidRPr="007D5ECA">
        <w:rPr>
          <w:rFonts w:ascii="Book Antiqua" w:hAnsi="Book Antiqua" w:cs="Calibri"/>
        </w:rPr>
        <w:t>Indian River Lagoon (13 WBIDs; nutrients &amp; biological oxygen demand)</w:t>
      </w:r>
    </w:p>
    <w:p w:rsidR="00B71D80" w:rsidRPr="007D5ECA" w:rsidRDefault="00B71D80" w:rsidP="007A56D3">
      <w:pPr>
        <w:pStyle w:val="ListParagraph"/>
        <w:numPr>
          <w:ilvl w:val="1"/>
          <w:numId w:val="13"/>
        </w:numPr>
        <w:ind w:right="720"/>
        <w:rPr>
          <w:rFonts w:ascii="Book Antiqua" w:hAnsi="Book Antiqua" w:cs="Calibri"/>
        </w:rPr>
      </w:pPr>
      <w:r w:rsidRPr="007D5ECA">
        <w:rPr>
          <w:rFonts w:ascii="Book Antiqua" w:hAnsi="Book Antiqua" w:cs="Calibri"/>
        </w:rPr>
        <w:t>St. Lucie (9 WBIDs; nutrients &amp; biological oxygen demand)</w:t>
      </w:r>
    </w:p>
    <w:p w:rsidR="00B71D80" w:rsidRPr="007D5ECA" w:rsidRDefault="00B71D80" w:rsidP="007A56D3">
      <w:pPr>
        <w:pStyle w:val="ListParagraph"/>
        <w:numPr>
          <w:ilvl w:val="1"/>
          <w:numId w:val="13"/>
        </w:numPr>
        <w:ind w:right="720"/>
        <w:rPr>
          <w:rFonts w:ascii="Book Antiqua" w:hAnsi="Book Antiqua" w:cs="Calibri"/>
        </w:rPr>
      </w:pPr>
      <w:r w:rsidRPr="007D5ECA">
        <w:rPr>
          <w:rFonts w:ascii="Book Antiqua" w:hAnsi="Book Antiqua" w:cs="Calibri"/>
        </w:rPr>
        <w:t>Lake Munson (4 WBIDs; nutrients, fecal coliform &amp; biological oxygen demand)</w:t>
      </w:r>
    </w:p>
    <w:p w:rsidR="00B71D80" w:rsidRPr="007D5ECA" w:rsidRDefault="00B71D80" w:rsidP="007A56D3">
      <w:pPr>
        <w:pStyle w:val="ListParagraph"/>
        <w:numPr>
          <w:ilvl w:val="1"/>
          <w:numId w:val="13"/>
        </w:numPr>
        <w:ind w:right="720"/>
        <w:rPr>
          <w:rFonts w:ascii="Book Antiqua" w:hAnsi="Book Antiqua" w:cs="Calibri"/>
        </w:rPr>
      </w:pPr>
      <w:r w:rsidRPr="007D5ECA">
        <w:rPr>
          <w:rFonts w:ascii="Book Antiqua" w:hAnsi="Book Antiqua" w:cs="Calibri"/>
        </w:rPr>
        <w:t>Everglades West Coast (3 WBIDs; nutrients &amp; fecal coliform)</w:t>
      </w:r>
    </w:p>
    <w:p w:rsidR="00B71D80" w:rsidRPr="007D5ECA" w:rsidRDefault="00B71D80" w:rsidP="007A56D3">
      <w:pPr>
        <w:pStyle w:val="ListParagraph"/>
        <w:numPr>
          <w:ilvl w:val="1"/>
          <w:numId w:val="13"/>
        </w:numPr>
        <w:ind w:right="720"/>
        <w:rPr>
          <w:rFonts w:ascii="Book Antiqua" w:hAnsi="Book Antiqua" w:cs="Calibri"/>
        </w:rPr>
      </w:pPr>
      <w:r w:rsidRPr="007D5ECA">
        <w:rPr>
          <w:rFonts w:ascii="Book Antiqua" w:hAnsi="Book Antiqua" w:cs="Calibri"/>
        </w:rPr>
        <w:t>Caloosahatchee (3 WBIDs; nutrients)</w:t>
      </w:r>
    </w:p>
    <w:p w:rsidR="00B71D80" w:rsidRPr="007D5ECA" w:rsidRDefault="00B71D80" w:rsidP="007A56D3">
      <w:pPr>
        <w:pStyle w:val="ListParagraph"/>
        <w:numPr>
          <w:ilvl w:val="1"/>
          <w:numId w:val="13"/>
        </w:numPr>
        <w:ind w:right="720"/>
        <w:rPr>
          <w:rFonts w:ascii="Book Antiqua" w:hAnsi="Book Antiqua" w:cs="Calibri"/>
        </w:rPr>
      </w:pPr>
      <w:r w:rsidRPr="007D5ECA">
        <w:rPr>
          <w:rFonts w:ascii="Book Antiqua" w:hAnsi="Book Antiqua" w:cs="Calibri"/>
        </w:rPr>
        <w:t>Trout River (1 WBID; nutrients)</w:t>
      </w:r>
    </w:p>
    <w:p w:rsidR="00B71D80" w:rsidRPr="007D5ECA" w:rsidRDefault="00B71D80" w:rsidP="007A56D3">
      <w:pPr>
        <w:pStyle w:val="ListParagraph"/>
        <w:numPr>
          <w:ilvl w:val="1"/>
          <w:numId w:val="13"/>
        </w:numPr>
        <w:ind w:right="720"/>
        <w:rPr>
          <w:rFonts w:ascii="Book Antiqua" w:hAnsi="Book Antiqua" w:cs="Calibri"/>
        </w:rPr>
      </w:pPr>
      <w:r w:rsidRPr="007D5ECA">
        <w:rPr>
          <w:rFonts w:ascii="Book Antiqua" w:hAnsi="Book Antiqua" w:cs="Calibri"/>
        </w:rPr>
        <w:t>Lakes Harney &amp; Monroe (6 WBIDs; nutrients &amp; dissolved oxygen)</w:t>
      </w:r>
    </w:p>
    <w:p w:rsidR="00B71D80" w:rsidRDefault="00B71D80" w:rsidP="007A56D3">
      <w:pPr>
        <w:pStyle w:val="ListParagraph"/>
        <w:numPr>
          <w:ilvl w:val="1"/>
          <w:numId w:val="13"/>
        </w:numPr>
        <w:ind w:right="720"/>
        <w:rPr>
          <w:rFonts w:ascii="Book Antiqua" w:hAnsi="Book Antiqua" w:cs="Calibri"/>
        </w:rPr>
      </w:pPr>
      <w:r w:rsidRPr="007D5ECA">
        <w:rPr>
          <w:rFonts w:ascii="Book Antiqua" w:hAnsi="Book Antiqua" w:cs="Calibri"/>
        </w:rPr>
        <w:t>Tampa Bay Tributaries (10 WBIDs; nutrients, fecal coliform &amp; biological oxygen demand)</w:t>
      </w:r>
    </w:p>
    <w:p w:rsidR="00B71D80" w:rsidRDefault="00B71D80" w:rsidP="001D5A6C">
      <w:pPr>
        <w:ind w:right="720"/>
        <w:rPr>
          <w:rFonts w:ascii="Book Antiqua" w:hAnsi="Book Antiqua" w:cs="Calibri"/>
        </w:rPr>
      </w:pPr>
    </w:p>
    <w:p w:rsidR="00B71D80" w:rsidRDefault="00B71D80" w:rsidP="001D5A6C">
      <w:pPr>
        <w:ind w:right="720"/>
        <w:rPr>
          <w:rFonts w:ascii="Book Antiqua" w:hAnsi="Book Antiqua" w:cs="Calibri"/>
        </w:rPr>
      </w:pPr>
      <w:r>
        <w:rPr>
          <w:rFonts w:ascii="Book Antiqua" w:hAnsi="Book Antiqua" w:cs="Calibri"/>
        </w:rPr>
        <w:t xml:space="preserve">In addition, the </w:t>
      </w:r>
      <w:r w:rsidRPr="007D5ECA">
        <w:rPr>
          <w:rFonts w:ascii="Book Antiqua" w:hAnsi="Book Antiqua" w:cs="Calibri"/>
        </w:rPr>
        <w:t xml:space="preserve">Funding for restoration projects is critical to water quality restoration.  Each year, the Division receives approximately $11 million in federal grants to fund projects to control nonpoint sources of pollution, typically related to stormwater runoff.  In addition, the Division receives state funding, although in decreasing amounts over the last several years, for similar projects along with other activities in the TMDL program.  </w:t>
      </w:r>
    </w:p>
    <w:p w:rsidR="00B71D80" w:rsidRDefault="00B71D80" w:rsidP="001D5A6C">
      <w:pPr>
        <w:ind w:right="720"/>
        <w:rPr>
          <w:rFonts w:ascii="Book Antiqua" w:hAnsi="Book Antiqua" w:cs="Calibri"/>
        </w:rPr>
      </w:pPr>
    </w:p>
    <w:p w:rsidR="00B71D80" w:rsidRDefault="00B71D80" w:rsidP="001D5A6C">
      <w:pPr>
        <w:ind w:right="720"/>
        <w:rPr>
          <w:rFonts w:ascii="Book Antiqua" w:hAnsi="Book Antiqua" w:cs="Calibri"/>
        </w:rPr>
      </w:pPr>
      <w:r w:rsidRPr="007D5ECA">
        <w:rPr>
          <w:rFonts w:ascii="Book Antiqua" w:hAnsi="Book Antiqua" w:cs="Calibri"/>
        </w:rPr>
        <w:t xml:space="preserve">The Division is evaluating cost-effective options for BMAP development such as encouraging third parties, like counties and cities, to develop TMDLs and BMAPs simultaneously.  </w:t>
      </w:r>
      <w:r>
        <w:rPr>
          <w:rFonts w:ascii="Book Antiqua" w:hAnsi="Book Antiqua" w:cs="Calibri"/>
        </w:rPr>
        <w:t>The Division’s priorities for the next two years are completing at least 3 high-priority BMAPs and identifying allocations or lists of projects for at least 2 others, implementing regional focus area approaches in BMAPs, and educate and empower local stakeholders to implement restoration plans, and timely award grants to fund restoration projects in priority areas.</w:t>
      </w:r>
    </w:p>
    <w:p w:rsidR="00B71D80" w:rsidRPr="004D7F09" w:rsidRDefault="00B71D80" w:rsidP="004D7F09">
      <w:pPr>
        <w:spacing w:after="200" w:line="276" w:lineRule="auto"/>
        <w:contextualSpacing/>
        <w:rPr>
          <w:rFonts w:ascii="Book Antiqua" w:hAnsi="Book Antiqua"/>
          <w:i/>
          <w:highlight w:val="yellow"/>
        </w:rPr>
      </w:pPr>
    </w:p>
    <w:p w:rsidR="00B71D80" w:rsidRPr="007D5ECA" w:rsidRDefault="00B71D80" w:rsidP="007723BF">
      <w:pPr>
        <w:ind w:right="720"/>
        <w:rPr>
          <w:rFonts w:ascii="Book Antiqua" w:hAnsi="Book Antiqua" w:cs="Calibri"/>
          <w:b/>
        </w:rPr>
      </w:pPr>
      <w:r w:rsidRPr="007D5ECA">
        <w:rPr>
          <w:rFonts w:ascii="Book Antiqua" w:hAnsi="Book Antiqua" w:cs="Calibri"/>
          <w:b/>
        </w:rPr>
        <w:t>Data Management</w:t>
      </w:r>
    </w:p>
    <w:p w:rsidR="00B71D80" w:rsidRDefault="00B71D80" w:rsidP="000B3544">
      <w:pPr>
        <w:rPr>
          <w:rFonts w:ascii="Book Antiqua" w:hAnsi="Book Antiqua"/>
        </w:rPr>
      </w:pPr>
      <w:r w:rsidRPr="000B3544">
        <w:rPr>
          <w:rFonts w:ascii="Book Antiqua" w:hAnsi="Book Antiqua" w:cs="Calibri"/>
        </w:rPr>
        <w:t xml:space="preserve">In order to do high-quality and defensible assessments, TMDLs and BMAPs, the Division must have adequate data.  </w:t>
      </w:r>
      <w:r w:rsidRPr="000B3544">
        <w:rPr>
          <w:rFonts w:ascii="Book Antiqua" w:hAnsi="Book Antiqua"/>
        </w:rPr>
        <w:t xml:space="preserve">Florida accounts for 30 percent of the national water quality dataset, far surpassing any other state in the nation. </w:t>
      </w:r>
      <w:r>
        <w:rPr>
          <w:rFonts w:ascii="Book Antiqua" w:hAnsi="Book Antiqua"/>
        </w:rPr>
        <w:t xml:space="preserve"> The Division’s priorities over the next two years are to update the data management system (STORET) and ensure data that is necessary for assessment purposes is entered into STORET.  </w:t>
      </w:r>
    </w:p>
    <w:p w:rsidR="00B71D80" w:rsidRPr="007D5ECA" w:rsidRDefault="00B71D80" w:rsidP="007A56D3">
      <w:pPr>
        <w:ind w:right="720"/>
        <w:rPr>
          <w:rFonts w:ascii="Book Antiqua" w:hAnsi="Book Antiqua" w:cs="Calibri"/>
        </w:rPr>
      </w:pPr>
    </w:p>
    <w:p w:rsidR="00B71D80" w:rsidRDefault="00B71D80" w:rsidP="007A56D3">
      <w:pPr>
        <w:ind w:right="720"/>
        <w:rPr>
          <w:rFonts w:ascii="Book Antiqua" w:hAnsi="Book Antiqua" w:cs="Calibri"/>
          <w:b/>
        </w:rPr>
      </w:pPr>
      <w:r>
        <w:rPr>
          <w:rFonts w:ascii="Book Antiqua" w:hAnsi="Book Antiqua" w:cs="Calibri"/>
          <w:b/>
        </w:rPr>
        <w:t>Developing Public Messaging about the Successes in the Division</w:t>
      </w:r>
    </w:p>
    <w:p w:rsidR="00B71D80" w:rsidRDefault="00B71D80" w:rsidP="00F6632E">
      <w:pPr>
        <w:ind w:right="720"/>
        <w:rPr>
          <w:rFonts w:ascii="Book Antiqua" w:hAnsi="Book Antiqua"/>
        </w:rPr>
      </w:pPr>
      <w:r>
        <w:rPr>
          <w:rFonts w:ascii="Book Antiqua" w:hAnsi="Book Antiqua" w:cs="Calibri"/>
        </w:rPr>
        <w:t>The Division is working with the Press Office to better communicate the efforts and successes in water quality assessment and restoration to the public.  This is a Division priority over the next two years and involves:  developing a “Report Card” for Florida’s water quality, providing</w:t>
      </w:r>
      <w:r w:rsidRPr="007D5ECA">
        <w:rPr>
          <w:rFonts w:ascii="Book Antiqua" w:hAnsi="Book Antiqua"/>
        </w:rPr>
        <w:t xml:space="preserve"> EPA with no fewer than two WQ-10 “success stories” for their consideration</w:t>
      </w:r>
      <w:r>
        <w:rPr>
          <w:rFonts w:ascii="Book Antiqua" w:hAnsi="Book Antiqua"/>
        </w:rPr>
        <w:t>, recommending articles for publication on water quality and restoration, creating a public-friendly website for water quality information.</w:t>
      </w:r>
    </w:p>
    <w:p w:rsidR="00B71D80" w:rsidRPr="007D5ECA" w:rsidRDefault="00B71D80" w:rsidP="007A56D3">
      <w:pPr>
        <w:ind w:right="720"/>
        <w:rPr>
          <w:rFonts w:ascii="Book Antiqua" w:hAnsi="Book Antiqua" w:cs="Calibri"/>
          <w:b/>
        </w:rPr>
      </w:pPr>
    </w:p>
    <w:p w:rsidR="00B71D80" w:rsidRPr="007D5ECA" w:rsidRDefault="00B71D80" w:rsidP="007A56D3">
      <w:pPr>
        <w:ind w:right="720"/>
        <w:rPr>
          <w:rFonts w:ascii="Book Antiqua" w:hAnsi="Book Antiqua" w:cs="Calibri"/>
          <w:b/>
        </w:rPr>
      </w:pPr>
      <w:r w:rsidRPr="007D5ECA">
        <w:rPr>
          <w:rFonts w:ascii="Book Antiqua" w:hAnsi="Book Antiqua" w:cs="Calibri"/>
          <w:b/>
        </w:rPr>
        <w:t>Maintain Timely, Cost-Effective and State-of-the-Art Laboratory Support</w:t>
      </w:r>
    </w:p>
    <w:p w:rsidR="00B71D80" w:rsidRDefault="00B71D80" w:rsidP="00715A45">
      <w:pPr>
        <w:ind w:right="720"/>
        <w:rPr>
          <w:rFonts w:ascii="Book Antiqua" w:hAnsi="Book Antiqua"/>
        </w:rPr>
      </w:pPr>
      <w:r w:rsidRPr="007D5ECA">
        <w:rPr>
          <w:rFonts w:ascii="Book Antiqua" w:hAnsi="Book Antiqua"/>
        </w:rPr>
        <w:t>The Lab’s analytical services largely fall into two main categories: chemical and biological.  Chemistry support includes analyses for metals, nutrients, pesticides, organics, air toxics and fine particulate matter.  Biology support includes analyses for toxicity, chlorophyll-a, sediment grain size and organic matter, algal and macroinvertebrate identifications, microbiology and biological oxygen demand.  Additionally, the Lab provides other technical support, including specialized field sampling, scientific study design, statistical and narrative interpretation of environmental data, and investigations of terrorist threats.  Laboratory clients include not only the Division but also DWRM, Division of Waste Management, Law Enforcement, Division of Air Resource Management, Office of Coastal and Aquatic Managed Areas, Recreation and Parks, and the Water Management Districts. </w:t>
      </w:r>
    </w:p>
    <w:p w:rsidR="00B71D80" w:rsidRDefault="00B71D80" w:rsidP="00715A45">
      <w:pPr>
        <w:ind w:right="720"/>
        <w:rPr>
          <w:rFonts w:ascii="Book Antiqua" w:hAnsi="Book Antiqua"/>
        </w:rPr>
      </w:pPr>
    </w:p>
    <w:p w:rsidR="00B71D80" w:rsidRDefault="00B71D80" w:rsidP="00715A45">
      <w:pPr>
        <w:ind w:right="720"/>
        <w:rPr>
          <w:rFonts w:ascii="Book Antiqua" w:hAnsi="Book Antiqua"/>
        </w:rPr>
      </w:pPr>
      <w:r>
        <w:rPr>
          <w:rFonts w:ascii="Book Antiqua" w:hAnsi="Book Antiqua"/>
        </w:rPr>
        <w:t>The Division’s priorities for the Lab for the next two years include providing cost-effective services to its customers, providing timely analyses and reports to its customers, evaluating new sampling methods and techniques to allow more accurate water quality assessments.</w:t>
      </w:r>
    </w:p>
    <w:p w:rsidR="00B71D80" w:rsidRDefault="00B71D80" w:rsidP="00715A45">
      <w:pPr>
        <w:ind w:right="720"/>
        <w:rPr>
          <w:rFonts w:ascii="Book Antiqua" w:hAnsi="Book Antiqua"/>
        </w:rPr>
      </w:pPr>
    </w:p>
    <w:p w:rsidR="00B71D80" w:rsidRPr="007D5ECA" w:rsidRDefault="00B71D80" w:rsidP="007A56D3">
      <w:pPr>
        <w:ind w:right="720"/>
        <w:rPr>
          <w:rFonts w:ascii="Book Antiqua" w:hAnsi="Book Antiqua" w:cs="Calibri"/>
          <w:i/>
        </w:rPr>
      </w:pPr>
    </w:p>
    <w:p w:rsidR="00B71D80" w:rsidRPr="00715A45" w:rsidRDefault="00B71D80" w:rsidP="00715A45">
      <w:pPr>
        <w:ind w:right="720"/>
        <w:rPr>
          <w:rFonts w:ascii="Book Antiqua" w:hAnsi="Book Antiqua"/>
        </w:rPr>
      </w:pPr>
    </w:p>
    <w:sectPr w:rsidR="00B71D80" w:rsidRPr="00715A45" w:rsidSect="00880E8B">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1D80" w:rsidRDefault="00B71D80" w:rsidP="005772D2">
      <w:r>
        <w:separator/>
      </w:r>
    </w:p>
  </w:endnote>
  <w:endnote w:type="continuationSeparator" w:id="0">
    <w:p w:rsidR="00B71D80" w:rsidRDefault="00B71D80" w:rsidP="005772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D80" w:rsidRDefault="00B71D80" w:rsidP="00D2556B">
    <w:pPr>
      <w:pStyle w:val="Footer"/>
      <w:ind w:firstLine="4320"/>
      <w:jc w:val="center"/>
    </w:pPr>
    <w:r w:rsidRPr="00D2556B">
      <w:rPr>
        <w:sz w:val="16"/>
        <w:szCs w:val="16"/>
      </w:rPr>
      <w:fldChar w:fldCharType="begin"/>
    </w:r>
    <w:r w:rsidRPr="00D2556B">
      <w:rPr>
        <w:sz w:val="16"/>
        <w:szCs w:val="16"/>
      </w:rPr>
      <w:instrText xml:space="preserve"> PAGE   \* MERGEFORMAT </w:instrText>
    </w:r>
    <w:r w:rsidRPr="00D2556B">
      <w:rPr>
        <w:sz w:val="16"/>
        <w:szCs w:val="16"/>
      </w:rPr>
      <w:fldChar w:fldCharType="separate"/>
    </w:r>
    <w:r>
      <w:rPr>
        <w:noProof/>
        <w:sz w:val="16"/>
        <w:szCs w:val="16"/>
      </w:rPr>
      <w:t>9</w:t>
    </w:r>
    <w:r w:rsidRPr="00D2556B">
      <w:rPr>
        <w:sz w:val="16"/>
        <w:szCs w:val="16"/>
      </w:rPr>
      <w:fldChar w:fldCharType="end"/>
    </w:r>
    <w:r w:rsidRPr="00D2556B">
      <w:rPr>
        <w:sz w:val="16"/>
        <w:szCs w:val="16"/>
      </w:rPr>
      <w:t xml:space="preserve"> </w:t>
    </w:r>
    <w:r w:rsidRPr="00D2556B">
      <w:rPr>
        <w:sz w:val="16"/>
        <w:szCs w:val="16"/>
      </w:rPr>
      <w:tab/>
    </w:r>
    <w:r w:rsidRPr="00D2556B">
      <w:rPr>
        <w:sz w:val="16"/>
        <w:szCs w:val="16"/>
      </w:rPr>
      <w:tab/>
    </w:r>
    <w:r>
      <w:rPr>
        <w:sz w:val="16"/>
        <w:szCs w:val="16"/>
      </w:rPr>
      <w:t>4/22</w:t>
    </w:r>
    <w:r w:rsidRPr="00D2556B">
      <w:rPr>
        <w:sz w:val="16"/>
        <w:szCs w:val="16"/>
      </w:rPr>
      <w:t>/2012</w:t>
    </w:r>
  </w:p>
  <w:p w:rsidR="00B71D80" w:rsidRDefault="00B71D8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1D80" w:rsidRDefault="00B71D80" w:rsidP="005772D2">
      <w:r>
        <w:separator/>
      </w:r>
    </w:p>
  </w:footnote>
  <w:footnote w:type="continuationSeparator" w:id="0">
    <w:p w:rsidR="00B71D80" w:rsidRDefault="00B71D80" w:rsidP="005772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D80" w:rsidRDefault="00B71D80" w:rsidP="00BC5F23">
    <w:pPr>
      <w:pStyle w:val="Header"/>
      <w:ind w:left="-810"/>
      <w:jc w:val="both"/>
    </w:pPr>
  </w:p>
  <w:p w:rsidR="00B71D80" w:rsidRDefault="00B71D8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445BB"/>
    <w:multiLevelType w:val="hybridMultilevel"/>
    <w:tmpl w:val="E11CAB1E"/>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683788D"/>
    <w:multiLevelType w:val="hybridMultilevel"/>
    <w:tmpl w:val="52B44C3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8ED13DD"/>
    <w:multiLevelType w:val="hybridMultilevel"/>
    <w:tmpl w:val="73B8EDE4"/>
    <w:lvl w:ilvl="0" w:tplc="140A000F">
      <w:start w:val="1"/>
      <w:numFmt w:val="decimal"/>
      <w:lvlText w:val="%1."/>
      <w:lvlJc w:val="left"/>
      <w:pPr>
        <w:ind w:left="720" w:hanging="360"/>
      </w:pPr>
      <w:rPr>
        <w:rFonts w:cs="Times New Roman"/>
      </w:rPr>
    </w:lvl>
    <w:lvl w:ilvl="1" w:tplc="140A0019" w:tentative="1">
      <w:start w:val="1"/>
      <w:numFmt w:val="lowerLetter"/>
      <w:lvlText w:val="%2."/>
      <w:lvlJc w:val="left"/>
      <w:pPr>
        <w:ind w:left="1440" w:hanging="360"/>
      </w:pPr>
      <w:rPr>
        <w:rFonts w:cs="Times New Roman"/>
      </w:rPr>
    </w:lvl>
    <w:lvl w:ilvl="2" w:tplc="140A001B" w:tentative="1">
      <w:start w:val="1"/>
      <w:numFmt w:val="lowerRoman"/>
      <w:lvlText w:val="%3."/>
      <w:lvlJc w:val="right"/>
      <w:pPr>
        <w:ind w:left="2160" w:hanging="180"/>
      </w:pPr>
      <w:rPr>
        <w:rFonts w:cs="Times New Roman"/>
      </w:rPr>
    </w:lvl>
    <w:lvl w:ilvl="3" w:tplc="140A000F" w:tentative="1">
      <w:start w:val="1"/>
      <w:numFmt w:val="decimal"/>
      <w:lvlText w:val="%4."/>
      <w:lvlJc w:val="left"/>
      <w:pPr>
        <w:ind w:left="2880" w:hanging="360"/>
      </w:pPr>
      <w:rPr>
        <w:rFonts w:cs="Times New Roman"/>
      </w:rPr>
    </w:lvl>
    <w:lvl w:ilvl="4" w:tplc="140A0019" w:tentative="1">
      <w:start w:val="1"/>
      <w:numFmt w:val="lowerLetter"/>
      <w:lvlText w:val="%5."/>
      <w:lvlJc w:val="left"/>
      <w:pPr>
        <w:ind w:left="3600" w:hanging="360"/>
      </w:pPr>
      <w:rPr>
        <w:rFonts w:cs="Times New Roman"/>
      </w:rPr>
    </w:lvl>
    <w:lvl w:ilvl="5" w:tplc="140A001B" w:tentative="1">
      <w:start w:val="1"/>
      <w:numFmt w:val="lowerRoman"/>
      <w:lvlText w:val="%6."/>
      <w:lvlJc w:val="right"/>
      <w:pPr>
        <w:ind w:left="4320" w:hanging="180"/>
      </w:pPr>
      <w:rPr>
        <w:rFonts w:cs="Times New Roman"/>
      </w:rPr>
    </w:lvl>
    <w:lvl w:ilvl="6" w:tplc="140A000F" w:tentative="1">
      <w:start w:val="1"/>
      <w:numFmt w:val="decimal"/>
      <w:lvlText w:val="%7."/>
      <w:lvlJc w:val="left"/>
      <w:pPr>
        <w:ind w:left="5040" w:hanging="360"/>
      </w:pPr>
      <w:rPr>
        <w:rFonts w:cs="Times New Roman"/>
      </w:rPr>
    </w:lvl>
    <w:lvl w:ilvl="7" w:tplc="140A0019" w:tentative="1">
      <w:start w:val="1"/>
      <w:numFmt w:val="lowerLetter"/>
      <w:lvlText w:val="%8."/>
      <w:lvlJc w:val="left"/>
      <w:pPr>
        <w:ind w:left="5760" w:hanging="360"/>
      </w:pPr>
      <w:rPr>
        <w:rFonts w:cs="Times New Roman"/>
      </w:rPr>
    </w:lvl>
    <w:lvl w:ilvl="8" w:tplc="140A001B" w:tentative="1">
      <w:start w:val="1"/>
      <w:numFmt w:val="lowerRoman"/>
      <w:lvlText w:val="%9."/>
      <w:lvlJc w:val="right"/>
      <w:pPr>
        <w:ind w:left="6480" w:hanging="180"/>
      </w:pPr>
      <w:rPr>
        <w:rFonts w:cs="Times New Roman"/>
      </w:rPr>
    </w:lvl>
  </w:abstractNum>
  <w:abstractNum w:abstractNumId="3">
    <w:nsid w:val="093D0C2E"/>
    <w:multiLevelType w:val="hybridMultilevel"/>
    <w:tmpl w:val="DE0C18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DF2785"/>
    <w:multiLevelType w:val="hybridMultilevel"/>
    <w:tmpl w:val="A016F2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F33B20"/>
    <w:multiLevelType w:val="hybridMultilevel"/>
    <w:tmpl w:val="90129C2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80B788C"/>
    <w:multiLevelType w:val="hybridMultilevel"/>
    <w:tmpl w:val="086A2748"/>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E911F08"/>
    <w:multiLevelType w:val="hybridMultilevel"/>
    <w:tmpl w:val="7BE22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AE0C5E"/>
    <w:multiLevelType w:val="hybridMultilevel"/>
    <w:tmpl w:val="5ADE4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92A3D3C"/>
    <w:multiLevelType w:val="hybridMultilevel"/>
    <w:tmpl w:val="EB4660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26564B8"/>
    <w:multiLevelType w:val="hybridMultilevel"/>
    <w:tmpl w:val="484E4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2F27014"/>
    <w:multiLevelType w:val="hybridMultilevel"/>
    <w:tmpl w:val="F0FA2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50F0117"/>
    <w:multiLevelType w:val="hybridMultilevel"/>
    <w:tmpl w:val="EA0422DA"/>
    <w:lvl w:ilvl="0" w:tplc="04090001">
      <w:start w:val="1"/>
      <w:numFmt w:val="bullet"/>
      <w:lvlText w:val=""/>
      <w:lvlJc w:val="left"/>
      <w:pPr>
        <w:ind w:left="87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3">
    <w:nsid w:val="4B844CFF"/>
    <w:multiLevelType w:val="hybridMultilevel"/>
    <w:tmpl w:val="1E0E6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451ACD"/>
    <w:multiLevelType w:val="hybridMultilevel"/>
    <w:tmpl w:val="CC6E3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31518BC"/>
    <w:multiLevelType w:val="hybridMultilevel"/>
    <w:tmpl w:val="1E7AA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2C0721"/>
    <w:multiLevelType w:val="hybridMultilevel"/>
    <w:tmpl w:val="402AEC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F9D6796"/>
    <w:multiLevelType w:val="hybridMultilevel"/>
    <w:tmpl w:val="7F626308"/>
    <w:lvl w:ilvl="0" w:tplc="6DC0EA00">
      <w:numFmt w:val="bullet"/>
      <w:lvlText w:val="-"/>
      <w:lvlJc w:val="left"/>
      <w:pPr>
        <w:ind w:left="75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6200785A"/>
    <w:multiLevelType w:val="hybridMultilevel"/>
    <w:tmpl w:val="E544F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3410C80"/>
    <w:multiLevelType w:val="hybridMultilevel"/>
    <w:tmpl w:val="834C9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1AF2962"/>
    <w:multiLevelType w:val="hybridMultilevel"/>
    <w:tmpl w:val="849AA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3067E05"/>
    <w:multiLevelType w:val="hybridMultilevel"/>
    <w:tmpl w:val="73B8EDE4"/>
    <w:lvl w:ilvl="0" w:tplc="140A000F">
      <w:start w:val="1"/>
      <w:numFmt w:val="decimal"/>
      <w:lvlText w:val="%1."/>
      <w:lvlJc w:val="left"/>
      <w:pPr>
        <w:ind w:left="720" w:hanging="360"/>
      </w:pPr>
      <w:rPr>
        <w:rFonts w:cs="Times New Roman"/>
      </w:rPr>
    </w:lvl>
    <w:lvl w:ilvl="1" w:tplc="140A0019" w:tentative="1">
      <w:start w:val="1"/>
      <w:numFmt w:val="lowerLetter"/>
      <w:lvlText w:val="%2."/>
      <w:lvlJc w:val="left"/>
      <w:pPr>
        <w:ind w:left="1440" w:hanging="360"/>
      </w:pPr>
      <w:rPr>
        <w:rFonts w:cs="Times New Roman"/>
      </w:rPr>
    </w:lvl>
    <w:lvl w:ilvl="2" w:tplc="140A001B" w:tentative="1">
      <w:start w:val="1"/>
      <w:numFmt w:val="lowerRoman"/>
      <w:lvlText w:val="%3."/>
      <w:lvlJc w:val="right"/>
      <w:pPr>
        <w:ind w:left="2160" w:hanging="180"/>
      </w:pPr>
      <w:rPr>
        <w:rFonts w:cs="Times New Roman"/>
      </w:rPr>
    </w:lvl>
    <w:lvl w:ilvl="3" w:tplc="140A000F" w:tentative="1">
      <w:start w:val="1"/>
      <w:numFmt w:val="decimal"/>
      <w:lvlText w:val="%4."/>
      <w:lvlJc w:val="left"/>
      <w:pPr>
        <w:ind w:left="2880" w:hanging="360"/>
      </w:pPr>
      <w:rPr>
        <w:rFonts w:cs="Times New Roman"/>
      </w:rPr>
    </w:lvl>
    <w:lvl w:ilvl="4" w:tplc="140A0019" w:tentative="1">
      <w:start w:val="1"/>
      <w:numFmt w:val="lowerLetter"/>
      <w:lvlText w:val="%5."/>
      <w:lvlJc w:val="left"/>
      <w:pPr>
        <w:ind w:left="3600" w:hanging="360"/>
      </w:pPr>
      <w:rPr>
        <w:rFonts w:cs="Times New Roman"/>
      </w:rPr>
    </w:lvl>
    <w:lvl w:ilvl="5" w:tplc="140A001B" w:tentative="1">
      <w:start w:val="1"/>
      <w:numFmt w:val="lowerRoman"/>
      <w:lvlText w:val="%6."/>
      <w:lvlJc w:val="right"/>
      <w:pPr>
        <w:ind w:left="4320" w:hanging="180"/>
      </w:pPr>
      <w:rPr>
        <w:rFonts w:cs="Times New Roman"/>
      </w:rPr>
    </w:lvl>
    <w:lvl w:ilvl="6" w:tplc="140A000F" w:tentative="1">
      <w:start w:val="1"/>
      <w:numFmt w:val="decimal"/>
      <w:lvlText w:val="%7."/>
      <w:lvlJc w:val="left"/>
      <w:pPr>
        <w:ind w:left="5040" w:hanging="360"/>
      </w:pPr>
      <w:rPr>
        <w:rFonts w:cs="Times New Roman"/>
      </w:rPr>
    </w:lvl>
    <w:lvl w:ilvl="7" w:tplc="140A0019" w:tentative="1">
      <w:start w:val="1"/>
      <w:numFmt w:val="lowerLetter"/>
      <w:lvlText w:val="%8."/>
      <w:lvlJc w:val="left"/>
      <w:pPr>
        <w:ind w:left="5760" w:hanging="360"/>
      </w:pPr>
      <w:rPr>
        <w:rFonts w:cs="Times New Roman"/>
      </w:rPr>
    </w:lvl>
    <w:lvl w:ilvl="8" w:tplc="140A001B" w:tentative="1">
      <w:start w:val="1"/>
      <w:numFmt w:val="lowerRoman"/>
      <w:lvlText w:val="%9."/>
      <w:lvlJc w:val="right"/>
      <w:pPr>
        <w:ind w:left="6480" w:hanging="180"/>
      </w:pPr>
      <w:rPr>
        <w:rFonts w:cs="Times New Roman"/>
      </w:rPr>
    </w:lvl>
  </w:abstractNum>
  <w:abstractNum w:abstractNumId="22">
    <w:nsid w:val="785C4078"/>
    <w:multiLevelType w:val="hybridMultilevel"/>
    <w:tmpl w:val="AE22B8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1"/>
  </w:num>
  <w:num w:numId="4">
    <w:abstractNumId w:val="12"/>
  </w:num>
  <w:num w:numId="5">
    <w:abstractNumId w:val="13"/>
  </w:num>
  <w:num w:numId="6">
    <w:abstractNumId w:val="3"/>
  </w:num>
  <w:num w:numId="7">
    <w:abstractNumId w:val="16"/>
  </w:num>
  <w:num w:numId="8">
    <w:abstractNumId w:val="17"/>
  </w:num>
  <w:num w:numId="9">
    <w:abstractNumId w:val="15"/>
  </w:num>
  <w:num w:numId="10">
    <w:abstractNumId w:val="11"/>
  </w:num>
  <w:num w:numId="11">
    <w:abstractNumId w:val="10"/>
  </w:num>
  <w:num w:numId="12">
    <w:abstractNumId w:val="8"/>
  </w:num>
  <w:num w:numId="13">
    <w:abstractNumId w:val="4"/>
  </w:num>
  <w:num w:numId="14">
    <w:abstractNumId w:val="14"/>
  </w:num>
  <w:num w:numId="15">
    <w:abstractNumId w:val="19"/>
  </w:num>
  <w:num w:numId="16">
    <w:abstractNumId w:val="18"/>
  </w:num>
  <w:num w:numId="1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5"/>
  </w:num>
  <w:num w:numId="21">
    <w:abstractNumId w:val="0"/>
  </w:num>
  <w:num w:numId="22">
    <w:abstractNumId w:val="1"/>
  </w:num>
  <w:num w:numId="23">
    <w:abstractNumId w:val="6"/>
  </w:num>
  <w:num w:numId="24">
    <w:abstractNumId w:val="7"/>
  </w:num>
  <w:num w:numId="25">
    <w:abstractNumId w:val="20"/>
  </w:num>
  <w:num w:numId="26">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51B13"/>
    <w:rsid w:val="00004569"/>
    <w:rsid w:val="00012A83"/>
    <w:rsid w:val="00015066"/>
    <w:rsid w:val="00033617"/>
    <w:rsid w:val="00040772"/>
    <w:rsid w:val="000474E9"/>
    <w:rsid w:val="00063EBF"/>
    <w:rsid w:val="00076B66"/>
    <w:rsid w:val="0008768D"/>
    <w:rsid w:val="0008782F"/>
    <w:rsid w:val="000A1344"/>
    <w:rsid w:val="000A36B0"/>
    <w:rsid w:val="000A3709"/>
    <w:rsid w:val="000B3544"/>
    <w:rsid w:val="000B7E3E"/>
    <w:rsid w:val="000C1CA3"/>
    <w:rsid w:val="000C6FAD"/>
    <w:rsid w:val="000D15E5"/>
    <w:rsid w:val="000F45C0"/>
    <w:rsid w:val="000F77D5"/>
    <w:rsid w:val="0010141E"/>
    <w:rsid w:val="001035A9"/>
    <w:rsid w:val="00116824"/>
    <w:rsid w:val="00120092"/>
    <w:rsid w:val="001202E2"/>
    <w:rsid w:val="0012713E"/>
    <w:rsid w:val="00127416"/>
    <w:rsid w:val="00136D24"/>
    <w:rsid w:val="00140591"/>
    <w:rsid w:val="001406DF"/>
    <w:rsid w:val="00151B13"/>
    <w:rsid w:val="00155E5B"/>
    <w:rsid w:val="00177182"/>
    <w:rsid w:val="0018250F"/>
    <w:rsid w:val="001906AC"/>
    <w:rsid w:val="00191AAB"/>
    <w:rsid w:val="0019559F"/>
    <w:rsid w:val="001961EC"/>
    <w:rsid w:val="001A1E52"/>
    <w:rsid w:val="001A28F8"/>
    <w:rsid w:val="001A2E5F"/>
    <w:rsid w:val="001B503B"/>
    <w:rsid w:val="001B6287"/>
    <w:rsid w:val="001C2059"/>
    <w:rsid w:val="001C3CE3"/>
    <w:rsid w:val="001D0376"/>
    <w:rsid w:val="001D380A"/>
    <w:rsid w:val="001D5A6C"/>
    <w:rsid w:val="001E1FF1"/>
    <w:rsid w:val="001E3F01"/>
    <w:rsid w:val="001F10DF"/>
    <w:rsid w:val="001F5133"/>
    <w:rsid w:val="002050DB"/>
    <w:rsid w:val="00205B74"/>
    <w:rsid w:val="00205C89"/>
    <w:rsid w:val="002240D8"/>
    <w:rsid w:val="0022781A"/>
    <w:rsid w:val="002313DF"/>
    <w:rsid w:val="002327D2"/>
    <w:rsid w:val="00245DD4"/>
    <w:rsid w:val="00247B43"/>
    <w:rsid w:val="00257F6A"/>
    <w:rsid w:val="00265960"/>
    <w:rsid w:val="00265AD2"/>
    <w:rsid w:val="00267055"/>
    <w:rsid w:val="00277451"/>
    <w:rsid w:val="0029387A"/>
    <w:rsid w:val="00297981"/>
    <w:rsid w:val="002A113B"/>
    <w:rsid w:val="002A773C"/>
    <w:rsid w:val="002B38AB"/>
    <w:rsid w:val="002B464D"/>
    <w:rsid w:val="002B5D65"/>
    <w:rsid w:val="002D277C"/>
    <w:rsid w:val="002D7F0B"/>
    <w:rsid w:val="002E0412"/>
    <w:rsid w:val="003038BB"/>
    <w:rsid w:val="00303A67"/>
    <w:rsid w:val="00303E92"/>
    <w:rsid w:val="00307A94"/>
    <w:rsid w:val="00307BB8"/>
    <w:rsid w:val="00317747"/>
    <w:rsid w:val="00326881"/>
    <w:rsid w:val="003344AA"/>
    <w:rsid w:val="00343A44"/>
    <w:rsid w:val="003563B2"/>
    <w:rsid w:val="00364918"/>
    <w:rsid w:val="003771C3"/>
    <w:rsid w:val="00381F4D"/>
    <w:rsid w:val="003A5857"/>
    <w:rsid w:val="003B61B1"/>
    <w:rsid w:val="003B6B8D"/>
    <w:rsid w:val="003C2A3D"/>
    <w:rsid w:val="003C685F"/>
    <w:rsid w:val="003C6BC1"/>
    <w:rsid w:val="003D0F27"/>
    <w:rsid w:val="003D4A2F"/>
    <w:rsid w:val="003D70C1"/>
    <w:rsid w:val="003E3C26"/>
    <w:rsid w:val="003F2DF6"/>
    <w:rsid w:val="003F63BD"/>
    <w:rsid w:val="003F72C8"/>
    <w:rsid w:val="0040027C"/>
    <w:rsid w:val="00417FB8"/>
    <w:rsid w:val="00432E59"/>
    <w:rsid w:val="00433EB8"/>
    <w:rsid w:val="004343B0"/>
    <w:rsid w:val="00436E9A"/>
    <w:rsid w:val="0044123C"/>
    <w:rsid w:val="00443720"/>
    <w:rsid w:val="00446B61"/>
    <w:rsid w:val="00454E85"/>
    <w:rsid w:val="004566C6"/>
    <w:rsid w:val="00464BA2"/>
    <w:rsid w:val="004720EA"/>
    <w:rsid w:val="00473ECC"/>
    <w:rsid w:val="00476EA6"/>
    <w:rsid w:val="004851C7"/>
    <w:rsid w:val="00487CB6"/>
    <w:rsid w:val="00493F21"/>
    <w:rsid w:val="004B659D"/>
    <w:rsid w:val="004B694D"/>
    <w:rsid w:val="004D7F09"/>
    <w:rsid w:val="004E1056"/>
    <w:rsid w:val="004E1FEE"/>
    <w:rsid w:val="004E2F0A"/>
    <w:rsid w:val="004E39C7"/>
    <w:rsid w:val="004F06CC"/>
    <w:rsid w:val="004F3926"/>
    <w:rsid w:val="005050F8"/>
    <w:rsid w:val="00511371"/>
    <w:rsid w:val="00516EFA"/>
    <w:rsid w:val="0052048E"/>
    <w:rsid w:val="0052099F"/>
    <w:rsid w:val="00525D04"/>
    <w:rsid w:val="00533266"/>
    <w:rsid w:val="00535155"/>
    <w:rsid w:val="00543FA5"/>
    <w:rsid w:val="0054401C"/>
    <w:rsid w:val="00562B79"/>
    <w:rsid w:val="00573D6D"/>
    <w:rsid w:val="00575E99"/>
    <w:rsid w:val="005772D2"/>
    <w:rsid w:val="005867E1"/>
    <w:rsid w:val="00590AFF"/>
    <w:rsid w:val="00592A82"/>
    <w:rsid w:val="0059685F"/>
    <w:rsid w:val="005B10BB"/>
    <w:rsid w:val="005B5913"/>
    <w:rsid w:val="005C4E47"/>
    <w:rsid w:val="005C77D4"/>
    <w:rsid w:val="005C7A6B"/>
    <w:rsid w:val="005D5BFB"/>
    <w:rsid w:val="005E666C"/>
    <w:rsid w:val="005F213A"/>
    <w:rsid w:val="005F7D11"/>
    <w:rsid w:val="0060590C"/>
    <w:rsid w:val="006168A6"/>
    <w:rsid w:val="00623335"/>
    <w:rsid w:val="006372E2"/>
    <w:rsid w:val="00642237"/>
    <w:rsid w:val="00642D29"/>
    <w:rsid w:val="00645D29"/>
    <w:rsid w:val="00655E7F"/>
    <w:rsid w:val="006601FE"/>
    <w:rsid w:val="0066481C"/>
    <w:rsid w:val="00673200"/>
    <w:rsid w:val="006734AF"/>
    <w:rsid w:val="006823DC"/>
    <w:rsid w:val="0068682B"/>
    <w:rsid w:val="006942C5"/>
    <w:rsid w:val="006C3BAF"/>
    <w:rsid w:val="006D3A69"/>
    <w:rsid w:val="006E0CC0"/>
    <w:rsid w:val="006E5DC4"/>
    <w:rsid w:val="006F1388"/>
    <w:rsid w:val="006F1571"/>
    <w:rsid w:val="006F62ED"/>
    <w:rsid w:val="00715A45"/>
    <w:rsid w:val="00716E16"/>
    <w:rsid w:val="007260D8"/>
    <w:rsid w:val="007336FA"/>
    <w:rsid w:val="00742D04"/>
    <w:rsid w:val="00747B36"/>
    <w:rsid w:val="0075694F"/>
    <w:rsid w:val="00760DE9"/>
    <w:rsid w:val="00766F3F"/>
    <w:rsid w:val="007705BD"/>
    <w:rsid w:val="007723BF"/>
    <w:rsid w:val="00773092"/>
    <w:rsid w:val="007754CF"/>
    <w:rsid w:val="00780770"/>
    <w:rsid w:val="00781AB5"/>
    <w:rsid w:val="00781C44"/>
    <w:rsid w:val="00792B7F"/>
    <w:rsid w:val="007A3F4B"/>
    <w:rsid w:val="007A56D3"/>
    <w:rsid w:val="007C1ADA"/>
    <w:rsid w:val="007C52A2"/>
    <w:rsid w:val="007D5ECA"/>
    <w:rsid w:val="007E76DE"/>
    <w:rsid w:val="007F4735"/>
    <w:rsid w:val="00802170"/>
    <w:rsid w:val="008101CB"/>
    <w:rsid w:val="0081043C"/>
    <w:rsid w:val="00813088"/>
    <w:rsid w:val="00816570"/>
    <w:rsid w:val="00822848"/>
    <w:rsid w:val="0082306A"/>
    <w:rsid w:val="00823987"/>
    <w:rsid w:val="00825FFA"/>
    <w:rsid w:val="0082738D"/>
    <w:rsid w:val="00833A08"/>
    <w:rsid w:val="00837443"/>
    <w:rsid w:val="00837AE8"/>
    <w:rsid w:val="00837D9D"/>
    <w:rsid w:val="00846922"/>
    <w:rsid w:val="00850181"/>
    <w:rsid w:val="008507F4"/>
    <w:rsid w:val="00851C28"/>
    <w:rsid w:val="00853F02"/>
    <w:rsid w:val="00862E0B"/>
    <w:rsid w:val="008666B6"/>
    <w:rsid w:val="00866F08"/>
    <w:rsid w:val="00871927"/>
    <w:rsid w:val="00880003"/>
    <w:rsid w:val="00880E8B"/>
    <w:rsid w:val="00882F75"/>
    <w:rsid w:val="0089210B"/>
    <w:rsid w:val="00894938"/>
    <w:rsid w:val="008A25C5"/>
    <w:rsid w:val="008B1E09"/>
    <w:rsid w:val="008B73D6"/>
    <w:rsid w:val="008C3072"/>
    <w:rsid w:val="008C7CBB"/>
    <w:rsid w:val="008D47AE"/>
    <w:rsid w:val="008D580F"/>
    <w:rsid w:val="008D5E9D"/>
    <w:rsid w:val="008D7A35"/>
    <w:rsid w:val="008E3A4E"/>
    <w:rsid w:val="008E42BB"/>
    <w:rsid w:val="008F0BB8"/>
    <w:rsid w:val="008F4B14"/>
    <w:rsid w:val="008F6743"/>
    <w:rsid w:val="008F77E1"/>
    <w:rsid w:val="00924729"/>
    <w:rsid w:val="0092554A"/>
    <w:rsid w:val="009374E0"/>
    <w:rsid w:val="00941868"/>
    <w:rsid w:val="00945926"/>
    <w:rsid w:val="00963EE1"/>
    <w:rsid w:val="009960FF"/>
    <w:rsid w:val="009A4A38"/>
    <w:rsid w:val="009A6236"/>
    <w:rsid w:val="009B352F"/>
    <w:rsid w:val="009B3B38"/>
    <w:rsid w:val="009C1C45"/>
    <w:rsid w:val="009C4334"/>
    <w:rsid w:val="009D471D"/>
    <w:rsid w:val="009D4B37"/>
    <w:rsid w:val="009D5FC2"/>
    <w:rsid w:val="009F6200"/>
    <w:rsid w:val="00A21099"/>
    <w:rsid w:val="00A36CFD"/>
    <w:rsid w:val="00A41B75"/>
    <w:rsid w:val="00A44E4C"/>
    <w:rsid w:val="00A461DB"/>
    <w:rsid w:val="00A71D9F"/>
    <w:rsid w:val="00A80C38"/>
    <w:rsid w:val="00A8689E"/>
    <w:rsid w:val="00A96A7E"/>
    <w:rsid w:val="00A96A83"/>
    <w:rsid w:val="00A96AD7"/>
    <w:rsid w:val="00AA6ACF"/>
    <w:rsid w:val="00AB2671"/>
    <w:rsid w:val="00AB5713"/>
    <w:rsid w:val="00AC148E"/>
    <w:rsid w:val="00AC4C67"/>
    <w:rsid w:val="00AD638A"/>
    <w:rsid w:val="00AE2028"/>
    <w:rsid w:val="00AE36A2"/>
    <w:rsid w:val="00AF2215"/>
    <w:rsid w:val="00AF22B2"/>
    <w:rsid w:val="00AF23FC"/>
    <w:rsid w:val="00AF7265"/>
    <w:rsid w:val="00B0240A"/>
    <w:rsid w:val="00B05C7A"/>
    <w:rsid w:val="00B1017D"/>
    <w:rsid w:val="00B125FB"/>
    <w:rsid w:val="00B24FD9"/>
    <w:rsid w:val="00B34D7D"/>
    <w:rsid w:val="00B37397"/>
    <w:rsid w:val="00B4426F"/>
    <w:rsid w:val="00B4427E"/>
    <w:rsid w:val="00B52BE4"/>
    <w:rsid w:val="00B65FD6"/>
    <w:rsid w:val="00B661D6"/>
    <w:rsid w:val="00B678C3"/>
    <w:rsid w:val="00B70BDD"/>
    <w:rsid w:val="00B71D80"/>
    <w:rsid w:val="00B76BAE"/>
    <w:rsid w:val="00B85223"/>
    <w:rsid w:val="00B87E07"/>
    <w:rsid w:val="00B903C8"/>
    <w:rsid w:val="00B9151F"/>
    <w:rsid w:val="00B96FAA"/>
    <w:rsid w:val="00BA609A"/>
    <w:rsid w:val="00BB0DCB"/>
    <w:rsid w:val="00BB2707"/>
    <w:rsid w:val="00BB56B3"/>
    <w:rsid w:val="00BC5F23"/>
    <w:rsid w:val="00BD123B"/>
    <w:rsid w:val="00BD13DA"/>
    <w:rsid w:val="00BD6896"/>
    <w:rsid w:val="00BF5E92"/>
    <w:rsid w:val="00C003E6"/>
    <w:rsid w:val="00C0053C"/>
    <w:rsid w:val="00C02BE0"/>
    <w:rsid w:val="00C103FE"/>
    <w:rsid w:val="00C2598B"/>
    <w:rsid w:val="00C32BD1"/>
    <w:rsid w:val="00C43C16"/>
    <w:rsid w:val="00C60A9B"/>
    <w:rsid w:val="00C708C1"/>
    <w:rsid w:val="00C832A0"/>
    <w:rsid w:val="00C85D86"/>
    <w:rsid w:val="00C87724"/>
    <w:rsid w:val="00CA677B"/>
    <w:rsid w:val="00CA6A3D"/>
    <w:rsid w:val="00CA7432"/>
    <w:rsid w:val="00CB760C"/>
    <w:rsid w:val="00CC433B"/>
    <w:rsid w:val="00D04420"/>
    <w:rsid w:val="00D059FE"/>
    <w:rsid w:val="00D10582"/>
    <w:rsid w:val="00D10FFA"/>
    <w:rsid w:val="00D21820"/>
    <w:rsid w:val="00D22808"/>
    <w:rsid w:val="00D2556B"/>
    <w:rsid w:val="00D32377"/>
    <w:rsid w:val="00D32FF4"/>
    <w:rsid w:val="00D427A5"/>
    <w:rsid w:val="00D50BD8"/>
    <w:rsid w:val="00D51C31"/>
    <w:rsid w:val="00D5364E"/>
    <w:rsid w:val="00D6080B"/>
    <w:rsid w:val="00D65A86"/>
    <w:rsid w:val="00D66DC4"/>
    <w:rsid w:val="00D6736F"/>
    <w:rsid w:val="00D75646"/>
    <w:rsid w:val="00D77DCF"/>
    <w:rsid w:val="00D80A9A"/>
    <w:rsid w:val="00D823F8"/>
    <w:rsid w:val="00D87726"/>
    <w:rsid w:val="00D93D56"/>
    <w:rsid w:val="00D96912"/>
    <w:rsid w:val="00DA0ADE"/>
    <w:rsid w:val="00DA354B"/>
    <w:rsid w:val="00DA77EA"/>
    <w:rsid w:val="00DB33F2"/>
    <w:rsid w:val="00DB6CEC"/>
    <w:rsid w:val="00DB76BA"/>
    <w:rsid w:val="00DC5580"/>
    <w:rsid w:val="00DC7F34"/>
    <w:rsid w:val="00DD651B"/>
    <w:rsid w:val="00DE15EF"/>
    <w:rsid w:val="00DE26F4"/>
    <w:rsid w:val="00DF0A45"/>
    <w:rsid w:val="00DF4785"/>
    <w:rsid w:val="00DF5C58"/>
    <w:rsid w:val="00E03416"/>
    <w:rsid w:val="00E071EE"/>
    <w:rsid w:val="00E11BF2"/>
    <w:rsid w:val="00E25754"/>
    <w:rsid w:val="00E367F8"/>
    <w:rsid w:val="00E40EDB"/>
    <w:rsid w:val="00E53051"/>
    <w:rsid w:val="00E61D70"/>
    <w:rsid w:val="00E643C0"/>
    <w:rsid w:val="00E65F0B"/>
    <w:rsid w:val="00E67C6F"/>
    <w:rsid w:val="00E75348"/>
    <w:rsid w:val="00E75A16"/>
    <w:rsid w:val="00E81CDE"/>
    <w:rsid w:val="00E83D9E"/>
    <w:rsid w:val="00E83E38"/>
    <w:rsid w:val="00E86C21"/>
    <w:rsid w:val="00E90046"/>
    <w:rsid w:val="00E90C08"/>
    <w:rsid w:val="00E919E3"/>
    <w:rsid w:val="00E96C83"/>
    <w:rsid w:val="00EA13C1"/>
    <w:rsid w:val="00EA2423"/>
    <w:rsid w:val="00EA281A"/>
    <w:rsid w:val="00EA5DDA"/>
    <w:rsid w:val="00EA6C6D"/>
    <w:rsid w:val="00EB11DB"/>
    <w:rsid w:val="00EB336D"/>
    <w:rsid w:val="00EC1657"/>
    <w:rsid w:val="00EC2915"/>
    <w:rsid w:val="00EC48D8"/>
    <w:rsid w:val="00ED11B8"/>
    <w:rsid w:val="00EE01EB"/>
    <w:rsid w:val="00EE0DE7"/>
    <w:rsid w:val="00EE13C3"/>
    <w:rsid w:val="00EE349B"/>
    <w:rsid w:val="00EF403D"/>
    <w:rsid w:val="00EF6C5A"/>
    <w:rsid w:val="00F05D90"/>
    <w:rsid w:val="00F1510D"/>
    <w:rsid w:val="00F15806"/>
    <w:rsid w:val="00F15B54"/>
    <w:rsid w:val="00F2068A"/>
    <w:rsid w:val="00F214BE"/>
    <w:rsid w:val="00F22EC5"/>
    <w:rsid w:val="00F273A5"/>
    <w:rsid w:val="00F456F1"/>
    <w:rsid w:val="00F54B0F"/>
    <w:rsid w:val="00F57799"/>
    <w:rsid w:val="00F61F09"/>
    <w:rsid w:val="00F6632E"/>
    <w:rsid w:val="00F76BC0"/>
    <w:rsid w:val="00F8293B"/>
    <w:rsid w:val="00F84B39"/>
    <w:rsid w:val="00F913FF"/>
    <w:rsid w:val="00F92124"/>
    <w:rsid w:val="00F93357"/>
    <w:rsid w:val="00F947E7"/>
    <w:rsid w:val="00FA2E78"/>
    <w:rsid w:val="00FA77D7"/>
    <w:rsid w:val="00FB2985"/>
    <w:rsid w:val="00FD4203"/>
    <w:rsid w:val="00FD4DBE"/>
    <w:rsid w:val="00FD60F3"/>
    <w:rsid w:val="00FD72F6"/>
    <w:rsid w:val="00FE0EDE"/>
    <w:rsid w:val="00FE37E7"/>
    <w:rsid w:val="00FE6CA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1C3"/>
    <w:rPr>
      <w:rFonts w:ascii="Bookman Old Style" w:hAnsi="Bookman Old Style"/>
    </w:rPr>
  </w:style>
  <w:style w:type="paragraph" w:styleId="Heading1">
    <w:name w:val="heading 1"/>
    <w:basedOn w:val="Normal"/>
    <w:link w:val="Heading1Char"/>
    <w:uiPriority w:val="99"/>
    <w:qFormat/>
    <w:rsid w:val="005B10BB"/>
    <w:pPr>
      <w:spacing w:after="51"/>
      <w:outlineLvl w:val="0"/>
    </w:pPr>
    <w:rPr>
      <w:rFonts w:ascii="Times New Roman" w:eastAsia="Times New Roman" w:hAnsi="Times New Roman"/>
      <w:b/>
      <w:bCs/>
      <w:color w:val="000000"/>
      <w:kern w:val="36"/>
      <w:sz w:val="16"/>
      <w:szCs w:val="1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B10BB"/>
    <w:rPr>
      <w:rFonts w:ascii="Times New Roman" w:hAnsi="Times New Roman" w:cs="Times New Roman"/>
      <w:b/>
      <w:bCs/>
      <w:color w:val="000000"/>
      <w:kern w:val="36"/>
      <w:sz w:val="16"/>
      <w:szCs w:val="16"/>
    </w:rPr>
  </w:style>
  <w:style w:type="paragraph" w:styleId="ListParagraph">
    <w:name w:val="List Paragraph"/>
    <w:basedOn w:val="Normal"/>
    <w:uiPriority w:val="99"/>
    <w:qFormat/>
    <w:rsid w:val="003771C3"/>
    <w:pPr>
      <w:ind w:left="720"/>
    </w:pPr>
  </w:style>
  <w:style w:type="paragraph" w:styleId="BalloonText">
    <w:name w:val="Balloon Text"/>
    <w:basedOn w:val="Normal"/>
    <w:link w:val="BalloonTextChar"/>
    <w:uiPriority w:val="99"/>
    <w:semiHidden/>
    <w:rsid w:val="00B0240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0240A"/>
    <w:rPr>
      <w:rFonts w:ascii="Tahoma" w:hAnsi="Tahoma" w:cs="Tahoma"/>
      <w:sz w:val="16"/>
      <w:szCs w:val="16"/>
    </w:rPr>
  </w:style>
  <w:style w:type="paragraph" w:styleId="Header">
    <w:name w:val="header"/>
    <w:basedOn w:val="Normal"/>
    <w:link w:val="HeaderChar"/>
    <w:uiPriority w:val="99"/>
    <w:rsid w:val="005772D2"/>
    <w:pPr>
      <w:tabs>
        <w:tab w:val="center" w:pos="4680"/>
        <w:tab w:val="right" w:pos="9360"/>
      </w:tabs>
    </w:pPr>
  </w:style>
  <w:style w:type="character" w:customStyle="1" w:styleId="HeaderChar">
    <w:name w:val="Header Char"/>
    <w:basedOn w:val="DefaultParagraphFont"/>
    <w:link w:val="Header"/>
    <w:uiPriority w:val="99"/>
    <w:locked/>
    <w:rsid w:val="005772D2"/>
    <w:rPr>
      <w:rFonts w:ascii="Bookman Old Style" w:hAnsi="Bookman Old Style" w:cs="Times New Roman"/>
    </w:rPr>
  </w:style>
  <w:style w:type="paragraph" w:styleId="Footer">
    <w:name w:val="footer"/>
    <w:basedOn w:val="Normal"/>
    <w:link w:val="FooterChar"/>
    <w:uiPriority w:val="99"/>
    <w:rsid w:val="005772D2"/>
    <w:pPr>
      <w:tabs>
        <w:tab w:val="center" w:pos="4680"/>
        <w:tab w:val="right" w:pos="9360"/>
      </w:tabs>
    </w:pPr>
  </w:style>
  <w:style w:type="character" w:customStyle="1" w:styleId="FooterChar">
    <w:name w:val="Footer Char"/>
    <w:basedOn w:val="DefaultParagraphFont"/>
    <w:link w:val="Footer"/>
    <w:uiPriority w:val="99"/>
    <w:locked/>
    <w:rsid w:val="005772D2"/>
    <w:rPr>
      <w:rFonts w:ascii="Bookman Old Style" w:hAnsi="Bookman Old Style" w:cs="Times New Roman"/>
    </w:rPr>
  </w:style>
  <w:style w:type="paragraph" w:styleId="NormalWeb">
    <w:name w:val="Normal (Web)"/>
    <w:basedOn w:val="Normal"/>
    <w:uiPriority w:val="99"/>
    <w:semiHidden/>
    <w:rsid w:val="005B10BB"/>
    <w:pPr>
      <w:spacing w:after="102"/>
      <w:textAlignment w:val="top"/>
    </w:pPr>
    <w:rPr>
      <w:rFonts w:ascii="Times New Roman" w:eastAsia="Times New Roman" w:hAnsi="Times New Roman"/>
      <w:sz w:val="12"/>
      <w:szCs w:val="12"/>
    </w:rPr>
  </w:style>
  <w:style w:type="paragraph" w:customStyle="1" w:styleId="headline">
    <w:name w:val="headline"/>
    <w:basedOn w:val="Normal"/>
    <w:uiPriority w:val="99"/>
    <w:rsid w:val="005B10BB"/>
    <w:pPr>
      <w:spacing w:after="102"/>
      <w:textAlignment w:val="top"/>
    </w:pPr>
    <w:rPr>
      <w:rFonts w:ascii="Times New Roman" w:eastAsia="Times New Roman" w:hAnsi="Times New Roman"/>
      <w:color w:val="003399"/>
      <w:sz w:val="12"/>
      <w:szCs w:val="12"/>
    </w:rPr>
  </w:style>
  <w:style w:type="character" w:styleId="CommentReference">
    <w:name w:val="annotation reference"/>
    <w:basedOn w:val="DefaultParagraphFont"/>
    <w:uiPriority w:val="99"/>
    <w:semiHidden/>
    <w:rsid w:val="00FD72F6"/>
    <w:rPr>
      <w:rFonts w:cs="Times New Roman"/>
      <w:sz w:val="16"/>
      <w:szCs w:val="16"/>
    </w:rPr>
  </w:style>
  <w:style w:type="paragraph" w:styleId="CommentText">
    <w:name w:val="annotation text"/>
    <w:basedOn w:val="Normal"/>
    <w:link w:val="CommentTextChar"/>
    <w:uiPriority w:val="99"/>
    <w:semiHidden/>
    <w:rsid w:val="00FD72F6"/>
    <w:rPr>
      <w:sz w:val="20"/>
      <w:szCs w:val="20"/>
    </w:rPr>
  </w:style>
  <w:style w:type="character" w:customStyle="1" w:styleId="CommentTextChar">
    <w:name w:val="Comment Text Char"/>
    <w:basedOn w:val="DefaultParagraphFont"/>
    <w:link w:val="CommentText"/>
    <w:uiPriority w:val="99"/>
    <w:semiHidden/>
    <w:locked/>
    <w:rsid w:val="00FD72F6"/>
    <w:rPr>
      <w:rFonts w:ascii="Bookman Old Style" w:hAnsi="Bookman Old Style" w:cs="Times New Roman"/>
      <w:sz w:val="20"/>
      <w:szCs w:val="20"/>
    </w:rPr>
  </w:style>
  <w:style w:type="paragraph" w:styleId="CommentSubject">
    <w:name w:val="annotation subject"/>
    <w:basedOn w:val="CommentText"/>
    <w:next w:val="CommentText"/>
    <w:link w:val="CommentSubjectChar"/>
    <w:uiPriority w:val="99"/>
    <w:semiHidden/>
    <w:rsid w:val="00FD72F6"/>
    <w:rPr>
      <w:b/>
      <w:bCs/>
    </w:rPr>
  </w:style>
  <w:style w:type="character" w:customStyle="1" w:styleId="CommentSubjectChar">
    <w:name w:val="Comment Subject Char"/>
    <w:basedOn w:val="CommentTextChar"/>
    <w:link w:val="CommentSubject"/>
    <w:uiPriority w:val="99"/>
    <w:semiHidden/>
    <w:locked/>
    <w:rsid w:val="00FD72F6"/>
    <w:rPr>
      <w:b/>
      <w:bCs/>
    </w:rPr>
  </w:style>
</w:styles>
</file>

<file path=word/webSettings.xml><?xml version="1.0" encoding="utf-8"?>
<w:webSettings xmlns:r="http://schemas.openxmlformats.org/officeDocument/2006/relationships" xmlns:w="http://schemas.openxmlformats.org/wordprocessingml/2006/main">
  <w:divs>
    <w:div w:id="811285857">
      <w:marLeft w:val="0"/>
      <w:marRight w:val="0"/>
      <w:marTop w:val="0"/>
      <w:marBottom w:val="0"/>
      <w:divBdr>
        <w:top w:val="none" w:sz="0" w:space="0" w:color="auto"/>
        <w:left w:val="none" w:sz="0" w:space="0" w:color="auto"/>
        <w:bottom w:val="none" w:sz="0" w:space="0" w:color="auto"/>
        <w:right w:val="none" w:sz="0" w:space="0" w:color="auto"/>
      </w:divBdr>
    </w:div>
    <w:div w:id="811285858">
      <w:marLeft w:val="0"/>
      <w:marRight w:val="0"/>
      <w:marTop w:val="0"/>
      <w:marBottom w:val="0"/>
      <w:divBdr>
        <w:top w:val="none" w:sz="0" w:space="0" w:color="auto"/>
        <w:left w:val="none" w:sz="0" w:space="0" w:color="auto"/>
        <w:bottom w:val="none" w:sz="0" w:space="0" w:color="auto"/>
        <w:right w:val="none" w:sz="0" w:space="0" w:color="auto"/>
      </w:divBdr>
    </w:div>
    <w:div w:id="811285859">
      <w:marLeft w:val="0"/>
      <w:marRight w:val="0"/>
      <w:marTop w:val="0"/>
      <w:marBottom w:val="0"/>
      <w:divBdr>
        <w:top w:val="none" w:sz="0" w:space="0" w:color="auto"/>
        <w:left w:val="none" w:sz="0" w:space="0" w:color="auto"/>
        <w:bottom w:val="none" w:sz="0" w:space="0" w:color="auto"/>
        <w:right w:val="none" w:sz="0" w:space="0" w:color="auto"/>
      </w:divBdr>
    </w:div>
    <w:div w:id="811285860">
      <w:marLeft w:val="0"/>
      <w:marRight w:val="0"/>
      <w:marTop w:val="0"/>
      <w:marBottom w:val="0"/>
      <w:divBdr>
        <w:top w:val="none" w:sz="0" w:space="0" w:color="auto"/>
        <w:left w:val="none" w:sz="0" w:space="0" w:color="auto"/>
        <w:bottom w:val="none" w:sz="0" w:space="0" w:color="auto"/>
        <w:right w:val="none" w:sz="0" w:space="0" w:color="auto"/>
      </w:divBdr>
    </w:div>
    <w:div w:id="811285861">
      <w:marLeft w:val="0"/>
      <w:marRight w:val="0"/>
      <w:marTop w:val="0"/>
      <w:marBottom w:val="0"/>
      <w:divBdr>
        <w:top w:val="none" w:sz="0" w:space="0" w:color="auto"/>
        <w:left w:val="none" w:sz="0" w:space="0" w:color="auto"/>
        <w:bottom w:val="none" w:sz="0" w:space="0" w:color="auto"/>
        <w:right w:val="none" w:sz="0" w:space="0" w:color="auto"/>
      </w:divBdr>
    </w:div>
    <w:div w:id="811285863">
      <w:marLeft w:val="0"/>
      <w:marRight w:val="0"/>
      <w:marTop w:val="0"/>
      <w:marBottom w:val="0"/>
      <w:divBdr>
        <w:top w:val="none" w:sz="0" w:space="0" w:color="auto"/>
        <w:left w:val="none" w:sz="0" w:space="0" w:color="auto"/>
        <w:bottom w:val="none" w:sz="0" w:space="0" w:color="auto"/>
        <w:right w:val="none" w:sz="0" w:space="0" w:color="auto"/>
      </w:divBdr>
    </w:div>
    <w:div w:id="811285864">
      <w:marLeft w:val="0"/>
      <w:marRight w:val="0"/>
      <w:marTop w:val="0"/>
      <w:marBottom w:val="0"/>
      <w:divBdr>
        <w:top w:val="none" w:sz="0" w:space="0" w:color="auto"/>
        <w:left w:val="none" w:sz="0" w:space="0" w:color="auto"/>
        <w:bottom w:val="none" w:sz="0" w:space="0" w:color="auto"/>
        <w:right w:val="none" w:sz="0" w:space="0" w:color="auto"/>
      </w:divBdr>
    </w:div>
    <w:div w:id="811285865">
      <w:marLeft w:val="0"/>
      <w:marRight w:val="0"/>
      <w:marTop w:val="0"/>
      <w:marBottom w:val="0"/>
      <w:divBdr>
        <w:top w:val="none" w:sz="0" w:space="0" w:color="auto"/>
        <w:left w:val="none" w:sz="0" w:space="0" w:color="auto"/>
        <w:bottom w:val="none" w:sz="0" w:space="0" w:color="auto"/>
        <w:right w:val="none" w:sz="0" w:space="0" w:color="auto"/>
      </w:divBdr>
    </w:div>
    <w:div w:id="811285866">
      <w:marLeft w:val="0"/>
      <w:marRight w:val="0"/>
      <w:marTop w:val="0"/>
      <w:marBottom w:val="0"/>
      <w:divBdr>
        <w:top w:val="none" w:sz="0" w:space="0" w:color="auto"/>
        <w:left w:val="none" w:sz="0" w:space="0" w:color="auto"/>
        <w:bottom w:val="none" w:sz="0" w:space="0" w:color="auto"/>
        <w:right w:val="none" w:sz="0" w:space="0" w:color="auto"/>
      </w:divBdr>
      <w:divsChild>
        <w:div w:id="811285875">
          <w:marLeft w:val="0"/>
          <w:marRight w:val="0"/>
          <w:marTop w:val="0"/>
          <w:marBottom w:val="0"/>
          <w:divBdr>
            <w:top w:val="none" w:sz="0" w:space="0" w:color="auto"/>
            <w:left w:val="none" w:sz="0" w:space="0" w:color="auto"/>
            <w:bottom w:val="none" w:sz="0" w:space="0" w:color="auto"/>
            <w:right w:val="none" w:sz="0" w:space="0" w:color="auto"/>
          </w:divBdr>
          <w:divsChild>
            <w:div w:id="811285862">
              <w:marLeft w:val="0"/>
              <w:marRight w:val="0"/>
              <w:marTop w:val="0"/>
              <w:marBottom w:val="0"/>
              <w:divBdr>
                <w:top w:val="none" w:sz="0" w:space="0" w:color="auto"/>
                <w:left w:val="none" w:sz="0" w:space="0" w:color="auto"/>
                <w:bottom w:val="none" w:sz="0" w:space="0" w:color="auto"/>
                <w:right w:val="none" w:sz="0" w:space="0" w:color="auto"/>
              </w:divBdr>
              <w:divsChild>
                <w:div w:id="811285868">
                  <w:marLeft w:val="61"/>
                  <w:marRight w:val="51"/>
                  <w:marTop w:val="0"/>
                  <w:marBottom w:val="51"/>
                  <w:divBdr>
                    <w:top w:val="none" w:sz="0" w:space="0" w:color="auto"/>
                    <w:left w:val="single" w:sz="4" w:space="3" w:color="CCCCCC"/>
                    <w:bottom w:val="single" w:sz="4" w:space="3" w:color="CCCCCC"/>
                    <w:right w:val="single" w:sz="4" w:space="3" w:color="CCCCCC"/>
                  </w:divBdr>
                </w:div>
              </w:divsChild>
            </w:div>
          </w:divsChild>
        </w:div>
      </w:divsChild>
    </w:div>
    <w:div w:id="811285867">
      <w:marLeft w:val="0"/>
      <w:marRight w:val="0"/>
      <w:marTop w:val="0"/>
      <w:marBottom w:val="0"/>
      <w:divBdr>
        <w:top w:val="none" w:sz="0" w:space="0" w:color="auto"/>
        <w:left w:val="none" w:sz="0" w:space="0" w:color="auto"/>
        <w:bottom w:val="none" w:sz="0" w:space="0" w:color="auto"/>
        <w:right w:val="none" w:sz="0" w:space="0" w:color="auto"/>
      </w:divBdr>
    </w:div>
    <w:div w:id="811285869">
      <w:marLeft w:val="0"/>
      <w:marRight w:val="0"/>
      <w:marTop w:val="0"/>
      <w:marBottom w:val="0"/>
      <w:divBdr>
        <w:top w:val="none" w:sz="0" w:space="0" w:color="auto"/>
        <w:left w:val="none" w:sz="0" w:space="0" w:color="auto"/>
        <w:bottom w:val="none" w:sz="0" w:space="0" w:color="auto"/>
        <w:right w:val="none" w:sz="0" w:space="0" w:color="auto"/>
      </w:divBdr>
    </w:div>
    <w:div w:id="811285870">
      <w:marLeft w:val="0"/>
      <w:marRight w:val="0"/>
      <w:marTop w:val="0"/>
      <w:marBottom w:val="0"/>
      <w:divBdr>
        <w:top w:val="none" w:sz="0" w:space="0" w:color="auto"/>
        <w:left w:val="none" w:sz="0" w:space="0" w:color="auto"/>
        <w:bottom w:val="none" w:sz="0" w:space="0" w:color="auto"/>
        <w:right w:val="none" w:sz="0" w:space="0" w:color="auto"/>
      </w:divBdr>
    </w:div>
    <w:div w:id="811285871">
      <w:marLeft w:val="0"/>
      <w:marRight w:val="0"/>
      <w:marTop w:val="0"/>
      <w:marBottom w:val="0"/>
      <w:divBdr>
        <w:top w:val="none" w:sz="0" w:space="0" w:color="auto"/>
        <w:left w:val="none" w:sz="0" w:space="0" w:color="auto"/>
        <w:bottom w:val="none" w:sz="0" w:space="0" w:color="auto"/>
        <w:right w:val="none" w:sz="0" w:space="0" w:color="auto"/>
      </w:divBdr>
    </w:div>
    <w:div w:id="811285872">
      <w:marLeft w:val="0"/>
      <w:marRight w:val="0"/>
      <w:marTop w:val="0"/>
      <w:marBottom w:val="0"/>
      <w:divBdr>
        <w:top w:val="none" w:sz="0" w:space="0" w:color="auto"/>
        <w:left w:val="none" w:sz="0" w:space="0" w:color="auto"/>
        <w:bottom w:val="none" w:sz="0" w:space="0" w:color="auto"/>
        <w:right w:val="none" w:sz="0" w:space="0" w:color="auto"/>
      </w:divBdr>
    </w:div>
    <w:div w:id="811285873">
      <w:marLeft w:val="0"/>
      <w:marRight w:val="0"/>
      <w:marTop w:val="0"/>
      <w:marBottom w:val="0"/>
      <w:divBdr>
        <w:top w:val="none" w:sz="0" w:space="0" w:color="auto"/>
        <w:left w:val="none" w:sz="0" w:space="0" w:color="auto"/>
        <w:bottom w:val="none" w:sz="0" w:space="0" w:color="auto"/>
        <w:right w:val="none" w:sz="0" w:space="0" w:color="auto"/>
      </w:divBdr>
    </w:div>
    <w:div w:id="811285874">
      <w:marLeft w:val="0"/>
      <w:marRight w:val="0"/>
      <w:marTop w:val="0"/>
      <w:marBottom w:val="0"/>
      <w:divBdr>
        <w:top w:val="none" w:sz="0" w:space="0" w:color="auto"/>
        <w:left w:val="none" w:sz="0" w:space="0" w:color="auto"/>
        <w:bottom w:val="none" w:sz="0" w:space="0" w:color="auto"/>
        <w:right w:val="none" w:sz="0" w:space="0" w:color="auto"/>
      </w:divBdr>
    </w:div>
    <w:div w:id="811285876">
      <w:marLeft w:val="0"/>
      <w:marRight w:val="0"/>
      <w:marTop w:val="0"/>
      <w:marBottom w:val="0"/>
      <w:divBdr>
        <w:top w:val="none" w:sz="0" w:space="0" w:color="auto"/>
        <w:left w:val="none" w:sz="0" w:space="0" w:color="auto"/>
        <w:bottom w:val="none" w:sz="0" w:space="0" w:color="auto"/>
        <w:right w:val="none" w:sz="0" w:space="0" w:color="auto"/>
      </w:divBdr>
    </w:div>
    <w:div w:id="811285877">
      <w:marLeft w:val="0"/>
      <w:marRight w:val="0"/>
      <w:marTop w:val="0"/>
      <w:marBottom w:val="0"/>
      <w:divBdr>
        <w:top w:val="none" w:sz="0" w:space="0" w:color="auto"/>
        <w:left w:val="none" w:sz="0" w:space="0" w:color="auto"/>
        <w:bottom w:val="none" w:sz="0" w:space="0" w:color="auto"/>
        <w:right w:val="none" w:sz="0" w:space="0" w:color="auto"/>
      </w:divBdr>
    </w:div>
    <w:div w:id="811285878">
      <w:marLeft w:val="0"/>
      <w:marRight w:val="0"/>
      <w:marTop w:val="0"/>
      <w:marBottom w:val="0"/>
      <w:divBdr>
        <w:top w:val="none" w:sz="0" w:space="0" w:color="auto"/>
        <w:left w:val="none" w:sz="0" w:space="0" w:color="auto"/>
        <w:bottom w:val="none" w:sz="0" w:space="0" w:color="auto"/>
        <w:right w:val="none" w:sz="0" w:space="0" w:color="auto"/>
      </w:divBdr>
    </w:div>
    <w:div w:id="8112858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9</Pages>
  <Words>2208</Words>
  <Characters>12588</Characters>
  <Application>Microsoft Office Outlook</Application>
  <DocSecurity>0</DocSecurity>
  <Lines>0</Lines>
  <Paragraphs>0</Paragraphs>
  <ScaleCrop>false</ScaleCrop>
  <Company>Florida DEP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 of Environmental Assessment and Restoration</dc:title>
  <dc:subject/>
  <dc:creator>Vielhauer_T</dc:creator>
  <cp:keywords/>
  <dc:description/>
  <cp:lastModifiedBy>Debra Harrington</cp:lastModifiedBy>
  <cp:revision>2</cp:revision>
  <cp:lastPrinted>2011-11-30T18:21:00Z</cp:lastPrinted>
  <dcterms:created xsi:type="dcterms:W3CDTF">2012-05-01T13:53:00Z</dcterms:created>
  <dcterms:modified xsi:type="dcterms:W3CDTF">2012-05-01T13:53:00Z</dcterms:modified>
</cp:coreProperties>
</file>