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D7B8D" w14:textId="0B2D0D5F" w:rsidR="00151A80" w:rsidRPr="0069035A" w:rsidRDefault="00151A80" w:rsidP="0078574D">
      <w:pPr>
        <w:spacing w:after="0"/>
        <w:jc w:val="center"/>
        <w:rPr>
          <w:sz w:val="24"/>
          <w:szCs w:val="24"/>
        </w:rPr>
      </w:pPr>
      <w:r w:rsidRPr="0069035A">
        <w:rPr>
          <w:sz w:val="24"/>
          <w:szCs w:val="24"/>
        </w:rPr>
        <w:t xml:space="preserve">Cyanobacteria Bloom Response Coordination Between the </w:t>
      </w:r>
    </w:p>
    <w:p w14:paraId="67C1DFBC" w14:textId="3982715B" w:rsidR="00061413" w:rsidRPr="0069035A" w:rsidRDefault="00151A80" w:rsidP="0078574D">
      <w:pPr>
        <w:spacing w:after="0"/>
        <w:jc w:val="center"/>
        <w:rPr>
          <w:sz w:val="24"/>
          <w:szCs w:val="24"/>
        </w:rPr>
      </w:pPr>
      <w:r w:rsidRPr="0069035A">
        <w:rPr>
          <w:sz w:val="24"/>
          <w:szCs w:val="24"/>
        </w:rPr>
        <w:t>Florida Department of Environmental Protection</w:t>
      </w:r>
      <w:r w:rsidR="00A5265E" w:rsidRPr="0069035A">
        <w:rPr>
          <w:sz w:val="24"/>
          <w:szCs w:val="24"/>
        </w:rPr>
        <w:t xml:space="preserve">, </w:t>
      </w:r>
      <w:r w:rsidRPr="0069035A">
        <w:rPr>
          <w:sz w:val="24"/>
          <w:szCs w:val="24"/>
        </w:rPr>
        <w:t>the Florida Department of Health</w:t>
      </w:r>
      <w:r w:rsidR="00A5265E" w:rsidRPr="0069035A">
        <w:rPr>
          <w:sz w:val="24"/>
          <w:szCs w:val="24"/>
        </w:rPr>
        <w:t>, and Local County Health Departments</w:t>
      </w:r>
    </w:p>
    <w:p w14:paraId="2FFA9D3F" w14:textId="12161D14" w:rsidR="00151A80" w:rsidRPr="0069035A" w:rsidRDefault="00023BD4" w:rsidP="00151A80">
      <w:pPr>
        <w:jc w:val="center"/>
        <w:rPr>
          <w:sz w:val="24"/>
          <w:szCs w:val="24"/>
        </w:rPr>
      </w:pPr>
      <w:r>
        <w:rPr>
          <w:sz w:val="24"/>
          <w:szCs w:val="24"/>
        </w:rPr>
        <w:t>December</w:t>
      </w:r>
      <w:r w:rsidRPr="0069035A">
        <w:rPr>
          <w:sz w:val="24"/>
          <w:szCs w:val="24"/>
        </w:rPr>
        <w:t xml:space="preserve"> </w:t>
      </w:r>
      <w:r w:rsidR="00151A80" w:rsidRPr="0069035A">
        <w:rPr>
          <w:sz w:val="24"/>
          <w:szCs w:val="24"/>
        </w:rPr>
        <w:t>2021</w:t>
      </w:r>
    </w:p>
    <w:p w14:paraId="24114FA7" w14:textId="47296D71" w:rsidR="00151A80" w:rsidRPr="0069035A" w:rsidRDefault="00151A80" w:rsidP="00151A80">
      <w:pPr>
        <w:jc w:val="center"/>
        <w:rPr>
          <w:sz w:val="24"/>
          <w:szCs w:val="24"/>
        </w:rPr>
      </w:pPr>
    </w:p>
    <w:p w14:paraId="1B587599" w14:textId="6B7D5C91" w:rsidR="00151A80" w:rsidRPr="0069035A" w:rsidRDefault="00DF53F0" w:rsidP="00151A80">
      <w:pPr>
        <w:rPr>
          <w:sz w:val="24"/>
          <w:szCs w:val="24"/>
          <w:u w:val="single"/>
        </w:rPr>
      </w:pPr>
      <w:r>
        <w:rPr>
          <w:sz w:val="24"/>
          <w:szCs w:val="24"/>
          <w:u w:val="single"/>
        </w:rPr>
        <w:t>Introduction</w:t>
      </w:r>
    </w:p>
    <w:p w14:paraId="6006B420" w14:textId="381F6860" w:rsidR="0087368E" w:rsidRPr="0069035A" w:rsidRDefault="00C2717F" w:rsidP="00151A80">
      <w:pPr>
        <w:rPr>
          <w:sz w:val="24"/>
          <w:szCs w:val="24"/>
        </w:rPr>
      </w:pPr>
      <w:r w:rsidRPr="0069035A">
        <w:rPr>
          <w:sz w:val="24"/>
          <w:szCs w:val="24"/>
        </w:rPr>
        <w:t xml:space="preserve">Cyanobacteria blooms are an annual occurrence in the State of Florida. The Florida Department of Environmental Protection (DEP) and the Florida Department of Health (DOH) have worked together for many years, along with other state and local government agency staff, to respond to these bloom events. A variety of tools and techniques have been applied over the years </w:t>
      </w:r>
      <w:proofErr w:type="gramStart"/>
      <w:r w:rsidRPr="0069035A">
        <w:rPr>
          <w:sz w:val="24"/>
          <w:szCs w:val="24"/>
        </w:rPr>
        <w:t>in an effort to</w:t>
      </w:r>
      <w:proofErr w:type="gramEnd"/>
      <w:r w:rsidRPr="0069035A">
        <w:rPr>
          <w:sz w:val="24"/>
          <w:szCs w:val="24"/>
        </w:rPr>
        <w:t xml:space="preserve"> best protect public health. The intent of this document is to clearly articulate each agency’s responsibilities and roles when responding to cyanobacteria blooms</w:t>
      </w:r>
      <w:r w:rsidR="00330712">
        <w:rPr>
          <w:sz w:val="24"/>
          <w:szCs w:val="24"/>
        </w:rPr>
        <w:t>,</w:t>
      </w:r>
      <w:r w:rsidRPr="0069035A">
        <w:rPr>
          <w:sz w:val="24"/>
          <w:szCs w:val="24"/>
        </w:rPr>
        <w:t xml:space="preserve"> and to explain the current best practices being followed to </w:t>
      </w:r>
      <w:r w:rsidR="00A5265E" w:rsidRPr="0069035A">
        <w:rPr>
          <w:sz w:val="24"/>
          <w:szCs w:val="24"/>
        </w:rPr>
        <w:t>communicate and coordinate cyanobacteria bloom response with the local county health departments.</w:t>
      </w:r>
    </w:p>
    <w:p w14:paraId="1E9CB760" w14:textId="132D3151" w:rsidR="00384754" w:rsidRPr="0069035A" w:rsidRDefault="0087368E" w:rsidP="00151A80">
      <w:pPr>
        <w:rPr>
          <w:rFonts w:cstheme="minorHAnsi"/>
          <w:sz w:val="24"/>
          <w:szCs w:val="24"/>
          <w:u w:val="single"/>
        </w:rPr>
      </w:pPr>
      <w:r w:rsidRPr="0069035A">
        <w:rPr>
          <w:rFonts w:cstheme="minorHAnsi"/>
          <w:sz w:val="24"/>
          <w:szCs w:val="24"/>
          <w:u w:val="single"/>
        </w:rPr>
        <w:t xml:space="preserve">Regulatory Roles </w:t>
      </w:r>
    </w:p>
    <w:p w14:paraId="5E420FD2" w14:textId="612BC262" w:rsidR="00B21753" w:rsidRPr="0069035A" w:rsidRDefault="00384754" w:rsidP="00B21753">
      <w:pPr>
        <w:rPr>
          <w:rFonts w:cstheme="minorHAnsi"/>
          <w:sz w:val="24"/>
          <w:szCs w:val="24"/>
        </w:rPr>
      </w:pPr>
      <w:r w:rsidRPr="0069035A">
        <w:rPr>
          <w:rFonts w:eastAsia="Times New Roman" w:cstheme="minorHAnsi"/>
          <w:sz w:val="24"/>
          <w:szCs w:val="24"/>
        </w:rPr>
        <w:t xml:space="preserve">The </w:t>
      </w:r>
      <w:r w:rsidR="00B21753" w:rsidRPr="0069035A">
        <w:rPr>
          <w:rFonts w:eastAsia="Times New Roman" w:cstheme="minorHAnsi"/>
          <w:sz w:val="24"/>
          <w:szCs w:val="24"/>
        </w:rPr>
        <w:t>DEP</w:t>
      </w:r>
      <w:r w:rsidRPr="0069035A">
        <w:rPr>
          <w:rFonts w:eastAsia="Times New Roman" w:cstheme="minorHAnsi"/>
          <w:sz w:val="24"/>
          <w:szCs w:val="24"/>
        </w:rPr>
        <w:t xml:space="preserve"> is</w:t>
      </w:r>
      <w:r w:rsidR="00B21753" w:rsidRPr="0069035A">
        <w:rPr>
          <w:rFonts w:eastAsia="Times New Roman" w:cstheme="minorHAnsi"/>
          <w:sz w:val="24"/>
          <w:szCs w:val="24"/>
        </w:rPr>
        <w:t xml:space="preserve"> an executive branch agency (Chapter 403</w:t>
      </w:r>
      <w:r w:rsidR="000E64E4">
        <w:rPr>
          <w:rFonts w:eastAsia="Times New Roman" w:cstheme="minorHAnsi"/>
          <w:sz w:val="24"/>
          <w:szCs w:val="24"/>
        </w:rPr>
        <w:t>,</w:t>
      </w:r>
      <w:r w:rsidR="00B21753" w:rsidRPr="0069035A">
        <w:rPr>
          <w:rFonts w:eastAsia="Times New Roman" w:cstheme="minorHAnsi"/>
          <w:sz w:val="24"/>
          <w:szCs w:val="24"/>
        </w:rPr>
        <w:t xml:space="preserve"> Florida Statute</w:t>
      </w:r>
      <w:r w:rsidR="000E64E4">
        <w:rPr>
          <w:rFonts w:eastAsia="Times New Roman" w:cstheme="minorHAnsi"/>
          <w:sz w:val="24"/>
          <w:szCs w:val="24"/>
        </w:rPr>
        <w:t>s</w:t>
      </w:r>
      <w:r w:rsidR="00B21753" w:rsidRPr="0069035A">
        <w:rPr>
          <w:rFonts w:eastAsia="Times New Roman" w:cstheme="minorHAnsi"/>
          <w:sz w:val="24"/>
          <w:szCs w:val="24"/>
        </w:rPr>
        <w:t xml:space="preserve">) and is </w:t>
      </w:r>
      <w:r w:rsidRPr="0069035A">
        <w:rPr>
          <w:rFonts w:eastAsia="Times New Roman" w:cstheme="minorHAnsi"/>
          <w:sz w:val="24"/>
          <w:szCs w:val="24"/>
        </w:rPr>
        <w:t>the state’s lead agency for environmental management and stewardship, protecting our air, water</w:t>
      </w:r>
      <w:r w:rsidR="002F22CA">
        <w:rPr>
          <w:rFonts w:eastAsia="Times New Roman" w:cstheme="minorHAnsi"/>
          <w:sz w:val="24"/>
          <w:szCs w:val="24"/>
        </w:rPr>
        <w:t>,</w:t>
      </w:r>
      <w:r w:rsidRPr="0069035A">
        <w:rPr>
          <w:rFonts w:eastAsia="Times New Roman" w:cstheme="minorHAnsi"/>
          <w:sz w:val="24"/>
          <w:szCs w:val="24"/>
        </w:rPr>
        <w:t xml:space="preserve"> and land. </w:t>
      </w:r>
      <w:r w:rsidR="00B21753" w:rsidRPr="0069035A">
        <w:rPr>
          <w:rFonts w:cstheme="minorHAnsi"/>
          <w:sz w:val="24"/>
          <w:szCs w:val="24"/>
        </w:rPr>
        <w:t>Surface water quality in Florida is regulated through the DEP’s implementation of the United States Environmental Protection Agency’s (EPA) Clean Water Act</w:t>
      </w:r>
      <w:r w:rsidR="000E64E4">
        <w:rPr>
          <w:rFonts w:cstheme="minorHAnsi"/>
          <w:sz w:val="24"/>
          <w:szCs w:val="24"/>
        </w:rPr>
        <w:t xml:space="preserve"> and </w:t>
      </w:r>
      <w:r w:rsidR="00B21753" w:rsidRPr="0069035A">
        <w:rPr>
          <w:rFonts w:cstheme="minorHAnsi"/>
          <w:sz w:val="24"/>
          <w:szCs w:val="24"/>
        </w:rPr>
        <w:t xml:space="preserve">40 CFR 131. Florida’s surface water quality standards are published in </w:t>
      </w:r>
      <w:r w:rsidR="000E64E4">
        <w:rPr>
          <w:rFonts w:cstheme="minorHAnsi"/>
          <w:sz w:val="24"/>
          <w:szCs w:val="24"/>
        </w:rPr>
        <w:t xml:space="preserve">Chapter </w:t>
      </w:r>
      <w:r w:rsidR="00B21753" w:rsidRPr="0069035A">
        <w:rPr>
          <w:rFonts w:cstheme="minorHAnsi"/>
          <w:sz w:val="24"/>
          <w:szCs w:val="24"/>
        </w:rPr>
        <w:t>62-302</w:t>
      </w:r>
      <w:r w:rsidR="000E64E4">
        <w:rPr>
          <w:rFonts w:cstheme="minorHAnsi"/>
          <w:sz w:val="24"/>
          <w:szCs w:val="24"/>
        </w:rPr>
        <w:t xml:space="preserve">, </w:t>
      </w:r>
      <w:r w:rsidR="00B21753" w:rsidRPr="0069035A">
        <w:rPr>
          <w:rFonts w:cstheme="minorHAnsi"/>
          <w:sz w:val="24"/>
          <w:szCs w:val="24"/>
        </w:rPr>
        <w:t xml:space="preserve">Florida Administrative Code (FAC). </w:t>
      </w:r>
    </w:p>
    <w:p w14:paraId="2765C7AD" w14:textId="1CE559AA" w:rsidR="00B21753" w:rsidRPr="0069035A" w:rsidRDefault="00B21753" w:rsidP="00B21753">
      <w:pPr>
        <w:rPr>
          <w:rFonts w:cstheme="minorHAnsi"/>
          <w:sz w:val="24"/>
          <w:szCs w:val="24"/>
        </w:rPr>
      </w:pPr>
      <w:r w:rsidRPr="0069035A">
        <w:rPr>
          <w:rFonts w:cstheme="minorHAnsi"/>
          <w:sz w:val="24"/>
          <w:szCs w:val="24"/>
        </w:rPr>
        <w:t xml:space="preserve">Drinking water quality is regulated through the DEP’s and the DOH’s implementation of the EPA’s Safe Drinking Water Act </w:t>
      </w:r>
      <w:r w:rsidR="0069035A" w:rsidRPr="0069035A">
        <w:rPr>
          <w:rFonts w:cstheme="minorHAnsi"/>
          <w:sz w:val="24"/>
          <w:szCs w:val="24"/>
        </w:rPr>
        <w:t>(SDWA)</w:t>
      </w:r>
      <w:r w:rsidRPr="0069035A">
        <w:rPr>
          <w:rFonts w:cstheme="minorHAnsi"/>
          <w:sz w:val="24"/>
          <w:szCs w:val="24"/>
        </w:rPr>
        <w:t xml:space="preserve">. Florida’s primary drinking water standards are published in </w:t>
      </w:r>
      <w:r w:rsidR="000E64E4">
        <w:rPr>
          <w:rFonts w:cstheme="minorHAnsi"/>
          <w:sz w:val="24"/>
          <w:szCs w:val="24"/>
        </w:rPr>
        <w:t xml:space="preserve">Chapter </w:t>
      </w:r>
      <w:r w:rsidRPr="0069035A">
        <w:rPr>
          <w:rFonts w:cstheme="minorHAnsi"/>
          <w:sz w:val="24"/>
          <w:szCs w:val="24"/>
        </w:rPr>
        <w:t>62-550</w:t>
      </w:r>
      <w:r w:rsidR="000E64E4">
        <w:rPr>
          <w:rFonts w:cstheme="minorHAnsi"/>
          <w:sz w:val="24"/>
          <w:szCs w:val="24"/>
        </w:rPr>
        <w:t>,</w:t>
      </w:r>
      <w:r w:rsidRPr="0069035A">
        <w:rPr>
          <w:rFonts w:cstheme="minorHAnsi"/>
          <w:sz w:val="24"/>
          <w:szCs w:val="24"/>
        </w:rPr>
        <w:t xml:space="preserve"> FAC. The DEP is the primary agency responsible for implementing the SDWA, however, the DOH implements the program in seven counties (Hillsborough, Lee, Miami-Da</w:t>
      </w:r>
      <w:r w:rsidR="00AD717E">
        <w:rPr>
          <w:rFonts w:cstheme="minorHAnsi"/>
          <w:sz w:val="24"/>
          <w:szCs w:val="24"/>
        </w:rPr>
        <w:t>d</w:t>
      </w:r>
      <w:r w:rsidRPr="0069035A">
        <w:rPr>
          <w:rFonts w:cstheme="minorHAnsi"/>
          <w:sz w:val="24"/>
          <w:szCs w:val="24"/>
        </w:rPr>
        <w:t>e, Palm Beach, Polk, Sarasota, and Volusia).</w:t>
      </w:r>
    </w:p>
    <w:p w14:paraId="747BEC0E" w14:textId="1FB268C5" w:rsidR="00384754" w:rsidRPr="003700C3" w:rsidRDefault="0069035A" w:rsidP="00384754">
      <w:pPr>
        <w:pStyle w:val="NormalWeb"/>
        <w:shd w:val="clear" w:color="auto" w:fill="FFFFFF"/>
        <w:spacing w:before="240" w:beforeAutospacing="0" w:after="240" w:afterAutospacing="0"/>
        <w:rPr>
          <w:rFonts w:asciiTheme="minorHAnsi" w:eastAsiaTheme="minorHAnsi" w:hAnsiTheme="minorHAnsi" w:cstheme="minorHAnsi"/>
        </w:rPr>
      </w:pPr>
      <w:r w:rsidRPr="003700C3">
        <w:rPr>
          <w:rFonts w:asciiTheme="minorHAnsi" w:eastAsiaTheme="minorHAnsi" w:hAnsiTheme="minorHAnsi" w:cstheme="minorHAnsi"/>
        </w:rPr>
        <w:t xml:space="preserve">The </w:t>
      </w:r>
      <w:r w:rsidR="00384754" w:rsidRPr="003700C3">
        <w:rPr>
          <w:rFonts w:asciiTheme="minorHAnsi" w:eastAsiaTheme="minorHAnsi" w:hAnsiTheme="minorHAnsi" w:cstheme="minorHAnsi"/>
        </w:rPr>
        <w:t>DOH is an executive branch agency</w:t>
      </w:r>
      <w:r w:rsidR="00B21753" w:rsidRPr="003700C3">
        <w:rPr>
          <w:rFonts w:asciiTheme="minorHAnsi" w:eastAsiaTheme="minorHAnsi" w:hAnsiTheme="minorHAnsi" w:cstheme="minorHAnsi"/>
        </w:rPr>
        <w:t xml:space="preserve"> (Chapter </w:t>
      </w:r>
      <w:r w:rsidR="00384754" w:rsidRPr="003700C3">
        <w:rPr>
          <w:rFonts w:asciiTheme="minorHAnsi" w:eastAsiaTheme="minorHAnsi" w:hAnsiTheme="minorHAnsi" w:cstheme="minorHAnsi"/>
        </w:rPr>
        <w:t xml:space="preserve">20.43, </w:t>
      </w:r>
      <w:r w:rsidR="00B21753" w:rsidRPr="003700C3">
        <w:rPr>
          <w:rFonts w:asciiTheme="minorHAnsi" w:eastAsiaTheme="minorHAnsi" w:hAnsiTheme="minorHAnsi" w:cstheme="minorHAnsi"/>
        </w:rPr>
        <w:t>Florida Statute</w:t>
      </w:r>
      <w:r w:rsidR="000E64E4">
        <w:rPr>
          <w:rFonts w:asciiTheme="minorHAnsi" w:eastAsiaTheme="minorHAnsi" w:hAnsiTheme="minorHAnsi" w:cstheme="minorHAnsi"/>
        </w:rPr>
        <w:t>s</w:t>
      </w:r>
      <w:r w:rsidR="00B21753" w:rsidRPr="003700C3">
        <w:rPr>
          <w:rFonts w:asciiTheme="minorHAnsi" w:eastAsiaTheme="minorHAnsi" w:hAnsiTheme="minorHAnsi" w:cstheme="minorHAnsi"/>
        </w:rPr>
        <w:t>)</w:t>
      </w:r>
      <w:r w:rsidRPr="003700C3">
        <w:rPr>
          <w:rFonts w:asciiTheme="minorHAnsi" w:eastAsiaTheme="minorHAnsi" w:hAnsiTheme="minorHAnsi" w:cstheme="minorHAnsi"/>
        </w:rPr>
        <w:t xml:space="preserve"> and is the state’s lead agency for public health.</w:t>
      </w:r>
      <w:r w:rsidR="00384754" w:rsidRPr="003700C3">
        <w:rPr>
          <w:rFonts w:asciiTheme="minorHAnsi" w:eastAsiaTheme="minorHAnsi" w:hAnsiTheme="minorHAnsi" w:cstheme="minorHAnsi"/>
        </w:rPr>
        <w:t xml:space="preserve"> </w:t>
      </w:r>
      <w:r w:rsidR="002F22CA">
        <w:rPr>
          <w:rFonts w:asciiTheme="minorHAnsi" w:eastAsiaTheme="minorHAnsi" w:hAnsiTheme="minorHAnsi" w:cstheme="minorHAnsi"/>
        </w:rPr>
        <w:t xml:space="preserve">The </w:t>
      </w:r>
      <w:r w:rsidR="00384754" w:rsidRPr="003700C3">
        <w:rPr>
          <w:rFonts w:asciiTheme="minorHAnsi" w:eastAsiaTheme="minorHAnsi" w:hAnsiTheme="minorHAnsi" w:cstheme="minorHAnsi"/>
        </w:rPr>
        <w:t xml:space="preserve">DOH is led by a State Surgeon General, who serves as the State Health Officer and is directly appointed by Florida’s Governor and confirmed by Florida’s Senate. </w:t>
      </w:r>
    </w:p>
    <w:p w14:paraId="511BCA33" w14:textId="1D0792E3" w:rsidR="00384754" w:rsidRPr="003700C3" w:rsidRDefault="002F22CA" w:rsidP="00384754">
      <w:pPr>
        <w:pStyle w:val="NormalWeb"/>
        <w:shd w:val="clear" w:color="auto" w:fill="FFFFFF"/>
        <w:spacing w:before="240" w:beforeAutospacing="0" w:after="240" w:afterAutospacing="0"/>
        <w:rPr>
          <w:rFonts w:asciiTheme="minorHAnsi" w:eastAsiaTheme="minorHAnsi" w:hAnsiTheme="minorHAnsi" w:cstheme="minorHAnsi"/>
        </w:rPr>
      </w:pPr>
      <w:r>
        <w:rPr>
          <w:rFonts w:asciiTheme="minorHAnsi" w:eastAsiaTheme="minorHAnsi" w:hAnsiTheme="minorHAnsi" w:cstheme="minorHAnsi"/>
        </w:rPr>
        <w:t xml:space="preserve">The </w:t>
      </w:r>
      <w:r w:rsidR="00384754" w:rsidRPr="003700C3">
        <w:rPr>
          <w:rFonts w:asciiTheme="minorHAnsi" w:eastAsiaTheme="minorHAnsi" w:hAnsiTheme="minorHAnsi" w:cstheme="minorHAnsi"/>
        </w:rPr>
        <w:t xml:space="preserve">DOH is comprised of a state health office in Tallahassee, with statewide responsibilities; Florida’s 67 County Health Departments (CHDs); 22 Children’s Medical Services (CMS) area offices; 12 Medical Quality Assurance (MQA) regional offices; nine Disability Determinations regional offices; and three public health laboratories. Facilities for the 67 CHDs are provided through partnerships with local county governments. These 67 CHDs have a total of 255 </w:t>
      </w:r>
      <w:r w:rsidR="00AD25B3">
        <w:rPr>
          <w:rFonts w:asciiTheme="minorHAnsi" w:eastAsiaTheme="minorHAnsi" w:hAnsiTheme="minorHAnsi" w:cstheme="minorHAnsi"/>
        </w:rPr>
        <w:t xml:space="preserve">sites </w:t>
      </w:r>
      <w:r w:rsidR="00AD25B3" w:rsidRPr="003700C3">
        <w:rPr>
          <w:rFonts w:asciiTheme="minorHAnsi" w:eastAsiaTheme="minorHAnsi" w:hAnsiTheme="minorHAnsi" w:cstheme="minorHAnsi"/>
        </w:rPr>
        <w:t>throughout</w:t>
      </w:r>
      <w:r w:rsidR="00384754" w:rsidRPr="003700C3">
        <w:rPr>
          <w:rFonts w:asciiTheme="minorHAnsi" w:eastAsiaTheme="minorHAnsi" w:hAnsiTheme="minorHAnsi" w:cstheme="minorHAnsi"/>
        </w:rPr>
        <w:t xml:space="preserve"> the state, providing a variety of services, and ranging from small to large in location size.</w:t>
      </w:r>
    </w:p>
    <w:p w14:paraId="17C73247" w14:textId="63608001" w:rsidR="0069035A" w:rsidRPr="00D67CB5" w:rsidRDefault="0069035A" w:rsidP="00384754">
      <w:pPr>
        <w:pStyle w:val="NormalWeb"/>
        <w:shd w:val="clear" w:color="auto" w:fill="FFFFFF"/>
        <w:spacing w:before="240" w:beforeAutospacing="0" w:after="240" w:afterAutospacing="0"/>
        <w:rPr>
          <w:rFonts w:asciiTheme="minorHAnsi" w:hAnsiTheme="minorHAnsi" w:cstheme="minorHAnsi"/>
          <w:color w:val="000000"/>
          <w:u w:val="single"/>
        </w:rPr>
      </w:pPr>
      <w:r w:rsidRPr="00D67CB5">
        <w:rPr>
          <w:rFonts w:asciiTheme="minorHAnsi" w:hAnsiTheme="minorHAnsi" w:cstheme="minorHAnsi"/>
          <w:color w:val="000000"/>
          <w:u w:val="single"/>
        </w:rPr>
        <w:lastRenderedPageBreak/>
        <w:t>Cyanobacteria Bloom Response</w:t>
      </w:r>
      <w:r w:rsidR="00510DEF" w:rsidRPr="00D67CB5">
        <w:rPr>
          <w:rFonts w:asciiTheme="minorHAnsi" w:hAnsiTheme="minorHAnsi" w:cstheme="minorHAnsi"/>
          <w:color w:val="000000"/>
          <w:u w:val="single"/>
        </w:rPr>
        <w:t xml:space="preserve"> Sampling and Analysis</w:t>
      </w:r>
      <w:r w:rsidRPr="00D67CB5">
        <w:rPr>
          <w:rFonts w:asciiTheme="minorHAnsi" w:hAnsiTheme="minorHAnsi" w:cstheme="minorHAnsi"/>
          <w:color w:val="000000"/>
          <w:u w:val="single"/>
        </w:rPr>
        <w:t xml:space="preserve"> </w:t>
      </w:r>
    </w:p>
    <w:p w14:paraId="4445E5C7" w14:textId="75185167" w:rsidR="0069035A" w:rsidRDefault="0069035A" w:rsidP="00151A80">
      <w:pPr>
        <w:rPr>
          <w:rFonts w:cstheme="minorHAnsi"/>
          <w:sz w:val="24"/>
          <w:szCs w:val="24"/>
        </w:rPr>
      </w:pPr>
      <w:r w:rsidRPr="0069035A">
        <w:rPr>
          <w:rFonts w:cstheme="minorHAnsi"/>
          <w:sz w:val="24"/>
          <w:szCs w:val="24"/>
        </w:rPr>
        <w:t>The DEP is the lead</w:t>
      </w:r>
      <w:r>
        <w:rPr>
          <w:rFonts w:cstheme="minorHAnsi"/>
          <w:sz w:val="24"/>
          <w:szCs w:val="24"/>
        </w:rPr>
        <w:t xml:space="preserve"> agency for cyanobacteria bloom response sampling and analysis. The DEP maintains both the Algal Bloom Dashboard (</w:t>
      </w:r>
      <w:hyperlink r:id="rId11" w:history="1">
        <w:r w:rsidRPr="00F55F9A">
          <w:rPr>
            <w:rStyle w:val="Hyperlink"/>
            <w:rFonts w:cstheme="minorHAnsi"/>
            <w:sz w:val="24"/>
            <w:szCs w:val="24"/>
          </w:rPr>
          <w:t>https://floridadep.gov/AlgalBloom</w:t>
        </w:r>
      </w:hyperlink>
      <w:r>
        <w:rPr>
          <w:rFonts w:cstheme="minorHAnsi"/>
          <w:sz w:val="24"/>
          <w:szCs w:val="24"/>
        </w:rPr>
        <w:t>) and the Protecting Florida Together (</w:t>
      </w:r>
      <w:hyperlink r:id="rId12" w:history="1">
        <w:r w:rsidRPr="00F55F9A">
          <w:rPr>
            <w:rStyle w:val="Hyperlink"/>
            <w:rFonts w:cstheme="minorHAnsi"/>
            <w:sz w:val="24"/>
            <w:szCs w:val="24"/>
          </w:rPr>
          <w:t>https://protectingfloridatogether.gov/</w:t>
        </w:r>
      </w:hyperlink>
      <w:r>
        <w:rPr>
          <w:rFonts w:cstheme="minorHAnsi"/>
          <w:sz w:val="24"/>
          <w:szCs w:val="24"/>
        </w:rPr>
        <w:t xml:space="preserve">) webpage. </w:t>
      </w:r>
      <w:r w:rsidR="00591B8B">
        <w:rPr>
          <w:rFonts w:cstheme="minorHAnsi"/>
          <w:sz w:val="24"/>
          <w:szCs w:val="24"/>
        </w:rPr>
        <w:t xml:space="preserve">Both webpages provide information </w:t>
      </w:r>
      <w:r w:rsidR="000E64E4">
        <w:rPr>
          <w:rFonts w:cstheme="minorHAnsi"/>
          <w:sz w:val="24"/>
          <w:szCs w:val="24"/>
        </w:rPr>
        <w:t xml:space="preserve">about </w:t>
      </w:r>
      <w:r w:rsidR="0078574D">
        <w:rPr>
          <w:rFonts w:cstheme="minorHAnsi"/>
          <w:sz w:val="24"/>
          <w:szCs w:val="24"/>
        </w:rPr>
        <w:t>tools</w:t>
      </w:r>
      <w:r w:rsidR="000E64E4">
        <w:rPr>
          <w:rFonts w:cstheme="minorHAnsi"/>
          <w:sz w:val="24"/>
          <w:szCs w:val="24"/>
        </w:rPr>
        <w:t xml:space="preserve"> </w:t>
      </w:r>
      <w:r w:rsidR="00591B8B">
        <w:rPr>
          <w:rFonts w:cstheme="minorHAnsi"/>
          <w:sz w:val="24"/>
          <w:szCs w:val="24"/>
        </w:rPr>
        <w:t>the public can use to notify the state about a cyanobacteria bloom through a toll-free hotline number or an online reporting page.  All calls to the hotline are entered by DEP staff into the online reporting tool.</w:t>
      </w:r>
      <w:r w:rsidR="00261885">
        <w:rPr>
          <w:rFonts w:cstheme="minorHAnsi"/>
          <w:sz w:val="24"/>
          <w:szCs w:val="24"/>
        </w:rPr>
        <w:t xml:space="preserve">  </w:t>
      </w:r>
    </w:p>
    <w:p w14:paraId="72284CB6" w14:textId="6114CC2A" w:rsidR="00261885" w:rsidRDefault="00591B8B" w:rsidP="00151A80">
      <w:pPr>
        <w:rPr>
          <w:rFonts w:cstheme="minorHAnsi"/>
          <w:sz w:val="24"/>
          <w:szCs w:val="24"/>
        </w:rPr>
      </w:pPr>
      <w:r>
        <w:rPr>
          <w:rFonts w:cstheme="minorHAnsi"/>
          <w:sz w:val="24"/>
          <w:szCs w:val="24"/>
        </w:rPr>
        <w:t xml:space="preserve">DEP staff review the submitted reports </w:t>
      </w:r>
      <w:proofErr w:type="gramStart"/>
      <w:r>
        <w:rPr>
          <w:rFonts w:cstheme="minorHAnsi"/>
          <w:sz w:val="24"/>
          <w:szCs w:val="24"/>
        </w:rPr>
        <w:t>on a daily basis</w:t>
      </w:r>
      <w:proofErr w:type="gramEnd"/>
      <w:r>
        <w:rPr>
          <w:rFonts w:cstheme="minorHAnsi"/>
          <w:sz w:val="24"/>
          <w:szCs w:val="24"/>
        </w:rPr>
        <w:t xml:space="preserve"> and use the information to schedule and prioritize site visits</w:t>
      </w:r>
      <w:r w:rsidR="000E64E4">
        <w:rPr>
          <w:rFonts w:cstheme="minorHAnsi"/>
          <w:sz w:val="24"/>
          <w:szCs w:val="24"/>
        </w:rPr>
        <w:t xml:space="preserve"> for sampling reported blooms</w:t>
      </w:r>
      <w:r>
        <w:rPr>
          <w:rFonts w:cstheme="minorHAnsi"/>
          <w:sz w:val="24"/>
          <w:szCs w:val="24"/>
        </w:rPr>
        <w:t>.  Site visits and sampling activities are performed by FDEP, Water Management District (WMD), Fish and Wildlife Conservation Commission (FWC)</w:t>
      </w:r>
      <w:r w:rsidR="00261885">
        <w:rPr>
          <w:rFonts w:cstheme="minorHAnsi"/>
          <w:sz w:val="24"/>
          <w:szCs w:val="24"/>
        </w:rPr>
        <w:t>, and trained local government (county and city) staff.  Blooms in privately owned ponds, lakes, and stormwater retention ponds are not sampled as part of the State’s cyanobacteria bloom response. Private landowners with blooms are typically referred to UF</w:t>
      </w:r>
      <w:r w:rsidR="003700C3">
        <w:rPr>
          <w:rFonts w:cstheme="minorHAnsi"/>
          <w:sz w:val="24"/>
          <w:szCs w:val="24"/>
        </w:rPr>
        <w:t>/IFAS</w:t>
      </w:r>
      <w:r w:rsidR="00261885">
        <w:rPr>
          <w:rFonts w:cstheme="minorHAnsi"/>
          <w:sz w:val="24"/>
          <w:szCs w:val="24"/>
        </w:rPr>
        <w:t xml:space="preserve"> or their local government for further assistance.</w:t>
      </w:r>
      <w:r w:rsidR="00A24534">
        <w:rPr>
          <w:rFonts w:cstheme="minorHAnsi"/>
          <w:sz w:val="24"/>
          <w:szCs w:val="24"/>
        </w:rPr>
        <w:t xml:space="preserve"> Landowners may also wish to have their private waterbodies tested by a private laboratory. The DOH maintains a database of certified laboratories at </w:t>
      </w:r>
      <w:hyperlink r:id="rId13" w:history="1">
        <w:r w:rsidR="00A24534" w:rsidRPr="00EA18BF">
          <w:rPr>
            <w:rStyle w:val="Hyperlink"/>
            <w:rFonts w:cstheme="minorHAnsi"/>
            <w:sz w:val="24"/>
            <w:szCs w:val="24"/>
          </w:rPr>
          <w:t>https://qlik.dep.state.fl.us/anon/sense/app/17c7c199-2c02-4f1e-9288-ad20a293694a/sheet/2c856f40-bcad-4024-ba35-88276ab274c3/state/analysis</w:t>
        </w:r>
      </w:hyperlink>
      <w:r w:rsidR="00A24534">
        <w:rPr>
          <w:rFonts w:cstheme="minorHAnsi"/>
          <w:sz w:val="24"/>
          <w:szCs w:val="24"/>
        </w:rPr>
        <w:t>.</w:t>
      </w:r>
    </w:p>
    <w:p w14:paraId="5432A26C" w14:textId="75E955D9" w:rsidR="008D6854" w:rsidRDefault="00261885" w:rsidP="00261885">
      <w:pPr>
        <w:rPr>
          <w:rFonts w:cstheme="minorHAnsi"/>
          <w:sz w:val="24"/>
          <w:szCs w:val="24"/>
        </w:rPr>
      </w:pPr>
      <w:r>
        <w:rPr>
          <w:rFonts w:cstheme="minorHAnsi"/>
          <w:sz w:val="24"/>
          <w:szCs w:val="24"/>
        </w:rPr>
        <w:t xml:space="preserve">The Algal Bloom Dashboard includes a map showing where sampling </w:t>
      </w:r>
      <w:r w:rsidR="00CC12F2">
        <w:rPr>
          <w:rFonts w:cstheme="minorHAnsi"/>
          <w:sz w:val="24"/>
          <w:szCs w:val="24"/>
        </w:rPr>
        <w:t>h</w:t>
      </w:r>
      <w:r>
        <w:rPr>
          <w:rFonts w:cstheme="minorHAnsi"/>
          <w:sz w:val="24"/>
          <w:szCs w:val="24"/>
        </w:rPr>
        <w:t xml:space="preserve">as occurred. Samplers use a smart phone app to drop a pin on the map where they are sampling and to answer a few basic questions about whether they see a bloom at the time of their site visit and whether they collected a sample.  This information is available to the public in near real time.  The public can click on the </w:t>
      </w:r>
      <w:r w:rsidR="008D6854">
        <w:rPr>
          <w:rFonts w:cstheme="minorHAnsi"/>
          <w:sz w:val="24"/>
          <w:szCs w:val="24"/>
        </w:rPr>
        <w:t>sam</w:t>
      </w:r>
      <w:bookmarkStart w:id="0" w:name="_GoBack"/>
      <w:bookmarkEnd w:id="0"/>
      <w:r w:rsidR="008D6854">
        <w:rPr>
          <w:rFonts w:cstheme="minorHAnsi"/>
          <w:sz w:val="24"/>
          <w:szCs w:val="24"/>
        </w:rPr>
        <w:t>ple location pin</w:t>
      </w:r>
      <w:r w:rsidR="000E64E4">
        <w:rPr>
          <w:rFonts w:cstheme="minorHAnsi"/>
          <w:sz w:val="24"/>
          <w:szCs w:val="24"/>
        </w:rPr>
        <w:t>,</w:t>
      </w:r>
      <w:r w:rsidR="008D6854">
        <w:rPr>
          <w:rFonts w:cstheme="minorHAnsi"/>
          <w:sz w:val="24"/>
          <w:szCs w:val="24"/>
        </w:rPr>
        <w:t xml:space="preserve"> and a dialog box will open providing this information, as well as the analytical results once they are available.  The public can also review the sampling and analysis information in a table format as well. Anyone can save this information as a CSV file and open it in an Excel Spreadsheet.</w:t>
      </w:r>
    </w:p>
    <w:p w14:paraId="09E4E852" w14:textId="68404CF6" w:rsidR="00510DEF" w:rsidRDefault="008D6854" w:rsidP="00261885">
      <w:pPr>
        <w:rPr>
          <w:rFonts w:cstheme="minorHAnsi"/>
          <w:sz w:val="24"/>
          <w:szCs w:val="24"/>
        </w:rPr>
      </w:pPr>
      <w:r>
        <w:rPr>
          <w:rFonts w:cstheme="minorHAnsi"/>
          <w:sz w:val="24"/>
          <w:szCs w:val="24"/>
        </w:rPr>
        <w:t>Cyanobacteria bloom samples that are collected by DEP, or any of the other agency or local government staff, are sent to the DEP laboratory in Tallahassee, Florida</w:t>
      </w:r>
      <w:r w:rsidR="00510DEF">
        <w:rPr>
          <w:rFonts w:cstheme="minorHAnsi"/>
          <w:sz w:val="24"/>
          <w:szCs w:val="24"/>
        </w:rPr>
        <w:t xml:space="preserve"> for analysis</w:t>
      </w:r>
      <w:r>
        <w:rPr>
          <w:rFonts w:cstheme="minorHAnsi"/>
          <w:sz w:val="24"/>
          <w:szCs w:val="24"/>
        </w:rPr>
        <w:t xml:space="preserve">.  During the active bloom season, the samples are </w:t>
      </w:r>
      <w:r w:rsidR="00510DEF">
        <w:rPr>
          <w:rFonts w:cstheme="minorHAnsi"/>
          <w:sz w:val="24"/>
          <w:szCs w:val="24"/>
        </w:rPr>
        <w:t>analyzed,</w:t>
      </w:r>
      <w:r>
        <w:rPr>
          <w:rFonts w:cstheme="minorHAnsi"/>
          <w:sz w:val="24"/>
          <w:szCs w:val="24"/>
        </w:rPr>
        <w:t xml:space="preserve"> and the results are posted online within 3-4 days. During the cooler months when blooms are less common and less intense, the results are posted online weekly</w:t>
      </w:r>
      <w:r w:rsidR="00510DEF">
        <w:rPr>
          <w:rFonts w:cstheme="minorHAnsi"/>
          <w:sz w:val="24"/>
          <w:szCs w:val="24"/>
        </w:rPr>
        <w:t>.</w:t>
      </w:r>
    </w:p>
    <w:p w14:paraId="22921721" w14:textId="762C89BD" w:rsidR="008D6854" w:rsidRDefault="00510DEF" w:rsidP="00261885">
      <w:pPr>
        <w:rPr>
          <w:rFonts w:cstheme="minorHAnsi"/>
          <w:sz w:val="24"/>
          <w:szCs w:val="24"/>
          <w:u w:val="single"/>
        </w:rPr>
      </w:pPr>
      <w:r>
        <w:rPr>
          <w:rFonts w:cstheme="minorHAnsi"/>
          <w:sz w:val="24"/>
          <w:szCs w:val="24"/>
          <w:u w:val="single"/>
        </w:rPr>
        <w:t>Cyanobacteria Bloom Public Health Notification</w:t>
      </w:r>
      <w:r w:rsidR="001F36F5">
        <w:rPr>
          <w:rFonts w:cstheme="minorHAnsi"/>
          <w:sz w:val="24"/>
          <w:szCs w:val="24"/>
          <w:u w:val="single"/>
        </w:rPr>
        <w:t xml:space="preserve"> Thresholds for Recreational Waters</w:t>
      </w:r>
    </w:p>
    <w:p w14:paraId="5A7B1C65" w14:textId="69A4325D" w:rsidR="001F36F5" w:rsidRDefault="001F36F5" w:rsidP="00261885">
      <w:pPr>
        <w:rPr>
          <w:rFonts w:cstheme="minorHAnsi"/>
          <w:sz w:val="24"/>
          <w:szCs w:val="24"/>
        </w:rPr>
      </w:pPr>
      <w:bookmarkStart w:id="1" w:name="_Hlk74034957"/>
      <w:r>
        <w:rPr>
          <w:rFonts w:cstheme="minorHAnsi"/>
          <w:sz w:val="24"/>
          <w:szCs w:val="24"/>
        </w:rPr>
        <w:t xml:space="preserve">The DOH </w:t>
      </w:r>
      <w:bookmarkEnd w:id="1"/>
      <w:r>
        <w:rPr>
          <w:rFonts w:cstheme="minorHAnsi"/>
          <w:sz w:val="24"/>
          <w:szCs w:val="24"/>
        </w:rPr>
        <w:t xml:space="preserve">recommends that local county health departments use two cyanobacteria bloom thresholds as the basis for issuing public health notifications. </w:t>
      </w:r>
    </w:p>
    <w:p w14:paraId="5B2D1B8F" w14:textId="0110E357" w:rsidR="001F36F5" w:rsidRDefault="001F36F5" w:rsidP="001F36F5">
      <w:pPr>
        <w:pStyle w:val="ListParagraph"/>
        <w:numPr>
          <w:ilvl w:val="0"/>
          <w:numId w:val="2"/>
        </w:numPr>
        <w:rPr>
          <w:rFonts w:cstheme="minorHAnsi"/>
          <w:sz w:val="24"/>
          <w:szCs w:val="24"/>
        </w:rPr>
      </w:pPr>
      <w:r>
        <w:rPr>
          <w:rFonts w:cstheme="minorHAnsi"/>
          <w:sz w:val="24"/>
          <w:szCs w:val="24"/>
        </w:rPr>
        <w:t>The dominance or co-dominance of a cyanobacteria species in a sample collected from a waterbody</w:t>
      </w:r>
      <w:r w:rsidR="00B95411">
        <w:rPr>
          <w:rFonts w:cstheme="minorHAnsi"/>
          <w:sz w:val="24"/>
          <w:szCs w:val="24"/>
        </w:rPr>
        <w:t xml:space="preserve"> (indicating a bloom)</w:t>
      </w:r>
      <w:r>
        <w:rPr>
          <w:rFonts w:cstheme="minorHAnsi"/>
          <w:sz w:val="24"/>
          <w:szCs w:val="24"/>
        </w:rPr>
        <w:t xml:space="preserve">, </w:t>
      </w:r>
    </w:p>
    <w:p w14:paraId="7030226C" w14:textId="15D9CB84" w:rsidR="001F36F5" w:rsidRDefault="001F36F5" w:rsidP="001F36F5">
      <w:pPr>
        <w:pStyle w:val="ListParagraph"/>
        <w:numPr>
          <w:ilvl w:val="0"/>
          <w:numId w:val="2"/>
        </w:numPr>
        <w:rPr>
          <w:rFonts w:cstheme="minorHAnsi"/>
          <w:sz w:val="24"/>
          <w:szCs w:val="24"/>
        </w:rPr>
      </w:pPr>
      <w:r>
        <w:rPr>
          <w:rFonts w:cstheme="minorHAnsi"/>
          <w:sz w:val="24"/>
          <w:szCs w:val="24"/>
        </w:rPr>
        <w:t xml:space="preserve">The </w:t>
      </w:r>
      <w:bookmarkStart w:id="2" w:name="_Hlk74034965"/>
      <w:r>
        <w:rPr>
          <w:rFonts w:cstheme="minorHAnsi"/>
          <w:sz w:val="24"/>
          <w:szCs w:val="24"/>
        </w:rPr>
        <w:t>presence of any detectable levels of cyanotoxins in a sample collected from a waterbody</w:t>
      </w:r>
      <w:bookmarkEnd w:id="2"/>
      <w:r>
        <w:rPr>
          <w:rFonts w:cstheme="minorHAnsi"/>
          <w:sz w:val="24"/>
          <w:szCs w:val="24"/>
        </w:rPr>
        <w:t>.</w:t>
      </w:r>
    </w:p>
    <w:p w14:paraId="71ABC650" w14:textId="3AFE60A6" w:rsidR="001F36F5" w:rsidRPr="00D67CB5" w:rsidRDefault="001F36F5" w:rsidP="001F36F5">
      <w:pPr>
        <w:rPr>
          <w:sz w:val="24"/>
          <w:szCs w:val="24"/>
        </w:rPr>
      </w:pPr>
      <w:bookmarkStart w:id="3" w:name="_Hlk74034996"/>
      <w:r>
        <w:rPr>
          <w:rFonts w:cstheme="minorHAnsi"/>
          <w:sz w:val="24"/>
          <w:szCs w:val="24"/>
        </w:rPr>
        <w:lastRenderedPageBreak/>
        <w:t>The DOH, with concurrence of DEP staff and with input from members of Florida’s Blue Green Algae Task Force, has decided that it is most appropriate to use these very conservative thresholds over other published numeric cyanotoxin thresholds</w:t>
      </w:r>
      <w:bookmarkEnd w:id="3"/>
      <w:r>
        <w:rPr>
          <w:rFonts w:cstheme="minorHAnsi"/>
          <w:sz w:val="24"/>
          <w:szCs w:val="24"/>
        </w:rPr>
        <w:t xml:space="preserve">, such as those published by the United States Environmental Protection Agency (EPA) </w:t>
      </w:r>
      <w:r w:rsidRPr="00101EB0">
        <w:rPr>
          <w:rFonts w:cstheme="minorHAnsi"/>
          <w:sz w:val="24"/>
          <w:szCs w:val="24"/>
        </w:rPr>
        <w:t>(</w:t>
      </w:r>
      <w:hyperlink r:id="rId14" w:history="1">
        <w:r w:rsidR="009B37F1" w:rsidRPr="00D67CB5">
          <w:rPr>
            <w:rStyle w:val="Hyperlink"/>
            <w:sz w:val="24"/>
            <w:szCs w:val="24"/>
          </w:rPr>
          <w:t>Recommended Human Health Recreational Ambient Water Quality Criteria or Swimming Advisories for Microcystins and Cylindrospermopsin Documents | Water Quality Criteria | US EPA</w:t>
        </w:r>
      </w:hyperlink>
      <w:r w:rsidR="009B37F1" w:rsidRPr="00D67CB5">
        <w:rPr>
          <w:sz w:val="24"/>
          <w:szCs w:val="24"/>
        </w:rPr>
        <w:t xml:space="preserve">) or the World Health Organization (WHO) </w:t>
      </w:r>
      <w:r w:rsidR="00F1086E" w:rsidRPr="00D67CB5">
        <w:rPr>
          <w:sz w:val="24"/>
          <w:szCs w:val="24"/>
        </w:rPr>
        <w:t>(</w:t>
      </w:r>
      <w:hyperlink r:id="rId15" w:history="1">
        <w:r w:rsidR="00F1086E" w:rsidRPr="00D67CB5">
          <w:rPr>
            <w:rStyle w:val="Hyperlink"/>
            <w:sz w:val="24"/>
            <w:szCs w:val="24"/>
          </w:rPr>
          <w:t>https://apps.who.int/iris/bitstream/handle/10665/338066/WHO-HEP-ECH-WSH-2020.6-eng.pdf</w:t>
        </w:r>
      </w:hyperlink>
      <w:r w:rsidR="00F1086E" w:rsidRPr="00D67CB5">
        <w:rPr>
          <w:sz w:val="24"/>
          <w:szCs w:val="24"/>
        </w:rPr>
        <w:t xml:space="preserve">) </w:t>
      </w:r>
      <w:r w:rsidR="009B37F1" w:rsidRPr="00D67CB5">
        <w:rPr>
          <w:sz w:val="24"/>
          <w:szCs w:val="24"/>
        </w:rPr>
        <w:t>for several reasons</w:t>
      </w:r>
      <w:r w:rsidR="00AD717E" w:rsidRPr="00D67CB5">
        <w:rPr>
          <w:sz w:val="24"/>
          <w:szCs w:val="24"/>
        </w:rPr>
        <w:t>:</w:t>
      </w:r>
      <w:r w:rsidR="009B37F1" w:rsidRPr="00D67CB5">
        <w:rPr>
          <w:sz w:val="24"/>
          <w:szCs w:val="24"/>
        </w:rPr>
        <w:t xml:space="preserve"> </w:t>
      </w:r>
    </w:p>
    <w:p w14:paraId="67AB680A" w14:textId="68D7D474" w:rsidR="009B37F1" w:rsidRDefault="003700C3" w:rsidP="009B37F1">
      <w:pPr>
        <w:pStyle w:val="ListParagraph"/>
        <w:numPr>
          <w:ilvl w:val="0"/>
          <w:numId w:val="3"/>
        </w:numPr>
        <w:rPr>
          <w:rFonts w:cstheme="minorHAnsi"/>
          <w:sz w:val="24"/>
          <w:szCs w:val="24"/>
        </w:rPr>
      </w:pPr>
      <w:bookmarkStart w:id="4" w:name="_Hlk74035052"/>
      <w:r>
        <w:rPr>
          <w:rFonts w:cstheme="minorHAnsi"/>
          <w:sz w:val="24"/>
          <w:szCs w:val="24"/>
        </w:rPr>
        <w:t>The speed with which</w:t>
      </w:r>
      <w:r w:rsidR="009B37F1">
        <w:rPr>
          <w:rFonts w:cstheme="minorHAnsi"/>
          <w:sz w:val="24"/>
          <w:szCs w:val="24"/>
        </w:rPr>
        <w:t xml:space="preserve"> cyanobacteria blooms in Florida waters can form, concentrate, disperse, and migrate</w:t>
      </w:r>
      <w:r w:rsidR="0071018C">
        <w:rPr>
          <w:rFonts w:cstheme="minorHAnsi"/>
          <w:sz w:val="24"/>
          <w:szCs w:val="24"/>
        </w:rPr>
        <w:t>;</w:t>
      </w:r>
    </w:p>
    <w:p w14:paraId="5A90FF16" w14:textId="223482E5" w:rsidR="009B37F1" w:rsidRDefault="009B37F1" w:rsidP="009B37F1">
      <w:pPr>
        <w:pStyle w:val="ListParagraph"/>
        <w:numPr>
          <w:ilvl w:val="0"/>
          <w:numId w:val="3"/>
        </w:numPr>
        <w:rPr>
          <w:rFonts w:cstheme="minorHAnsi"/>
          <w:sz w:val="24"/>
          <w:szCs w:val="24"/>
        </w:rPr>
      </w:pPr>
      <w:r>
        <w:rPr>
          <w:rFonts w:cstheme="minorHAnsi"/>
          <w:sz w:val="24"/>
          <w:szCs w:val="24"/>
        </w:rPr>
        <w:t>The amount of time it takes to collect, ship, analyze, report, and disseminate algal bloom sample results</w:t>
      </w:r>
      <w:r w:rsidR="0071018C">
        <w:rPr>
          <w:rFonts w:cstheme="minorHAnsi"/>
          <w:sz w:val="24"/>
          <w:szCs w:val="24"/>
        </w:rPr>
        <w:t>;</w:t>
      </w:r>
    </w:p>
    <w:p w14:paraId="58F30567" w14:textId="136D71AC" w:rsidR="009B37F1" w:rsidRDefault="009B37F1" w:rsidP="009B37F1">
      <w:pPr>
        <w:pStyle w:val="ListParagraph"/>
        <w:numPr>
          <w:ilvl w:val="0"/>
          <w:numId w:val="3"/>
        </w:numPr>
        <w:rPr>
          <w:rFonts w:cstheme="minorHAnsi"/>
          <w:sz w:val="24"/>
          <w:szCs w:val="24"/>
        </w:rPr>
      </w:pPr>
      <w:r>
        <w:rPr>
          <w:rFonts w:cstheme="minorHAnsi"/>
          <w:sz w:val="24"/>
          <w:szCs w:val="24"/>
        </w:rPr>
        <w:t xml:space="preserve">The lack of </w:t>
      </w:r>
      <w:r w:rsidR="00F1086E">
        <w:rPr>
          <w:rFonts w:cstheme="minorHAnsi"/>
          <w:sz w:val="24"/>
          <w:szCs w:val="24"/>
        </w:rPr>
        <w:t xml:space="preserve">adequate </w:t>
      </w:r>
      <w:r>
        <w:rPr>
          <w:rFonts w:cstheme="minorHAnsi"/>
          <w:sz w:val="24"/>
          <w:szCs w:val="24"/>
        </w:rPr>
        <w:t xml:space="preserve">human health data for </w:t>
      </w:r>
      <w:proofErr w:type="gramStart"/>
      <w:r w:rsidR="0071018C">
        <w:rPr>
          <w:rFonts w:cstheme="minorHAnsi"/>
          <w:sz w:val="24"/>
          <w:szCs w:val="24"/>
        </w:rPr>
        <w:t>a large number of</w:t>
      </w:r>
      <w:proofErr w:type="gramEnd"/>
      <w:r w:rsidR="0071018C">
        <w:rPr>
          <w:rFonts w:cstheme="minorHAnsi"/>
          <w:sz w:val="24"/>
          <w:szCs w:val="24"/>
        </w:rPr>
        <w:t xml:space="preserve"> cyanotoxins </w:t>
      </w:r>
      <w:r w:rsidR="0071018C" w:rsidRPr="003700C3">
        <w:rPr>
          <w:rFonts w:cstheme="minorHAnsi"/>
          <w:sz w:val="24"/>
          <w:szCs w:val="24"/>
        </w:rPr>
        <w:t xml:space="preserve">that are </w:t>
      </w:r>
      <w:r w:rsidR="0071018C">
        <w:rPr>
          <w:rFonts w:cstheme="minorHAnsi"/>
          <w:sz w:val="24"/>
          <w:szCs w:val="24"/>
        </w:rPr>
        <w:t xml:space="preserve">known to potentially co-occur </w:t>
      </w:r>
      <w:r w:rsidR="0071018C" w:rsidRPr="003700C3">
        <w:rPr>
          <w:rFonts w:cstheme="minorHAnsi"/>
          <w:sz w:val="24"/>
          <w:szCs w:val="24"/>
        </w:rPr>
        <w:t>along</w:t>
      </w:r>
      <w:r w:rsidR="0071018C">
        <w:rPr>
          <w:rFonts w:cstheme="minorHAnsi"/>
          <w:sz w:val="24"/>
          <w:szCs w:val="24"/>
        </w:rPr>
        <w:t xml:space="preserve"> with </w:t>
      </w:r>
      <w:r w:rsidR="001D7B58">
        <w:rPr>
          <w:rFonts w:cstheme="minorHAnsi"/>
          <w:sz w:val="24"/>
          <w:szCs w:val="24"/>
        </w:rPr>
        <w:t xml:space="preserve">the limited number of </w:t>
      </w:r>
      <w:r w:rsidR="0071018C">
        <w:rPr>
          <w:rFonts w:cstheme="minorHAnsi"/>
          <w:sz w:val="24"/>
          <w:szCs w:val="24"/>
        </w:rPr>
        <w:t>cyanotoxins for which human health threshold</w:t>
      </w:r>
      <w:r w:rsidR="001D38CB">
        <w:rPr>
          <w:rFonts w:cstheme="minorHAnsi"/>
          <w:sz w:val="24"/>
          <w:szCs w:val="24"/>
        </w:rPr>
        <w:t>s</w:t>
      </w:r>
      <w:r w:rsidR="0071018C">
        <w:rPr>
          <w:rFonts w:cstheme="minorHAnsi"/>
          <w:sz w:val="24"/>
          <w:szCs w:val="24"/>
        </w:rPr>
        <w:t xml:space="preserve"> are available;</w:t>
      </w:r>
      <w:r w:rsidR="00BD3251">
        <w:rPr>
          <w:rFonts w:cstheme="minorHAnsi"/>
          <w:sz w:val="24"/>
          <w:szCs w:val="24"/>
        </w:rPr>
        <w:t xml:space="preserve"> and</w:t>
      </w:r>
    </w:p>
    <w:p w14:paraId="3A0FC183" w14:textId="0493F627" w:rsidR="0071018C" w:rsidRDefault="0071018C" w:rsidP="0071018C">
      <w:pPr>
        <w:pStyle w:val="ListParagraph"/>
        <w:numPr>
          <w:ilvl w:val="0"/>
          <w:numId w:val="3"/>
        </w:numPr>
        <w:rPr>
          <w:rFonts w:cstheme="minorHAnsi"/>
          <w:sz w:val="24"/>
          <w:szCs w:val="24"/>
        </w:rPr>
      </w:pPr>
      <w:r>
        <w:rPr>
          <w:rFonts w:cstheme="minorHAnsi"/>
          <w:sz w:val="24"/>
          <w:szCs w:val="24"/>
        </w:rPr>
        <w:t>The lack of commercially available analytical standards (used to quantify the level of cyanotoxin in the sample) for most cyanotoxins.</w:t>
      </w:r>
    </w:p>
    <w:bookmarkEnd w:id="4"/>
    <w:p w14:paraId="2F61665A" w14:textId="71EBE8CE" w:rsidR="00A73432" w:rsidRDefault="00D51851" w:rsidP="0071018C">
      <w:pPr>
        <w:rPr>
          <w:rFonts w:cstheme="minorHAnsi"/>
          <w:sz w:val="24"/>
          <w:szCs w:val="24"/>
        </w:rPr>
      </w:pPr>
      <w:r>
        <w:rPr>
          <w:rFonts w:cstheme="minorHAnsi"/>
          <w:sz w:val="24"/>
          <w:szCs w:val="24"/>
        </w:rPr>
        <w:t xml:space="preserve">Some cyanobacteria, like </w:t>
      </w:r>
      <w:r w:rsidRPr="00D51851">
        <w:rPr>
          <w:rFonts w:cstheme="minorHAnsi"/>
          <w:i/>
          <w:sz w:val="24"/>
          <w:szCs w:val="24"/>
        </w:rPr>
        <w:t>Microcystis aeruginosa</w:t>
      </w:r>
      <w:r w:rsidR="00A73432">
        <w:rPr>
          <w:rFonts w:cstheme="minorHAnsi"/>
          <w:i/>
          <w:sz w:val="24"/>
          <w:szCs w:val="24"/>
        </w:rPr>
        <w:t xml:space="preserve"> </w:t>
      </w:r>
      <w:r w:rsidR="00A73432">
        <w:rPr>
          <w:rFonts w:cstheme="minorHAnsi"/>
          <w:sz w:val="24"/>
          <w:szCs w:val="24"/>
        </w:rPr>
        <w:t>which is one of the most common cyanobacterial bloom species in Florida</w:t>
      </w:r>
      <w:r>
        <w:rPr>
          <w:rFonts w:cstheme="minorHAnsi"/>
          <w:sz w:val="24"/>
          <w:szCs w:val="24"/>
        </w:rPr>
        <w:t>, for</w:t>
      </w:r>
      <w:r w:rsidR="00A73432">
        <w:rPr>
          <w:rFonts w:cstheme="minorHAnsi"/>
          <w:sz w:val="24"/>
          <w:szCs w:val="24"/>
        </w:rPr>
        <w:t>m</w:t>
      </w:r>
      <w:r>
        <w:rPr>
          <w:rFonts w:cstheme="minorHAnsi"/>
          <w:sz w:val="24"/>
          <w:szCs w:val="24"/>
        </w:rPr>
        <w:t xml:space="preserve"> surface scums. These surface scums can accumulate through wind, current, and wave action and then dissipate over a period of hours.  This means that conditions that are present when the sampler </w:t>
      </w:r>
      <w:r w:rsidR="00A73432">
        <w:rPr>
          <w:rFonts w:cstheme="minorHAnsi"/>
          <w:sz w:val="24"/>
          <w:szCs w:val="24"/>
        </w:rPr>
        <w:t xml:space="preserve">collected </w:t>
      </w:r>
      <w:r w:rsidR="001D7B58">
        <w:rPr>
          <w:rFonts w:cstheme="minorHAnsi"/>
          <w:sz w:val="24"/>
          <w:szCs w:val="24"/>
        </w:rPr>
        <w:t>a given</w:t>
      </w:r>
      <w:r w:rsidR="00A73432">
        <w:rPr>
          <w:rFonts w:cstheme="minorHAnsi"/>
          <w:sz w:val="24"/>
          <w:szCs w:val="24"/>
        </w:rPr>
        <w:t xml:space="preserve"> sample may be very different than the conditions when a person visiting the water is deciding whether to recreate in and/or on the water. </w:t>
      </w:r>
      <w:r w:rsidR="00F1764A">
        <w:rPr>
          <w:rFonts w:cstheme="minorHAnsi"/>
          <w:sz w:val="24"/>
          <w:szCs w:val="24"/>
        </w:rPr>
        <w:t>It typically takes no less than 3 days to collect, ship, analyze, report, and post the results to the DEP webpage</w:t>
      </w:r>
      <w:r w:rsidR="001D7B58">
        <w:rPr>
          <w:rFonts w:cstheme="minorHAnsi"/>
          <w:sz w:val="24"/>
          <w:szCs w:val="24"/>
        </w:rPr>
        <w:t>, and s</w:t>
      </w:r>
      <w:r w:rsidR="00F1764A">
        <w:rPr>
          <w:rFonts w:cstheme="minorHAnsi"/>
          <w:sz w:val="24"/>
          <w:szCs w:val="24"/>
        </w:rPr>
        <w:t xml:space="preserve">ite conditions can change dramatically over that timeframe. </w:t>
      </w:r>
      <w:bookmarkStart w:id="5" w:name="_Hlk74035067"/>
      <w:r w:rsidR="00A73432">
        <w:rPr>
          <w:rFonts w:cstheme="minorHAnsi"/>
          <w:sz w:val="24"/>
          <w:szCs w:val="24"/>
        </w:rPr>
        <w:t xml:space="preserve">By basing the public health notifications on the simple presence of cyanobacteria or their toxins, rather than some specific numerical threshold, the DOH ensures that the public is protected even if conditions worsen.  </w:t>
      </w:r>
      <w:bookmarkEnd w:id="5"/>
    </w:p>
    <w:p w14:paraId="3B56F076" w14:textId="128B28F1" w:rsidR="0071018C" w:rsidRDefault="0071018C" w:rsidP="0071018C">
      <w:pPr>
        <w:rPr>
          <w:rFonts w:cstheme="minorHAnsi"/>
          <w:sz w:val="24"/>
          <w:szCs w:val="24"/>
        </w:rPr>
      </w:pPr>
      <w:r>
        <w:rPr>
          <w:rFonts w:cstheme="minorHAnsi"/>
          <w:sz w:val="24"/>
          <w:szCs w:val="24"/>
        </w:rPr>
        <w:t>Both the EPA</w:t>
      </w:r>
      <w:r w:rsidR="00D51851">
        <w:rPr>
          <w:rFonts w:cstheme="minorHAnsi"/>
          <w:sz w:val="24"/>
          <w:szCs w:val="24"/>
        </w:rPr>
        <w:t>’s</w:t>
      </w:r>
      <w:r>
        <w:rPr>
          <w:rFonts w:cstheme="minorHAnsi"/>
          <w:sz w:val="24"/>
          <w:szCs w:val="24"/>
        </w:rPr>
        <w:t xml:space="preserve"> and </w:t>
      </w:r>
      <w:r w:rsidR="00D51851">
        <w:rPr>
          <w:rFonts w:cstheme="minorHAnsi"/>
          <w:sz w:val="24"/>
          <w:szCs w:val="24"/>
        </w:rPr>
        <w:t xml:space="preserve">the </w:t>
      </w:r>
      <w:r>
        <w:rPr>
          <w:rFonts w:cstheme="minorHAnsi"/>
          <w:sz w:val="24"/>
          <w:szCs w:val="24"/>
        </w:rPr>
        <w:t>WHO</w:t>
      </w:r>
      <w:r w:rsidR="00D51851">
        <w:rPr>
          <w:rFonts w:cstheme="minorHAnsi"/>
          <w:sz w:val="24"/>
          <w:szCs w:val="24"/>
        </w:rPr>
        <w:t>’s</w:t>
      </w:r>
      <w:r>
        <w:rPr>
          <w:rFonts w:cstheme="minorHAnsi"/>
          <w:sz w:val="24"/>
          <w:szCs w:val="24"/>
        </w:rPr>
        <w:t xml:space="preserve"> recreational threshold for microcystins </w:t>
      </w:r>
      <w:r w:rsidR="00D51851">
        <w:rPr>
          <w:rFonts w:cstheme="minorHAnsi"/>
          <w:sz w:val="24"/>
          <w:szCs w:val="24"/>
        </w:rPr>
        <w:t>are</w:t>
      </w:r>
      <w:r>
        <w:rPr>
          <w:rFonts w:cstheme="minorHAnsi"/>
          <w:sz w:val="24"/>
          <w:szCs w:val="24"/>
        </w:rPr>
        <w:t xml:space="preserve"> based on </w:t>
      </w:r>
      <w:r w:rsidR="00D51851">
        <w:rPr>
          <w:rFonts w:cstheme="minorHAnsi"/>
          <w:sz w:val="24"/>
          <w:szCs w:val="24"/>
        </w:rPr>
        <w:t xml:space="preserve">decades old </w:t>
      </w:r>
      <w:r>
        <w:rPr>
          <w:rFonts w:cstheme="minorHAnsi"/>
          <w:sz w:val="24"/>
          <w:szCs w:val="24"/>
        </w:rPr>
        <w:t>toxicological data for only one microcystin congener, microcystin-LR (MC-LR). There have been approximately 250 microcystin congeners identified, and while many of these are believed to be less toxic than MC-LR, some of them are more toxic. The EPA and WHO thresholds simply assume that all congeners are equally toxic as MC-LR. The EPA’s recommended threshold</w:t>
      </w:r>
      <w:r w:rsidR="00D51851">
        <w:rPr>
          <w:rFonts w:cstheme="minorHAnsi"/>
          <w:sz w:val="24"/>
          <w:szCs w:val="24"/>
        </w:rPr>
        <w:t>s for microcystin apply whether the laboratory is measuring only MC-LR, a dozen</w:t>
      </w:r>
      <w:r w:rsidR="003700C3">
        <w:rPr>
          <w:rFonts w:cstheme="minorHAnsi"/>
          <w:sz w:val="24"/>
          <w:szCs w:val="24"/>
        </w:rPr>
        <w:t xml:space="preserve"> congeners</w:t>
      </w:r>
      <w:r w:rsidR="00D51851">
        <w:rPr>
          <w:rFonts w:cstheme="minorHAnsi"/>
          <w:sz w:val="24"/>
          <w:szCs w:val="24"/>
        </w:rPr>
        <w:t xml:space="preserve">, or </w:t>
      </w:r>
      <w:r w:rsidR="003700C3">
        <w:rPr>
          <w:rFonts w:cstheme="minorHAnsi"/>
          <w:sz w:val="24"/>
          <w:szCs w:val="24"/>
        </w:rPr>
        <w:t>whether they’re using a microcystin ELISA kit that measures the total of all microcystin congeners</w:t>
      </w:r>
      <w:r w:rsidR="00D51851">
        <w:rPr>
          <w:rFonts w:cstheme="minorHAnsi"/>
          <w:sz w:val="24"/>
          <w:szCs w:val="24"/>
        </w:rPr>
        <w:t>. As a result, laboratories could report values that are orders of magnitude different from each other</w:t>
      </w:r>
      <w:r w:rsidR="001D7B58">
        <w:rPr>
          <w:rFonts w:cstheme="minorHAnsi"/>
          <w:sz w:val="24"/>
          <w:szCs w:val="24"/>
        </w:rPr>
        <w:t xml:space="preserve"> for the same sample</w:t>
      </w:r>
      <w:r w:rsidR="00D51851">
        <w:rPr>
          <w:rFonts w:cstheme="minorHAnsi"/>
          <w:sz w:val="24"/>
          <w:szCs w:val="24"/>
        </w:rPr>
        <w:t>. Similarly, EPA guidance on collecting the samples is not pr</w:t>
      </w:r>
      <w:r w:rsidR="003700C3">
        <w:rPr>
          <w:rFonts w:cstheme="minorHAnsi"/>
          <w:sz w:val="24"/>
          <w:szCs w:val="24"/>
        </w:rPr>
        <w:t>e</w:t>
      </w:r>
      <w:r w:rsidR="00D51851">
        <w:rPr>
          <w:rFonts w:cstheme="minorHAnsi"/>
          <w:sz w:val="24"/>
          <w:szCs w:val="24"/>
        </w:rPr>
        <w:t>scriptive enough to guarantee that different sampling entities would collect samples that are equivalent, leading to the potential for conflicting public health messaging.</w:t>
      </w:r>
    </w:p>
    <w:p w14:paraId="47292C9B" w14:textId="11A0FE51" w:rsidR="00F8637C" w:rsidRDefault="00F8637C" w:rsidP="0071018C">
      <w:pPr>
        <w:rPr>
          <w:rFonts w:cstheme="minorHAnsi"/>
          <w:sz w:val="24"/>
          <w:szCs w:val="24"/>
        </w:rPr>
      </w:pPr>
    </w:p>
    <w:p w14:paraId="2B388610" w14:textId="62FBBEF8" w:rsidR="00261885" w:rsidRDefault="00F1764A" w:rsidP="00151A80">
      <w:pPr>
        <w:rPr>
          <w:rFonts w:cstheme="minorHAnsi"/>
          <w:sz w:val="24"/>
          <w:szCs w:val="24"/>
          <w:u w:val="single"/>
        </w:rPr>
      </w:pPr>
      <w:r>
        <w:rPr>
          <w:rFonts w:cstheme="minorHAnsi"/>
          <w:sz w:val="24"/>
          <w:szCs w:val="24"/>
          <w:u w:val="single"/>
        </w:rPr>
        <w:lastRenderedPageBreak/>
        <w:t>Communicating Cyanobacteria Bloom Results to the Local County Health Departments</w:t>
      </w:r>
    </w:p>
    <w:p w14:paraId="2D6EB4C0" w14:textId="7FAE6815" w:rsidR="00AC364D" w:rsidRPr="00D67CB5" w:rsidRDefault="00F1764A" w:rsidP="00D67CB5">
      <w:pPr>
        <w:rPr>
          <w:sz w:val="24"/>
          <w:szCs w:val="24"/>
        </w:rPr>
      </w:pPr>
      <w:r w:rsidRPr="00D67CB5">
        <w:rPr>
          <w:sz w:val="24"/>
          <w:szCs w:val="24"/>
        </w:rPr>
        <w:t xml:space="preserve">Staff at the DOH in Tallahassee, Florida review the DEP’s Algal Dashboard </w:t>
      </w:r>
      <w:r w:rsidR="00D75570" w:rsidRPr="00D67CB5">
        <w:rPr>
          <w:sz w:val="24"/>
          <w:szCs w:val="24"/>
        </w:rPr>
        <w:t xml:space="preserve">each morning </w:t>
      </w:r>
      <w:r w:rsidRPr="00D67CB5">
        <w:rPr>
          <w:sz w:val="24"/>
          <w:szCs w:val="24"/>
        </w:rPr>
        <w:t xml:space="preserve">for the most current analytical results.  </w:t>
      </w:r>
      <w:r w:rsidR="00D75570" w:rsidRPr="00D67CB5">
        <w:rPr>
          <w:sz w:val="24"/>
          <w:szCs w:val="24"/>
        </w:rPr>
        <w:t>An Excel spreadsheet is prepared that identifies waterbodies that have blooms present, whether cyanotoxins were detected, or have toxin results pending for each affected county.</w:t>
      </w:r>
      <w:r w:rsidR="00A24534" w:rsidRPr="00D67CB5">
        <w:rPr>
          <w:sz w:val="24"/>
          <w:szCs w:val="24"/>
        </w:rPr>
        <w:t xml:space="preserve"> </w:t>
      </w:r>
      <w:r w:rsidR="00D75570" w:rsidRPr="00D67CB5">
        <w:rPr>
          <w:sz w:val="24"/>
          <w:szCs w:val="24"/>
        </w:rPr>
        <w:t xml:space="preserve">The DOH </w:t>
      </w:r>
      <w:r w:rsidR="00DD327F" w:rsidRPr="00D67CB5">
        <w:rPr>
          <w:sz w:val="24"/>
          <w:szCs w:val="24"/>
        </w:rPr>
        <w:t>notification process</w:t>
      </w:r>
      <w:r w:rsidR="00AC364D" w:rsidRPr="00D67CB5">
        <w:rPr>
          <w:sz w:val="24"/>
          <w:szCs w:val="24"/>
        </w:rPr>
        <w:t xml:space="preserve"> was updated</w:t>
      </w:r>
      <w:r w:rsidR="00DD327F" w:rsidRPr="00D67CB5">
        <w:rPr>
          <w:sz w:val="24"/>
          <w:szCs w:val="24"/>
        </w:rPr>
        <w:t xml:space="preserve"> on May 27, 2021, based on feedback indicating that the </w:t>
      </w:r>
      <w:r w:rsidR="001D7B58" w:rsidRPr="00D67CB5">
        <w:rPr>
          <w:sz w:val="24"/>
          <w:szCs w:val="24"/>
        </w:rPr>
        <w:t xml:space="preserve">DOH’s </w:t>
      </w:r>
      <w:r w:rsidR="00AC364D" w:rsidRPr="00D67CB5">
        <w:rPr>
          <w:sz w:val="24"/>
          <w:szCs w:val="24"/>
        </w:rPr>
        <w:t>existing method of notifying HAB-related environmental conditions</w:t>
      </w:r>
      <w:r w:rsidR="00DD327F" w:rsidRPr="00D67CB5">
        <w:rPr>
          <w:sz w:val="24"/>
          <w:szCs w:val="24"/>
        </w:rPr>
        <w:t xml:space="preserve"> was not always consistent throughout the state. Previously, reliance was on signage at impacted locations. Now, the DOH asks </w:t>
      </w:r>
      <w:r w:rsidR="00D75570" w:rsidRPr="00D67CB5">
        <w:rPr>
          <w:sz w:val="24"/>
          <w:szCs w:val="24"/>
        </w:rPr>
        <w:t xml:space="preserve">that the local county health department issue a </w:t>
      </w:r>
      <w:r w:rsidR="00D75570" w:rsidRPr="00D67CB5">
        <w:rPr>
          <w:i/>
          <w:iCs/>
          <w:sz w:val="24"/>
          <w:szCs w:val="24"/>
        </w:rPr>
        <w:t>Caution</w:t>
      </w:r>
      <w:r w:rsidR="00D75570" w:rsidRPr="00D67CB5">
        <w:rPr>
          <w:sz w:val="24"/>
          <w:szCs w:val="24"/>
        </w:rPr>
        <w:t xml:space="preserve"> </w:t>
      </w:r>
      <w:r w:rsidR="00AC364D" w:rsidRPr="00D67CB5">
        <w:rPr>
          <w:sz w:val="24"/>
          <w:szCs w:val="24"/>
        </w:rPr>
        <w:t>n</w:t>
      </w:r>
      <w:r w:rsidR="00D75570" w:rsidRPr="00D67CB5">
        <w:rPr>
          <w:sz w:val="24"/>
          <w:szCs w:val="24"/>
        </w:rPr>
        <w:t xml:space="preserve">otification if cyanobacteria are </w:t>
      </w:r>
      <w:r w:rsidR="00406779" w:rsidRPr="00D67CB5">
        <w:rPr>
          <w:sz w:val="24"/>
          <w:szCs w:val="24"/>
        </w:rPr>
        <w:t xml:space="preserve">the </w:t>
      </w:r>
      <w:r w:rsidR="00D75570" w:rsidRPr="00D67CB5">
        <w:rPr>
          <w:sz w:val="24"/>
          <w:szCs w:val="24"/>
        </w:rPr>
        <w:t>dominant or co-dominant</w:t>
      </w:r>
      <w:r w:rsidR="00A008C3" w:rsidRPr="00D67CB5">
        <w:rPr>
          <w:sz w:val="24"/>
          <w:szCs w:val="24"/>
        </w:rPr>
        <w:t xml:space="preserve"> taxon/taxa</w:t>
      </w:r>
      <w:r w:rsidR="00B95411" w:rsidRPr="00D67CB5">
        <w:rPr>
          <w:sz w:val="24"/>
          <w:szCs w:val="24"/>
        </w:rPr>
        <w:t xml:space="preserve"> </w:t>
      </w:r>
      <w:r w:rsidR="00D75570" w:rsidRPr="00D67CB5">
        <w:rPr>
          <w:sz w:val="24"/>
          <w:szCs w:val="24"/>
        </w:rPr>
        <w:t>in the sample collected from the waterbody. The DOH</w:t>
      </w:r>
      <w:r w:rsidR="00AC364D" w:rsidRPr="00D67CB5">
        <w:rPr>
          <w:sz w:val="24"/>
          <w:szCs w:val="24"/>
        </w:rPr>
        <w:t xml:space="preserve"> state health office</w:t>
      </w:r>
      <w:r w:rsidR="00D75570" w:rsidRPr="00D67CB5">
        <w:rPr>
          <w:sz w:val="24"/>
          <w:szCs w:val="24"/>
        </w:rPr>
        <w:t xml:space="preserve"> </w:t>
      </w:r>
      <w:r w:rsidR="00AC364D" w:rsidRPr="00D67CB5">
        <w:rPr>
          <w:sz w:val="24"/>
          <w:szCs w:val="24"/>
        </w:rPr>
        <w:t>instructs</w:t>
      </w:r>
      <w:r w:rsidR="00D75570" w:rsidRPr="00D67CB5">
        <w:rPr>
          <w:sz w:val="24"/>
          <w:szCs w:val="24"/>
        </w:rPr>
        <w:t xml:space="preserve"> the local county health department </w:t>
      </w:r>
      <w:r w:rsidR="00AC364D" w:rsidRPr="00D67CB5">
        <w:rPr>
          <w:sz w:val="24"/>
          <w:szCs w:val="24"/>
        </w:rPr>
        <w:t xml:space="preserve">to </w:t>
      </w:r>
      <w:r w:rsidR="00D75570" w:rsidRPr="00D67CB5">
        <w:rPr>
          <w:sz w:val="24"/>
          <w:szCs w:val="24"/>
        </w:rPr>
        <w:t xml:space="preserve">issue a </w:t>
      </w:r>
      <w:r w:rsidR="00D75570" w:rsidRPr="00D67CB5">
        <w:rPr>
          <w:i/>
          <w:iCs/>
          <w:sz w:val="24"/>
          <w:szCs w:val="24"/>
        </w:rPr>
        <w:t>Health Alert</w:t>
      </w:r>
      <w:r w:rsidR="00D75570" w:rsidRPr="00D67CB5">
        <w:rPr>
          <w:sz w:val="24"/>
          <w:szCs w:val="24"/>
        </w:rPr>
        <w:t xml:space="preserve"> </w:t>
      </w:r>
      <w:r w:rsidR="00AC364D" w:rsidRPr="00D67CB5">
        <w:rPr>
          <w:sz w:val="24"/>
          <w:szCs w:val="24"/>
        </w:rPr>
        <w:t>n</w:t>
      </w:r>
      <w:r w:rsidR="00D75570" w:rsidRPr="00D67CB5">
        <w:rPr>
          <w:sz w:val="24"/>
          <w:szCs w:val="24"/>
        </w:rPr>
        <w:t xml:space="preserve">otification if cyanotoxins are detected in the sample collected from the waterbody. </w:t>
      </w:r>
      <w:r w:rsidR="00AC364D" w:rsidRPr="00D67CB5">
        <w:rPr>
          <w:sz w:val="24"/>
          <w:szCs w:val="24"/>
        </w:rPr>
        <w:t xml:space="preserve">While signage is not required, it may still be used if local stakeholder’s desire. </w:t>
      </w:r>
    </w:p>
    <w:p w14:paraId="5946EE0D" w14:textId="77777777" w:rsidR="00AC364D" w:rsidRPr="00A24534" w:rsidRDefault="00AC364D" w:rsidP="00AC364D">
      <w:pPr>
        <w:spacing w:after="0" w:line="240" w:lineRule="auto"/>
        <w:rPr>
          <w:rFonts w:ascii="Arial" w:hAnsi="Arial" w:cs="Arial"/>
          <w:sz w:val="24"/>
          <w:szCs w:val="24"/>
        </w:rPr>
      </w:pPr>
    </w:p>
    <w:p w14:paraId="17EA2B6E" w14:textId="0B1900F8" w:rsidR="00591B8B" w:rsidRPr="00AC364D" w:rsidRDefault="00AC364D" w:rsidP="00A24534">
      <w:pPr>
        <w:spacing w:after="0" w:line="240" w:lineRule="auto"/>
        <w:rPr>
          <w:rFonts w:cstheme="minorHAnsi"/>
          <w:sz w:val="24"/>
          <w:szCs w:val="24"/>
        </w:rPr>
      </w:pPr>
      <w:r w:rsidRPr="00AC364D">
        <w:rPr>
          <w:rFonts w:cstheme="minorHAnsi"/>
          <w:sz w:val="24"/>
          <w:szCs w:val="24"/>
        </w:rPr>
        <w:t>In summary:</w:t>
      </w:r>
      <w:r w:rsidR="00D75570" w:rsidRPr="00AC364D">
        <w:rPr>
          <w:rFonts w:cstheme="minorHAnsi"/>
          <w:sz w:val="24"/>
          <w:szCs w:val="24"/>
        </w:rPr>
        <w:t xml:space="preserve"> </w:t>
      </w:r>
    </w:p>
    <w:p w14:paraId="6BDBE229" w14:textId="6371E108" w:rsidR="00DD327F" w:rsidRPr="00A24534" w:rsidRDefault="00DD327F" w:rsidP="00AC364D">
      <w:pPr>
        <w:spacing w:after="0" w:line="240" w:lineRule="auto"/>
        <w:ind w:left="720"/>
        <w:rPr>
          <w:rFonts w:cstheme="minorHAnsi"/>
          <w:sz w:val="24"/>
          <w:szCs w:val="24"/>
        </w:rPr>
      </w:pPr>
      <w:r w:rsidRPr="00A24534">
        <w:rPr>
          <w:rFonts w:cstheme="minorHAnsi"/>
          <w:b/>
          <w:bCs/>
          <w:sz w:val="24"/>
          <w:szCs w:val="24"/>
        </w:rPr>
        <w:t xml:space="preserve">For a </w:t>
      </w:r>
      <w:r w:rsidRPr="00A24534">
        <w:rPr>
          <w:rFonts w:cstheme="minorHAnsi"/>
          <w:b/>
          <w:bCs/>
          <w:i/>
          <w:iCs/>
          <w:sz w:val="24"/>
          <w:szCs w:val="24"/>
        </w:rPr>
        <w:t>Caution</w:t>
      </w:r>
      <w:r w:rsidRPr="00A24534">
        <w:rPr>
          <w:rFonts w:cstheme="minorHAnsi"/>
          <w:sz w:val="24"/>
          <w:szCs w:val="24"/>
        </w:rPr>
        <w:t xml:space="preserve"> – the presence of a bloom constitutes a </w:t>
      </w:r>
      <w:r w:rsidRPr="00A24534">
        <w:rPr>
          <w:rFonts w:cstheme="minorHAnsi"/>
          <w:i/>
          <w:iCs/>
          <w:sz w:val="24"/>
          <w:szCs w:val="24"/>
        </w:rPr>
        <w:t>Caution</w:t>
      </w:r>
      <w:r w:rsidRPr="00A24534">
        <w:rPr>
          <w:rFonts w:cstheme="minorHAnsi"/>
          <w:sz w:val="24"/>
          <w:szCs w:val="24"/>
        </w:rPr>
        <w:t>. The CHD will follow established local alert notification procedures to notify the public.</w:t>
      </w:r>
    </w:p>
    <w:p w14:paraId="6D80386D" w14:textId="77777777" w:rsidR="00DD327F" w:rsidRPr="00A24534" w:rsidRDefault="00DD327F" w:rsidP="00AC364D">
      <w:pPr>
        <w:spacing w:after="0" w:line="240" w:lineRule="auto"/>
        <w:ind w:left="720"/>
        <w:rPr>
          <w:rFonts w:cstheme="minorHAnsi"/>
          <w:sz w:val="24"/>
          <w:szCs w:val="24"/>
        </w:rPr>
      </w:pPr>
    </w:p>
    <w:p w14:paraId="6B019F69" w14:textId="0168177E" w:rsidR="00DD327F" w:rsidRPr="00A24534" w:rsidRDefault="00DD327F" w:rsidP="00AC364D">
      <w:pPr>
        <w:spacing w:after="0" w:line="240" w:lineRule="auto"/>
        <w:ind w:left="720"/>
        <w:rPr>
          <w:rFonts w:cstheme="minorHAnsi"/>
          <w:sz w:val="24"/>
          <w:szCs w:val="24"/>
        </w:rPr>
      </w:pPr>
      <w:r w:rsidRPr="00A24534">
        <w:rPr>
          <w:rFonts w:cstheme="minorHAnsi"/>
          <w:b/>
          <w:bCs/>
          <w:sz w:val="24"/>
          <w:szCs w:val="24"/>
        </w:rPr>
        <w:t xml:space="preserve">For a </w:t>
      </w:r>
      <w:r w:rsidRPr="00A24534">
        <w:rPr>
          <w:rFonts w:cstheme="minorHAnsi"/>
          <w:b/>
          <w:bCs/>
          <w:i/>
          <w:iCs/>
          <w:sz w:val="24"/>
          <w:szCs w:val="24"/>
        </w:rPr>
        <w:t>Health Alert</w:t>
      </w:r>
      <w:r w:rsidRPr="00A24534">
        <w:rPr>
          <w:rFonts w:cstheme="minorHAnsi"/>
          <w:sz w:val="24"/>
          <w:szCs w:val="24"/>
        </w:rPr>
        <w:t xml:space="preserve"> – the presence of a toxin constitutes a </w:t>
      </w:r>
      <w:r w:rsidRPr="00A24534">
        <w:rPr>
          <w:rFonts w:cstheme="minorHAnsi"/>
          <w:i/>
          <w:iCs/>
          <w:sz w:val="24"/>
          <w:szCs w:val="24"/>
        </w:rPr>
        <w:t>Health Alert.</w:t>
      </w:r>
      <w:r w:rsidRPr="00A24534">
        <w:rPr>
          <w:rFonts w:cstheme="minorHAnsi"/>
          <w:sz w:val="24"/>
          <w:szCs w:val="24"/>
        </w:rPr>
        <w:t xml:space="preserve"> In addition to the above for the </w:t>
      </w:r>
      <w:r w:rsidR="009A0E6F" w:rsidRPr="00A24534">
        <w:rPr>
          <w:rFonts w:cstheme="minorHAnsi"/>
          <w:i/>
          <w:iCs/>
          <w:sz w:val="24"/>
          <w:szCs w:val="24"/>
        </w:rPr>
        <w:t>C</w:t>
      </w:r>
      <w:r w:rsidRPr="00A24534">
        <w:rPr>
          <w:rFonts w:cstheme="minorHAnsi"/>
          <w:i/>
          <w:iCs/>
          <w:sz w:val="24"/>
          <w:szCs w:val="24"/>
        </w:rPr>
        <w:t>aution</w:t>
      </w:r>
      <w:r w:rsidRPr="00A24534">
        <w:rPr>
          <w:rFonts w:cstheme="minorHAnsi"/>
          <w:sz w:val="24"/>
          <w:szCs w:val="24"/>
        </w:rPr>
        <w:t xml:space="preserve"> notification, the CHD will issue a press release. Press releases will be posted on  </w:t>
      </w:r>
      <w:hyperlink r:id="rId16" w:history="1">
        <w:r w:rsidRPr="00A24534">
          <w:rPr>
            <w:rStyle w:val="Hyperlink"/>
            <w:rFonts w:cstheme="minorHAnsi"/>
            <w:sz w:val="24"/>
            <w:szCs w:val="24"/>
          </w:rPr>
          <w:t>www.FLHealth.gov/HABNotifications</w:t>
        </w:r>
      </w:hyperlink>
      <w:r w:rsidRPr="00A24534">
        <w:rPr>
          <w:rFonts w:cstheme="minorHAnsi"/>
          <w:sz w:val="24"/>
          <w:szCs w:val="24"/>
        </w:rPr>
        <w:t>.</w:t>
      </w:r>
    </w:p>
    <w:p w14:paraId="384D7C0D" w14:textId="77777777" w:rsidR="00DD327F" w:rsidRPr="00A24534" w:rsidRDefault="00DD327F" w:rsidP="00AC364D">
      <w:pPr>
        <w:spacing w:after="0" w:line="240" w:lineRule="auto"/>
        <w:ind w:left="720"/>
        <w:rPr>
          <w:rFonts w:cstheme="minorHAnsi"/>
          <w:sz w:val="24"/>
          <w:szCs w:val="24"/>
        </w:rPr>
      </w:pPr>
    </w:p>
    <w:p w14:paraId="0F9CD0C6" w14:textId="492A0EF9" w:rsidR="00DD327F" w:rsidRPr="00A24534" w:rsidRDefault="00DD327F" w:rsidP="00AC364D">
      <w:pPr>
        <w:spacing w:after="0" w:line="240" w:lineRule="auto"/>
        <w:ind w:left="720"/>
        <w:rPr>
          <w:rFonts w:cstheme="minorHAnsi"/>
          <w:sz w:val="24"/>
          <w:szCs w:val="24"/>
        </w:rPr>
      </w:pPr>
      <w:r w:rsidRPr="00A24534">
        <w:rPr>
          <w:rFonts w:cstheme="minorHAnsi"/>
          <w:b/>
          <w:bCs/>
          <w:sz w:val="24"/>
          <w:szCs w:val="24"/>
        </w:rPr>
        <w:t xml:space="preserve">For a </w:t>
      </w:r>
      <w:r w:rsidRPr="00A24534">
        <w:rPr>
          <w:rFonts w:cstheme="minorHAnsi"/>
          <w:b/>
          <w:bCs/>
          <w:i/>
          <w:iCs/>
          <w:sz w:val="24"/>
          <w:szCs w:val="24"/>
        </w:rPr>
        <w:t>Lift Alert</w:t>
      </w:r>
      <w:r w:rsidRPr="00A24534">
        <w:rPr>
          <w:rFonts w:cstheme="minorHAnsi"/>
          <w:b/>
          <w:bCs/>
          <w:sz w:val="24"/>
          <w:szCs w:val="24"/>
        </w:rPr>
        <w:t xml:space="preserve"> </w:t>
      </w:r>
      <w:r w:rsidRPr="00A24534">
        <w:rPr>
          <w:rFonts w:cstheme="minorHAnsi"/>
          <w:sz w:val="24"/>
          <w:szCs w:val="24"/>
        </w:rPr>
        <w:t xml:space="preserve">– a </w:t>
      </w:r>
      <w:r w:rsidR="009A0E6F">
        <w:rPr>
          <w:rFonts w:cstheme="minorHAnsi"/>
          <w:i/>
          <w:iCs/>
          <w:sz w:val="24"/>
          <w:szCs w:val="24"/>
        </w:rPr>
        <w:t>H</w:t>
      </w:r>
      <w:r w:rsidRPr="00A24534">
        <w:rPr>
          <w:rFonts w:cstheme="minorHAnsi"/>
          <w:i/>
          <w:iCs/>
          <w:sz w:val="24"/>
          <w:szCs w:val="24"/>
        </w:rPr>
        <w:t xml:space="preserve">ealth </w:t>
      </w:r>
      <w:r w:rsidR="009A0E6F">
        <w:rPr>
          <w:rFonts w:cstheme="minorHAnsi"/>
          <w:i/>
          <w:iCs/>
          <w:sz w:val="24"/>
          <w:szCs w:val="24"/>
        </w:rPr>
        <w:t>A</w:t>
      </w:r>
      <w:r w:rsidRPr="00A24534">
        <w:rPr>
          <w:rFonts w:cstheme="minorHAnsi"/>
          <w:i/>
          <w:iCs/>
          <w:sz w:val="24"/>
          <w:szCs w:val="24"/>
        </w:rPr>
        <w:t>lert</w:t>
      </w:r>
      <w:r w:rsidRPr="00A24534">
        <w:rPr>
          <w:rFonts w:cstheme="minorHAnsi"/>
          <w:sz w:val="24"/>
          <w:szCs w:val="24"/>
        </w:rPr>
        <w:t xml:space="preserve"> is lifted once negative toxin analyses are obtained from DEP-coordinated resampling of the bloom, or 30 days have elapsed since the last sampling date. If a </w:t>
      </w:r>
      <w:r w:rsidR="009A0E6F">
        <w:rPr>
          <w:rFonts w:cstheme="minorHAnsi"/>
          <w:i/>
          <w:iCs/>
          <w:sz w:val="24"/>
          <w:szCs w:val="24"/>
        </w:rPr>
        <w:t>H</w:t>
      </w:r>
      <w:r w:rsidRPr="00A24534">
        <w:rPr>
          <w:rFonts w:cstheme="minorHAnsi"/>
          <w:i/>
          <w:iCs/>
          <w:sz w:val="24"/>
          <w:szCs w:val="24"/>
        </w:rPr>
        <w:t xml:space="preserve">ealth </w:t>
      </w:r>
      <w:r w:rsidR="009A0E6F">
        <w:rPr>
          <w:rFonts w:cstheme="minorHAnsi"/>
          <w:i/>
          <w:iCs/>
          <w:sz w:val="24"/>
          <w:szCs w:val="24"/>
        </w:rPr>
        <w:t>A</w:t>
      </w:r>
      <w:r w:rsidRPr="00A24534">
        <w:rPr>
          <w:rFonts w:cstheme="minorHAnsi"/>
          <w:i/>
          <w:iCs/>
          <w:sz w:val="24"/>
          <w:szCs w:val="24"/>
        </w:rPr>
        <w:t>lert</w:t>
      </w:r>
      <w:r w:rsidRPr="00A24534">
        <w:rPr>
          <w:rFonts w:cstheme="minorHAnsi"/>
          <w:sz w:val="24"/>
          <w:szCs w:val="24"/>
        </w:rPr>
        <w:t xml:space="preserve"> has been issued, the CHD can rescind</w:t>
      </w:r>
      <w:r w:rsidR="00F16A26" w:rsidRPr="00A24534">
        <w:rPr>
          <w:rFonts w:cstheme="minorHAnsi"/>
          <w:sz w:val="24"/>
          <w:szCs w:val="24"/>
        </w:rPr>
        <w:t xml:space="preserve"> it</w:t>
      </w:r>
      <w:r w:rsidRPr="00A24534">
        <w:rPr>
          <w:rFonts w:cstheme="minorHAnsi"/>
          <w:sz w:val="24"/>
          <w:szCs w:val="24"/>
        </w:rPr>
        <w:t xml:space="preserve"> at this time. A </w:t>
      </w:r>
      <w:r w:rsidR="009A0E6F">
        <w:rPr>
          <w:rFonts w:cstheme="minorHAnsi"/>
          <w:i/>
          <w:iCs/>
          <w:sz w:val="24"/>
          <w:szCs w:val="24"/>
        </w:rPr>
        <w:t>C</w:t>
      </w:r>
      <w:r w:rsidRPr="00A24534">
        <w:rPr>
          <w:rFonts w:cstheme="minorHAnsi"/>
          <w:i/>
          <w:iCs/>
          <w:sz w:val="24"/>
          <w:szCs w:val="24"/>
        </w:rPr>
        <w:t>aution</w:t>
      </w:r>
      <w:r w:rsidRPr="00A24534">
        <w:rPr>
          <w:rFonts w:cstheme="minorHAnsi"/>
          <w:sz w:val="24"/>
          <w:szCs w:val="24"/>
        </w:rPr>
        <w:t xml:space="preserve"> can remain in effect if blooms are present or throughout the bloom “season</w:t>
      </w:r>
      <w:r w:rsidR="00523BD8">
        <w:rPr>
          <w:rFonts w:cstheme="minorHAnsi"/>
          <w:sz w:val="24"/>
          <w:szCs w:val="24"/>
        </w:rPr>
        <w:t>.</w:t>
      </w:r>
      <w:r w:rsidRPr="00A24534">
        <w:rPr>
          <w:rFonts w:cstheme="minorHAnsi"/>
          <w:sz w:val="24"/>
          <w:szCs w:val="24"/>
        </w:rPr>
        <w:t>”</w:t>
      </w:r>
    </w:p>
    <w:p w14:paraId="0E01EB70" w14:textId="77777777" w:rsidR="00DD327F" w:rsidRPr="00DD327F" w:rsidRDefault="00DD327F" w:rsidP="00DD327F">
      <w:pPr>
        <w:spacing w:after="0" w:line="240" w:lineRule="auto"/>
        <w:rPr>
          <w:rFonts w:ascii="Arial" w:hAnsi="Arial" w:cs="Arial"/>
        </w:rPr>
      </w:pPr>
    </w:p>
    <w:p w14:paraId="3E190424" w14:textId="4D19294C" w:rsidR="00D75570" w:rsidRPr="00D75570" w:rsidRDefault="00D75570" w:rsidP="00151A80">
      <w:pPr>
        <w:rPr>
          <w:rFonts w:cstheme="minorHAnsi"/>
          <w:sz w:val="24"/>
          <w:szCs w:val="24"/>
          <w:u w:val="single"/>
        </w:rPr>
      </w:pPr>
      <w:r>
        <w:rPr>
          <w:rFonts w:cstheme="minorHAnsi"/>
          <w:sz w:val="24"/>
          <w:szCs w:val="24"/>
          <w:u w:val="single"/>
        </w:rPr>
        <w:t xml:space="preserve">Cyanobacteria Bloom </w:t>
      </w:r>
      <w:r w:rsidR="003A5F18">
        <w:rPr>
          <w:rFonts w:cstheme="minorHAnsi"/>
          <w:sz w:val="24"/>
          <w:szCs w:val="24"/>
          <w:u w:val="single"/>
        </w:rPr>
        <w:t>Outreach</w:t>
      </w:r>
    </w:p>
    <w:p w14:paraId="1CEC01A5" w14:textId="23AFA449" w:rsidR="0082385D" w:rsidRPr="0082385D" w:rsidRDefault="0082385D" w:rsidP="0082385D">
      <w:pPr>
        <w:rPr>
          <w:rFonts w:cstheme="minorHAnsi"/>
          <w:sz w:val="24"/>
          <w:szCs w:val="24"/>
        </w:rPr>
      </w:pPr>
      <w:r w:rsidRPr="0082385D">
        <w:rPr>
          <w:rFonts w:cstheme="minorHAnsi"/>
          <w:sz w:val="24"/>
          <w:szCs w:val="24"/>
        </w:rPr>
        <w:t>A wide variety of materials are being used to raise awareness about HABs in Florida</w:t>
      </w:r>
      <w:r w:rsidR="00C1362C">
        <w:rPr>
          <w:rFonts w:cstheme="minorHAnsi"/>
          <w:sz w:val="24"/>
          <w:szCs w:val="24"/>
        </w:rPr>
        <w:t xml:space="preserve"> from multiple stakeholders</w:t>
      </w:r>
      <w:r w:rsidRPr="0082385D">
        <w:rPr>
          <w:rFonts w:cstheme="minorHAnsi"/>
          <w:sz w:val="24"/>
          <w:szCs w:val="24"/>
        </w:rPr>
        <w:t>, including:</w:t>
      </w:r>
    </w:p>
    <w:p w14:paraId="2507CEC4" w14:textId="3F7CB97A" w:rsidR="0082385D" w:rsidRPr="0082385D" w:rsidRDefault="0082385D" w:rsidP="00A008C3">
      <w:pPr>
        <w:pStyle w:val="ListParagraph"/>
        <w:numPr>
          <w:ilvl w:val="0"/>
          <w:numId w:val="4"/>
        </w:numPr>
        <w:rPr>
          <w:rFonts w:cstheme="minorHAnsi"/>
          <w:sz w:val="24"/>
          <w:szCs w:val="24"/>
        </w:rPr>
      </w:pPr>
      <w:r>
        <w:rPr>
          <w:rFonts w:cstheme="minorHAnsi"/>
          <w:sz w:val="24"/>
          <w:szCs w:val="24"/>
        </w:rPr>
        <w:t>P</w:t>
      </w:r>
      <w:r w:rsidRPr="0082385D">
        <w:rPr>
          <w:rFonts w:cstheme="minorHAnsi"/>
          <w:sz w:val="24"/>
          <w:szCs w:val="24"/>
        </w:rPr>
        <w:t xml:space="preserve">rint materials—brochure, leaﬂet, poster, infographic, sign or billboard, fact sheet, </w:t>
      </w:r>
      <w:r w:rsidR="00C1362C">
        <w:rPr>
          <w:rFonts w:cstheme="minorHAnsi"/>
          <w:sz w:val="24"/>
          <w:szCs w:val="24"/>
        </w:rPr>
        <w:t xml:space="preserve">door hangers, </w:t>
      </w:r>
      <w:r w:rsidRPr="0082385D">
        <w:rPr>
          <w:rFonts w:cstheme="minorHAnsi"/>
          <w:sz w:val="24"/>
          <w:szCs w:val="24"/>
        </w:rPr>
        <w:t>information</w:t>
      </w:r>
      <w:r w:rsidR="00C1362C">
        <w:rPr>
          <w:rFonts w:cstheme="minorHAnsi"/>
          <w:sz w:val="24"/>
          <w:szCs w:val="24"/>
        </w:rPr>
        <w:t>al wallet</w:t>
      </w:r>
      <w:r w:rsidRPr="0082385D">
        <w:rPr>
          <w:rFonts w:cstheme="minorHAnsi"/>
          <w:sz w:val="24"/>
          <w:szCs w:val="24"/>
        </w:rPr>
        <w:t xml:space="preserve"> card, newsletter, press kit (media package), column in newspaper, magazine, or scientiﬁc journal;</w:t>
      </w:r>
    </w:p>
    <w:p w14:paraId="3793F50B" w14:textId="3943EC23" w:rsidR="0082385D" w:rsidRPr="0082385D" w:rsidRDefault="0082385D" w:rsidP="00A008C3">
      <w:pPr>
        <w:pStyle w:val="ListParagraph"/>
        <w:numPr>
          <w:ilvl w:val="0"/>
          <w:numId w:val="4"/>
        </w:numPr>
        <w:rPr>
          <w:rFonts w:cstheme="minorHAnsi"/>
          <w:sz w:val="24"/>
          <w:szCs w:val="24"/>
        </w:rPr>
      </w:pPr>
      <w:r>
        <w:rPr>
          <w:rFonts w:cstheme="minorHAnsi"/>
          <w:sz w:val="24"/>
          <w:szCs w:val="24"/>
        </w:rPr>
        <w:t>P</w:t>
      </w:r>
      <w:r w:rsidRPr="0082385D">
        <w:rPr>
          <w:rFonts w:cstheme="minorHAnsi"/>
          <w:sz w:val="24"/>
          <w:szCs w:val="24"/>
        </w:rPr>
        <w:t>resentations or training materials—slide presentation, poster presentation, curriculum or lesson plan, speech, guidelines, manual, text, or reference book;</w:t>
      </w:r>
    </w:p>
    <w:p w14:paraId="422C778B" w14:textId="60DBF938" w:rsidR="0082385D" w:rsidRPr="0082385D" w:rsidRDefault="0082385D" w:rsidP="00A008C3">
      <w:pPr>
        <w:pStyle w:val="ListParagraph"/>
        <w:numPr>
          <w:ilvl w:val="0"/>
          <w:numId w:val="4"/>
        </w:numPr>
        <w:rPr>
          <w:rFonts w:cstheme="minorHAnsi"/>
          <w:sz w:val="24"/>
          <w:szCs w:val="24"/>
        </w:rPr>
      </w:pPr>
      <w:r>
        <w:rPr>
          <w:rFonts w:cstheme="minorHAnsi"/>
          <w:sz w:val="24"/>
          <w:szCs w:val="24"/>
        </w:rPr>
        <w:t>M</w:t>
      </w:r>
      <w:r w:rsidRPr="0082385D">
        <w:rPr>
          <w:rFonts w:cstheme="minorHAnsi"/>
          <w:sz w:val="24"/>
          <w:szCs w:val="24"/>
        </w:rPr>
        <w:t>ultimedia—website, social media campaigns with frequent updates, online map, hotline, emailing list, public service announcement or interview on TV, newspaper, radio, video; and</w:t>
      </w:r>
    </w:p>
    <w:p w14:paraId="725D0DA8" w14:textId="5A5A79C9" w:rsidR="0082385D" w:rsidRDefault="0082385D" w:rsidP="00A008C3">
      <w:pPr>
        <w:pStyle w:val="ListParagraph"/>
        <w:numPr>
          <w:ilvl w:val="0"/>
          <w:numId w:val="4"/>
        </w:numPr>
        <w:rPr>
          <w:rFonts w:cstheme="minorHAnsi"/>
          <w:sz w:val="24"/>
          <w:szCs w:val="24"/>
        </w:rPr>
      </w:pPr>
      <w:r>
        <w:rPr>
          <w:rFonts w:cstheme="minorHAnsi"/>
          <w:sz w:val="24"/>
          <w:szCs w:val="24"/>
        </w:rPr>
        <w:t>P</w:t>
      </w:r>
      <w:r w:rsidRPr="0082385D">
        <w:rPr>
          <w:rFonts w:cstheme="minorHAnsi"/>
          <w:sz w:val="24"/>
          <w:szCs w:val="24"/>
        </w:rPr>
        <w:t>romotional materials/events—button, T-shirt, sticker, magnet, frisbee, pen or pencil, health fair display, museum display.</w:t>
      </w:r>
    </w:p>
    <w:p w14:paraId="0962278E" w14:textId="12423F29" w:rsidR="00DF53F0" w:rsidRPr="00DF53F0" w:rsidRDefault="00DF53F0" w:rsidP="00151A80">
      <w:pPr>
        <w:rPr>
          <w:rFonts w:cstheme="minorHAnsi"/>
          <w:sz w:val="24"/>
          <w:szCs w:val="24"/>
          <w:u w:val="single"/>
        </w:rPr>
      </w:pPr>
      <w:r w:rsidRPr="00DF53F0">
        <w:rPr>
          <w:rFonts w:cstheme="minorHAnsi"/>
          <w:sz w:val="24"/>
          <w:szCs w:val="24"/>
          <w:u w:val="single"/>
        </w:rPr>
        <w:lastRenderedPageBreak/>
        <w:t>FWC/DOH</w:t>
      </w:r>
      <w:r w:rsidR="00097C78">
        <w:rPr>
          <w:rFonts w:cstheme="minorHAnsi"/>
          <w:sz w:val="24"/>
          <w:szCs w:val="24"/>
          <w:u w:val="single"/>
        </w:rPr>
        <w:t xml:space="preserve"> P</w:t>
      </w:r>
      <w:r w:rsidRPr="00DF53F0">
        <w:rPr>
          <w:rFonts w:cstheme="minorHAnsi"/>
          <w:sz w:val="24"/>
          <w:szCs w:val="24"/>
          <w:u w:val="single"/>
        </w:rPr>
        <w:t xml:space="preserve">ublic </w:t>
      </w:r>
      <w:r w:rsidR="00097C78">
        <w:rPr>
          <w:rFonts w:cstheme="minorHAnsi"/>
          <w:sz w:val="24"/>
          <w:szCs w:val="24"/>
          <w:u w:val="single"/>
        </w:rPr>
        <w:t>H</w:t>
      </w:r>
      <w:r w:rsidRPr="00DF53F0">
        <w:rPr>
          <w:rFonts w:cstheme="minorHAnsi"/>
          <w:sz w:val="24"/>
          <w:szCs w:val="24"/>
          <w:u w:val="single"/>
        </w:rPr>
        <w:t xml:space="preserve">ealth </w:t>
      </w:r>
      <w:r w:rsidR="00097C78">
        <w:rPr>
          <w:rFonts w:cstheme="minorHAnsi"/>
          <w:sz w:val="24"/>
          <w:szCs w:val="24"/>
          <w:u w:val="single"/>
        </w:rPr>
        <w:t>G</w:t>
      </w:r>
      <w:r w:rsidRPr="00DF53F0">
        <w:rPr>
          <w:rFonts w:cstheme="minorHAnsi"/>
          <w:sz w:val="24"/>
          <w:szCs w:val="24"/>
          <w:u w:val="single"/>
        </w:rPr>
        <w:t xml:space="preserve">uidance </w:t>
      </w:r>
      <w:r w:rsidR="00097C78">
        <w:rPr>
          <w:rFonts w:cstheme="minorHAnsi"/>
          <w:sz w:val="24"/>
          <w:szCs w:val="24"/>
          <w:u w:val="single"/>
        </w:rPr>
        <w:t>D</w:t>
      </w:r>
      <w:r w:rsidRPr="00DF53F0">
        <w:rPr>
          <w:rFonts w:cstheme="minorHAnsi"/>
          <w:sz w:val="24"/>
          <w:szCs w:val="24"/>
          <w:u w:val="single"/>
        </w:rPr>
        <w:t>ocument for HABs</w:t>
      </w:r>
    </w:p>
    <w:p w14:paraId="4DC024FD" w14:textId="44FC275A" w:rsidR="006706D9" w:rsidRDefault="00DD74CA" w:rsidP="001F2542">
      <w:pPr>
        <w:tabs>
          <w:tab w:val="left" w:pos="8820"/>
        </w:tabs>
        <w:rPr>
          <w:sz w:val="24"/>
          <w:szCs w:val="24"/>
        </w:rPr>
      </w:pPr>
      <w:r w:rsidRPr="00DD74CA">
        <w:rPr>
          <w:rFonts w:cstheme="minorHAnsi"/>
          <w:color w:val="212121"/>
          <w:sz w:val="24"/>
          <w:szCs w:val="24"/>
        </w:rPr>
        <w:t xml:space="preserve">In addition to notifying the local county health departments about cyanobacteria bloom conditions, the DOH and the FWC, with assistance from the Florida Harmful Algal Bloom Task Force Public Health Technical Panel, developed a document entitled </w:t>
      </w:r>
      <w:r w:rsidR="00523BD8">
        <w:rPr>
          <w:rFonts w:cstheme="minorHAnsi"/>
          <w:color w:val="212121"/>
          <w:sz w:val="24"/>
          <w:szCs w:val="24"/>
        </w:rPr>
        <w:t>“</w:t>
      </w:r>
      <w:r w:rsidRPr="00DD74CA">
        <w:rPr>
          <w:sz w:val="24"/>
          <w:szCs w:val="24"/>
        </w:rPr>
        <w:t>Resource Guide for Public Health Response to Harmful Algal Blooms in Florida</w:t>
      </w:r>
      <w:r w:rsidR="00523BD8">
        <w:rPr>
          <w:sz w:val="24"/>
          <w:szCs w:val="24"/>
        </w:rPr>
        <w:t>”</w:t>
      </w:r>
      <w:r w:rsidRPr="00DD74CA">
        <w:rPr>
          <w:sz w:val="24"/>
          <w:szCs w:val="24"/>
        </w:rPr>
        <w:t xml:space="preserve"> was </w:t>
      </w:r>
      <w:r w:rsidR="00DC41F6">
        <w:rPr>
          <w:sz w:val="24"/>
          <w:szCs w:val="24"/>
        </w:rPr>
        <w:t xml:space="preserve">originally </w:t>
      </w:r>
      <w:r w:rsidRPr="00DD74CA">
        <w:rPr>
          <w:sz w:val="24"/>
          <w:szCs w:val="24"/>
        </w:rPr>
        <w:t>published in 2009</w:t>
      </w:r>
      <w:r w:rsidR="00DC41F6">
        <w:rPr>
          <w:sz w:val="24"/>
          <w:szCs w:val="24"/>
        </w:rPr>
        <w:t xml:space="preserve"> and has recently been revised in 2021 (</w:t>
      </w:r>
      <w:hyperlink r:id="rId17" w:history="1">
        <w:r w:rsidR="00DC41F6" w:rsidRPr="00DC41F6">
          <w:rPr>
            <w:rStyle w:val="Hyperlink"/>
            <w:sz w:val="24"/>
            <w:szCs w:val="24"/>
          </w:rPr>
          <w:t>https://f50006a.eos-intl.net/F50006A/OPAC/Details/Record.aspx?BibCode=5544705</w:t>
        </w:r>
      </w:hyperlink>
      <w:r w:rsidR="00DC41F6">
        <w:rPr>
          <w:sz w:val="24"/>
          <w:szCs w:val="24"/>
        </w:rPr>
        <w:t>)</w:t>
      </w:r>
      <w:r w:rsidRPr="00DD74CA">
        <w:rPr>
          <w:sz w:val="24"/>
          <w:szCs w:val="24"/>
        </w:rPr>
        <w:t>. This documen</w:t>
      </w:r>
      <w:r>
        <w:t>t</w:t>
      </w:r>
      <w:r w:rsidR="00DC41F6">
        <w:t xml:space="preserve"> </w:t>
      </w:r>
      <w:r w:rsidRPr="00A008C3">
        <w:rPr>
          <w:sz w:val="24"/>
          <w:szCs w:val="24"/>
        </w:rPr>
        <w:t xml:space="preserve">provides a wealth of information </w:t>
      </w:r>
      <w:r w:rsidR="0023020D" w:rsidRPr="00A008C3">
        <w:rPr>
          <w:sz w:val="24"/>
          <w:szCs w:val="24"/>
        </w:rPr>
        <w:t xml:space="preserve">and guidance </w:t>
      </w:r>
      <w:r w:rsidRPr="00A008C3">
        <w:rPr>
          <w:sz w:val="24"/>
          <w:szCs w:val="24"/>
        </w:rPr>
        <w:t>for local county health department staff</w:t>
      </w:r>
      <w:r w:rsidR="00F8637C" w:rsidRPr="00A008C3">
        <w:rPr>
          <w:sz w:val="24"/>
          <w:szCs w:val="24"/>
        </w:rPr>
        <w:t xml:space="preserve"> to use in their response to local harmful algal bloom issues</w:t>
      </w:r>
      <w:r w:rsidR="00DC41F6">
        <w:rPr>
          <w:sz w:val="24"/>
          <w:szCs w:val="24"/>
        </w:rPr>
        <w:t xml:space="preserve"> (see Table of Contents below)</w:t>
      </w:r>
      <w:r w:rsidR="00F8637C" w:rsidRPr="00A008C3">
        <w:rPr>
          <w:sz w:val="24"/>
          <w:szCs w:val="24"/>
        </w:rPr>
        <w:t>.</w:t>
      </w:r>
    </w:p>
    <w:p w14:paraId="0CDACB4C" w14:textId="71F4C277" w:rsidR="00D21BF3" w:rsidRPr="00D67CB5" w:rsidRDefault="00D21BF3" w:rsidP="00D21BF3">
      <w:pPr>
        <w:rPr>
          <w:b/>
          <w:bCs/>
          <w:i/>
          <w:iCs/>
          <w:sz w:val="24"/>
          <w:szCs w:val="24"/>
        </w:rPr>
      </w:pPr>
      <w:r w:rsidRPr="00D67CB5">
        <w:rPr>
          <w:b/>
          <w:bCs/>
          <w:i/>
          <w:iCs/>
          <w:sz w:val="24"/>
          <w:szCs w:val="24"/>
        </w:rPr>
        <w:t>Contents</w:t>
      </w:r>
    </w:p>
    <w:p w14:paraId="40B5C96C" w14:textId="17270828" w:rsidR="00D21BF3" w:rsidRPr="00D21BF3" w:rsidRDefault="00D21BF3" w:rsidP="00D21BF3">
      <w:pPr>
        <w:rPr>
          <w:sz w:val="24"/>
          <w:szCs w:val="24"/>
        </w:rPr>
      </w:pPr>
      <w:r w:rsidRPr="00D21BF3">
        <w:rPr>
          <w:sz w:val="24"/>
          <w:szCs w:val="24"/>
        </w:rPr>
        <w:t>Acknowledgments</w:t>
      </w:r>
      <w:r w:rsidR="001F2542">
        <w:rPr>
          <w:sz w:val="24"/>
          <w:szCs w:val="24"/>
        </w:rPr>
        <w:t xml:space="preserve">. </w:t>
      </w:r>
      <w:r w:rsidRPr="00D21BF3">
        <w:rPr>
          <w:sz w:val="24"/>
          <w:szCs w:val="24"/>
        </w:rPr>
        <w:t>. . . . . . . . . . . . . . . . . . . . . . . . . . . . . . . . . . . . . . . . . . . . . . . . . . . . . . . . . . . vi</w:t>
      </w:r>
    </w:p>
    <w:p w14:paraId="18FD1186" w14:textId="032A7D46" w:rsidR="00D21BF3" w:rsidRPr="00D21BF3" w:rsidRDefault="00D21BF3" w:rsidP="00D21BF3">
      <w:pPr>
        <w:rPr>
          <w:sz w:val="24"/>
          <w:szCs w:val="24"/>
        </w:rPr>
      </w:pPr>
      <w:r w:rsidRPr="00D21BF3">
        <w:rPr>
          <w:sz w:val="24"/>
          <w:szCs w:val="24"/>
        </w:rPr>
        <w:t>Report Authors and Contributors</w:t>
      </w:r>
      <w:r w:rsidR="001F2542">
        <w:rPr>
          <w:sz w:val="24"/>
          <w:szCs w:val="24"/>
        </w:rPr>
        <w:t>.</w:t>
      </w:r>
      <w:r w:rsidRPr="00D21BF3">
        <w:rPr>
          <w:sz w:val="24"/>
          <w:szCs w:val="24"/>
        </w:rPr>
        <w:t>. . . . . . . . . . . . . . . . . . . . . . . . . . . . . . . . . . . . . . . . . . . . . . . vi</w:t>
      </w:r>
    </w:p>
    <w:p w14:paraId="3F95FAA0" w14:textId="10149FAE" w:rsidR="00D21BF3" w:rsidRPr="00D21BF3" w:rsidRDefault="00D21BF3" w:rsidP="001F2542">
      <w:pPr>
        <w:tabs>
          <w:tab w:val="left" w:pos="8820"/>
        </w:tabs>
        <w:rPr>
          <w:sz w:val="24"/>
          <w:szCs w:val="24"/>
        </w:rPr>
      </w:pPr>
      <w:r w:rsidRPr="00D21BF3">
        <w:rPr>
          <w:sz w:val="24"/>
          <w:szCs w:val="24"/>
        </w:rPr>
        <w:t>Executive Summary</w:t>
      </w:r>
      <w:r w:rsidR="001F2542">
        <w:rPr>
          <w:sz w:val="24"/>
          <w:szCs w:val="24"/>
        </w:rPr>
        <w:t>.</w:t>
      </w:r>
      <w:r w:rsidRPr="00D21BF3">
        <w:rPr>
          <w:sz w:val="24"/>
          <w:szCs w:val="24"/>
        </w:rPr>
        <w:t>. . . . . . . . . . . . . . . . . . . . . . . . . . . . . . . . . . . . . . . . . . . . . . . . . . .</w:t>
      </w:r>
      <w:r>
        <w:rPr>
          <w:sz w:val="24"/>
          <w:szCs w:val="24"/>
        </w:rPr>
        <w:t xml:space="preserve"> .</w:t>
      </w:r>
      <w:r w:rsidRPr="00D21BF3">
        <w:rPr>
          <w:sz w:val="24"/>
          <w:szCs w:val="24"/>
        </w:rPr>
        <w:t xml:space="preserve"> . . . . . . vii</w:t>
      </w:r>
    </w:p>
    <w:p w14:paraId="77BCA7C2" w14:textId="3F27124C" w:rsidR="00D21BF3" w:rsidRPr="00D21BF3" w:rsidRDefault="00D21BF3" w:rsidP="001F2542">
      <w:pPr>
        <w:tabs>
          <w:tab w:val="left" w:pos="8820"/>
        </w:tabs>
        <w:rPr>
          <w:sz w:val="24"/>
          <w:szCs w:val="24"/>
        </w:rPr>
      </w:pPr>
      <w:r w:rsidRPr="00D21BF3">
        <w:rPr>
          <w:sz w:val="24"/>
          <w:szCs w:val="24"/>
        </w:rPr>
        <w:t>Chapter 1: Harmful Algal Blooms</w:t>
      </w:r>
      <w:r w:rsidR="001F2542">
        <w:rPr>
          <w:sz w:val="24"/>
          <w:szCs w:val="24"/>
        </w:rPr>
        <w:t>.</w:t>
      </w:r>
      <w:r w:rsidRPr="00D21BF3">
        <w:rPr>
          <w:sz w:val="24"/>
          <w:szCs w:val="24"/>
        </w:rPr>
        <w:t xml:space="preserve">. . . . . . . . . . . . . . . . . . . . . . . . . . . . . . . . . . . . . . . </w:t>
      </w:r>
      <w:r>
        <w:rPr>
          <w:sz w:val="24"/>
          <w:szCs w:val="24"/>
        </w:rPr>
        <w:t xml:space="preserve">. . </w:t>
      </w:r>
      <w:r w:rsidRPr="00D21BF3">
        <w:rPr>
          <w:sz w:val="24"/>
          <w:szCs w:val="24"/>
        </w:rPr>
        <w:t>. . . . . . . 1</w:t>
      </w:r>
    </w:p>
    <w:p w14:paraId="1B7CC34D" w14:textId="612BA39C" w:rsidR="00D21BF3" w:rsidRPr="00D21BF3" w:rsidRDefault="00D21BF3" w:rsidP="008D24FC">
      <w:pPr>
        <w:rPr>
          <w:sz w:val="24"/>
          <w:szCs w:val="24"/>
        </w:rPr>
      </w:pPr>
      <w:r w:rsidRPr="00D21BF3">
        <w:rPr>
          <w:sz w:val="24"/>
          <w:szCs w:val="24"/>
        </w:rPr>
        <w:t>Authorship. . . . . . . . . . . . . . . . . . . . . . . . . . . . . . . . . . . . . . . . . . . . . . . . . . . . . . . . . .</w:t>
      </w:r>
      <w:r>
        <w:rPr>
          <w:sz w:val="24"/>
          <w:szCs w:val="24"/>
        </w:rPr>
        <w:t xml:space="preserve"> . . . .</w:t>
      </w:r>
      <w:r w:rsidRPr="00D21BF3">
        <w:rPr>
          <w:sz w:val="24"/>
          <w:szCs w:val="24"/>
        </w:rPr>
        <w:t xml:space="preserve"> . . . </w:t>
      </w:r>
      <w:r>
        <w:rPr>
          <w:sz w:val="24"/>
          <w:szCs w:val="24"/>
        </w:rPr>
        <w:t>.</w:t>
      </w:r>
      <w:r w:rsidRPr="00D21BF3">
        <w:rPr>
          <w:sz w:val="24"/>
          <w:szCs w:val="24"/>
        </w:rPr>
        <w:t xml:space="preserve"> </w:t>
      </w:r>
      <w:r w:rsidR="001F2542">
        <w:rPr>
          <w:sz w:val="24"/>
          <w:szCs w:val="24"/>
        </w:rPr>
        <w:t>.</w:t>
      </w:r>
      <w:r w:rsidRPr="00D21BF3">
        <w:rPr>
          <w:sz w:val="24"/>
          <w:szCs w:val="24"/>
        </w:rPr>
        <w:t>1</w:t>
      </w:r>
    </w:p>
    <w:p w14:paraId="1C5D2456" w14:textId="12F26166" w:rsidR="00D21BF3" w:rsidRPr="00D21BF3" w:rsidRDefault="00D21BF3" w:rsidP="00D21BF3">
      <w:pPr>
        <w:rPr>
          <w:sz w:val="24"/>
          <w:szCs w:val="24"/>
        </w:rPr>
      </w:pPr>
      <w:r w:rsidRPr="00D21BF3">
        <w:rPr>
          <w:sz w:val="24"/>
          <w:szCs w:val="24"/>
        </w:rPr>
        <w:t>Purpose. . . . . . . . . . . . . . . . . . . . . . . . . . . . . . . . . . . . . . . . . . . . . . . . . . . . . . . . . . . .</w:t>
      </w:r>
      <w:r>
        <w:rPr>
          <w:sz w:val="24"/>
          <w:szCs w:val="24"/>
        </w:rPr>
        <w:t xml:space="preserve"> . . . . .</w:t>
      </w:r>
      <w:r w:rsidRPr="00D21BF3">
        <w:rPr>
          <w:sz w:val="24"/>
          <w:szCs w:val="24"/>
        </w:rPr>
        <w:t xml:space="preserve"> . . . . 1</w:t>
      </w:r>
    </w:p>
    <w:p w14:paraId="3C47B608" w14:textId="4F7097E9" w:rsidR="00D21BF3" w:rsidRPr="00D21BF3" w:rsidRDefault="00D21BF3" w:rsidP="001F2542">
      <w:pPr>
        <w:tabs>
          <w:tab w:val="left" w:pos="8910"/>
        </w:tabs>
        <w:rPr>
          <w:sz w:val="24"/>
          <w:szCs w:val="24"/>
        </w:rPr>
      </w:pPr>
      <w:r w:rsidRPr="00D21BF3">
        <w:rPr>
          <w:sz w:val="24"/>
          <w:szCs w:val="24"/>
        </w:rPr>
        <w:t>Introduction</w:t>
      </w:r>
      <w:r w:rsidR="001F2542">
        <w:rPr>
          <w:sz w:val="24"/>
          <w:szCs w:val="24"/>
        </w:rPr>
        <w:t>.</w:t>
      </w:r>
      <w:r w:rsidRPr="00D21BF3">
        <w:rPr>
          <w:sz w:val="24"/>
          <w:szCs w:val="24"/>
        </w:rPr>
        <w:t xml:space="preserve"> . . . . . . . . . . . . . . . . . . . . . . . . . . . . . . . . . . . . . . . . . . . . . . . . . . . . . . . . . </w:t>
      </w:r>
      <w:r>
        <w:rPr>
          <w:sz w:val="24"/>
          <w:szCs w:val="24"/>
        </w:rPr>
        <w:t xml:space="preserve"> . . . . </w:t>
      </w:r>
      <w:r w:rsidRPr="00D21BF3">
        <w:rPr>
          <w:sz w:val="24"/>
          <w:szCs w:val="24"/>
        </w:rPr>
        <w:t>. . . 1</w:t>
      </w:r>
    </w:p>
    <w:p w14:paraId="261F32FD" w14:textId="7B51CD6D" w:rsidR="00D21BF3" w:rsidRPr="00D21BF3" w:rsidRDefault="00D21BF3" w:rsidP="001F2542">
      <w:pPr>
        <w:tabs>
          <w:tab w:val="left" w:pos="8910"/>
        </w:tabs>
        <w:rPr>
          <w:sz w:val="24"/>
          <w:szCs w:val="24"/>
        </w:rPr>
      </w:pPr>
      <w:r w:rsidRPr="00D21BF3">
        <w:rPr>
          <w:sz w:val="24"/>
          <w:szCs w:val="24"/>
        </w:rPr>
        <w:t xml:space="preserve">HABs and their effect. . . . . . . . . . . . . . . . . . . . . . . . . . . . . . . . . . . . . . . . . . . . . . </w:t>
      </w:r>
      <w:r>
        <w:rPr>
          <w:sz w:val="24"/>
          <w:szCs w:val="24"/>
        </w:rPr>
        <w:t xml:space="preserve">. . . . . </w:t>
      </w:r>
      <w:r w:rsidRPr="00D21BF3">
        <w:rPr>
          <w:sz w:val="24"/>
          <w:szCs w:val="24"/>
        </w:rPr>
        <w:t>. . . . . . . 1</w:t>
      </w:r>
    </w:p>
    <w:p w14:paraId="15F3E4D6" w14:textId="0306899C" w:rsidR="00D21BF3" w:rsidRPr="00D21BF3" w:rsidRDefault="001F2542" w:rsidP="00D21BF3">
      <w:pPr>
        <w:rPr>
          <w:sz w:val="24"/>
          <w:szCs w:val="24"/>
        </w:rPr>
      </w:pPr>
      <w:r w:rsidRPr="00D21BF3">
        <w:rPr>
          <w:sz w:val="24"/>
          <w:szCs w:val="24"/>
        </w:rPr>
        <w:t>Brevotoxins</w:t>
      </w:r>
      <w:r w:rsidR="00D21BF3" w:rsidRPr="00D21BF3">
        <w:rPr>
          <w:sz w:val="24"/>
          <w:szCs w:val="24"/>
        </w:rPr>
        <w:t xml:space="preserve"> and neurotoxic shellfish poisoning. . . . . . . . . . . . . . . . . . . . . . . . . . .</w:t>
      </w:r>
      <w:r w:rsidR="00D21BF3">
        <w:rPr>
          <w:sz w:val="24"/>
          <w:szCs w:val="24"/>
        </w:rPr>
        <w:t xml:space="preserve"> . . . . .</w:t>
      </w:r>
      <w:r w:rsidR="00D21BF3" w:rsidRPr="00D21BF3">
        <w:rPr>
          <w:sz w:val="24"/>
          <w:szCs w:val="24"/>
        </w:rPr>
        <w:t xml:space="preserve"> . . . . </w:t>
      </w:r>
      <w:r w:rsidR="00D21BF3">
        <w:rPr>
          <w:sz w:val="24"/>
          <w:szCs w:val="24"/>
        </w:rPr>
        <w:t xml:space="preserve"> </w:t>
      </w:r>
      <w:r w:rsidR="00D21BF3" w:rsidRPr="00D21BF3">
        <w:rPr>
          <w:sz w:val="24"/>
          <w:szCs w:val="24"/>
        </w:rPr>
        <w:t>3</w:t>
      </w:r>
    </w:p>
    <w:p w14:paraId="489E9FD0" w14:textId="38BB5D82" w:rsidR="00D21BF3" w:rsidRPr="00D21BF3" w:rsidRDefault="00D21BF3" w:rsidP="001F2542">
      <w:pPr>
        <w:tabs>
          <w:tab w:val="left" w:pos="8910"/>
        </w:tabs>
        <w:rPr>
          <w:sz w:val="24"/>
          <w:szCs w:val="24"/>
        </w:rPr>
      </w:pPr>
      <w:r w:rsidRPr="00D21BF3">
        <w:rPr>
          <w:sz w:val="24"/>
          <w:szCs w:val="24"/>
        </w:rPr>
        <w:t xml:space="preserve">Saxitoxin, paralytic shellfish poisoning, and saxitoxin puffer fish poisoning. . . . . . . . . </w:t>
      </w:r>
      <w:r>
        <w:rPr>
          <w:sz w:val="24"/>
          <w:szCs w:val="24"/>
        </w:rPr>
        <w:t xml:space="preserve">. . . .  </w:t>
      </w:r>
      <w:r w:rsidRPr="00D21BF3">
        <w:rPr>
          <w:sz w:val="24"/>
          <w:szCs w:val="24"/>
        </w:rPr>
        <w:t>7</w:t>
      </w:r>
    </w:p>
    <w:p w14:paraId="0865BFA3" w14:textId="2E9BA365" w:rsidR="00D21BF3" w:rsidRPr="00D21BF3" w:rsidRDefault="00D21BF3" w:rsidP="00D21BF3">
      <w:pPr>
        <w:rPr>
          <w:sz w:val="24"/>
          <w:szCs w:val="24"/>
        </w:rPr>
      </w:pPr>
      <w:r w:rsidRPr="00D21BF3">
        <w:rPr>
          <w:sz w:val="24"/>
          <w:szCs w:val="24"/>
        </w:rPr>
        <w:t>Ciguatoxins and ciguatera poisoning. . . . . . . . . . . . . . . . . . . . . . . . . . . . . . . . . . . . . . . .</w:t>
      </w:r>
      <w:r>
        <w:rPr>
          <w:sz w:val="24"/>
          <w:szCs w:val="24"/>
        </w:rPr>
        <w:t xml:space="preserve"> . . . . .</w:t>
      </w:r>
      <w:r w:rsidRPr="00D21BF3">
        <w:rPr>
          <w:sz w:val="24"/>
          <w:szCs w:val="24"/>
        </w:rPr>
        <w:t xml:space="preserve"> 9</w:t>
      </w:r>
    </w:p>
    <w:p w14:paraId="42759839" w14:textId="38E427F4" w:rsidR="00D21BF3" w:rsidRPr="00D21BF3" w:rsidRDefault="00D21BF3" w:rsidP="00D21BF3">
      <w:pPr>
        <w:rPr>
          <w:sz w:val="24"/>
          <w:szCs w:val="24"/>
        </w:rPr>
      </w:pPr>
      <w:r w:rsidRPr="00D21BF3">
        <w:rPr>
          <w:sz w:val="24"/>
          <w:szCs w:val="24"/>
        </w:rPr>
        <w:t>Cyanobacteria (blue-green algae) and cyanotoxin poisoning</w:t>
      </w:r>
      <w:r w:rsidR="001F2542">
        <w:rPr>
          <w:sz w:val="24"/>
          <w:szCs w:val="24"/>
        </w:rPr>
        <w:t>.</w:t>
      </w:r>
      <w:r w:rsidRPr="00D21BF3">
        <w:rPr>
          <w:sz w:val="24"/>
          <w:szCs w:val="24"/>
        </w:rPr>
        <w:t xml:space="preserve">. . . . . . . . . . . . . . . . . . . . </w:t>
      </w:r>
      <w:r>
        <w:rPr>
          <w:sz w:val="24"/>
          <w:szCs w:val="24"/>
        </w:rPr>
        <w:t xml:space="preserve">. . . . </w:t>
      </w:r>
      <w:r w:rsidRPr="00D21BF3">
        <w:rPr>
          <w:sz w:val="24"/>
          <w:szCs w:val="24"/>
        </w:rPr>
        <w:t>13</w:t>
      </w:r>
    </w:p>
    <w:p w14:paraId="345D8B8A" w14:textId="23DD9748" w:rsidR="00D21BF3" w:rsidRPr="00D21BF3" w:rsidRDefault="00D21BF3" w:rsidP="001F2542">
      <w:pPr>
        <w:tabs>
          <w:tab w:val="left" w:pos="8820"/>
        </w:tabs>
        <w:rPr>
          <w:sz w:val="24"/>
          <w:szCs w:val="24"/>
        </w:rPr>
      </w:pPr>
      <w:r w:rsidRPr="00D21BF3">
        <w:rPr>
          <w:sz w:val="24"/>
          <w:szCs w:val="24"/>
        </w:rPr>
        <w:t>Emerging HAB threats and other potential HAB problems</w:t>
      </w:r>
      <w:r w:rsidR="001F2542">
        <w:rPr>
          <w:sz w:val="24"/>
          <w:szCs w:val="24"/>
        </w:rPr>
        <w:t>.</w:t>
      </w:r>
      <w:r w:rsidRPr="00D21BF3">
        <w:rPr>
          <w:sz w:val="24"/>
          <w:szCs w:val="24"/>
        </w:rPr>
        <w:t xml:space="preserve"> . . . . . . . . . . . . . . . . . . . . . </w:t>
      </w:r>
      <w:r>
        <w:rPr>
          <w:sz w:val="24"/>
          <w:szCs w:val="24"/>
        </w:rPr>
        <w:t xml:space="preserve">. . . .  </w:t>
      </w:r>
      <w:r w:rsidRPr="00D21BF3">
        <w:rPr>
          <w:sz w:val="24"/>
          <w:szCs w:val="24"/>
        </w:rPr>
        <w:t>18</w:t>
      </w:r>
    </w:p>
    <w:p w14:paraId="03BEF5E4" w14:textId="6DD1C3DE" w:rsidR="00D21BF3" w:rsidRPr="00D21BF3" w:rsidRDefault="00D21BF3" w:rsidP="001F2542">
      <w:pPr>
        <w:tabs>
          <w:tab w:val="left" w:pos="8820"/>
        </w:tabs>
        <w:rPr>
          <w:sz w:val="24"/>
          <w:szCs w:val="24"/>
        </w:rPr>
      </w:pPr>
      <w:r w:rsidRPr="00D21BF3">
        <w:rPr>
          <w:sz w:val="24"/>
          <w:szCs w:val="24"/>
        </w:rPr>
        <w:t>Literature cited</w:t>
      </w:r>
      <w:r w:rsidR="001F2542">
        <w:rPr>
          <w:sz w:val="24"/>
          <w:szCs w:val="24"/>
        </w:rPr>
        <w:t>.</w:t>
      </w:r>
      <w:r w:rsidRPr="00D21BF3">
        <w:rPr>
          <w:sz w:val="24"/>
          <w:szCs w:val="24"/>
        </w:rPr>
        <w:t xml:space="preserve">. . . . . . . . . . . . . . . . . . . . . . . . . . . . . . . . . . . . . . . . . . . . . . . . . . . . . . . . . </w:t>
      </w:r>
      <w:r>
        <w:rPr>
          <w:sz w:val="24"/>
          <w:szCs w:val="24"/>
        </w:rPr>
        <w:t xml:space="preserve">. . . . </w:t>
      </w:r>
      <w:r w:rsidRPr="00D21BF3">
        <w:rPr>
          <w:sz w:val="24"/>
          <w:szCs w:val="24"/>
        </w:rPr>
        <w:t>22</w:t>
      </w:r>
    </w:p>
    <w:p w14:paraId="4FEBED9D" w14:textId="6BEE8F19" w:rsidR="00D21BF3" w:rsidRPr="00D21BF3" w:rsidRDefault="00D21BF3" w:rsidP="001F2542">
      <w:pPr>
        <w:rPr>
          <w:sz w:val="24"/>
          <w:szCs w:val="24"/>
        </w:rPr>
      </w:pPr>
      <w:r w:rsidRPr="00D21BF3">
        <w:rPr>
          <w:sz w:val="24"/>
          <w:szCs w:val="24"/>
        </w:rPr>
        <w:t>Chapter 2: Regulations and Guidelines</w:t>
      </w:r>
      <w:r w:rsidR="001F2542">
        <w:rPr>
          <w:sz w:val="24"/>
          <w:szCs w:val="24"/>
        </w:rPr>
        <w:t xml:space="preserve">, </w:t>
      </w:r>
      <w:r w:rsidRPr="00D21BF3">
        <w:rPr>
          <w:sz w:val="24"/>
          <w:szCs w:val="24"/>
        </w:rPr>
        <w:t xml:space="preserve">. . . . . . . . . . . . . . . . . . . . . . . . . . . . . . . . . . . . . . . . . </w:t>
      </w:r>
      <w:r>
        <w:rPr>
          <w:sz w:val="24"/>
          <w:szCs w:val="24"/>
        </w:rPr>
        <w:t xml:space="preserve"> </w:t>
      </w:r>
      <w:r w:rsidRPr="00D21BF3">
        <w:rPr>
          <w:sz w:val="24"/>
          <w:szCs w:val="24"/>
        </w:rPr>
        <w:t>41</w:t>
      </w:r>
    </w:p>
    <w:p w14:paraId="29078C4F" w14:textId="78AB0BD2" w:rsidR="00D21BF3" w:rsidRPr="00D21BF3" w:rsidRDefault="00D21BF3" w:rsidP="00D21BF3">
      <w:pPr>
        <w:rPr>
          <w:sz w:val="24"/>
          <w:szCs w:val="24"/>
        </w:rPr>
      </w:pPr>
      <w:r w:rsidRPr="00D21BF3">
        <w:rPr>
          <w:sz w:val="24"/>
          <w:szCs w:val="24"/>
        </w:rPr>
        <w:t>Chapter 3: Monitoring, Data Management, and Reporting</w:t>
      </w:r>
      <w:r w:rsidR="001F2542">
        <w:rPr>
          <w:sz w:val="24"/>
          <w:szCs w:val="24"/>
        </w:rPr>
        <w:t>..</w:t>
      </w:r>
      <w:r w:rsidRPr="00D21BF3">
        <w:rPr>
          <w:sz w:val="24"/>
          <w:szCs w:val="24"/>
        </w:rPr>
        <w:t>. . . . . . . . . . . . . . . . . . . . . . . . . 53</w:t>
      </w:r>
    </w:p>
    <w:p w14:paraId="219E783C" w14:textId="50268491" w:rsidR="00D21BF3" w:rsidRPr="00D21BF3" w:rsidRDefault="00D21BF3" w:rsidP="00D21BF3">
      <w:pPr>
        <w:rPr>
          <w:sz w:val="24"/>
          <w:szCs w:val="24"/>
        </w:rPr>
      </w:pPr>
      <w:r w:rsidRPr="00D21BF3">
        <w:rPr>
          <w:sz w:val="24"/>
          <w:szCs w:val="24"/>
        </w:rPr>
        <w:t>Chapter 4: Response</w:t>
      </w:r>
      <w:r w:rsidR="001F2542">
        <w:rPr>
          <w:sz w:val="24"/>
          <w:szCs w:val="24"/>
        </w:rPr>
        <w:t>..</w:t>
      </w:r>
      <w:r w:rsidRPr="00D21BF3">
        <w:rPr>
          <w:sz w:val="24"/>
          <w:szCs w:val="24"/>
        </w:rPr>
        <w:t>. . . . . . . . . . . . . . . . . . . . . . . . . . . . . . . . . . . . . . . . . . . . . . . . . . . . . . . . .65</w:t>
      </w:r>
    </w:p>
    <w:p w14:paraId="57775EDA" w14:textId="4AF2B797" w:rsidR="00D21BF3" w:rsidRPr="00D21BF3" w:rsidRDefault="00D21BF3" w:rsidP="00D21BF3">
      <w:pPr>
        <w:rPr>
          <w:sz w:val="24"/>
          <w:szCs w:val="24"/>
        </w:rPr>
      </w:pPr>
      <w:r w:rsidRPr="00D21BF3">
        <w:rPr>
          <w:sz w:val="24"/>
          <w:szCs w:val="24"/>
        </w:rPr>
        <w:t>Chapter 5: Communication and Outreach</w:t>
      </w:r>
      <w:r w:rsidR="001F2542">
        <w:rPr>
          <w:sz w:val="24"/>
          <w:szCs w:val="24"/>
        </w:rPr>
        <w:t>..</w:t>
      </w:r>
      <w:r w:rsidRPr="00D21BF3">
        <w:rPr>
          <w:sz w:val="24"/>
          <w:szCs w:val="24"/>
        </w:rPr>
        <w:t>. . . . . . . . . . . . . . . . . . . . . . . . . . . . . . . . . . . . . . . 85</w:t>
      </w:r>
    </w:p>
    <w:p w14:paraId="197EAEDC" w14:textId="70ECF20C" w:rsidR="00D21BF3" w:rsidRPr="00D21BF3" w:rsidRDefault="00D21BF3" w:rsidP="001F2542">
      <w:pPr>
        <w:tabs>
          <w:tab w:val="left" w:pos="8820"/>
        </w:tabs>
        <w:rPr>
          <w:sz w:val="24"/>
          <w:szCs w:val="24"/>
        </w:rPr>
      </w:pPr>
      <w:r w:rsidRPr="00D21BF3">
        <w:rPr>
          <w:sz w:val="24"/>
          <w:szCs w:val="24"/>
        </w:rPr>
        <w:t>Chapter 6: Prevention, Control, and Mitigation</w:t>
      </w:r>
      <w:r w:rsidR="001F2542">
        <w:rPr>
          <w:sz w:val="24"/>
          <w:szCs w:val="24"/>
        </w:rPr>
        <w:t>..</w:t>
      </w:r>
      <w:r w:rsidRPr="00D21BF3">
        <w:rPr>
          <w:sz w:val="24"/>
          <w:szCs w:val="24"/>
        </w:rPr>
        <w:t xml:space="preserve">. . . . . . . . . . . . . . . . . . . . . . . . . . . . . . . . . . </w:t>
      </w:r>
      <w:r>
        <w:rPr>
          <w:sz w:val="24"/>
          <w:szCs w:val="24"/>
        </w:rPr>
        <w:t xml:space="preserve"> </w:t>
      </w:r>
      <w:r w:rsidRPr="00D21BF3">
        <w:rPr>
          <w:sz w:val="24"/>
          <w:szCs w:val="24"/>
        </w:rPr>
        <w:t>99</w:t>
      </w:r>
    </w:p>
    <w:p w14:paraId="2C06E359" w14:textId="1A1610B4" w:rsidR="00D21BF3" w:rsidRPr="00D21BF3" w:rsidRDefault="00D21BF3" w:rsidP="00D21BF3">
      <w:pPr>
        <w:rPr>
          <w:sz w:val="24"/>
          <w:szCs w:val="24"/>
        </w:rPr>
      </w:pPr>
      <w:r w:rsidRPr="00D21BF3">
        <w:rPr>
          <w:sz w:val="24"/>
          <w:szCs w:val="24"/>
        </w:rPr>
        <w:lastRenderedPageBreak/>
        <w:t xml:space="preserve">Chapter 7: Discussion and Conclusion. . . . . . . . . . . . . . . . . . . . . . . . . . . . . . . . . . . . . . . . . </w:t>
      </w:r>
      <w:r w:rsidR="008D24FC">
        <w:rPr>
          <w:sz w:val="24"/>
          <w:szCs w:val="24"/>
        </w:rPr>
        <w:t xml:space="preserve">. </w:t>
      </w:r>
      <w:r w:rsidRPr="00D21BF3">
        <w:rPr>
          <w:sz w:val="24"/>
          <w:szCs w:val="24"/>
        </w:rPr>
        <w:t>111</w:t>
      </w:r>
    </w:p>
    <w:p w14:paraId="1F4C945E" w14:textId="1E9D4B39" w:rsidR="00D21BF3" w:rsidRPr="00D21BF3" w:rsidRDefault="00D21BF3" w:rsidP="00D21BF3">
      <w:pPr>
        <w:rPr>
          <w:sz w:val="24"/>
          <w:szCs w:val="24"/>
        </w:rPr>
      </w:pPr>
      <w:r w:rsidRPr="00D21BF3">
        <w:rPr>
          <w:sz w:val="24"/>
          <w:szCs w:val="24"/>
        </w:rPr>
        <w:t>Appendix A: HAB Toxins and Known or Potentially Harmful Algal Species in Florida</w:t>
      </w:r>
      <w:r w:rsidR="001F2542">
        <w:rPr>
          <w:sz w:val="24"/>
          <w:szCs w:val="24"/>
        </w:rPr>
        <w:t xml:space="preserve"> </w:t>
      </w:r>
      <w:r w:rsidRPr="00D21BF3">
        <w:rPr>
          <w:sz w:val="24"/>
          <w:szCs w:val="24"/>
        </w:rPr>
        <w:t xml:space="preserve">. . </w:t>
      </w:r>
      <w:r w:rsidR="008D24FC">
        <w:rPr>
          <w:sz w:val="24"/>
          <w:szCs w:val="24"/>
        </w:rPr>
        <w:t xml:space="preserve">. . </w:t>
      </w:r>
      <w:r w:rsidRPr="00D21BF3">
        <w:rPr>
          <w:sz w:val="24"/>
          <w:szCs w:val="24"/>
        </w:rPr>
        <w:t>115</w:t>
      </w:r>
    </w:p>
    <w:p w14:paraId="57E4951E" w14:textId="396AF3E6" w:rsidR="00D21BF3" w:rsidRPr="00D21BF3" w:rsidRDefault="00D21BF3" w:rsidP="00D21BF3">
      <w:pPr>
        <w:rPr>
          <w:sz w:val="24"/>
          <w:szCs w:val="24"/>
        </w:rPr>
      </w:pPr>
      <w:r w:rsidRPr="00D21BF3">
        <w:rPr>
          <w:sz w:val="24"/>
          <w:szCs w:val="24"/>
        </w:rPr>
        <w:t>Appendix B: State-by-state Guidelines for Cyanobacteria in Recreational Waters. . . . . . 133</w:t>
      </w:r>
    </w:p>
    <w:p w14:paraId="773977DC" w14:textId="571B9EB0" w:rsidR="00D21BF3" w:rsidRPr="00D21BF3" w:rsidRDefault="00D21BF3" w:rsidP="001F2542">
      <w:pPr>
        <w:tabs>
          <w:tab w:val="left" w:pos="8820"/>
        </w:tabs>
        <w:rPr>
          <w:sz w:val="24"/>
          <w:szCs w:val="24"/>
        </w:rPr>
      </w:pPr>
      <w:r w:rsidRPr="00D21BF3">
        <w:rPr>
          <w:sz w:val="24"/>
          <w:szCs w:val="24"/>
        </w:rPr>
        <w:t>Appendix C: Medical and Veterinary Diagnostic Resources</w:t>
      </w:r>
      <w:r w:rsidR="001F2542">
        <w:rPr>
          <w:sz w:val="24"/>
          <w:szCs w:val="24"/>
        </w:rPr>
        <w:t xml:space="preserve"> </w:t>
      </w:r>
      <w:r w:rsidRPr="00D21BF3">
        <w:rPr>
          <w:sz w:val="24"/>
          <w:szCs w:val="24"/>
        </w:rPr>
        <w:t xml:space="preserve">. . . . . . . . . . . . . . . . . . . . . . . </w:t>
      </w:r>
      <w:r w:rsidR="008D24FC">
        <w:rPr>
          <w:sz w:val="24"/>
          <w:szCs w:val="24"/>
        </w:rPr>
        <w:t xml:space="preserve">.  </w:t>
      </w:r>
      <w:r w:rsidRPr="00D21BF3">
        <w:rPr>
          <w:sz w:val="24"/>
          <w:szCs w:val="24"/>
        </w:rPr>
        <w:t>141</w:t>
      </w:r>
    </w:p>
    <w:p w14:paraId="72B83C90" w14:textId="78433E01" w:rsidR="00D21BF3" w:rsidRPr="00D21BF3" w:rsidRDefault="00D21BF3" w:rsidP="00D21BF3">
      <w:pPr>
        <w:rPr>
          <w:sz w:val="24"/>
          <w:szCs w:val="24"/>
        </w:rPr>
      </w:pPr>
      <w:r w:rsidRPr="00D21BF3">
        <w:rPr>
          <w:sz w:val="24"/>
          <w:szCs w:val="24"/>
        </w:rPr>
        <w:t xml:space="preserve">Appendix D: Online Resources. . . . . . . . . . . . . . . . . . . . . . . . . . . . . . . . . . . . . . . . . . . . . . . </w:t>
      </w:r>
      <w:r w:rsidR="008D24FC">
        <w:rPr>
          <w:sz w:val="24"/>
          <w:szCs w:val="24"/>
        </w:rPr>
        <w:t xml:space="preserve">. </w:t>
      </w:r>
      <w:r w:rsidRPr="00D21BF3">
        <w:rPr>
          <w:sz w:val="24"/>
          <w:szCs w:val="24"/>
        </w:rPr>
        <w:t>143</w:t>
      </w:r>
    </w:p>
    <w:p w14:paraId="20F85414" w14:textId="70D386D6" w:rsidR="00D21BF3" w:rsidRPr="00D21BF3" w:rsidRDefault="00D21BF3" w:rsidP="00D21BF3">
      <w:pPr>
        <w:rPr>
          <w:sz w:val="24"/>
          <w:szCs w:val="24"/>
        </w:rPr>
      </w:pPr>
      <w:r w:rsidRPr="00D21BF3">
        <w:rPr>
          <w:sz w:val="24"/>
          <w:szCs w:val="24"/>
        </w:rPr>
        <w:t xml:space="preserve">Appendix E: Quick-reference Guide to HAB-associated Threats to Human Health. . . . </w:t>
      </w:r>
      <w:r w:rsidR="008D24FC">
        <w:rPr>
          <w:sz w:val="24"/>
          <w:szCs w:val="24"/>
        </w:rPr>
        <w:t xml:space="preserve">. . </w:t>
      </w:r>
      <w:r w:rsidRPr="00D21BF3">
        <w:rPr>
          <w:sz w:val="24"/>
          <w:szCs w:val="24"/>
        </w:rPr>
        <w:t>148</w:t>
      </w:r>
    </w:p>
    <w:p w14:paraId="402CA0C8" w14:textId="6178025B" w:rsidR="00DC41F6" w:rsidRPr="0069035A" w:rsidRDefault="00D21BF3" w:rsidP="00D21BF3">
      <w:pPr>
        <w:rPr>
          <w:sz w:val="24"/>
          <w:szCs w:val="24"/>
        </w:rPr>
      </w:pPr>
      <w:r w:rsidRPr="00D21BF3">
        <w:rPr>
          <w:sz w:val="24"/>
          <w:szCs w:val="24"/>
        </w:rPr>
        <w:t xml:space="preserve">Index. . . . . . . . . . . . . . . . . . . . . . . . . . . . . . . . . . . . . . . . . . . . . . . . . . . . . . . . . . . . . . . . . . . . </w:t>
      </w:r>
      <w:r w:rsidR="008D24FC">
        <w:rPr>
          <w:sz w:val="24"/>
          <w:szCs w:val="24"/>
        </w:rPr>
        <w:t xml:space="preserve">. </w:t>
      </w:r>
      <w:r w:rsidRPr="00D21BF3">
        <w:rPr>
          <w:sz w:val="24"/>
          <w:szCs w:val="24"/>
        </w:rPr>
        <w:t>153</w:t>
      </w:r>
    </w:p>
    <w:sectPr w:rsidR="00DC41F6" w:rsidRPr="0069035A">
      <w:footerReference w:type="default" r:id="rId1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06FD71" w16cex:dateUtc="2021-10-05T20: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EBD63" w14:textId="77777777" w:rsidR="001608D6" w:rsidRDefault="001608D6" w:rsidP="001F1B73">
      <w:pPr>
        <w:spacing w:after="0" w:line="240" w:lineRule="auto"/>
      </w:pPr>
      <w:r>
        <w:separator/>
      </w:r>
    </w:p>
  </w:endnote>
  <w:endnote w:type="continuationSeparator" w:id="0">
    <w:p w14:paraId="3E80DD54" w14:textId="77777777" w:rsidR="001608D6" w:rsidRDefault="001608D6" w:rsidP="001F1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018435"/>
      <w:docPartObj>
        <w:docPartGallery w:val="Page Numbers (Bottom of Page)"/>
        <w:docPartUnique/>
      </w:docPartObj>
    </w:sdtPr>
    <w:sdtEndPr>
      <w:rPr>
        <w:noProof/>
      </w:rPr>
    </w:sdtEndPr>
    <w:sdtContent>
      <w:p w14:paraId="08D3E069" w14:textId="2979C3BE" w:rsidR="001D7B58" w:rsidRDefault="001D7B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9C66E7" w14:textId="77777777" w:rsidR="001D7B58" w:rsidRDefault="001D7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1077E" w14:textId="77777777" w:rsidR="001608D6" w:rsidRDefault="001608D6" w:rsidP="001F1B73">
      <w:pPr>
        <w:spacing w:after="0" w:line="240" w:lineRule="auto"/>
      </w:pPr>
      <w:r>
        <w:separator/>
      </w:r>
    </w:p>
  </w:footnote>
  <w:footnote w:type="continuationSeparator" w:id="0">
    <w:p w14:paraId="0A326126" w14:textId="77777777" w:rsidR="001608D6" w:rsidRDefault="001608D6" w:rsidP="001F1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52BBF"/>
    <w:multiLevelType w:val="hybridMultilevel"/>
    <w:tmpl w:val="090432BA"/>
    <w:lvl w:ilvl="0" w:tplc="3244A240">
      <w:start w:val="1"/>
      <w:numFmt w:val="decimal"/>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187414"/>
    <w:multiLevelType w:val="hybridMultilevel"/>
    <w:tmpl w:val="A4C82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112CDD"/>
    <w:multiLevelType w:val="multilevel"/>
    <w:tmpl w:val="973A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581736"/>
    <w:multiLevelType w:val="hybridMultilevel"/>
    <w:tmpl w:val="090432BA"/>
    <w:lvl w:ilvl="0" w:tplc="3244A240">
      <w:start w:val="1"/>
      <w:numFmt w:val="decimal"/>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A80"/>
    <w:rsid w:val="00023BD4"/>
    <w:rsid w:val="00035796"/>
    <w:rsid w:val="00052374"/>
    <w:rsid w:val="00061413"/>
    <w:rsid w:val="0009425B"/>
    <w:rsid w:val="00097C78"/>
    <w:rsid w:val="000C4D98"/>
    <w:rsid w:val="000E64E4"/>
    <w:rsid w:val="00101EB0"/>
    <w:rsid w:val="00142759"/>
    <w:rsid w:val="0015001F"/>
    <w:rsid w:val="00151A80"/>
    <w:rsid w:val="00152BCB"/>
    <w:rsid w:val="001608D6"/>
    <w:rsid w:val="001D38CB"/>
    <w:rsid w:val="001D7B58"/>
    <w:rsid w:val="001F1B73"/>
    <w:rsid w:val="001F2542"/>
    <w:rsid w:val="001F36F5"/>
    <w:rsid w:val="001F732D"/>
    <w:rsid w:val="0023020D"/>
    <w:rsid w:val="00261885"/>
    <w:rsid w:val="00263166"/>
    <w:rsid w:val="002926D0"/>
    <w:rsid w:val="002F22CA"/>
    <w:rsid w:val="00330712"/>
    <w:rsid w:val="003700C3"/>
    <w:rsid w:val="00384754"/>
    <w:rsid w:val="003A5F18"/>
    <w:rsid w:val="003E4B9A"/>
    <w:rsid w:val="00406779"/>
    <w:rsid w:val="004C6E71"/>
    <w:rsid w:val="00501AB2"/>
    <w:rsid w:val="00510DEF"/>
    <w:rsid w:val="00523BD8"/>
    <w:rsid w:val="005506E7"/>
    <w:rsid w:val="00591B8B"/>
    <w:rsid w:val="00641040"/>
    <w:rsid w:val="006706D9"/>
    <w:rsid w:val="0069035A"/>
    <w:rsid w:val="006C5A38"/>
    <w:rsid w:val="0071018C"/>
    <w:rsid w:val="007300EA"/>
    <w:rsid w:val="00732779"/>
    <w:rsid w:val="007705C3"/>
    <w:rsid w:val="0078574D"/>
    <w:rsid w:val="007C393F"/>
    <w:rsid w:val="0082385D"/>
    <w:rsid w:val="0087368E"/>
    <w:rsid w:val="00875505"/>
    <w:rsid w:val="008C6D95"/>
    <w:rsid w:val="008D24FC"/>
    <w:rsid w:val="008D6854"/>
    <w:rsid w:val="00911D59"/>
    <w:rsid w:val="00916E95"/>
    <w:rsid w:val="009A0E6F"/>
    <w:rsid w:val="009B37F1"/>
    <w:rsid w:val="009E5CC5"/>
    <w:rsid w:val="00A008C3"/>
    <w:rsid w:val="00A24534"/>
    <w:rsid w:val="00A40721"/>
    <w:rsid w:val="00A5265E"/>
    <w:rsid w:val="00A73432"/>
    <w:rsid w:val="00AC364D"/>
    <w:rsid w:val="00AD25B3"/>
    <w:rsid w:val="00AD407C"/>
    <w:rsid w:val="00AD717E"/>
    <w:rsid w:val="00B21753"/>
    <w:rsid w:val="00B678CA"/>
    <w:rsid w:val="00B95411"/>
    <w:rsid w:val="00BD3251"/>
    <w:rsid w:val="00C1362C"/>
    <w:rsid w:val="00C25592"/>
    <w:rsid w:val="00C2717F"/>
    <w:rsid w:val="00CB5799"/>
    <w:rsid w:val="00CC12F2"/>
    <w:rsid w:val="00D21BF3"/>
    <w:rsid w:val="00D51851"/>
    <w:rsid w:val="00D6235C"/>
    <w:rsid w:val="00D67CB5"/>
    <w:rsid w:val="00D71D24"/>
    <w:rsid w:val="00D74CC3"/>
    <w:rsid w:val="00D75570"/>
    <w:rsid w:val="00D95882"/>
    <w:rsid w:val="00DC1277"/>
    <w:rsid w:val="00DC41F6"/>
    <w:rsid w:val="00DD327F"/>
    <w:rsid w:val="00DD74CA"/>
    <w:rsid w:val="00DF53F0"/>
    <w:rsid w:val="00E11B27"/>
    <w:rsid w:val="00E96FD6"/>
    <w:rsid w:val="00EE2511"/>
    <w:rsid w:val="00F1086E"/>
    <w:rsid w:val="00F16A26"/>
    <w:rsid w:val="00F1764A"/>
    <w:rsid w:val="00F24871"/>
    <w:rsid w:val="00F8637C"/>
    <w:rsid w:val="00FE2BC8"/>
    <w:rsid w:val="00FF5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FEBB1"/>
  <w15:chartTrackingRefBased/>
  <w15:docId w15:val="{4B778A45-B8C4-42D1-9B07-60B50EB6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6E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736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368E"/>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873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68E"/>
    <w:rPr>
      <w:rFonts w:ascii="Segoe UI" w:hAnsi="Segoe UI" w:cs="Segoe UI"/>
      <w:sz w:val="18"/>
      <w:szCs w:val="18"/>
    </w:rPr>
  </w:style>
  <w:style w:type="paragraph" w:styleId="NormalWeb">
    <w:name w:val="Normal (Web)"/>
    <w:basedOn w:val="Normal"/>
    <w:uiPriority w:val="99"/>
    <w:semiHidden/>
    <w:unhideWhenUsed/>
    <w:rsid w:val="0038475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4754"/>
    <w:rPr>
      <w:b/>
      <w:bCs/>
    </w:rPr>
  </w:style>
  <w:style w:type="character" w:styleId="Hyperlink">
    <w:name w:val="Hyperlink"/>
    <w:basedOn w:val="DefaultParagraphFont"/>
    <w:uiPriority w:val="99"/>
    <w:unhideWhenUsed/>
    <w:rsid w:val="0069035A"/>
    <w:rPr>
      <w:color w:val="0563C1" w:themeColor="hyperlink"/>
      <w:u w:val="single"/>
    </w:rPr>
  </w:style>
  <w:style w:type="character" w:styleId="UnresolvedMention">
    <w:name w:val="Unresolved Mention"/>
    <w:basedOn w:val="DefaultParagraphFont"/>
    <w:uiPriority w:val="99"/>
    <w:semiHidden/>
    <w:unhideWhenUsed/>
    <w:rsid w:val="0069035A"/>
    <w:rPr>
      <w:color w:val="605E5C"/>
      <w:shd w:val="clear" w:color="auto" w:fill="E1DFDD"/>
    </w:rPr>
  </w:style>
  <w:style w:type="paragraph" w:styleId="ListParagraph">
    <w:name w:val="List Paragraph"/>
    <w:basedOn w:val="Normal"/>
    <w:uiPriority w:val="34"/>
    <w:qFormat/>
    <w:rsid w:val="001F36F5"/>
    <w:pPr>
      <w:ind w:left="720"/>
      <w:contextualSpacing/>
    </w:pPr>
  </w:style>
  <w:style w:type="character" w:styleId="CommentReference">
    <w:name w:val="annotation reference"/>
    <w:basedOn w:val="DefaultParagraphFont"/>
    <w:uiPriority w:val="99"/>
    <w:semiHidden/>
    <w:unhideWhenUsed/>
    <w:rsid w:val="00CC12F2"/>
    <w:rPr>
      <w:sz w:val="16"/>
      <w:szCs w:val="16"/>
    </w:rPr>
  </w:style>
  <w:style w:type="paragraph" w:styleId="CommentText">
    <w:name w:val="annotation text"/>
    <w:basedOn w:val="Normal"/>
    <w:link w:val="CommentTextChar"/>
    <w:uiPriority w:val="99"/>
    <w:semiHidden/>
    <w:unhideWhenUsed/>
    <w:rsid w:val="00CC12F2"/>
    <w:pPr>
      <w:spacing w:line="240" w:lineRule="auto"/>
    </w:pPr>
    <w:rPr>
      <w:sz w:val="20"/>
      <w:szCs w:val="20"/>
    </w:rPr>
  </w:style>
  <w:style w:type="character" w:customStyle="1" w:styleId="CommentTextChar">
    <w:name w:val="Comment Text Char"/>
    <w:basedOn w:val="DefaultParagraphFont"/>
    <w:link w:val="CommentText"/>
    <w:uiPriority w:val="99"/>
    <w:semiHidden/>
    <w:rsid w:val="00CC12F2"/>
    <w:rPr>
      <w:sz w:val="20"/>
      <w:szCs w:val="20"/>
    </w:rPr>
  </w:style>
  <w:style w:type="paragraph" w:styleId="CommentSubject">
    <w:name w:val="annotation subject"/>
    <w:basedOn w:val="CommentText"/>
    <w:next w:val="CommentText"/>
    <w:link w:val="CommentSubjectChar"/>
    <w:uiPriority w:val="99"/>
    <w:semiHidden/>
    <w:unhideWhenUsed/>
    <w:rsid w:val="00CC12F2"/>
    <w:rPr>
      <w:b/>
      <w:bCs/>
    </w:rPr>
  </w:style>
  <w:style w:type="character" w:customStyle="1" w:styleId="CommentSubjectChar">
    <w:name w:val="Comment Subject Char"/>
    <w:basedOn w:val="CommentTextChar"/>
    <w:link w:val="CommentSubject"/>
    <w:uiPriority w:val="99"/>
    <w:semiHidden/>
    <w:rsid w:val="00CC12F2"/>
    <w:rPr>
      <w:b/>
      <w:bCs/>
      <w:sz w:val="20"/>
      <w:szCs w:val="20"/>
    </w:rPr>
  </w:style>
  <w:style w:type="character" w:styleId="FollowedHyperlink">
    <w:name w:val="FollowedHyperlink"/>
    <w:basedOn w:val="DefaultParagraphFont"/>
    <w:uiPriority w:val="99"/>
    <w:semiHidden/>
    <w:unhideWhenUsed/>
    <w:rsid w:val="004C6E71"/>
    <w:rPr>
      <w:color w:val="954F72" w:themeColor="followedHyperlink"/>
      <w:u w:val="single"/>
    </w:rPr>
  </w:style>
  <w:style w:type="paragraph" w:styleId="Header">
    <w:name w:val="header"/>
    <w:basedOn w:val="Normal"/>
    <w:link w:val="HeaderChar"/>
    <w:uiPriority w:val="99"/>
    <w:unhideWhenUsed/>
    <w:rsid w:val="001F1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B73"/>
  </w:style>
  <w:style w:type="paragraph" w:styleId="Footer">
    <w:name w:val="footer"/>
    <w:basedOn w:val="Normal"/>
    <w:link w:val="FooterChar"/>
    <w:uiPriority w:val="99"/>
    <w:unhideWhenUsed/>
    <w:rsid w:val="001F1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B73"/>
  </w:style>
  <w:style w:type="character" w:customStyle="1" w:styleId="Heading1Char">
    <w:name w:val="Heading 1 Char"/>
    <w:basedOn w:val="DefaultParagraphFont"/>
    <w:link w:val="Heading1"/>
    <w:uiPriority w:val="9"/>
    <w:rsid w:val="00916E9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16E9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71015">
      <w:bodyDiv w:val="1"/>
      <w:marLeft w:val="0"/>
      <w:marRight w:val="0"/>
      <w:marTop w:val="0"/>
      <w:marBottom w:val="0"/>
      <w:divBdr>
        <w:top w:val="none" w:sz="0" w:space="0" w:color="auto"/>
        <w:left w:val="none" w:sz="0" w:space="0" w:color="auto"/>
        <w:bottom w:val="none" w:sz="0" w:space="0" w:color="auto"/>
        <w:right w:val="none" w:sz="0" w:space="0" w:color="auto"/>
      </w:divBdr>
    </w:div>
    <w:div w:id="351617258">
      <w:bodyDiv w:val="1"/>
      <w:marLeft w:val="0"/>
      <w:marRight w:val="0"/>
      <w:marTop w:val="0"/>
      <w:marBottom w:val="0"/>
      <w:divBdr>
        <w:top w:val="none" w:sz="0" w:space="0" w:color="auto"/>
        <w:left w:val="none" w:sz="0" w:space="0" w:color="auto"/>
        <w:bottom w:val="none" w:sz="0" w:space="0" w:color="auto"/>
        <w:right w:val="none" w:sz="0" w:space="0" w:color="auto"/>
      </w:divBdr>
    </w:div>
    <w:div w:id="52494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qlik.dep.state.fl.us/anon/sense/app/17c7c199-2c02-4f1e-9288-ad20a293694a/sheet/2c856f40-bcad-4024-ba35-88276ab274c3/state/analysi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tectingfloridatogether.gov/" TargetMode="External"/><Relationship Id="rId17" Type="http://schemas.openxmlformats.org/officeDocument/2006/relationships/hyperlink" Target="https://f50006a.eos-intl.net/F50006A/OPAC/Details/Record.aspx?BibCode=5544705"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www.FLHealth.gov/HABNotificatio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loridadep.gov/AlgalBloom" TargetMode="External"/><Relationship Id="rId5" Type="http://schemas.openxmlformats.org/officeDocument/2006/relationships/numbering" Target="numbering.xml"/><Relationship Id="rId15" Type="http://schemas.openxmlformats.org/officeDocument/2006/relationships/hyperlink" Target="https://apps.who.int/iris/bitstream/handle/10665/338066/WHO-HEP-ECH-WSH-2020.6-eng.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wqc/recommended-human-health-recreational-ambient-water-quality-criteria-or-swimming-advis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1DAB1A1D6A3499B670DAE8150A9AF" ma:contentTypeVersion="13" ma:contentTypeDescription="Create a new document." ma:contentTypeScope="" ma:versionID="3a355215fe10d17c4139ad131177aaf0">
  <xsd:schema xmlns:xsd="http://www.w3.org/2001/XMLSchema" xmlns:xs="http://www.w3.org/2001/XMLSchema" xmlns:p="http://schemas.microsoft.com/office/2006/metadata/properties" xmlns:ns1="http://schemas.microsoft.com/sharepoint/v3" xmlns:ns3="c8f1c562-7db5-4ca9-a4b7-bb8426479233" xmlns:ns4="c1140845-c6c7-416f-90d6-e426ada07b0f" targetNamespace="http://schemas.microsoft.com/office/2006/metadata/properties" ma:root="true" ma:fieldsID="14f809d9ecfc2d31561f695d5395447f" ns1:_="" ns3:_="" ns4:_="">
    <xsd:import namespace="http://schemas.microsoft.com/sharepoint/v3"/>
    <xsd:import namespace="c8f1c562-7db5-4ca9-a4b7-bb8426479233"/>
    <xsd:import namespace="c1140845-c6c7-416f-90d6-e426ada07b0f"/>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f1c562-7db5-4ca9-a4b7-bb84264792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140845-c6c7-416f-90d6-e426ada07b0f"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7958-6CB2-4A5C-9B2C-BD61120A3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f1c562-7db5-4ca9-a4b7-bb8426479233"/>
    <ds:schemaRef ds:uri="c1140845-c6c7-416f-90d6-e426ada07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27BDB1-CA9C-4569-A342-22F408DAF76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9F5A673-D7A5-4554-8A76-FEF9A72263D5}">
  <ds:schemaRefs>
    <ds:schemaRef ds:uri="http://schemas.microsoft.com/sharepoint/v3/contenttype/forms"/>
  </ds:schemaRefs>
</ds:datastoreItem>
</file>

<file path=customXml/itemProps4.xml><?xml version="1.0" encoding="utf-8"?>
<ds:datastoreItem xmlns:ds="http://schemas.openxmlformats.org/officeDocument/2006/customXml" ds:itemID="{DF6125F5-AB75-4826-BC52-C7059C9AA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2394</Words>
  <Characters>13646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Whiting, David D.</dc:creator>
  <cp:keywords/>
  <dc:description/>
  <cp:lastModifiedBy>Davis, Brian G.</cp:lastModifiedBy>
  <cp:revision>2</cp:revision>
  <cp:lastPrinted>2022-03-15T16:56:00Z</cp:lastPrinted>
  <dcterms:created xsi:type="dcterms:W3CDTF">2022-03-15T17:30:00Z</dcterms:created>
  <dcterms:modified xsi:type="dcterms:W3CDTF">2022-03-15T17:30:00Z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0x010100CCA1DAB1A1D6A3499B670DAE8150A9AF</vt:lpwstr>
  </property>
</Properties>
</file>